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FDF6A" w14:textId="77777777" w:rsidR="007B0DE4" w:rsidRPr="008C5886" w:rsidRDefault="007B0DE4" w:rsidP="007B0DE4">
      <w:pPr>
        <w:pStyle w:val="Ttulo"/>
        <w:spacing w:before="120"/>
        <w:ind w:left="-142" w:right="-138"/>
        <w:rPr>
          <w:rFonts w:eastAsia="MS Mincho"/>
          <w:noProof w:val="0"/>
          <w:lang w:val="en-GB"/>
        </w:rPr>
      </w:pPr>
    </w:p>
    <w:p w14:paraId="75AAC33D" w14:textId="77777777" w:rsidR="007B0DE4" w:rsidRPr="00DB59BA" w:rsidRDefault="007B0DE4" w:rsidP="007B0DE4">
      <w:pPr>
        <w:pStyle w:val="Ttulo"/>
        <w:ind w:left="-142" w:right="-138"/>
        <w:rPr>
          <w:rFonts w:eastAsia="MS Mincho"/>
          <w:noProof w:val="0"/>
          <w:lang w:val="en-US"/>
        </w:rPr>
      </w:pPr>
    </w:p>
    <w:p w14:paraId="33110448" w14:textId="77777777" w:rsidR="007B0DE4" w:rsidRPr="00DB59BA" w:rsidRDefault="007B0DE4" w:rsidP="007B0DE4">
      <w:pPr>
        <w:pStyle w:val="Ttulo"/>
        <w:ind w:left="-142" w:right="-138"/>
        <w:rPr>
          <w:rFonts w:eastAsia="MS Mincho"/>
          <w:noProof w:val="0"/>
          <w:lang w:val="en-US"/>
        </w:rPr>
      </w:pPr>
    </w:p>
    <w:p w14:paraId="2EDE0138" w14:textId="77777777" w:rsidR="007B0DE4" w:rsidRPr="00DB59BA" w:rsidRDefault="007B0DE4" w:rsidP="007B0DE4">
      <w:pPr>
        <w:pStyle w:val="Ttulo"/>
        <w:ind w:left="-142" w:right="-138"/>
        <w:rPr>
          <w:rFonts w:eastAsia="MS Mincho"/>
          <w:noProof w:val="0"/>
          <w:lang w:val="en-US"/>
        </w:rPr>
      </w:pPr>
    </w:p>
    <w:p w14:paraId="15E18AA0" w14:textId="77777777" w:rsidR="007B0DE4" w:rsidRPr="002433F3" w:rsidRDefault="007B0DE4" w:rsidP="007B0DE4">
      <w:pPr>
        <w:pStyle w:val="Ttulo"/>
        <w:ind w:left="-142" w:right="-138"/>
        <w:rPr>
          <w:rFonts w:eastAsia="MS Mincho"/>
          <w:noProof w:val="0"/>
          <w:lang w:val="en-US"/>
        </w:rPr>
      </w:pPr>
      <w:r w:rsidRPr="002433F3">
        <w:rPr>
          <w:rFonts w:eastAsia="MS Mincho"/>
          <w:noProof w:val="0"/>
          <w:lang w:val="en-US"/>
        </w:rPr>
        <w:t>INTER-AMERICAN COURT OF HUMAN RIGHTS</w:t>
      </w:r>
    </w:p>
    <w:p w14:paraId="088FE855" w14:textId="77777777" w:rsidR="007B0DE4" w:rsidRPr="002433F3" w:rsidRDefault="007B0DE4" w:rsidP="007B0DE4">
      <w:pPr>
        <w:pStyle w:val="Ttulo"/>
        <w:ind w:left="-142" w:right="-138"/>
        <w:rPr>
          <w:rFonts w:eastAsia="MS Mincho"/>
          <w:noProof w:val="0"/>
          <w:lang w:val="en-US"/>
        </w:rPr>
      </w:pPr>
    </w:p>
    <w:p w14:paraId="13D0ADF1" w14:textId="77777777" w:rsidR="007B0DE4" w:rsidRPr="002433F3" w:rsidRDefault="007B0DE4" w:rsidP="007B0DE4">
      <w:pPr>
        <w:pStyle w:val="Ttulo"/>
        <w:ind w:left="-142" w:right="-138"/>
        <w:rPr>
          <w:rFonts w:eastAsia="MS Mincho"/>
          <w:noProof w:val="0"/>
          <w:lang w:val="en-US"/>
        </w:rPr>
      </w:pPr>
    </w:p>
    <w:p w14:paraId="47ADBEB5" w14:textId="77777777" w:rsidR="007B0DE4" w:rsidRPr="002433F3" w:rsidRDefault="007B0DE4" w:rsidP="007B0DE4">
      <w:pPr>
        <w:pStyle w:val="Ttulo"/>
        <w:ind w:left="-142" w:right="-138"/>
        <w:rPr>
          <w:rFonts w:eastAsia="MS Mincho"/>
          <w:noProof w:val="0"/>
          <w:sz w:val="16"/>
          <w:lang w:val="en-US"/>
        </w:rPr>
      </w:pPr>
      <w:r w:rsidRPr="002433F3">
        <w:rPr>
          <w:rFonts w:eastAsia="MS Mincho"/>
          <w:i/>
          <w:noProof w:val="0"/>
          <w:lang w:val="en-US"/>
        </w:rPr>
        <w:t>CASE OF DUQUE V. COLOMBIA</w:t>
      </w:r>
      <w:r w:rsidRPr="002433F3">
        <w:rPr>
          <w:rStyle w:val="Refdenotaalpie"/>
          <w:rFonts w:eastAsia="MS Mincho"/>
          <w:noProof w:val="0"/>
          <w:lang w:val="en-US"/>
        </w:rPr>
        <w:footnoteReference w:id="1"/>
      </w:r>
    </w:p>
    <w:p w14:paraId="6F79FC85" w14:textId="77777777" w:rsidR="007B0DE4" w:rsidRPr="002433F3" w:rsidRDefault="007B0DE4" w:rsidP="007B0DE4">
      <w:pPr>
        <w:pStyle w:val="Ttulo"/>
        <w:ind w:left="-142" w:right="-138"/>
        <w:rPr>
          <w:rFonts w:eastAsia="MS Mincho"/>
          <w:noProof w:val="0"/>
          <w:sz w:val="16"/>
          <w:lang w:val="en-US"/>
        </w:rPr>
      </w:pPr>
    </w:p>
    <w:p w14:paraId="35D96132" w14:textId="77777777" w:rsidR="007B0DE4" w:rsidRPr="002433F3" w:rsidRDefault="007B0DE4" w:rsidP="007B0DE4">
      <w:pPr>
        <w:pStyle w:val="Ttulo"/>
        <w:ind w:left="-142" w:right="-138"/>
        <w:jc w:val="left"/>
        <w:rPr>
          <w:rFonts w:eastAsia="MS Mincho"/>
          <w:noProof w:val="0"/>
          <w:color w:val="00B050"/>
          <w:sz w:val="16"/>
          <w:lang w:val="en-US"/>
        </w:rPr>
      </w:pPr>
    </w:p>
    <w:p w14:paraId="6F727DC6" w14:textId="77777777" w:rsidR="007B0DE4" w:rsidRPr="002433F3" w:rsidRDefault="007B0DE4" w:rsidP="007B0DE4">
      <w:pPr>
        <w:pStyle w:val="Ttulo"/>
        <w:ind w:left="-142" w:right="-138"/>
        <w:jc w:val="left"/>
        <w:rPr>
          <w:rFonts w:eastAsia="MS Mincho"/>
          <w:noProof w:val="0"/>
          <w:color w:val="00B050"/>
          <w:sz w:val="16"/>
          <w:lang w:val="en-US"/>
        </w:rPr>
      </w:pPr>
      <w:r w:rsidRPr="002433F3">
        <w:rPr>
          <w:rFonts w:eastAsia="MS Mincho"/>
          <w:noProof w:val="0"/>
          <w:color w:val="00B050"/>
          <w:sz w:val="16"/>
          <w:lang w:val="en-US"/>
        </w:rPr>
        <w:t xml:space="preserve"> </w:t>
      </w:r>
    </w:p>
    <w:p w14:paraId="16500121" w14:textId="77777777" w:rsidR="007B0DE4" w:rsidRPr="002433F3" w:rsidRDefault="007B0DE4" w:rsidP="007B0DE4">
      <w:pPr>
        <w:pStyle w:val="Ttulo"/>
        <w:ind w:left="-142" w:right="-138"/>
        <w:rPr>
          <w:rFonts w:eastAsia="MS Mincho"/>
          <w:noProof w:val="0"/>
          <w:lang w:val="en-US"/>
        </w:rPr>
      </w:pPr>
      <w:r w:rsidRPr="002433F3">
        <w:rPr>
          <w:rFonts w:eastAsia="MS Mincho"/>
          <w:noProof w:val="0"/>
          <w:lang w:val="en-US"/>
        </w:rPr>
        <w:t>JUDGMENT OF FEBRUARY 26, 2016</w:t>
      </w:r>
    </w:p>
    <w:p w14:paraId="16480D8E" w14:textId="77777777" w:rsidR="007B0DE4" w:rsidRPr="002433F3" w:rsidRDefault="001F6A2A" w:rsidP="007B0DE4">
      <w:pPr>
        <w:pStyle w:val="Subttulo"/>
        <w:ind w:left="-142" w:right="-138"/>
        <w:rPr>
          <w:noProof w:val="0"/>
          <w:lang w:val="en-US"/>
        </w:rPr>
      </w:pPr>
      <w:r w:rsidRPr="002433F3">
        <w:rPr>
          <w:noProof w:val="0"/>
          <w:lang w:val="en-US"/>
        </w:rPr>
        <w:t>(Preliminary objections, merits, reparations and c</w:t>
      </w:r>
      <w:r w:rsidR="007B0DE4" w:rsidRPr="002433F3">
        <w:rPr>
          <w:noProof w:val="0"/>
          <w:lang w:val="en-US"/>
        </w:rPr>
        <w:t>osts)</w:t>
      </w:r>
    </w:p>
    <w:p w14:paraId="653CCDC3" w14:textId="77777777" w:rsidR="007B0DE4" w:rsidRPr="002433F3" w:rsidRDefault="007B0DE4" w:rsidP="007B0DE4">
      <w:pPr>
        <w:ind w:left="-142" w:right="-138"/>
        <w:rPr>
          <w:szCs w:val="20"/>
          <w:lang w:val="en-US"/>
        </w:rPr>
      </w:pPr>
    </w:p>
    <w:p w14:paraId="68AE8F20" w14:textId="77777777" w:rsidR="007B0DE4" w:rsidRPr="002433F3" w:rsidRDefault="007B0DE4" w:rsidP="007B0DE4">
      <w:pPr>
        <w:ind w:left="-142" w:right="-138"/>
        <w:rPr>
          <w:szCs w:val="20"/>
          <w:lang w:val="en-US"/>
        </w:rPr>
      </w:pPr>
    </w:p>
    <w:p w14:paraId="0BB59DF0" w14:textId="77777777" w:rsidR="007B0DE4" w:rsidRPr="002433F3" w:rsidRDefault="007B0DE4" w:rsidP="007B0DE4">
      <w:pPr>
        <w:ind w:left="-142" w:right="-138"/>
        <w:rPr>
          <w:szCs w:val="20"/>
          <w:lang w:val="en-US"/>
        </w:rPr>
      </w:pPr>
    </w:p>
    <w:p w14:paraId="5178B576" w14:textId="77777777" w:rsidR="007B0DE4" w:rsidRPr="002433F3" w:rsidRDefault="007B0DE4" w:rsidP="007B0DE4">
      <w:pPr>
        <w:rPr>
          <w:szCs w:val="20"/>
          <w:lang w:val="en-US"/>
        </w:rPr>
      </w:pPr>
      <w:r w:rsidRPr="002433F3">
        <w:rPr>
          <w:szCs w:val="20"/>
          <w:lang w:val="en-US"/>
        </w:rPr>
        <w:t xml:space="preserve">In the </w:t>
      </w:r>
      <w:r w:rsidRPr="002433F3">
        <w:rPr>
          <w:i/>
          <w:szCs w:val="20"/>
          <w:lang w:val="en-US"/>
        </w:rPr>
        <w:t>Case of</w:t>
      </w:r>
      <w:r w:rsidRPr="002433F3">
        <w:rPr>
          <w:szCs w:val="20"/>
          <w:lang w:val="en-US"/>
        </w:rPr>
        <w:t xml:space="preserve"> </w:t>
      </w:r>
      <w:r w:rsidRPr="002433F3">
        <w:rPr>
          <w:i/>
          <w:szCs w:val="20"/>
          <w:lang w:val="en-US"/>
        </w:rPr>
        <w:t>Duque</w:t>
      </w:r>
      <w:r w:rsidR="001F6A2A" w:rsidRPr="002433F3">
        <w:rPr>
          <w:i/>
          <w:szCs w:val="20"/>
          <w:lang w:val="en-US"/>
        </w:rPr>
        <w:t xml:space="preserve"> v. Colombia</w:t>
      </w:r>
      <w:r w:rsidRPr="002433F3">
        <w:rPr>
          <w:i/>
          <w:szCs w:val="20"/>
          <w:lang w:val="en-US"/>
        </w:rPr>
        <w:t>,</w:t>
      </w:r>
    </w:p>
    <w:p w14:paraId="1ED64F54" w14:textId="77777777" w:rsidR="007B0DE4" w:rsidRPr="002433F3" w:rsidRDefault="007B0DE4" w:rsidP="007B0DE4">
      <w:pPr>
        <w:ind w:left="-142" w:right="-138"/>
        <w:rPr>
          <w:szCs w:val="20"/>
          <w:lang w:val="en-US"/>
        </w:rPr>
      </w:pPr>
    </w:p>
    <w:p w14:paraId="1EAE0CBB" w14:textId="77777777" w:rsidR="007B0DE4" w:rsidRPr="002433F3" w:rsidRDefault="007B0DE4" w:rsidP="007B0DE4">
      <w:pPr>
        <w:ind w:right="-138"/>
        <w:rPr>
          <w:lang w:val="en-US"/>
        </w:rPr>
      </w:pPr>
      <w:r w:rsidRPr="002433F3">
        <w:rPr>
          <w:lang w:val="en-US"/>
        </w:rPr>
        <w:t>the Inter-American Court of Human Rights (hereinafter “the Inter-American Court” or “the Cour</w:t>
      </w:r>
      <w:r w:rsidR="001F6A2A" w:rsidRPr="002433F3">
        <w:rPr>
          <w:lang w:val="en-US"/>
        </w:rPr>
        <w:t>t”), composed of the following J</w:t>
      </w:r>
      <w:r w:rsidRPr="002433F3">
        <w:rPr>
          <w:lang w:val="en-US"/>
        </w:rPr>
        <w:t>udges:</w:t>
      </w:r>
    </w:p>
    <w:p w14:paraId="162B12CA" w14:textId="77777777" w:rsidR="007B0DE4" w:rsidRPr="002433F3" w:rsidRDefault="007B0DE4" w:rsidP="007B0DE4">
      <w:pPr>
        <w:ind w:right="-138"/>
        <w:rPr>
          <w:sz w:val="16"/>
          <w:lang w:val="en-US"/>
        </w:rPr>
      </w:pPr>
    </w:p>
    <w:p w14:paraId="0D7C9359" w14:textId="77777777" w:rsidR="007B0DE4" w:rsidRPr="002433F3" w:rsidRDefault="007B0DE4" w:rsidP="007B0DE4">
      <w:pPr>
        <w:pStyle w:val="citaindirecta"/>
        <w:ind w:right="-138"/>
        <w:rPr>
          <w:lang w:val="en-US"/>
        </w:rPr>
      </w:pPr>
      <w:r w:rsidRPr="002433F3">
        <w:rPr>
          <w:lang w:val="en-US"/>
        </w:rPr>
        <w:t xml:space="preserve">Roberto F. Caldas, President; </w:t>
      </w:r>
    </w:p>
    <w:p w14:paraId="7F2D6723" w14:textId="77777777" w:rsidR="007B0DE4" w:rsidRPr="002433F3" w:rsidRDefault="007B0DE4" w:rsidP="007B0DE4">
      <w:pPr>
        <w:ind w:left="708" w:right="-138"/>
        <w:rPr>
          <w:lang w:val="en-US"/>
        </w:rPr>
      </w:pPr>
      <w:r w:rsidRPr="002433F3">
        <w:rPr>
          <w:lang w:val="en-US"/>
        </w:rPr>
        <w:t>Eduardo Ferrer Mac-Gregor Poisot, Vice President;</w:t>
      </w:r>
    </w:p>
    <w:p w14:paraId="0BDAB78F" w14:textId="77777777" w:rsidR="007B0DE4" w:rsidRPr="002433F3" w:rsidRDefault="007B0DE4" w:rsidP="007B0DE4">
      <w:pPr>
        <w:pStyle w:val="citaindirecta"/>
        <w:ind w:right="-138"/>
        <w:rPr>
          <w:lang w:val="en-US"/>
        </w:rPr>
      </w:pPr>
      <w:r w:rsidRPr="002433F3">
        <w:rPr>
          <w:lang w:val="en-US"/>
        </w:rPr>
        <w:t xml:space="preserve">Manuel E. Ventura Robles, Judge; </w:t>
      </w:r>
    </w:p>
    <w:p w14:paraId="60C09694" w14:textId="77777777" w:rsidR="007B0DE4" w:rsidRPr="002433F3" w:rsidRDefault="007B0DE4" w:rsidP="007B0DE4">
      <w:pPr>
        <w:pStyle w:val="citaindirecta"/>
        <w:ind w:right="-138"/>
        <w:rPr>
          <w:lang w:val="en-US"/>
        </w:rPr>
      </w:pPr>
      <w:r w:rsidRPr="002433F3">
        <w:rPr>
          <w:lang w:val="en-US"/>
        </w:rPr>
        <w:t>Diego García-Sayán, Judge;</w:t>
      </w:r>
    </w:p>
    <w:p w14:paraId="575D9D5B" w14:textId="77777777" w:rsidR="007B0DE4" w:rsidRPr="002433F3" w:rsidRDefault="007B0DE4" w:rsidP="007B0DE4">
      <w:pPr>
        <w:pStyle w:val="citaindirecta"/>
        <w:ind w:right="-138"/>
        <w:rPr>
          <w:lang w:val="en-US"/>
        </w:rPr>
      </w:pPr>
      <w:r w:rsidRPr="002433F3">
        <w:rPr>
          <w:lang w:val="en-US"/>
        </w:rPr>
        <w:t xml:space="preserve">Alberto Pérez, Judge, and </w:t>
      </w:r>
    </w:p>
    <w:p w14:paraId="3D6A93FC" w14:textId="77777777" w:rsidR="007B0DE4" w:rsidRPr="002433F3" w:rsidRDefault="007B0DE4" w:rsidP="007B0DE4">
      <w:pPr>
        <w:pStyle w:val="citaindirecta"/>
        <w:ind w:right="-138"/>
        <w:rPr>
          <w:lang w:val="en-US"/>
        </w:rPr>
      </w:pPr>
      <w:r w:rsidRPr="002433F3">
        <w:rPr>
          <w:lang w:val="en-US"/>
        </w:rPr>
        <w:t xml:space="preserve">Eduardo Vio Grossi, Judge. </w:t>
      </w:r>
    </w:p>
    <w:p w14:paraId="3CBC01EA" w14:textId="77777777" w:rsidR="007B0DE4" w:rsidRPr="002433F3" w:rsidRDefault="007B0DE4" w:rsidP="007B0DE4">
      <w:pPr>
        <w:ind w:right="-138"/>
        <w:rPr>
          <w:lang w:val="en-US"/>
        </w:rPr>
      </w:pPr>
    </w:p>
    <w:p w14:paraId="13A23FE8" w14:textId="77777777" w:rsidR="007B0DE4" w:rsidRPr="002433F3" w:rsidRDefault="007B0DE4" w:rsidP="007B0DE4">
      <w:pPr>
        <w:ind w:right="-138"/>
        <w:rPr>
          <w:lang w:val="en-US"/>
        </w:rPr>
      </w:pPr>
      <w:r w:rsidRPr="002433F3">
        <w:rPr>
          <w:lang w:val="en-US"/>
        </w:rPr>
        <w:t xml:space="preserve">also present, </w:t>
      </w:r>
    </w:p>
    <w:p w14:paraId="527A6F36" w14:textId="77777777" w:rsidR="007B0DE4" w:rsidRPr="002433F3" w:rsidRDefault="007B0DE4" w:rsidP="007B0DE4">
      <w:pPr>
        <w:ind w:right="-138"/>
        <w:rPr>
          <w:lang w:val="en-US"/>
        </w:rPr>
      </w:pPr>
    </w:p>
    <w:p w14:paraId="3E0952D8" w14:textId="77777777" w:rsidR="007B0DE4" w:rsidRPr="002433F3" w:rsidRDefault="007B0DE4" w:rsidP="007B0DE4">
      <w:pPr>
        <w:ind w:firstLine="708"/>
        <w:rPr>
          <w:lang w:val="en-US"/>
        </w:rPr>
      </w:pPr>
      <w:r w:rsidRPr="002433F3">
        <w:rPr>
          <w:lang w:val="en-US"/>
        </w:rPr>
        <w:t>Pablo Saavedra Alessandri, Secretary, and</w:t>
      </w:r>
    </w:p>
    <w:p w14:paraId="06BBF559" w14:textId="77777777" w:rsidR="007B0DE4" w:rsidRPr="002433F3" w:rsidRDefault="007B0DE4" w:rsidP="007B0DE4">
      <w:pPr>
        <w:ind w:left="708" w:right="-138"/>
        <w:rPr>
          <w:lang w:val="en-US"/>
        </w:rPr>
      </w:pPr>
      <w:r w:rsidRPr="002433F3">
        <w:rPr>
          <w:lang w:val="en-US"/>
        </w:rPr>
        <w:t xml:space="preserve">Emilia Segares Rodríguez, </w:t>
      </w:r>
      <w:r w:rsidR="001F6A2A" w:rsidRPr="002433F3">
        <w:rPr>
          <w:lang w:val="en-US"/>
        </w:rPr>
        <w:t xml:space="preserve">Deputy </w:t>
      </w:r>
      <w:r w:rsidRPr="002433F3">
        <w:rPr>
          <w:lang w:val="en-US"/>
        </w:rPr>
        <w:t>Secretary,</w:t>
      </w:r>
    </w:p>
    <w:p w14:paraId="73C018BE" w14:textId="77777777" w:rsidR="007B0DE4" w:rsidRPr="002433F3" w:rsidRDefault="007B0DE4" w:rsidP="007B0DE4">
      <w:pPr>
        <w:ind w:right="-138"/>
        <w:rPr>
          <w:lang w:val="en-US"/>
        </w:rPr>
      </w:pPr>
    </w:p>
    <w:p w14:paraId="2B8220D1" w14:textId="77777777" w:rsidR="007B0DE4" w:rsidRPr="002433F3" w:rsidRDefault="007B0DE4" w:rsidP="007B0DE4">
      <w:pPr>
        <w:ind w:right="-138"/>
        <w:rPr>
          <w:lang w:val="en-US"/>
        </w:rPr>
      </w:pPr>
      <w:r w:rsidRPr="002433F3">
        <w:rPr>
          <w:lang w:val="en-US"/>
        </w:rPr>
        <w:t>pur</w:t>
      </w:r>
      <w:r w:rsidR="002F58E4" w:rsidRPr="002433F3">
        <w:rPr>
          <w:lang w:val="en-US"/>
        </w:rPr>
        <w:t>suant to Articles 62(3) and 63(</w:t>
      </w:r>
      <w:r w:rsidRPr="002433F3">
        <w:rPr>
          <w:lang w:val="en-US"/>
        </w:rPr>
        <w:t>1) of the American Conventi</w:t>
      </w:r>
      <w:r w:rsidR="001F6A2A" w:rsidRPr="002433F3">
        <w:rPr>
          <w:lang w:val="en-US"/>
        </w:rPr>
        <w:t>on on Human Rights (hereinafter</w:t>
      </w:r>
      <w:r w:rsidRPr="002433F3">
        <w:rPr>
          <w:lang w:val="en-US"/>
        </w:rPr>
        <w:t xml:space="preserve"> “the American Convention” or “the Convention”) and with Articles 31, 32, 65 and 67 of the Rules of Procedure of the Court (hereinafter “the Rules</w:t>
      </w:r>
      <w:r w:rsidR="001F6A2A" w:rsidRPr="002433F3">
        <w:rPr>
          <w:lang w:val="en-US"/>
        </w:rPr>
        <w:t xml:space="preserve"> of Procedure</w:t>
      </w:r>
      <w:r w:rsidRPr="002433F3">
        <w:rPr>
          <w:lang w:val="en-US"/>
        </w:rPr>
        <w:t>”</w:t>
      </w:r>
      <w:r w:rsidR="001F6A2A" w:rsidRPr="002433F3">
        <w:rPr>
          <w:lang w:val="en-US"/>
        </w:rPr>
        <w:t xml:space="preserve"> or “the Rules”</w:t>
      </w:r>
      <w:r w:rsidRPr="002433F3">
        <w:rPr>
          <w:lang w:val="en-US"/>
        </w:rPr>
        <w:t xml:space="preserve">), </w:t>
      </w:r>
      <w:r w:rsidR="001F6A2A" w:rsidRPr="002433F3">
        <w:rPr>
          <w:lang w:val="en-US"/>
        </w:rPr>
        <w:t xml:space="preserve">delivers </w:t>
      </w:r>
      <w:r w:rsidRPr="002433F3">
        <w:rPr>
          <w:lang w:val="en-US"/>
        </w:rPr>
        <w:t>this Judgment.</w:t>
      </w:r>
    </w:p>
    <w:p w14:paraId="3A31CC11" w14:textId="77777777" w:rsidR="007B0DE4" w:rsidRPr="002433F3" w:rsidRDefault="007B0DE4" w:rsidP="007B0DE4">
      <w:pPr>
        <w:ind w:right="-138"/>
        <w:rPr>
          <w:lang w:val="en-US"/>
        </w:rPr>
      </w:pPr>
    </w:p>
    <w:p w14:paraId="236E6F5C" w14:textId="77777777" w:rsidR="007B0DE4" w:rsidRPr="002433F3" w:rsidRDefault="007B0DE4" w:rsidP="007B0DE4">
      <w:pPr>
        <w:ind w:right="-138"/>
        <w:jc w:val="center"/>
        <w:rPr>
          <w:b/>
          <w:lang w:val="en-US"/>
        </w:rPr>
      </w:pPr>
      <w:r w:rsidRPr="002433F3">
        <w:rPr>
          <w:b/>
          <w:lang w:val="en-US"/>
        </w:rPr>
        <w:br w:type="page"/>
      </w:r>
      <w:r w:rsidRPr="002433F3">
        <w:rPr>
          <w:rFonts w:eastAsia="MS Mincho"/>
          <w:b/>
          <w:i/>
          <w:lang w:val="en-US"/>
        </w:rPr>
        <w:lastRenderedPageBreak/>
        <w:t xml:space="preserve">CASE </w:t>
      </w:r>
      <w:r w:rsidR="003847B6" w:rsidRPr="002433F3">
        <w:rPr>
          <w:rFonts w:eastAsia="MS Mincho"/>
          <w:b/>
          <w:i/>
          <w:lang w:val="en-US"/>
        </w:rPr>
        <w:t xml:space="preserve">OF </w:t>
      </w:r>
      <w:r w:rsidRPr="002433F3">
        <w:rPr>
          <w:rFonts w:eastAsia="MS Mincho"/>
          <w:b/>
          <w:i/>
          <w:lang w:val="en-US"/>
        </w:rPr>
        <w:t>DUQUE V. COLOMBIA</w:t>
      </w:r>
    </w:p>
    <w:p w14:paraId="5EB2E553" w14:textId="77777777" w:rsidR="007B0DE4" w:rsidRPr="002433F3" w:rsidRDefault="007B0DE4" w:rsidP="007B0DE4">
      <w:pPr>
        <w:pStyle w:val="Ttulo"/>
        <w:spacing w:before="240" w:after="240"/>
        <w:ind w:left="-142" w:right="107"/>
        <w:rPr>
          <w:rFonts w:eastAsia="MS Mincho"/>
          <w:noProof w:val="0"/>
          <w:lang w:val="en-US"/>
        </w:rPr>
      </w:pPr>
      <w:r w:rsidRPr="002433F3">
        <w:rPr>
          <w:rFonts w:eastAsia="MS Mincho"/>
          <w:noProof w:val="0"/>
          <w:lang w:val="en-US"/>
        </w:rPr>
        <w:t>Table of contents</w:t>
      </w:r>
    </w:p>
    <w:p w14:paraId="1014973E" w14:textId="77777777" w:rsidR="007B0DE4" w:rsidRPr="002433F3" w:rsidRDefault="007B0DE4" w:rsidP="007B0DE4">
      <w:pPr>
        <w:pStyle w:val="TDC1"/>
        <w:rPr>
          <w:rFonts w:ascii="Calibri" w:eastAsia="Times New Roman" w:hAnsi="Calibri" w:cs="Times New Roman"/>
          <w:b w:val="0"/>
          <w:sz w:val="22"/>
          <w:szCs w:val="22"/>
          <w:lang w:val="en-US" w:eastAsia="es-CR"/>
        </w:rPr>
      </w:pPr>
      <w:r w:rsidRPr="002433F3">
        <w:rPr>
          <w:lang w:val="en-US"/>
        </w:rPr>
        <w:fldChar w:fldCharType="begin"/>
      </w:r>
      <w:r w:rsidRPr="002433F3">
        <w:rPr>
          <w:lang w:val="en-US"/>
        </w:rPr>
        <w:instrText xml:space="preserve"> TOC \o "1-3" \h \z \u </w:instrText>
      </w:r>
      <w:r w:rsidRPr="002433F3">
        <w:rPr>
          <w:lang w:val="en-US"/>
        </w:rPr>
        <w:fldChar w:fldCharType="separate"/>
      </w:r>
      <w:hyperlink w:anchor="_Toc448482240" w:history="1">
        <w:r w:rsidRPr="002433F3">
          <w:rPr>
            <w:rStyle w:val="Hipervnculo"/>
            <w:lang w:val="en-US"/>
          </w:rPr>
          <w:t>I. INTRODUCTION OF THE CASE AND PURPOSE OF THE DISPUTE</w:t>
        </w:r>
        <w:r w:rsidRPr="002433F3">
          <w:rPr>
            <w:webHidden/>
            <w:lang w:val="en-US"/>
          </w:rPr>
          <w:tab/>
        </w:r>
        <w:r w:rsidRPr="002433F3">
          <w:rPr>
            <w:webHidden/>
            <w:lang w:val="en-US"/>
          </w:rPr>
          <w:fldChar w:fldCharType="begin"/>
        </w:r>
        <w:r w:rsidRPr="002433F3">
          <w:rPr>
            <w:webHidden/>
            <w:lang w:val="en-US"/>
          </w:rPr>
          <w:instrText xml:space="preserve"> PAGEREF _Toc448482240 \h </w:instrText>
        </w:r>
        <w:r w:rsidRPr="002433F3">
          <w:rPr>
            <w:webHidden/>
            <w:lang w:val="en-US"/>
          </w:rPr>
        </w:r>
        <w:r w:rsidRPr="002433F3">
          <w:rPr>
            <w:webHidden/>
            <w:lang w:val="en-US"/>
          </w:rPr>
          <w:fldChar w:fldCharType="separate"/>
        </w:r>
        <w:r w:rsidR="004E3508" w:rsidRPr="002433F3">
          <w:rPr>
            <w:noProof/>
            <w:webHidden/>
            <w:lang w:val="en-US"/>
          </w:rPr>
          <w:t>4</w:t>
        </w:r>
        <w:r w:rsidRPr="002433F3">
          <w:rPr>
            <w:webHidden/>
            <w:lang w:val="en-US"/>
          </w:rPr>
          <w:fldChar w:fldCharType="end"/>
        </w:r>
      </w:hyperlink>
    </w:p>
    <w:p w14:paraId="00FAE332" w14:textId="77777777" w:rsidR="007B0DE4" w:rsidRPr="002433F3" w:rsidRDefault="0010152B" w:rsidP="007B0DE4">
      <w:pPr>
        <w:pStyle w:val="TDC1"/>
        <w:rPr>
          <w:rFonts w:ascii="Calibri" w:eastAsia="Times New Roman" w:hAnsi="Calibri" w:cs="Times New Roman"/>
          <w:b w:val="0"/>
          <w:sz w:val="22"/>
          <w:szCs w:val="22"/>
          <w:lang w:val="en-US" w:eastAsia="es-CR"/>
        </w:rPr>
      </w:pPr>
      <w:hyperlink w:anchor="_Toc448482241" w:history="1">
        <w:r w:rsidR="007B0DE4" w:rsidRPr="002433F3">
          <w:rPr>
            <w:rStyle w:val="Hipervnculo"/>
            <w:lang w:val="en-US"/>
          </w:rPr>
          <w:t>II. PROCEEDING</w:t>
        </w:r>
        <w:r w:rsidR="007A7205" w:rsidRPr="002433F3">
          <w:rPr>
            <w:rStyle w:val="Hipervnculo"/>
            <w:lang w:val="en-US"/>
          </w:rPr>
          <w:t>S</w:t>
        </w:r>
        <w:r w:rsidR="007B0DE4" w:rsidRPr="002433F3">
          <w:rPr>
            <w:rStyle w:val="Hipervnculo"/>
            <w:lang w:val="en-US"/>
          </w:rPr>
          <w:t xml:space="preserve"> BEFORE THE COURT</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_Toc448482241 \h </w:instrText>
        </w:r>
        <w:r w:rsidR="007B0DE4" w:rsidRPr="002433F3">
          <w:rPr>
            <w:webHidden/>
            <w:lang w:val="en-US"/>
          </w:rPr>
        </w:r>
        <w:r w:rsidR="007B0DE4" w:rsidRPr="002433F3">
          <w:rPr>
            <w:webHidden/>
            <w:lang w:val="en-US"/>
          </w:rPr>
          <w:fldChar w:fldCharType="separate"/>
        </w:r>
        <w:r w:rsidR="004E3508" w:rsidRPr="002433F3">
          <w:rPr>
            <w:noProof/>
            <w:webHidden/>
            <w:lang w:val="en-US"/>
          </w:rPr>
          <w:t>5</w:t>
        </w:r>
        <w:r w:rsidR="007B0DE4" w:rsidRPr="002433F3">
          <w:rPr>
            <w:webHidden/>
            <w:lang w:val="en-US"/>
          </w:rPr>
          <w:fldChar w:fldCharType="end"/>
        </w:r>
      </w:hyperlink>
    </w:p>
    <w:p w14:paraId="33EA9516" w14:textId="77777777" w:rsidR="007B0DE4" w:rsidRPr="002433F3" w:rsidRDefault="0010152B" w:rsidP="007B0DE4">
      <w:pPr>
        <w:pStyle w:val="TDC1"/>
        <w:rPr>
          <w:rFonts w:ascii="Calibri" w:eastAsia="Times New Roman" w:hAnsi="Calibri" w:cs="Times New Roman"/>
          <w:b w:val="0"/>
          <w:sz w:val="22"/>
          <w:szCs w:val="22"/>
          <w:lang w:val="en-US" w:eastAsia="es-CR"/>
        </w:rPr>
      </w:pPr>
      <w:hyperlink w:anchor="_Toc448482242" w:history="1">
        <w:r w:rsidR="007B0DE4" w:rsidRPr="002433F3">
          <w:rPr>
            <w:rStyle w:val="Hipervnculo"/>
            <w:lang w:val="en-US"/>
          </w:rPr>
          <w:t>III JURISDICTION</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_Toc448482242 \h </w:instrText>
        </w:r>
        <w:r w:rsidR="007B0DE4" w:rsidRPr="002433F3">
          <w:rPr>
            <w:webHidden/>
            <w:lang w:val="en-US"/>
          </w:rPr>
        </w:r>
        <w:r w:rsidR="007B0DE4" w:rsidRPr="002433F3">
          <w:rPr>
            <w:webHidden/>
            <w:lang w:val="en-US"/>
          </w:rPr>
          <w:fldChar w:fldCharType="separate"/>
        </w:r>
        <w:r w:rsidR="004E3508" w:rsidRPr="002433F3">
          <w:rPr>
            <w:noProof/>
            <w:webHidden/>
            <w:lang w:val="en-US"/>
          </w:rPr>
          <w:t>7</w:t>
        </w:r>
        <w:r w:rsidR="007B0DE4" w:rsidRPr="002433F3">
          <w:rPr>
            <w:webHidden/>
            <w:lang w:val="en-US"/>
          </w:rPr>
          <w:fldChar w:fldCharType="end"/>
        </w:r>
      </w:hyperlink>
    </w:p>
    <w:p w14:paraId="49662F01" w14:textId="77777777" w:rsidR="007B0DE4" w:rsidRPr="002433F3" w:rsidRDefault="0010152B" w:rsidP="007B0DE4">
      <w:pPr>
        <w:pStyle w:val="TDC1"/>
        <w:rPr>
          <w:rFonts w:ascii="Calibri" w:eastAsia="Times New Roman" w:hAnsi="Calibri" w:cs="Times New Roman"/>
          <w:b w:val="0"/>
          <w:sz w:val="22"/>
          <w:szCs w:val="22"/>
          <w:lang w:val="en-US" w:eastAsia="es-CR"/>
        </w:rPr>
      </w:pPr>
      <w:hyperlink w:anchor="_Toc448482243" w:history="1">
        <w:r w:rsidR="007B0DE4" w:rsidRPr="002433F3">
          <w:rPr>
            <w:rStyle w:val="Hipervnculo"/>
            <w:lang w:val="en-US"/>
          </w:rPr>
          <w:t>IV. PRELIMINARY OBJECTIONS</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_Toc448482243 \h </w:instrText>
        </w:r>
        <w:r w:rsidR="007B0DE4" w:rsidRPr="002433F3">
          <w:rPr>
            <w:webHidden/>
            <w:lang w:val="en-US"/>
          </w:rPr>
        </w:r>
        <w:r w:rsidR="007B0DE4" w:rsidRPr="002433F3">
          <w:rPr>
            <w:webHidden/>
            <w:lang w:val="en-US"/>
          </w:rPr>
          <w:fldChar w:fldCharType="separate"/>
        </w:r>
        <w:r w:rsidR="004E3508" w:rsidRPr="002433F3">
          <w:rPr>
            <w:noProof/>
            <w:webHidden/>
            <w:lang w:val="en-US"/>
          </w:rPr>
          <w:t>7</w:t>
        </w:r>
        <w:r w:rsidR="007B0DE4" w:rsidRPr="002433F3">
          <w:rPr>
            <w:webHidden/>
            <w:lang w:val="en-US"/>
          </w:rPr>
          <w:fldChar w:fldCharType="end"/>
        </w:r>
      </w:hyperlink>
    </w:p>
    <w:p w14:paraId="70261FAD" w14:textId="77777777" w:rsidR="007B0DE4" w:rsidRPr="002433F3" w:rsidRDefault="0010152B" w:rsidP="007B0DE4">
      <w:pPr>
        <w:pStyle w:val="TDC2"/>
        <w:rPr>
          <w:rFonts w:ascii="Calibri" w:eastAsia="Times New Roman" w:hAnsi="Calibri" w:cs="Times New Roman"/>
          <w:smallCaps w:val="0"/>
          <w:sz w:val="22"/>
          <w:szCs w:val="22"/>
          <w:lang w:val="en-US" w:eastAsia="es-CR"/>
        </w:rPr>
      </w:pPr>
      <w:hyperlink w:anchor="_Toc448482244" w:history="1">
        <w:r w:rsidR="007B0DE4" w:rsidRPr="002433F3">
          <w:rPr>
            <w:rStyle w:val="Hipervnculo"/>
            <w:lang w:val="en-US"/>
          </w:rPr>
          <w:t>A.</w:t>
        </w:r>
        <w:r w:rsidR="007B0DE4" w:rsidRPr="002433F3">
          <w:rPr>
            <w:rFonts w:ascii="Calibri" w:eastAsia="Times New Roman" w:hAnsi="Calibri" w:cs="Times New Roman"/>
            <w:smallCaps w:val="0"/>
            <w:sz w:val="22"/>
            <w:szCs w:val="22"/>
            <w:lang w:val="en-US" w:eastAsia="es-CR"/>
          </w:rPr>
          <w:tab/>
        </w:r>
        <w:r w:rsidR="007B0DE4" w:rsidRPr="002433F3">
          <w:rPr>
            <w:rStyle w:val="Hipervnculo"/>
            <w:lang w:val="en-US"/>
          </w:rPr>
          <w:t xml:space="preserve">Failure to exhaust domestic remedies </w:t>
        </w:r>
        <w:r w:rsidR="007A7205" w:rsidRPr="002433F3">
          <w:rPr>
            <w:rStyle w:val="Hipervnculo"/>
            <w:lang w:val="en-US"/>
          </w:rPr>
          <w:t xml:space="preserve">regarding </w:t>
        </w:r>
        <w:r w:rsidR="007B0DE4" w:rsidRPr="002433F3">
          <w:rPr>
            <w:rStyle w:val="Hipervnculo"/>
            <w:lang w:val="en-US"/>
          </w:rPr>
          <w:t>recognition of the survivor’s pension claimed by Mr. Duque</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_Toc448482244 \h </w:instrText>
        </w:r>
        <w:r w:rsidR="007B0DE4" w:rsidRPr="002433F3">
          <w:rPr>
            <w:webHidden/>
            <w:lang w:val="en-US"/>
          </w:rPr>
        </w:r>
        <w:r w:rsidR="007B0DE4" w:rsidRPr="002433F3">
          <w:rPr>
            <w:webHidden/>
            <w:lang w:val="en-US"/>
          </w:rPr>
          <w:fldChar w:fldCharType="separate"/>
        </w:r>
        <w:r w:rsidR="004E3508" w:rsidRPr="002433F3">
          <w:rPr>
            <w:noProof/>
            <w:webHidden/>
            <w:lang w:val="en-US"/>
          </w:rPr>
          <w:t>7</w:t>
        </w:r>
        <w:r w:rsidR="007B0DE4" w:rsidRPr="002433F3">
          <w:rPr>
            <w:webHidden/>
            <w:lang w:val="en-US"/>
          </w:rPr>
          <w:fldChar w:fldCharType="end"/>
        </w:r>
      </w:hyperlink>
    </w:p>
    <w:p w14:paraId="019A1DFF" w14:textId="77777777" w:rsidR="007B0DE4" w:rsidRPr="002433F3" w:rsidRDefault="0010152B" w:rsidP="007B0DE4">
      <w:pPr>
        <w:pStyle w:val="TDC3"/>
        <w:rPr>
          <w:rFonts w:ascii="Calibri" w:eastAsia="Times New Roman" w:hAnsi="Calibri" w:cs="Times New Roman"/>
          <w:sz w:val="22"/>
          <w:szCs w:val="22"/>
          <w:lang w:val="en-US" w:eastAsia="es-CR"/>
        </w:rPr>
      </w:pPr>
      <w:hyperlink w:anchor="_Toc448482245" w:history="1">
        <w:r w:rsidR="00FF52CC" w:rsidRPr="002433F3">
          <w:rPr>
            <w:rStyle w:val="Hipervnculo"/>
            <w:lang w:val="en-US"/>
          </w:rPr>
          <w:t xml:space="preserve">A.1. Arguments of the </w:t>
        </w:r>
        <w:r w:rsidR="007B0DE4" w:rsidRPr="002433F3">
          <w:rPr>
            <w:rStyle w:val="Hipervnculo"/>
            <w:lang w:val="en-US"/>
          </w:rPr>
          <w:t>State and observations of the Commission and the representatives</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_Toc448482245 \h </w:instrText>
        </w:r>
        <w:r w:rsidR="007B0DE4" w:rsidRPr="002433F3">
          <w:rPr>
            <w:webHidden/>
            <w:lang w:val="en-US"/>
          </w:rPr>
        </w:r>
        <w:r w:rsidR="007B0DE4" w:rsidRPr="002433F3">
          <w:rPr>
            <w:webHidden/>
            <w:lang w:val="en-US"/>
          </w:rPr>
          <w:fldChar w:fldCharType="separate"/>
        </w:r>
        <w:r w:rsidR="004E3508" w:rsidRPr="002433F3">
          <w:rPr>
            <w:noProof/>
            <w:webHidden/>
            <w:lang w:val="en-US"/>
          </w:rPr>
          <w:t>7</w:t>
        </w:r>
        <w:r w:rsidR="007B0DE4" w:rsidRPr="002433F3">
          <w:rPr>
            <w:webHidden/>
            <w:lang w:val="en-US"/>
          </w:rPr>
          <w:fldChar w:fldCharType="end"/>
        </w:r>
      </w:hyperlink>
    </w:p>
    <w:p w14:paraId="107D73B7" w14:textId="77777777" w:rsidR="007B0DE4" w:rsidRPr="002433F3" w:rsidRDefault="0010152B" w:rsidP="007B0DE4">
      <w:pPr>
        <w:pStyle w:val="TDC3"/>
        <w:rPr>
          <w:rFonts w:ascii="Calibri" w:eastAsia="Times New Roman" w:hAnsi="Calibri" w:cs="Times New Roman"/>
          <w:sz w:val="22"/>
          <w:szCs w:val="22"/>
          <w:lang w:val="en-US" w:eastAsia="es-CR"/>
        </w:rPr>
      </w:pPr>
      <w:hyperlink w:anchor="_Toc448482246" w:history="1">
        <w:r w:rsidR="007B0DE4" w:rsidRPr="002433F3">
          <w:rPr>
            <w:rStyle w:val="Hipervnculo"/>
            <w:rFonts w:eastAsia="Calibri" w:cs="TimesNewRomanPSMT"/>
            <w:lang w:val="en-US"/>
          </w:rPr>
          <w:t xml:space="preserve">A.2. </w:t>
        </w:r>
        <w:r w:rsidR="007B0DE4" w:rsidRPr="002433F3">
          <w:rPr>
            <w:rStyle w:val="Hipervnculo"/>
            <w:lang w:val="en-US"/>
          </w:rPr>
          <w:t>Considerations</w:t>
        </w:r>
        <w:r w:rsidR="007B0DE4" w:rsidRPr="002433F3">
          <w:rPr>
            <w:rStyle w:val="Hipervnculo"/>
            <w:rFonts w:eastAsia="Calibri" w:cs="TimesNewRomanPSMT"/>
            <w:lang w:val="en-US"/>
          </w:rPr>
          <w:t xml:space="preserve"> of the Court</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_Toc448482246 \h </w:instrText>
        </w:r>
        <w:r w:rsidR="007B0DE4" w:rsidRPr="002433F3">
          <w:rPr>
            <w:webHidden/>
            <w:lang w:val="en-US"/>
          </w:rPr>
        </w:r>
        <w:r w:rsidR="007B0DE4" w:rsidRPr="002433F3">
          <w:rPr>
            <w:webHidden/>
            <w:lang w:val="en-US"/>
          </w:rPr>
          <w:fldChar w:fldCharType="separate"/>
        </w:r>
        <w:r w:rsidR="004E3508" w:rsidRPr="002433F3">
          <w:rPr>
            <w:noProof/>
            <w:webHidden/>
            <w:lang w:val="en-US"/>
          </w:rPr>
          <w:t>9</w:t>
        </w:r>
        <w:r w:rsidR="007B0DE4" w:rsidRPr="002433F3">
          <w:rPr>
            <w:webHidden/>
            <w:lang w:val="en-US"/>
          </w:rPr>
          <w:fldChar w:fldCharType="end"/>
        </w:r>
      </w:hyperlink>
    </w:p>
    <w:p w14:paraId="37CCF02D" w14:textId="77777777" w:rsidR="007B0DE4" w:rsidRPr="002433F3" w:rsidRDefault="0010152B" w:rsidP="007B0DE4">
      <w:pPr>
        <w:pStyle w:val="TDC2"/>
        <w:rPr>
          <w:rFonts w:ascii="Calibri" w:eastAsia="Times New Roman" w:hAnsi="Calibri" w:cs="Times New Roman"/>
          <w:smallCaps w:val="0"/>
          <w:sz w:val="22"/>
          <w:szCs w:val="22"/>
          <w:lang w:val="en-US" w:eastAsia="es-CR"/>
        </w:rPr>
      </w:pPr>
      <w:hyperlink w:anchor="_Toc448482247" w:history="1">
        <w:r w:rsidR="007B0DE4" w:rsidRPr="002433F3">
          <w:rPr>
            <w:rStyle w:val="Hipervnculo"/>
            <w:lang w:val="en-US"/>
          </w:rPr>
          <w:t>B.</w:t>
        </w:r>
        <w:r w:rsidR="007B0DE4" w:rsidRPr="002433F3">
          <w:rPr>
            <w:rFonts w:ascii="Calibri" w:eastAsia="Times New Roman" w:hAnsi="Calibri" w:cs="Times New Roman"/>
            <w:smallCaps w:val="0"/>
            <w:sz w:val="22"/>
            <w:szCs w:val="22"/>
            <w:lang w:val="en-US" w:eastAsia="es-CR"/>
          </w:rPr>
          <w:tab/>
        </w:r>
        <w:r w:rsidR="007B0DE4" w:rsidRPr="002433F3">
          <w:rPr>
            <w:rStyle w:val="Hipervnculo"/>
            <w:lang w:val="en-US"/>
          </w:rPr>
          <w:t>Fact</w:t>
        </w:r>
        <w:r w:rsidR="007A7205" w:rsidRPr="002433F3">
          <w:rPr>
            <w:rStyle w:val="Hipervnculo"/>
            <w:lang w:val="en-US"/>
          </w:rPr>
          <w:t xml:space="preserve">ual basis for </w:t>
        </w:r>
        <w:r w:rsidR="007B0DE4" w:rsidRPr="002433F3">
          <w:rPr>
            <w:rStyle w:val="Hipervnculo"/>
            <w:lang w:val="en-US"/>
          </w:rPr>
          <w:t xml:space="preserve">the </w:t>
        </w:r>
        <w:r w:rsidR="007A7205" w:rsidRPr="002433F3">
          <w:rPr>
            <w:rStyle w:val="Hipervnculo"/>
            <w:lang w:val="en-US"/>
          </w:rPr>
          <w:t>alleged violation of Articles 4(</w:t>
        </w:r>
        <w:r w:rsidR="007B0DE4" w:rsidRPr="002433F3">
          <w:rPr>
            <w:rStyle w:val="Hipervnculo"/>
            <w:lang w:val="en-US"/>
          </w:rPr>
          <w:t>1</w:t>
        </w:r>
        <w:r w:rsidR="007A7205" w:rsidRPr="002433F3">
          <w:rPr>
            <w:rStyle w:val="Hipervnculo"/>
            <w:lang w:val="en-US"/>
          </w:rPr>
          <w:t>) and 5(</w:t>
        </w:r>
        <w:r w:rsidR="007B0DE4" w:rsidRPr="002433F3">
          <w:rPr>
            <w:rStyle w:val="Hipervnculo"/>
            <w:lang w:val="en-US"/>
          </w:rPr>
          <w:t>1</w:t>
        </w:r>
        <w:r w:rsidR="007A7205" w:rsidRPr="002433F3">
          <w:rPr>
            <w:rStyle w:val="Hipervnculo"/>
            <w:lang w:val="en-US"/>
          </w:rPr>
          <w:t xml:space="preserve">), </w:t>
        </w:r>
        <w:r w:rsidR="000308C5" w:rsidRPr="002433F3">
          <w:rPr>
            <w:rStyle w:val="Hipervnculo"/>
            <w:lang w:val="en-US"/>
          </w:rPr>
          <w:t xml:space="preserve">in relation to </w:t>
        </w:r>
        <w:r w:rsidR="007B0DE4" w:rsidRPr="002433F3">
          <w:rPr>
            <w:rStyle w:val="Hipervnculo"/>
            <w:lang w:val="en-US"/>
          </w:rPr>
          <w:t>Article 1(1) of the American Convention</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_Toc448482247 \h </w:instrText>
        </w:r>
        <w:r w:rsidR="007B0DE4" w:rsidRPr="002433F3">
          <w:rPr>
            <w:webHidden/>
            <w:lang w:val="en-US"/>
          </w:rPr>
        </w:r>
        <w:r w:rsidR="007B0DE4" w:rsidRPr="002433F3">
          <w:rPr>
            <w:webHidden/>
            <w:lang w:val="en-US"/>
          </w:rPr>
          <w:fldChar w:fldCharType="separate"/>
        </w:r>
        <w:r w:rsidR="004E3508" w:rsidRPr="002433F3">
          <w:rPr>
            <w:noProof/>
            <w:webHidden/>
            <w:lang w:val="en-US"/>
          </w:rPr>
          <w:t>14</w:t>
        </w:r>
        <w:r w:rsidR="007B0DE4" w:rsidRPr="002433F3">
          <w:rPr>
            <w:webHidden/>
            <w:lang w:val="en-US"/>
          </w:rPr>
          <w:fldChar w:fldCharType="end"/>
        </w:r>
      </w:hyperlink>
    </w:p>
    <w:p w14:paraId="4C26B245" w14:textId="77777777" w:rsidR="007B0DE4" w:rsidRPr="002433F3" w:rsidRDefault="0010152B" w:rsidP="007B0DE4">
      <w:pPr>
        <w:pStyle w:val="TDC2"/>
        <w:rPr>
          <w:rFonts w:ascii="Calibri" w:eastAsia="Times New Roman" w:hAnsi="Calibri" w:cs="Times New Roman"/>
          <w:smallCaps w:val="0"/>
          <w:sz w:val="22"/>
          <w:szCs w:val="22"/>
          <w:lang w:val="en-US" w:eastAsia="es-CR"/>
        </w:rPr>
      </w:pPr>
      <w:hyperlink w:anchor="_Toc448482248" w:history="1">
        <w:r w:rsidR="007B0DE4" w:rsidRPr="002433F3">
          <w:rPr>
            <w:rStyle w:val="Hipervnculo"/>
            <w:lang w:val="en-US"/>
          </w:rPr>
          <w:t>C.</w:t>
        </w:r>
        <w:r w:rsidR="007B0DE4" w:rsidRPr="002433F3">
          <w:rPr>
            <w:rFonts w:ascii="Calibri" w:eastAsia="Times New Roman" w:hAnsi="Calibri" w:cs="Times New Roman"/>
            <w:smallCaps w:val="0"/>
            <w:sz w:val="22"/>
            <w:szCs w:val="22"/>
            <w:lang w:val="en-US" w:eastAsia="es-CR"/>
          </w:rPr>
          <w:tab/>
        </w:r>
        <w:r w:rsidR="007B0DE4" w:rsidRPr="002433F3">
          <w:rPr>
            <w:rStyle w:val="Hipervnculo"/>
            <w:lang w:val="en-US"/>
          </w:rPr>
          <w:t xml:space="preserve">Failure to exhaust domestic remedies </w:t>
        </w:r>
        <w:r w:rsidR="00160E03" w:rsidRPr="002433F3">
          <w:rPr>
            <w:rStyle w:val="Hipervnculo"/>
            <w:lang w:val="en-US"/>
          </w:rPr>
          <w:t xml:space="preserve">in </w:t>
        </w:r>
        <w:r w:rsidR="007A7205" w:rsidRPr="002433F3">
          <w:rPr>
            <w:rStyle w:val="Hipervnculo"/>
            <w:lang w:val="en-US"/>
          </w:rPr>
          <w:t>re</w:t>
        </w:r>
        <w:r w:rsidR="00160E03" w:rsidRPr="002433F3">
          <w:rPr>
            <w:rStyle w:val="Hipervnculo"/>
            <w:lang w:val="en-US"/>
          </w:rPr>
          <w:t xml:space="preserve">lation to </w:t>
        </w:r>
        <w:r w:rsidR="007B0DE4" w:rsidRPr="002433F3">
          <w:rPr>
            <w:rStyle w:val="Hipervnculo"/>
            <w:lang w:val="en-US"/>
          </w:rPr>
          <w:t>the rights to life and personal integrity</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_Toc448482248 \h </w:instrText>
        </w:r>
        <w:r w:rsidR="007B0DE4" w:rsidRPr="002433F3">
          <w:rPr>
            <w:webHidden/>
            <w:lang w:val="en-US"/>
          </w:rPr>
        </w:r>
        <w:r w:rsidR="007B0DE4" w:rsidRPr="002433F3">
          <w:rPr>
            <w:webHidden/>
            <w:lang w:val="en-US"/>
          </w:rPr>
          <w:fldChar w:fldCharType="separate"/>
        </w:r>
        <w:r w:rsidR="004E3508" w:rsidRPr="002433F3">
          <w:rPr>
            <w:noProof/>
            <w:webHidden/>
            <w:lang w:val="en-US"/>
          </w:rPr>
          <w:t>15</w:t>
        </w:r>
        <w:r w:rsidR="007B0DE4" w:rsidRPr="002433F3">
          <w:rPr>
            <w:webHidden/>
            <w:lang w:val="en-US"/>
          </w:rPr>
          <w:fldChar w:fldCharType="end"/>
        </w:r>
      </w:hyperlink>
    </w:p>
    <w:p w14:paraId="0391E0FB" w14:textId="77777777" w:rsidR="007B0DE4" w:rsidRPr="002433F3" w:rsidRDefault="0010152B" w:rsidP="007B0DE4">
      <w:pPr>
        <w:pStyle w:val="TDC3"/>
        <w:rPr>
          <w:rFonts w:ascii="Calibri" w:eastAsia="Times New Roman" w:hAnsi="Calibri" w:cs="Times New Roman"/>
          <w:sz w:val="22"/>
          <w:szCs w:val="22"/>
          <w:lang w:val="en-US" w:eastAsia="es-CR"/>
        </w:rPr>
      </w:pPr>
      <w:hyperlink w:anchor="_Toc448482249" w:history="1">
        <w:r w:rsidR="007B0DE4" w:rsidRPr="002433F3">
          <w:rPr>
            <w:rStyle w:val="Hipervnculo"/>
            <w:rFonts w:eastAsia="Calibri" w:cs="TimesNewRomanPSMT"/>
            <w:lang w:val="en-US"/>
          </w:rPr>
          <w:t xml:space="preserve">C.1. </w:t>
        </w:r>
        <w:r w:rsidR="007B0DE4" w:rsidRPr="002433F3">
          <w:rPr>
            <w:rStyle w:val="Hipervnculo"/>
            <w:lang w:val="en-US"/>
          </w:rPr>
          <w:t xml:space="preserve">Arguments of the </w:t>
        </w:r>
        <w:r w:rsidR="007B0DE4" w:rsidRPr="002433F3">
          <w:rPr>
            <w:rStyle w:val="Hipervnculo"/>
            <w:rFonts w:eastAsia="Calibri" w:cs="TimesNewRomanPSMT"/>
            <w:lang w:val="en-US"/>
          </w:rPr>
          <w:t>State and observations of the Commission and the representatives</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_Toc448482249 \h </w:instrText>
        </w:r>
        <w:r w:rsidR="007B0DE4" w:rsidRPr="002433F3">
          <w:rPr>
            <w:webHidden/>
            <w:lang w:val="en-US"/>
          </w:rPr>
        </w:r>
        <w:r w:rsidR="007B0DE4" w:rsidRPr="002433F3">
          <w:rPr>
            <w:webHidden/>
            <w:lang w:val="en-US"/>
          </w:rPr>
          <w:fldChar w:fldCharType="separate"/>
        </w:r>
        <w:r w:rsidR="004E3508" w:rsidRPr="002433F3">
          <w:rPr>
            <w:noProof/>
            <w:webHidden/>
            <w:lang w:val="en-US"/>
          </w:rPr>
          <w:t>15</w:t>
        </w:r>
        <w:r w:rsidR="007B0DE4" w:rsidRPr="002433F3">
          <w:rPr>
            <w:webHidden/>
            <w:lang w:val="en-US"/>
          </w:rPr>
          <w:fldChar w:fldCharType="end"/>
        </w:r>
      </w:hyperlink>
    </w:p>
    <w:p w14:paraId="0E709D7B" w14:textId="77777777" w:rsidR="007B0DE4" w:rsidRPr="002433F3" w:rsidRDefault="0010152B" w:rsidP="007B0DE4">
      <w:pPr>
        <w:pStyle w:val="TDC3"/>
        <w:rPr>
          <w:rFonts w:ascii="Calibri" w:eastAsia="Times New Roman" w:hAnsi="Calibri" w:cs="Times New Roman"/>
          <w:sz w:val="22"/>
          <w:szCs w:val="22"/>
          <w:lang w:val="en-US" w:eastAsia="es-CR"/>
        </w:rPr>
      </w:pPr>
      <w:hyperlink w:anchor="_Toc448482250" w:history="1">
        <w:r w:rsidR="007B0DE4" w:rsidRPr="002433F3">
          <w:rPr>
            <w:rStyle w:val="Hipervnculo"/>
            <w:rFonts w:eastAsia="Calibri" w:cs="TimesNewRomanPSMT"/>
            <w:lang w:val="en-US"/>
          </w:rPr>
          <w:t xml:space="preserve">C.2. </w:t>
        </w:r>
        <w:r w:rsidR="007B0DE4" w:rsidRPr="002433F3">
          <w:rPr>
            <w:rStyle w:val="Hipervnculo"/>
            <w:lang w:val="en-US"/>
          </w:rPr>
          <w:t>Considerations</w:t>
        </w:r>
        <w:r w:rsidR="007B0DE4" w:rsidRPr="002433F3">
          <w:rPr>
            <w:rStyle w:val="Hipervnculo"/>
            <w:rFonts w:eastAsia="Calibri" w:cs="TimesNewRomanPSMT"/>
            <w:lang w:val="en-US"/>
          </w:rPr>
          <w:t xml:space="preserve"> of the Court</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_Toc448482250 \h </w:instrText>
        </w:r>
        <w:r w:rsidR="007B0DE4" w:rsidRPr="002433F3">
          <w:rPr>
            <w:webHidden/>
            <w:lang w:val="en-US"/>
          </w:rPr>
        </w:r>
        <w:r w:rsidR="007B0DE4" w:rsidRPr="002433F3">
          <w:rPr>
            <w:webHidden/>
            <w:lang w:val="en-US"/>
          </w:rPr>
          <w:fldChar w:fldCharType="separate"/>
        </w:r>
        <w:r w:rsidR="004E3508" w:rsidRPr="002433F3">
          <w:rPr>
            <w:noProof/>
            <w:webHidden/>
            <w:lang w:val="en-US"/>
          </w:rPr>
          <w:t>15</w:t>
        </w:r>
        <w:r w:rsidR="007B0DE4" w:rsidRPr="002433F3">
          <w:rPr>
            <w:webHidden/>
            <w:lang w:val="en-US"/>
          </w:rPr>
          <w:fldChar w:fldCharType="end"/>
        </w:r>
      </w:hyperlink>
    </w:p>
    <w:p w14:paraId="1156362D" w14:textId="77777777" w:rsidR="007B0DE4" w:rsidRPr="002433F3" w:rsidRDefault="0010152B" w:rsidP="007B0DE4">
      <w:pPr>
        <w:pStyle w:val="TDC1"/>
        <w:rPr>
          <w:rFonts w:ascii="Calibri" w:eastAsia="Times New Roman" w:hAnsi="Calibri" w:cs="Times New Roman"/>
          <w:b w:val="0"/>
          <w:sz w:val="22"/>
          <w:szCs w:val="22"/>
          <w:lang w:val="en-US" w:eastAsia="es-CR"/>
        </w:rPr>
      </w:pPr>
      <w:hyperlink w:anchor="_Toc448482251" w:history="1">
        <w:r w:rsidR="007B0DE4" w:rsidRPr="002433F3">
          <w:rPr>
            <w:rStyle w:val="Hipervnculo"/>
            <w:lang w:val="en-US"/>
          </w:rPr>
          <w:t>V. PRIOR CONSIDERATIONS</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_Toc448482251 \h </w:instrText>
        </w:r>
        <w:r w:rsidR="007B0DE4" w:rsidRPr="002433F3">
          <w:rPr>
            <w:webHidden/>
            <w:lang w:val="en-US"/>
          </w:rPr>
        </w:r>
        <w:r w:rsidR="007B0DE4" w:rsidRPr="002433F3">
          <w:rPr>
            <w:webHidden/>
            <w:lang w:val="en-US"/>
          </w:rPr>
          <w:fldChar w:fldCharType="separate"/>
        </w:r>
        <w:r w:rsidR="004E3508" w:rsidRPr="002433F3">
          <w:rPr>
            <w:noProof/>
            <w:webHidden/>
            <w:lang w:val="en-US"/>
          </w:rPr>
          <w:t>17</w:t>
        </w:r>
        <w:r w:rsidR="007B0DE4" w:rsidRPr="002433F3">
          <w:rPr>
            <w:webHidden/>
            <w:lang w:val="en-US"/>
          </w:rPr>
          <w:fldChar w:fldCharType="end"/>
        </w:r>
      </w:hyperlink>
    </w:p>
    <w:p w14:paraId="3369228E" w14:textId="77777777" w:rsidR="007B0DE4" w:rsidRPr="002433F3" w:rsidRDefault="0010152B" w:rsidP="007B0DE4">
      <w:pPr>
        <w:pStyle w:val="TDC1"/>
        <w:rPr>
          <w:rFonts w:ascii="Calibri" w:eastAsia="Times New Roman" w:hAnsi="Calibri" w:cs="Times New Roman"/>
          <w:b w:val="0"/>
          <w:sz w:val="22"/>
          <w:szCs w:val="22"/>
          <w:lang w:val="en-US" w:eastAsia="es-CR"/>
        </w:rPr>
      </w:pPr>
      <w:hyperlink w:anchor="_Toc448482252" w:history="1">
        <w:r w:rsidR="007B0DE4" w:rsidRPr="002433F3">
          <w:rPr>
            <w:rStyle w:val="Hipervnculo"/>
            <w:lang w:val="en-US"/>
          </w:rPr>
          <w:t>VI. EVIDENCE</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_Toc448482252 \h </w:instrText>
        </w:r>
        <w:r w:rsidR="007B0DE4" w:rsidRPr="002433F3">
          <w:rPr>
            <w:webHidden/>
            <w:lang w:val="en-US"/>
          </w:rPr>
        </w:r>
        <w:r w:rsidR="007B0DE4" w:rsidRPr="002433F3">
          <w:rPr>
            <w:webHidden/>
            <w:lang w:val="en-US"/>
          </w:rPr>
          <w:fldChar w:fldCharType="separate"/>
        </w:r>
        <w:r w:rsidR="004E3508" w:rsidRPr="002433F3">
          <w:rPr>
            <w:noProof/>
            <w:webHidden/>
            <w:lang w:val="en-US"/>
          </w:rPr>
          <w:t>18</w:t>
        </w:r>
        <w:r w:rsidR="007B0DE4" w:rsidRPr="002433F3">
          <w:rPr>
            <w:webHidden/>
            <w:lang w:val="en-US"/>
          </w:rPr>
          <w:fldChar w:fldCharType="end"/>
        </w:r>
      </w:hyperlink>
    </w:p>
    <w:p w14:paraId="635F82FE" w14:textId="77777777" w:rsidR="007B0DE4" w:rsidRPr="002433F3" w:rsidRDefault="0010152B" w:rsidP="007B0DE4">
      <w:pPr>
        <w:pStyle w:val="TDC2"/>
        <w:rPr>
          <w:rFonts w:ascii="Calibri" w:eastAsia="Times New Roman" w:hAnsi="Calibri" w:cs="Times New Roman"/>
          <w:smallCaps w:val="0"/>
          <w:sz w:val="22"/>
          <w:szCs w:val="22"/>
          <w:lang w:val="en-US" w:eastAsia="es-CR"/>
        </w:rPr>
      </w:pPr>
      <w:hyperlink w:anchor="_Toc448482253" w:history="1">
        <w:r w:rsidR="007B0DE4" w:rsidRPr="002433F3">
          <w:rPr>
            <w:rStyle w:val="Hipervnculo"/>
            <w:lang w:val="en-US"/>
          </w:rPr>
          <w:t>A.</w:t>
        </w:r>
        <w:r w:rsidR="007B0DE4" w:rsidRPr="002433F3">
          <w:rPr>
            <w:rFonts w:ascii="Calibri" w:eastAsia="Times New Roman" w:hAnsi="Calibri" w:cs="Times New Roman"/>
            <w:smallCaps w:val="0"/>
            <w:sz w:val="22"/>
            <w:szCs w:val="22"/>
            <w:lang w:val="en-US" w:eastAsia="es-CR"/>
          </w:rPr>
          <w:tab/>
        </w:r>
        <w:r w:rsidR="00850D66" w:rsidRPr="002433F3">
          <w:rPr>
            <w:rStyle w:val="Hipervnculo"/>
            <w:lang w:val="en-US"/>
          </w:rPr>
          <w:t>Documentary, Testimonial and Expert E</w:t>
        </w:r>
        <w:r w:rsidR="007B0DE4" w:rsidRPr="002433F3">
          <w:rPr>
            <w:rStyle w:val="Hipervnculo"/>
            <w:lang w:val="en-US"/>
          </w:rPr>
          <w:t>vidence</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_Toc448482253 \h </w:instrText>
        </w:r>
        <w:r w:rsidR="007B0DE4" w:rsidRPr="002433F3">
          <w:rPr>
            <w:webHidden/>
            <w:lang w:val="en-US"/>
          </w:rPr>
        </w:r>
        <w:r w:rsidR="007B0DE4" w:rsidRPr="002433F3">
          <w:rPr>
            <w:webHidden/>
            <w:lang w:val="en-US"/>
          </w:rPr>
          <w:fldChar w:fldCharType="separate"/>
        </w:r>
        <w:r w:rsidR="004E3508" w:rsidRPr="002433F3">
          <w:rPr>
            <w:noProof/>
            <w:webHidden/>
            <w:lang w:val="en-US"/>
          </w:rPr>
          <w:t>18</w:t>
        </w:r>
        <w:r w:rsidR="007B0DE4" w:rsidRPr="002433F3">
          <w:rPr>
            <w:webHidden/>
            <w:lang w:val="en-US"/>
          </w:rPr>
          <w:fldChar w:fldCharType="end"/>
        </w:r>
      </w:hyperlink>
    </w:p>
    <w:p w14:paraId="62312935" w14:textId="77777777" w:rsidR="007B0DE4" w:rsidRPr="002433F3" w:rsidRDefault="0010152B" w:rsidP="007B0DE4">
      <w:pPr>
        <w:pStyle w:val="TDC2"/>
        <w:rPr>
          <w:rFonts w:ascii="Calibri" w:eastAsia="Times New Roman" w:hAnsi="Calibri" w:cs="Times New Roman"/>
          <w:smallCaps w:val="0"/>
          <w:sz w:val="22"/>
          <w:szCs w:val="22"/>
          <w:lang w:val="en-US" w:eastAsia="es-CR"/>
        </w:rPr>
      </w:pPr>
      <w:hyperlink w:anchor="_Toc448482254" w:history="1">
        <w:r w:rsidR="007B0DE4" w:rsidRPr="002433F3">
          <w:rPr>
            <w:rStyle w:val="Hipervnculo"/>
            <w:lang w:val="en-US"/>
          </w:rPr>
          <w:t>B.</w:t>
        </w:r>
        <w:r w:rsidR="007B0DE4" w:rsidRPr="002433F3">
          <w:rPr>
            <w:rFonts w:ascii="Calibri" w:eastAsia="Times New Roman" w:hAnsi="Calibri" w:cs="Times New Roman"/>
            <w:smallCaps w:val="0"/>
            <w:sz w:val="22"/>
            <w:szCs w:val="22"/>
            <w:lang w:val="en-US" w:eastAsia="es-CR"/>
          </w:rPr>
          <w:tab/>
        </w:r>
        <w:r w:rsidR="00850D66" w:rsidRPr="002433F3">
          <w:rPr>
            <w:rStyle w:val="Hipervnculo"/>
            <w:lang w:val="en-US"/>
          </w:rPr>
          <w:t>Admission of the E</w:t>
        </w:r>
        <w:r w:rsidR="007B0DE4" w:rsidRPr="002433F3">
          <w:rPr>
            <w:rStyle w:val="Hipervnculo"/>
            <w:lang w:val="en-US"/>
          </w:rPr>
          <w:t>vidence</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_Toc448482254 \h </w:instrText>
        </w:r>
        <w:r w:rsidR="007B0DE4" w:rsidRPr="002433F3">
          <w:rPr>
            <w:webHidden/>
            <w:lang w:val="en-US"/>
          </w:rPr>
        </w:r>
        <w:r w:rsidR="007B0DE4" w:rsidRPr="002433F3">
          <w:rPr>
            <w:webHidden/>
            <w:lang w:val="en-US"/>
          </w:rPr>
          <w:fldChar w:fldCharType="separate"/>
        </w:r>
        <w:r w:rsidR="004E3508" w:rsidRPr="002433F3">
          <w:rPr>
            <w:noProof/>
            <w:webHidden/>
            <w:lang w:val="en-US"/>
          </w:rPr>
          <w:t>18</w:t>
        </w:r>
        <w:r w:rsidR="007B0DE4" w:rsidRPr="002433F3">
          <w:rPr>
            <w:webHidden/>
            <w:lang w:val="en-US"/>
          </w:rPr>
          <w:fldChar w:fldCharType="end"/>
        </w:r>
      </w:hyperlink>
    </w:p>
    <w:p w14:paraId="1306B56A" w14:textId="77777777" w:rsidR="007B0DE4" w:rsidRPr="002433F3" w:rsidRDefault="0010152B" w:rsidP="007B0DE4">
      <w:pPr>
        <w:pStyle w:val="TDC2"/>
        <w:rPr>
          <w:rFonts w:ascii="Calibri" w:eastAsia="Times New Roman" w:hAnsi="Calibri" w:cs="Times New Roman"/>
          <w:smallCaps w:val="0"/>
          <w:sz w:val="22"/>
          <w:szCs w:val="22"/>
          <w:lang w:val="en-US" w:eastAsia="es-CR"/>
        </w:rPr>
      </w:pPr>
      <w:hyperlink w:anchor="_Toc448482255" w:history="1">
        <w:r w:rsidR="007B0DE4" w:rsidRPr="002433F3">
          <w:rPr>
            <w:rStyle w:val="Hipervnculo"/>
            <w:lang w:val="en-US"/>
          </w:rPr>
          <w:t>C.</w:t>
        </w:r>
        <w:r w:rsidR="007B0DE4" w:rsidRPr="002433F3">
          <w:rPr>
            <w:rFonts w:ascii="Calibri" w:eastAsia="Times New Roman" w:hAnsi="Calibri" w:cs="Times New Roman"/>
            <w:smallCaps w:val="0"/>
            <w:sz w:val="22"/>
            <w:szCs w:val="22"/>
            <w:lang w:val="en-US" w:eastAsia="es-CR"/>
          </w:rPr>
          <w:tab/>
        </w:r>
        <w:r w:rsidR="00850D66" w:rsidRPr="002433F3">
          <w:rPr>
            <w:rStyle w:val="Hipervnculo"/>
            <w:lang w:val="en-US"/>
          </w:rPr>
          <w:t>Assessment of the E</w:t>
        </w:r>
        <w:r w:rsidR="007B0DE4" w:rsidRPr="002433F3">
          <w:rPr>
            <w:rStyle w:val="Hipervnculo"/>
            <w:lang w:val="en-US"/>
          </w:rPr>
          <w:t>vidence</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_Toc448482255 \h </w:instrText>
        </w:r>
        <w:r w:rsidR="007B0DE4" w:rsidRPr="002433F3">
          <w:rPr>
            <w:webHidden/>
            <w:lang w:val="en-US"/>
          </w:rPr>
        </w:r>
        <w:r w:rsidR="007B0DE4" w:rsidRPr="002433F3">
          <w:rPr>
            <w:webHidden/>
            <w:lang w:val="en-US"/>
          </w:rPr>
          <w:fldChar w:fldCharType="separate"/>
        </w:r>
        <w:r w:rsidR="004E3508" w:rsidRPr="002433F3">
          <w:rPr>
            <w:noProof/>
            <w:webHidden/>
            <w:lang w:val="en-US"/>
          </w:rPr>
          <w:t>19</w:t>
        </w:r>
        <w:r w:rsidR="007B0DE4" w:rsidRPr="002433F3">
          <w:rPr>
            <w:webHidden/>
            <w:lang w:val="en-US"/>
          </w:rPr>
          <w:fldChar w:fldCharType="end"/>
        </w:r>
      </w:hyperlink>
    </w:p>
    <w:p w14:paraId="036A7136" w14:textId="77777777" w:rsidR="007B0DE4" w:rsidRPr="002433F3" w:rsidRDefault="0010152B" w:rsidP="007B0DE4">
      <w:pPr>
        <w:pStyle w:val="TDC1"/>
        <w:rPr>
          <w:rFonts w:ascii="Calibri" w:eastAsia="Times New Roman" w:hAnsi="Calibri" w:cs="Times New Roman"/>
          <w:b w:val="0"/>
          <w:sz w:val="22"/>
          <w:szCs w:val="22"/>
          <w:lang w:val="en-US" w:eastAsia="es-CR"/>
        </w:rPr>
      </w:pPr>
      <w:hyperlink w:anchor="_Toc448482256" w:history="1">
        <w:r w:rsidR="007B0DE4" w:rsidRPr="002433F3">
          <w:rPr>
            <w:rStyle w:val="Hipervnculo"/>
            <w:lang w:val="en-US"/>
          </w:rPr>
          <w:t>VII. FACTS</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_Toc448482256 \h </w:instrText>
        </w:r>
        <w:r w:rsidR="007B0DE4" w:rsidRPr="002433F3">
          <w:rPr>
            <w:webHidden/>
            <w:lang w:val="en-US"/>
          </w:rPr>
        </w:r>
        <w:r w:rsidR="007B0DE4" w:rsidRPr="002433F3">
          <w:rPr>
            <w:webHidden/>
            <w:lang w:val="en-US"/>
          </w:rPr>
          <w:fldChar w:fldCharType="separate"/>
        </w:r>
        <w:r w:rsidR="004E3508" w:rsidRPr="002433F3">
          <w:rPr>
            <w:noProof/>
            <w:webHidden/>
            <w:lang w:val="en-US"/>
          </w:rPr>
          <w:t>19</w:t>
        </w:r>
        <w:r w:rsidR="007B0DE4" w:rsidRPr="002433F3">
          <w:rPr>
            <w:webHidden/>
            <w:lang w:val="en-US"/>
          </w:rPr>
          <w:fldChar w:fldCharType="end"/>
        </w:r>
      </w:hyperlink>
    </w:p>
    <w:p w14:paraId="2585E5F5" w14:textId="77777777" w:rsidR="007B0DE4" w:rsidRPr="002433F3" w:rsidRDefault="0010152B" w:rsidP="007B0DE4">
      <w:pPr>
        <w:pStyle w:val="TDC2"/>
        <w:rPr>
          <w:rFonts w:ascii="Calibri" w:eastAsia="Times New Roman" w:hAnsi="Calibri" w:cs="Times New Roman"/>
          <w:smallCaps w:val="0"/>
          <w:sz w:val="22"/>
          <w:szCs w:val="22"/>
          <w:lang w:val="en-US" w:eastAsia="es-CR"/>
        </w:rPr>
      </w:pPr>
      <w:hyperlink w:anchor="_Toc448482257" w:history="1">
        <w:r w:rsidR="007B0DE4" w:rsidRPr="002433F3">
          <w:rPr>
            <w:rStyle w:val="Hipervnculo"/>
            <w:rFonts w:cs="Tahoma"/>
            <w:lang w:val="en-US"/>
          </w:rPr>
          <w:t>A.</w:t>
        </w:r>
        <w:r w:rsidR="007B0DE4" w:rsidRPr="002433F3">
          <w:rPr>
            <w:rFonts w:ascii="Calibri" w:eastAsia="Times New Roman" w:hAnsi="Calibri" w:cs="Times New Roman"/>
            <w:smallCaps w:val="0"/>
            <w:sz w:val="22"/>
            <w:szCs w:val="22"/>
            <w:lang w:val="en-US" w:eastAsia="es-CR"/>
          </w:rPr>
          <w:tab/>
        </w:r>
        <w:r w:rsidR="00954225" w:rsidRPr="002433F3">
          <w:rPr>
            <w:rStyle w:val="Hipervnculo"/>
            <w:rFonts w:cs="Tahoma"/>
            <w:lang w:val="en-US"/>
          </w:rPr>
          <w:t>S</w:t>
        </w:r>
        <w:r w:rsidR="00FF52CC" w:rsidRPr="002433F3">
          <w:rPr>
            <w:rStyle w:val="Hipervnculo"/>
            <w:rFonts w:cs="Tahoma"/>
            <w:lang w:val="en-US"/>
          </w:rPr>
          <w:t xml:space="preserve">ituation </w:t>
        </w:r>
        <w:r w:rsidR="00954225" w:rsidRPr="002433F3">
          <w:rPr>
            <w:rStyle w:val="Hipervnculo"/>
            <w:rFonts w:cs="Tahoma"/>
            <w:lang w:val="en-US"/>
          </w:rPr>
          <w:t xml:space="preserve">of Angel Alberto Duque </w:t>
        </w:r>
        <w:r w:rsidR="007B0DE4" w:rsidRPr="002433F3">
          <w:rPr>
            <w:rStyle w:val="Hipervnculo"/>
            <w:rFonts w:cs="Tahoma"/>
            <w:lang w:val="en-US"/>
          </w:rPr>
          <w:t xml:space="preserve">and </w:t>
        </w:r>
        <w:r w:rsidR="00352C34" w:rsidRPr="002433F3">
          <w:rPr>
            <w:rStyle w:val="Hipervnculo"/>
            <w:rFonts w:cs="Tahoma"/>
            <w:lang w:val="en-US"/>
          </w:rPr>
          <w:t xml:space="preserve">his </w:t>
        </w:r>
        <w:r w:rsidR="007B0DE4" w:rsidRPr="002433F3">
          <w:rPr>
            <w:rStyle w:val="Hipervnculo"/>
            <w:rFonts w:cs="Tahoma"/>
            <w:lang w:val="en-US"/>
          </w:rPr>
          <w:t xml:space="preserve">request to COLFONDOS </w:t>
        </w:r>
        <w:r w:rsidR="00954225" w:rsidRPr="002433F3">
          <w:rPr>
            <w:rStyle w:val="Hipervnculo"/>
            <w:rFonts w:cs="Tahoma"/>
            <w:lang w:val="en-US"/>
          </w:rPr>
          <w:t xml:space="preserve">regarding </w:t>
        </w:r>
        <w:r w:rsidR="00352C34" w:rsidRPr="002433F3">
          <w:rPr>
            <w:rStyle w:val="Hipervnculo"/>
            <w:rFonts w:cs="Tahoma"/>
            <w:lang w:val="en-US"/>
          </w:rPr>
          <w:t xml:space="preserve">the </w:t>
        </w:r>
        <w:r w:rsidR="007B0DE4" w:rsidRPr="002433F3">
          <w:rPr>
            <w:rStyle w:val="Hipervnculo"/>
            <w:rFonts w:cs="Tahoma"/>
            <w:lang w:val="en-US"/>
          </w:rPr>
          <w:t xml:space="preserve">survivor’s pension of </w:t>
        </w:r>
        <w:r w:rsidR="00352C34" w:rsidRPr="002433F3">
          <w:rPr>
            <w:rStyle w:val="Hipervnculo"/>
            <w:rFonts w:cs="Tahoma"/>
            <w:lang w:val="en-US"/>
          </w:rPr>
          <w:t>his partner</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_Toc448482257 \h </w:instrText>
        </w:r>
        <w:r w:rsidR="007B0DE4" w:rsidRPr="002433F3">
          <w:rPr>
            <w:webHidden/>
            <w:lang w:val="en-US"/>
          </w:rPr>
        </w:r>
        <w:r w:rsidR="007B0DE4" w:rsidRPr="002433F3">
          <w:rPr>
            <w:webHidden/>
            <w:lang w:val="en-US"/>
          </w:rPr>
          <w:fldChar w:fldCharType="separate"/>
        </w:r>
        <w:r w:rsidR="004E3508" w:rsidRPr="002433F3">
          <w:rPr>
            <w:noProof/>
            <w:webHidden/>
            <w:lang w:val="en-US"/>
          </w:rPr>
          <w:t>19</w:t>
        </w:r>
        <w:r w:rsidR="007B0DE4" w:rsidRPr="002433F3">
          <w:rPr>
            <w:webHidden/>
            <w:lang w:val="en-US"/>
          </w:rPr>
          <w:fldChar w:fldCharType="end"/>
        </w:r>
      </w:hyperlink>
    </w:p>
    <w:p w14:paraId="1CD3AA78" w14:textId="77777777" w:rsidR="007B0DE4" w:rsidRPr="002433F3" w:rsidRDefault="0010152B" w:rsidP="007B0DE4">
      <w:pPr>
        <w:pStyle w:val="TDC2"/>
        <w:rPr>
          <w:rFonts w:ascii="Calibri" w:eastAsia="Times New Roman" w:hAnsi="Calibri" w:cs="Times New Roman"/>
          <w:smallCaps w:val="0"/>
          <w:sz w:val="22"/>
          <w:szCs w:val="22"/>
          <w:lang w:val="en-US" w:eastAsia="es-CR"/>
        </w:rPr>
      </w:pPr>
      <w:hyperlink w:anchor="_Toc448482258" w:history="1">
        <w:r w:rsidR="007B0DE4" w:rsidRPr="002433F3">
          <w:rPr>
            <w:rStyle w:val="Hipervnculo"/>
            <w:rFonts w:cs="Tahoma"/>
            <w:lang w:val="en-US"/>
          </w:rPr>
          <w:t>B.</w:t>
        </w:r>
        <w:r w:rsidR="007B0DE4" w:rsidRPr="002433F3">
          <w:rPr>
            <w:rFonts w:ascii="Calibri" w:eastAsia="Times New Roman" w:hAnsi="Calibri" w:cs="Times New Roman"/>
            <w:smallCaps w:val="0"/>
            <w:sz w:val="22"/>
            <w:szCs w:val="22"/>
            <w:lang w:val="en-US" w:eastAsia="es-CR"/>
          </w:rPr>
          <w:tab/>
        </w:r>
        <w:r w:rsidR="007B0DE4" w:rsidRPr="002433F3">
          <w:rPr>
            <w:rStyle w:val="Hipervnculo"/>
            <w:rFonts w:cs="Tahoma"/>
            <w:lang w:val="en-US"/>
          </w:rPr>
          <w:t xml:space="preserve">Legal framework of </w:t>
        </w:r>
        <w:r w:rsidR="00352C34" w:rsidRPr="002433F3">
          <w:rPr>
            <w:rStyle w:val="Hipervnculo"/>
            <w:rFonts w:cs="Tahoma"/>
            <w:lang w:val="en-US"/>
          </w:rPr>
          <w:t xml:space="preserve">Colombia’s </w:t>
        </w:r>
        <w:r w:rsidR="007B0DE4" w:rsidRPr="002433F3">
          <w:rPr>
            <w:rStyle w:val="Hipervnculo"/>
            <w:rFonts w:cs="Tahoma"/>
            <w:lang w:val="en-US"/>
          </w:rPr>
          <w:t xml:space="preserve">social security </w:t>
        </w:r>
        <w:r w:rsidR="00352C34" w:rsidRPr="002433F3">
          <w:rPr>
            <w:rStyle w:val="Hipervnculo"/>
            <w:rFonts w:cs="Tahoma"/>
            <w:lang w:val="en-US"/>
          </w:rPr>
          <w:t>system</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_Toc448482258 \h </w:instrText>
        </w:r>
        <w:r w:rsidR="007B0DE4" w:rsidRPr="002433F3">
          <w:rPr>
            <w:webHidden/>
            <w:lang w:val="en-US"/>
          </w:rPr>
        </w:r>
        <w:r w:rsidR="007B0DE4" w:rsidRPr="002433F3">
          <w:rPr>
            <w:webHidden/>
            <w:lang w:val="en-US"/>
          </w:rPr>
          <w:fldChar w:fldCharType="separate"/>
        </w:r>
        <w:r w:rsidR="004E3508" w:rsidRPr="002433F3">
          <w:rPr>
            <w:noProof/>
            <w:webHidden/>
            <w:lang w:val="en-US"/>
          </w:rPr>
          <w:t>20</w:t>
        </w:r>
        <w:r w:rsidR="007B0DE4" w:rsidRPr="002433F3">
          <w:rPr>
            <w:webHidden/>
            <w:lang w:val="en-US"/>
          </w:rPr>
          <w:fldChar w:fldCharType="end"/>
        </w:r>
      </w:hyperlink>
    </w:p>
    <w:p w14:paraId="7F3F757D" w14:textId="77777777" w:rsidR="007B0DE4" w:rsidRPr="002433F3" w:rsidRDefault="0010152B" w:rsidP="007B0DE4">
      <w:pPr>
        <w:pStyle w:val="TDC2"/>
        <w:rPr>
          <w:rFonts w:ascii="Calibri" w:eastAsia="Times New Roman" w:hAnsi="Calibri" w:cs="Times New Roman"/>
          <w:smallCaps w:val="0"/>
          <w:sz w:val="22"/>
          <w:szCs w:val="22"/>
          <w:lang w:val="en-US" w:eastAsia="es-CR"/>
        </w:rPr>
      </w:pPr>
      <w:hyperlink w:anchor="_Toc448482259" w:history="1">
        <w:r w:rsidR="007B0DE4" w:rsidRPr="002433F3">
          <w:rPr>
            <w:rStyle w:val="Hipervnculo"/>
            <w:rFonts w:cs="Tahoma"/>
            <w:lang w:val="en-US"/>
          </w:rPr>
          <w:t>C.</w:t>
        </w:r>
        <w:r w:rsidR="007B0DE4" w:rsidRPr="002433F3">
          <w:rPr>
            <w:rFonts w:ascii="Calibri" w:eastAsia="Times New Roman" w:hAnsi="Calibri" w:cs="Times New Roman"/>
            <w:smallCaps w:val="0"/>
            <w:sz w:val="22"/>
            <w:szCs w:val="22"/>
            <w:lang w:val="en-US" w:eastAsia="es-CR"/>
          </w:rPr>
          <w:tab/>
        </w:r>
        <w:r w:rsidR="00352C34" w:rsidRPr="002433F3">
          <w:rPr>
            <w:rStyle w:val="Hipervnculo"/>
            <w:rFonts w:cs="Tahoma"/>
            <w:lang w:val="en-US"/>
          </w:rPr>
          <w:t>T</w:t>
        </w:r>
        <w:r w:rsidR="007B0DE4" w:rsidRPr="002433F3">
          <w:rPr>
            <w:rStyle w:val="Hipervnculo"/>
            <w:rFonts w:cs="Tahoma"/>
            <w:lang w:val="en-US"/>
          </w:rPr>
          <w:t xml:space="preserve">utela </w:t>
        </w:r>
        <w:r w:rsidR="00352C34" w:rsidRPr="002433F3">
          <w:rPr>
            <w:rStyle w:val="Hipervnculo"/>
            <w:rFonts w:cs="Tahoma"/>
            <w:lang w:val="en-US"/>
          </w:rPr>
          <w:t xml:space="preserve">Actions filed to request </w:t>
        </w:r>
        <w:r w:rsidR="007B0DE4" w:rsidRPr="002433F3">
          <w:rPr>
            <w:rStyle w:val="Hipervnculo"/>
            <w:rFonts w:cs="Tahoma"/>
            <w:lang w:val="en-US"/>
          </w:rPr>
          <w:t>recognition of the survivor’s pension</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_Toc448482259 \h </w:instrText>
        </w:r>
        <w:r w:rsidR="007B0DE4" w:rsidRPr="002433F3">
          <w:rPr>
            <w:webHidden/>
            <w:lang w:val="en-US"/>
          </w:rPr>
        </w:r>
        <w:r w:rsidR="007B0DE4" w:rsidRPr="002433F3">
          <w:rPr>
            <w:webHidden/>
            <w:lang w:val="en-US"/>
          </w:rPr>
          <w:fldChar w:fldCharType="separate"/>
        </w:r>
        <w:r w:rsidR="004E3508" w:rsidRPr="002433F3">
          <w:rPr>
            <w:noProof/>
            <w:webHidden/>
            <w:lang w:val="en-US"/>
          </w:rPr>
          <w:t>22</w:t>
        </w:r>
        <w:r w:rsidR="007B0DE4" w:rsidRPr="002433F3">
          <w:rPr>
            <w:webHidden/>
            <w:lang w:val="en-US"/>
          </w:rPr>
          <w:fldChar w:fldCharType="end"/>
        </w:r>
      </w:hyperlink>
    </w:p>
    <w:p w14:paraId="408B2995" w14:textId="77777777" w:rsidR="007B0DE4" w:rsidRPr="002433F3" w:rsidRDefault="0010152B" w:rsidP="007B0DE4">
      <w:pPr>
        <w:pStyle w:val="TDC2"/>
        <w:rPr>
          <w:rFonts w:ascii="Calibri" w:eastAsia="Times New Roman" w:hAnsi="Calibri" w:cs="Times New Roman"/>
          <w:smallCaps w:val="0"/>
          <w:sz w:val="22"/>
          <w:szCs w:val="22"/>
          <w:lang w:val="en-US" w:eastAsia="es-CR"/>
        </w:rPr>
      </w:pPr>
      <w:hyperlink w:anchor="_Toc448482260" w:history="1">
        <w:r w:rsidR="007B0DE4" w:rsidRPr="002433F3">
          <w:rPr>
            <w:rStyle w:val="Hipervnculo"/>
            <w:rFonts w:cs="Tahoma"/>
            <w:lang w:val="en-US"/>
          </w:rPr>
          <w:t>D.</w:t>
        </w:r>
        <w:r w:rsidR="007B0DE4" w:rsidRPr="002433F3">
          <w:rPr>
            <w:rFonts w:ascii="Calibri" w:eastAsia="Times New Roman" w:hAnsi="Calibri" w:cs="Times New Roman"/>
            <w:smallCaps w:val="0"/>
            <w:sz w:val="22"/>
            <w:szCs w:val="22"/>
            <w:lang w:val="en-US" w:eastAsia="es-CR"/>
          </w:rPr>
          <w:tab/>
        </w:r>
        <w:r w:rsidR="007B0DE4" w:rsidRPr="002433F3">
          <w:rPr>
            <w:rStyle w:val="Hipervnculo"/>
            <w:rFonts w:cs="Tahoma"/>
            <w:lang w:val="en-US"/>
          </w:rPr>
          <w:t>Subsequent case law of the Constitutional Court</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_Toc448482260 \h </w:instrText>
        </w:r>
        <w:r w:rsidR="007B0DE4" w:rsidRPr="002433F3">
          <w:rPr>
            <w:webHidden/>
            <w:lang w:val="en-US"/>
          </w:rPr>
        </w:r>
        <w:r w:rsidR="007B0DE4" w:rsidRPr="002433F3">
          <w:rPr>
            <w:webHidden/>
            <w:lang w:val="en-US"/>
          </w:rPr>
          <w:fldChar w:fldCharType="separate"/>
        </w:r>
        <w:r w:rsidR="004E3508" w:rsidRPr="002433F3">
          <w:rPr>
            <w:noProof/>
            <w:webHidden/>
            <w:lang w:val="en-US"/>
          </w:rPr>
          <w:t>23</w:t>
        </w:r>
        <w:r w:rsidR="007B0DE4" w:rsidRPr="002433F3">
          <w:rPr>
            <w:webHidden/>
            <w:lang w:val="en-US"/>
          </w:rPr>
          <w:fldChar w:fldCharType="end"/>
        </w:r>
      </w:hyperlink>
    </w:p>
    <w:p w14:paraId="35C705A2" w14:textId="77777777" w:rsidR="007B0DE4" w:rsidRPr="002433F3" w:rsidRDefault="0010152B" w:rsidP="007B0DE4">
      <w:pPr>
        <w:pStyle w:val="TDC1"/>
        <w:rPr>
          <w:rFonts w:ascii="Calibri" w:eastAsia="Times New Roman" w:hAnsi="Calibri" w:cs="Times New Roman"/>
          <w:b w:val="0"/>
          <w:sz w:val="22"/>
          <w:szCs w:val="22"/>
          <w:lang w:val="en-US" w:eastAsia="es-CR"/>
        </w:rPr>
      </w:pPr>
      <w:hyperlink w:anchor="_Toc448482261" w:history="1">
        <w:r w:rsidR="00352C34" w:rsidRPr="002433F3">
          <w:rPr>
            <w:rStyle w:val="Hipervnculo"/>
            <w:lang w:val="en-US"/>
          </w:rPr>
          <w:t>VIII. MERITS</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_Toc448482261 \h </w:instrText>
        </w:r>
        <w:r w:rsidR="007B0DE4" w:rsidRPr="002433F3">
          <w:rPr>
            <w:webHidden/>
            <w:lang w:val="en-US"/>
          </w:rPr>
        </w:r>
        <w:r w:rsidR="007B0DE4" w:rsidRPr="002433F3">
          <w:rPr>
            <w:webHidden/>
            <w:lang w:val="en-US"/>
          </w:rPr>
          <w:fldChar w:fldCharType="separate"/>
        </w:r>
        <w:r w:rsidR="004E3508" w:rsidRPr="002433F3">
          <w:rPr>
            <w:noProof/>
            <w:webHidden/>
            <w:lang w:val="en-US"/>
          </w:rPr>
          <w:t>24</w:t>
        </w:r>
        <w:r w:rsidR="007B0DE4" w:rsidRPr="002433F3">
          <w:rPr>
            <w:webHidden/>
            <w:lang w:val="en-US"/>
          </w:rPr>
          <w:fldChar w:fldCharType="end"/>
        </w:r>
      </w:hyperlink>
    </w:p>
    <w:p w14:paraId="2F2FDCC9" w14:textId="77777777" w:rsidR="007B0DE4" w:rsidRPr="002433F3" w:rsidRDefault="0010152B" w:rsidP="007B0DE4">
      <w:pPr>
        <w:pStyle w:val="TDC1"/>
        <w:rPr>
          <w:rFonts w:ascii="Calibri" w:eastAsia="Times New Roman" w:hAnsi="Calibri" w:cs="Times New Roman"/>
          <w:b w:val="0"/>
          <w:sz w:val="22"/>
          <w:szCs w:val="22"/>
          <w:lang w:val="en-US" w:eastAsia="es-CR"/>
        </w:rPr>
      </w:pPr>
      <w:hyperlink w:anchor="_Toc448482262" w:history="1">
        <w:r w:rsidR="00FF52CC" w:rsidRPr="002433F3">
          <w:rPr>
            <w:rStyle w:val="Hipervnculo"/>
            <w:lang w:val="en-US"/>
          </w:rPr>
          <w:t>VIII-1. RIGHT TO EQUAL</w:t>
        </w:r>
        <w:r w:rsidR="000308C5" w:rsidRPr="002433F3">
          <w:rPr>
            <w:rStyle w:val="Hipervnculo"/>
            <w:lang w:val="en-US"/>
          </w:rPr>
          <w:t>ITY</w:t>
        </w:r>
        <w:r w:rsidR="00FF52CC" w:rsidRPr="002433F3">
          <w:rPr>
            <w:rStyle w:val="Hipervnculo"/>
            <w:lang w:val="en-US"/>
          </w:rPr>
          <w:t xml:space="preserve"> </w:t>
        </w:r>
        <w:r w:rsidR="00311E97" w:rsidRPr="002433F3">
          <w:rPr>
            <w:rStyle w:val="Hipervnculo"/>
            <w:lang w:val="en-US"/>
          </w:rPr>
          <w:t>AND</w:t>
        </w:r>
        <w:r w:rsidR="00352C34" w:rsidRPr="002433F3">
          <w:rPr>
            <w:rStyle w:val="Hipervnculo"/>
            <w:lang w:val="en-US"/>
          </w:rPr>
          <w:t xml:space="preserve"> </w:t>
        </w:r>
        <w:r w:rsidR="007B0DE4" w:rsidRPr="002433F3">
          <w:rPr>
            <w:rStyle w:val="Hipervnculo"/>
            <w:lang w:val="en-US"/>
          </w:rPr>
          <w:t>NON-DISCRIMINATION</w:t>
        </w:r>
        <w:r w:rsidR="00311E97" w:rsidRPr="002433F3">
          <w:rPr>
            <w:rStyle w:val="Hipervnculo"/>
            <w:lang w:val="en-US"/>
          </w:rPr>
          <w:t xml:space="preserve"> BEFORE THE LAW</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_Toc448482262 \h </w:instrText>
        </w:r>
        <w:r w:rsidR="007B0DE4" w:rsidRPr="002433F3">
          <w:rPr>
            <w:webHidden/>
            <w:lang w:val="en-US"/>
          </w:rPr>
        </w:r>
        <w:r w:rsidR="007B0DE4" w:rsidRPr="002433F3">
          <w:rPr>
            <w:webHidden/>
            <w:lang w:val="en-US"/>
          </w:rPr>
          <w:fldChar w:fldCharType="separate"/>
        </w:r>
        <w:r w:rsidR="004E3508" w:rsidRPr="002433F3">
          <w:rPr>
            <w:noProof/>
            <w:webHidden/>
            <w:lang w:val="en-US"/>
          </w:rPr>
          <w:t>24</w:t>
        </w:r>
        <w:r w:rsidR="007B0DE4" w:rsidRPr="002433F3">
          <w:rPr>
            <w:webHidden/>
            <w:lang w:val="en-US"/>
          </w:rPr>
          <w:fldChar w:fldCharType="end"/>
        </w:r>
      </w:hyperlink>
    </w:p>
    <w:p w14:paraId="5A35E90E" w14:textId="77777777" w:rsidR="007B0DE4" w:rsidRPr="002433F3" w:rsidRDefault="0010152B" w:rsidP="007B0DE4">
      <w:pPr>
        <w:pStyle w:val="TDC2"/>
        <w:rPr>
          <w:rFonts w:ascii="Calibri" w:eastAsia="Times New Roman" w:hAnsi="Calibri" w:cs="Times New Roman"/>
          <w:smallCaps w:val="0"/>
          <w:sz w:val="22"/>
          <w:szCs w:val="22"/>
          <w:lang w:val="en-US" w:eastAsia="es-CR"/>
        </w:rPr>
      </w:pPr>
      <w:hyperlink w:anchor="_Toc448482263" w:history="1">
        <w:r w:rsidR="007B0DE4" w:rsidRPr="002433F3">
          <w:rPr>
            <w:rStyle w:val="Hipervnculo"/>
            <w:lang w:val="en-US" w:eastAsia="es-ES"/>
          </w:rPr>
          <w:t>A.</w:t>
        </w:r>
        <w:r w:rsidR="007B0DE4" w:rsidRPr="002433F3">
          <w:rPr>
            <w:rFonts w:ascii="Calibri" w:eastAsia="Times New Roman" w:hAnsi="Calibri" w:cs="Times New Roman"/>
            <w:smallCaps w:val="0"/>
            <w:sz w:val="22"/>
            <w:szCs w:val="22"/>
            <w:lang w:val="en-US" w:eastAsia="es-CR"/>
          </w:rPr>
          <w:tab/>
        </w:r>
        <w:r w:rsidR="007B0DE4" w:rsidRPr="002433F3">
          <w:rPr>
            <w:rStyle w:val="Hipervnculo"/>
            <w:lang w:val="en-US" w:eastAsia="es-ES"/>
          </w:rPr>
          <w:t>Arguments of the  parties and of the Commission</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_Toc448482263 \h </w:instrText>
        </w:r>
        <w:r w:rsidR="007B0DE4" w:rsidRPr="002433F3">
          <w:rPr>
            <w:webHidden/>
            <w:lang w:val="en-US"/>
          </w:rPr>
        </w:r>
        <w:r w:rsidR="007B0DE4" w:rsidRPr="002433F3">
          <w:rPr>
            <w:webHidden/>
            <w:lang w:val="en-US"/>
          </w:rPr>
          <w:fldChar w:fldCharType="separate"/>
        </w:r>
        <w:r w:rsidR="004E3508" w:rsidRPr="002433F3">
          <w:rPr>
            <w:noProof/>
            <w:webHidden/>
            <w:lang w:val="en-US"/>
          </w:rPr>
          <w:t>24</w:t>
        </w:r>
        <w:r w:rsidR="007B0DE4" w:rsidRPr="002433F3">
          <w:rPr>
            <w:webHidden/>
            <w:lang w:val="en-US"/>
          </w:rPr>
          <w:fldChar w:fldCharType="end"/>
        </w:r>
      </w:hyperlink>
    </w:p>
    <w:p w14:paraId="613A965A" w14:textId="77777777" w:rsidR="007B0DE4" w:rsidRPr="002433F3" w:rsidRDefault="0010152B" w:rsidP="007B0DE4">
      <w:pPr>
        <w:pStyle w:val="TDC2"/>
        <w:rPr>
          <w:rFonts w:ascii="Calibri" w:eastAsia="Times New Roman" w:hAnsi="Calibri" w:cs="Times New Roman"/>
          <w:smallCaps w:val="0"/>
          <w:sz w:val="22"/>
          <w:szCs w:val="22"/>
          <w:lang w:val="en-US" w:eastAsia="es-CR"/>
        </w:rPr>
      </w:pPr>
      <w:hyperlink w:anchor="_Toc448482264" w:history="1">
        <w:r w:rsidR="007B0DE4" w:rsidRPr="002433F3">
          <w:rPr>
            <w:rStyle w:val="Hipervnculo"/>
            <w:rFonts w:eastAsia="Calibri"/>
            <w:lang w:val="en-US"/>
          </w:rPr>
          <w:t>B.</w:t>
        </w:r>
        <w:r w:rsidR="007B0DE4" w:rsidRPr="002433F3">
          <w:rPr>
            <w:rFonts w:ascii="Calibri" w:eastAsia="Times New Roman" w:hAnsi="Calibri" w:cs="Times New Roman"/>
            <w:smallCaps w:val="0"/>
            <w:sz w:val="22"/>
            <w:szCs w:val="22"/>
            <w:lang w:val="en-US" w:eastAsia="es-CR"/>
          </w:rPr>
          <w:tab/>
        </w:r>
        <w:r w:rsidR="007B0DE4" w:rsidRPr="002433F3">
          <w:rPr>
            <w:rStyle w:val="Hipervnculo"/>
            <w:lang w:val="en-US" w:eastAsia="es-ES"/>
          </w:rPr>
          <w:t>Considerations</w:t>
        </w:r>
        <w:r w:rsidR="007B0DE4" w:rsidRPr="002433F3">
          <w:rPr>
            <w:rStyle w:val="Hipervnculo"/>
            <w:rFonts w:eastAsia="Calibri"/>
            <w:lang w:val="en-US"/>
          </w:rPr>
          <w:t xml:space="preserve"> of the Court</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_Toc448482264 \h </w:instrText>
        </w:r>
        <w:r w:rsidR="007B0DE4" w:rsidRPr="002433F3">
          <w:rPr>
            <w:webHidden/>
            <w:lang w:val="en-US"/>
          </w:rPr>
        </w:r>
        <w:r w:rsidR="007B0DE4" w:rsidRPr="002433F3">
          <w:rPr>
            <w:webHidden/>
            <w:lang w:val="en-US"/>
          </w:rPr>
          <w:fldChar w:fldCharType="separate"/>
        </w:r>
        <w:r w:rsidR="004E3508" w:rsidRPr="002433F3">
          <w:rPr>
            <w:noProof/>
            <w:webHidden/>
            <w:lang w:val="en-US"/>
          </w:rPr>
          <w:t>25</w:t>
        </w:r>
        <w:r w:rsidR="007B0DE4" w:rsidRPr="002433F3">
          <w:rPr>
            <w:webHidden/>
            <w:lang w:val="en-US"/>
          </w:rPr>
          <w:fldChar w:fldCharType="end"/>
        </w:r>
      </w:hyperlink>
    </w:p>
    <w:p w14:paraId="1FA6D37D" w14:textId="77777777" w:rsidR="007B0DE4" w:rsidRPr="002433F3" w:rsidRDefault="0010152B" w:rsidP="007B0DE4">
      <w:pPr>
        <w:pStyle w:val="TDC3"/>
        <w:rPr>
          <w:rFonts w:ascii="Calibri" w:eastAsia="Times New Roman" w:hAnsi="Calibri" w:cs="Times New Roman"/>
          <w:sz w:val="22"/>
          <w:szCs w:val="22"/>
          <w:lang w:val="en-US" w:eastAsia="es-CR"/>
        </w:rPr>
      </w:pPr>
      <w:hyperlink w:anchor="_Toc448482265" w:history="1">
        <w:r w:rsidR="007B0DE4" w:rsidRPr="002433F3">
          <w:rPr>
            <w:rStyle w:val="Hipervnculo"/>
            <w:lang w:val="en-US"/>
          </w:rPr>
          <w:t xml:space="preserve">B.1. </w:t>
        </w:r>
        <w:r w:rsidR="007B0DE4" w:rsidRPr="002433F3">
          <w:rPr>
            <w:rStyle w:val="Hipervnculo"/>
            <w:lang w:val="en-US" w:eastAsia="es-ES"/>
          </w:rPr>
          <w:t>Right to equality and non-discrimination</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_Toc448482265 \h </w:instrText>
        </w:r>
        <w:r w:rsidR="007B0DE4" w:rsidRPr="002433F3">
          <w:rPr>
            <w:webHidden/>
            <w:lang w:val="en-US"/>
          </w:rPr>
        </w:r>
        <w:r w:rsidR="007B0DE4" w:rsidRPr="002433F3">
          <w:rPr>
            <w:webHidden/>
            <w:lang w:val="en-US"/>
          </w:rPr>
          <w:fldChar w:fldCharType="separate"/>
        </w:r>
        <w:r w:rsidR="004E3508" w:rsidRPr="002433F3">
          <w:rPr>
            <w:noProof/>
            <w:webHidden/>
            <w:lang w:val="en-US"/>
          </w:rPr>
          <w:t>25</w:t>
        </w:r>
        <w:r w:rsidR="007B0DE4" w:rsidRPr="002433F3">
          <w:rPr>
            <w:webHidden/>
            <w:lang w:val="en-US"/>
          </w:rPr>
          <w:fldChar w:fldCharType="end"/>
        </w:r>
      </w:hyperlink>
    </w:p>
    <w:p w14:paraId="5E0C1F40" w14:textId="77777777" w:rsidR="007B0DE4" w:rsidRPr="002433F3" w:rsidRDefault="0010152B" w:rsidP="007B0DE4">
      <w:pPr>
        <w:pStyle w:val="TDC3"/>
        <w:rPr>
          <w:rFonts w:ascii="Calibri" w:eastAsia="Times New Roman" w:hAnsi="Calibri" w:cs="Times New Roman"/>
          <w:sz w:val="22"/>
          <w:szCs w:val="22"/>
          <w:lang w:val="en-US" w:eastAsia="es-CR"/>
        </w:rPr>
      </w:pPr>
      <w:hyperlink w:anchor="_Toc448482266" w:history="1">
        <w:r w:rsidR="00352C34" w:rsidRPr="002433F3">
          <w:rPr>
            <w:rStyle w:val="Hipervnculo"/>
            <w:lang w:val="en-US"/>
          </w:rPr>
          <w:t>B.2. R</w:t>
        </w:r>
        <w:r w:rsidR="00FF52CC" w:rsidRPr="002433F3">
          <w:rPr>
            <w:rStyle w:val="Hipervnculo"/>
            <w:lang w:val="en-US" w:eastAsia="es-ES"/>
          </w:rPr>
          <w:t>ight to equal protection</w:t>
        </w:r>
        <w:r w:rsidR="007B0DE4" w:rsidRPr="002433F3">
          <w:rPr>
            <w:rStyle w:val="Hipervnculo"/>
            <w:lang w:val="en-US" w:eastAsia="es-ES"/>
          </w:rPr>
          <w:t xml:space="preserve"> before the law</w:t>
        </w:r>
        <w:r w:rsidR="000F3B31" w:rsidRPr="002433F3">
          <w:rPr>
            <w:rStyle w:val="Hipervnculo"/>
            <w:lang w:val="en-US" w:eastAsia="es-ES"/>
          </w:rPr>
          <w:t xml:space="preserve"> in this case</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_Toc448482266 \h </w:instrText>
        </w:r>
        <w:r w:rsidR="007B0DE4" w:rsidRPr="002433F3">
          <w:rPr>
            <w:webHidden/>
            <w:lang w:val="en-US"/>
          </w:rPr>
        </w:r>
        <w:r w:rsidR="007B0DE4" w:rsidRPr="002433F3">
          <w:rPr>
            <w:webHidden/>
            <w:lang w:val="en-US"/>
          </w:rPr>
          <w:fldChar w:fldCharType="separate"/>
        </w:r>
        <w:r w:rsidR="004E3508" w:rsidRPr="002433F3">
          <w:rPr>
            <w:noProof/>
            <w:webHidden/>
            <w:lang w:val="en-US"/>
          </w:rPr>
          <w:t>28</w:t>
        </w:r>
        <w:r w:rsidR="007B0DE4" w:rsidRPr="002433F3">
          <w:rPr>
            <w:webHidden/>
            <w:lang w:val="en-US"/>
          </w:rPr>
          <w:fldChar w:fldCharType="end"/>
        </w:r>
      </w:hyperlink>
    </w:p>
    <w:p w14:paraId="1217C6F9" w14:textId="77777777" w:rsidR="007B0DE4" w:rsidRPr="002433F3" w:rsidRDefault="0010152B" w:rsidP="007B0DE4">
      <w:pPr>
        <w:pStyle w:val="TDC3"/>
        <w:rPr>
          <w:rFonts w:ascii="Calibri" w:eastAsia="Times New Roman" w:hAnsi="Calibri" w:cs="Times New Roman"/>
          <w:sz w:val="22"/>
          <w:szCs w:val="22"/>
          <w:lang w:val="en-US" w:eastAsia="es-CR"/>
        </w:rPr>
      </w:pPr>
      <w:hyperlink w:anchor="_Toc448482267" w:history="1">
        <w:r w:rsidR="007B0DE4" w:rsidRPr="002433F3">
          <w:rPr>
            <w:rStyle w:val="Hipervnculo"/>
            <w:lang w:val="en-US"/>
          </w:rPr>
          <w:t xml:space="preserve">B.3. The </w:t>
        </w:r>
        <w:r w:rsidR="007B0DE4" w:rsidRPr="002433F3">
          <w:rPr>
            <w:rStyle w:val="Hipervnculo"/>
            <w:lang w:val="en-US" w:eastAsia="es-ES"/>
          </w:rPr>
          <w:t>alleged</w:t>
        </w:r>
        <w:r w:rsidR="007B0DE4" w:rsidRPr="002433F3">
          <w:rPr>
            <w:rStyle w:val="Hipervnculo"/>
            <w:lang w:val="en-US"/>
          </w:rPr>
          <w:t xml:space="preserve"> ces</w:t>
        </w:r>
        <w:r w:rsidR="007A39C5" w:rsidRPr="002433F3">
          <w:rPr>
            <w:rStyle w:val="Hipervnculo"/>
            <w:lang w:val="en-US"/>
          </w:rPr>
          <w:t>s</w:t>
        </w:r>
        <w:r w:rsidR="007B0DE4" w:rsidRPr="002433F3">
          <w:rPr>
            <w:rStyle w:val="Hipervnculo"/>
            <w:lang w:val="en-US"/>
          </w:rPr>
          <w:t>ation and reparation of the internationally wrongful act</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_Toc448482267 \h </w:instrText>
        </w:r>
        <w:r w:rsidR="007B0DE4" w:rsidRPr="002433F3">
          <w:rPr>
            <w:webHidden/>
            <w:lang w:val="en-US"/>
          </w:rPr>
        </w:r>
        <w:r w:rsidR="007B0DE4" w:rsidRPr="002433F3">
          <w:rPr>
            <w:webHidden/>
            <w:lang w:val="en-US"/>
          </w:rPr>
          <w:fldChar w:fldCharType="separate"/>
        </w:r>
        <w:r w:rsidR="004E3508" w:rsidRPr="002433F3">
          <w:rPr>
            <w:noProof/>
            <w:webHidden/>
            <w:lang w:val="en-US"/>
          </w:rPr>
          <w:t>33</w:t>
        </w:r>
        <w:r w:rsidR="007B0DE4" w:rsidRPr="002433F3">
          <w:rPr>
            <w:webHidden/>
            <w:lang w:val="en-US"/>
          </w:rPr>
          <w:fldChar w:fldCharType="end"/>
        </w:r>
      </w:hyperlink>
    </w:p>
    <w:p w14:paraId="35390770" w14:textId="77777777" w:rsidR="007B0DE4" w:rsidRPr="002433F3" w:rsidRDefault="0010152B" w:rsidP="007B0DE4">
      <w:pPr>
        <w:pStyle w:val="TDC3"/>
        <w:rPr>
          <w:rFonts w:ascii="Calibri" w:eastAsia="Times New Roman" w:hAnsi="Calibri" w:cs="Times New Roman"/>
          <w:sz w:val="22"/>
          <w:szCs w:val="22"/>
          <w:lang w:val="en-US" w:eastAsia="es-CR"/>
        </w:rPr>
      </w:pPr>
      <w:hyperlink w:anchor="_Toc448482268" w:history="1">
        <w:r w:rsidR="007B0DE4" w:rsidRPr="002433F3">
          <w:rPr>
            <w:rStyle w:val="Hipervnculo"/>
            <w:lang w:val="en-US"/>
          </w:rPr>
          <w:t xml:space="preserve">B.4. </w:t>
        </w:r>
        <w:r w:rsidR="007B0DE4" w:rsidRPr="002433F3">
          <w:rPr>
            <w:rStyle w:val="Hipervnculo"/>
            <w:lang w:val="en-US" w:eastAsia="es-ES"/>
          </w:rPr>
          <w:t>Conclusion</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_Toc448482268 \h </w:instrText>
        </w:r>
        <w:r w:rsidR="007B0DE4" w:rsidRPr="002433F3">
          <w:rPr>
            <w:webHidden/>
            <w:lang w:val="en-US"/>
          </w:rPr>
        </w:r>
        <w:r w:rsidR="007B0DE4" w:rsidRPr="002433F3">
          <w:rPr>
            <w:webHidden/>
            <w:lang w:val="en-US"/>
          </w:rPr>
          <w:fldChar w:fldCharType="separate"/>
        </w:r>
        <w:r w:rsidR="004E3508" w:rsidRPr="002433F3">
          <w:rPr>
            <w:noProof/>
            <w:webHidden/>
            <w:lang w:val="en-US"/>
          </w:rPr>
          <w:t>36</w:t>
        </w:r>
        <w:r w:rsidR="007B0DE4" w:rsidRPr="002433F3">
          <w:rPr>
            <w:webHidden/>
            <w:lang w:val="en-US"/>
          </w:rPr>
          <w:fldChar w:fldCharType="end"/>
        </w:r>
      </w:hyperlink>
    </w:p>
    <w:p w14:paraId="67DF2A61" w14:textId="77777777" w:rsidR="007B0DE4" w:rsidRPr="002433F3" w:rsidRDefault="0010152B" w:rsidP="007B0DE4">
      <w:pPr>
        <w:pStyle w:val="TDC1"/>
        <w:rPr>
          <w:rFonts w:ascii="Calibri" w:eastAsia="Times New Roman" w:hAnsi="Calibri" w:cs="Times New Roman"/>
          <w:b w:val="0"/>
          <w:sz w:val="22"/>
          <w:szCs w:val="22"/>
          <w:lang w:val="en-US" w:eastAsia="es-CR"/>
        </w:rPr>
      </w:pPr>
      <w:hyperlink w:anchor="_Toc448482269" w:history="1">
        <w:r w:rsidR="00352C34" w:rsidRPr="002433F3">
          <w:rPr>
            <w:rStyle w:val="Hipervnculo"/>
            <w:lang w:val="en-US"/>
          </w:rPr>
          <w:t xml:space="preserve">VIII-2. </w:t>
        </w:r>
        <w:r w:rsidR="00FF52CC" w:rsidRPr="002433F3">
          <w:rPr>
            <w:rStyle w:val="Hipervnculo"/>
            <w:lang w:val="en-US"/>
          </w:rPr>
          <w:t>THE RIGHT</w:t>
        </w:r>
        <w:r w:rsidR="007B0DE4" w:rsidRPr="002433F3">
          <w:rPr>
            <w:rStyle w:val="Hipervnculo"/>
            <w:lang w:val="en-US"/>
          </w:rPr>
          <w:t xml:space="preserve"> </w:t>
        </w:r>
        <w:r w:rsidR="00352C34" w:rsidRPr="002433F3">
          <w:rPr>
            <w:rStyle w:val="Hipervnculo"/>
            <w:lang w:val="en-US"/>
          </w:rPr>
          <w:t xml:space="preserve">TO </w:t>
        </w:r>
        <w:r w:rsidR="007B0DE4" w:rsidRPr="002433F3">
          <w:rPr>
            <w:rStyle w:val="Hipervnculo"/>
            <w:lang w:val="en-US"/>
          </w:rPr>
          <w:t xml:space="preserve">JUDICIAL GUARANTEES AND </w:t>
        </w:r>
        <w:r w:rsidR="00FF52CC" w:rsidRPr="002433F3">
          <w:rPr>
            <w:rStyle w:val="Hipervnculo"/>
            <w:lang w:val="en-US"/>
          </w:rPr>
          <w:t xml:space="preserve">TO </w:t>
        </w:r>
        <w:r w:rsidR="007B0DE4" w:rsidRPr="002433F3">
          <w:rPr>
            <w:rStyle w:val="Hipervnculo"/>
            <w:lang w:val="en-US"/>
          </w:rPr>
          <w:t>JUDICIAL PROTECTION</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_Toc448482269 \h </w:instrText>
        </w:r>
        <w:r w:rsidR="007B0DE4" w:rsidRPr="002433F3">
          <w:rPr>
            <w:webHidden/>
            <w:lang w:val="en-US"/>
          </w:rPr>
        </w:r>
        <w:r w:rsidR="007B0DE4" w:rsidRPr="002433F3">
          <w:rPr>
            <w:webHidden/>
            <w:lang w:val="en-US"/>
          </w:rPr>
          <w:fldChar w:fldCharType="separate"/>
        </w:r>
        <w:r w:rsidR="004E3508" w:rsidRPr="002433F3">
          <w:rPr>
            <w:noProof/>
            <w:webHidden/>
            <w:lang w:val="en-US"/>
          </w:rPr>
          <w:t>36</w:t>
        </w:r>
        <w:r w:rsidR="007B0DE4" w:rsidRPr="002433F3">
          <w:rPr>
            <w:webHidden/>
            <w:lang w:val="en-US"/>
          </w:rPr>
          <w:fldChar w:fldCharType="end"/>
        </w:r>
      </w:hyperlink>
    </w:p>
    <w:p w14:paraId="7769AB25" w14:textId="77777777" w:rsidR="007B0DE4" w:rsidRPr="002433F3" w:rsidRDefault="0010152B" w:rsidP="007B0DE4">
      <w:pPr>
        <w:pStyle w:val="TDC2"/>
        <w:rPr>
          <w:rFonts w:ascii="Calibri" w:eastAsia="Times New Roman" w:hAnsi="Calibri" w:cs="Times New Roman"/>
          <w:smallCaps w:val="0"/>
          <w:sz w:val="22"/>
          <w:szCs w:val="22"/>
          <w:lang w:val="en-US" w:eastAsia="es-CR"/>
        </w:rPr>
      </w:pPr>
      <w:hyperlink w:anchor="_Toc448482270" w:history="1">
        <w:r w:rsidR="007B0DE4" w:rsidRPr="002433F3">
          <w:rPr>
            <w:rStyle w:val="Hipervnculo"/>
            <w:lang w:val="en-US"/>
          </w:rPr>
          <w:t>A.</w:t>
        </w:r>
        <w:r w:rsidR="007B0DE4" w:rsidRPr="002433F3">
          <w:rPr>
            <w:rFonts w:ascii="Calibri" w:eastAsia="Times New Roman" w:hAnsi="Calibri" w:cs="Times New Roman"/>
            <w:smallCaps w:val="0"/>
            <w:sz w:val="22"/>
            <w:szCs w:val="22"/>
            <w:lang w:val="en-US" w:eastAsia="es-CR"/>
          </w:rPr>
          <w:tab/>
        </w:r>
        <w:r w:rsidR="007B0DE4" w:rsidRPr="002433F3">
          <w:rPr>
            <w:rStyle w:val="Hipervnculo"/>
            <w:lang w:val="en-US" w:eastAsia="es-ES"/>
          </w:rPr>
          <w:t>Arguments of the  parties and of the Commission</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_Toc448482270 \h </w:instrText>
        </w:r>
        <w:r w:rsidR="007B0DE4" w:rsidRPr="002433F3">
          <w:rPr>
            <w:webHidden/>
            <w:lang w:val="en-US"/>
          </w:rPr>
        </w:r>
        <w:r w:rsidR="007B0DE4" w:rsidRPr="002433F3">
          <w:rPr>
            <w:webHidden/>
            <w:lang w:val="en-US"/>
          </w:rPr>
          <w:fldChar w:fldCharType="separate"/>
        </w:r>
        <w:r w:rsidR="004E3508" w:rsidRPr="002433F3">
          <w:rPr>
            <w:noProof/>
            <w:webHidden/>
            <w:lang w:val="en-US"/>
          </w:rPr>
          <w:t>36</w:t>
        </w:r>
        <w:r w:rsidR="007B0DE4" w:rsidRPr="002433F3">
          <w:rPr>
            <w:webHidden/>
            <w:lang w:val="en-US"/>
          </w:rPr>
          <w:fldChar w:fldCharType="end"/>
        </w:r>
      </w:hyperlink>
    </w:p>
    <w:p w14:paraId="2BD79777" w14:textId="77777777" w:rsidR="007B0DE4" w:rsidRPr="002433F3" w:rsidRDefault="0010152B" w:rsidP="007B0DE4">
      <w:pPr>
        <w:pStyle w:val="TDC2"/>
        <w:rPr>
          <w:rFonts w:ascii="Calibri" w:eastAsia="Times New Roman" w:hAnsi="Calibri" w:cs="Times New Roman"/>
          <w:smallCaps w:val="0"/>
          <w:sz w:val="22"/>
          <w:szCs w:val="22"/>
          <w:lang w:val="en-US" w:eastAsia="es-CR"/>
        </w:rPr>
      </w:pPr>
      <w:hyperlink w:anchor="_Toc448482271" w:history="1">
        <w:r w:rsidR="007B0DE4" w:rsidRPr="002433F3">
          <w:rPr>
            <w:rStyle w:val="Hipervnculo"/>
            <w:rFonts w:eastAsia="Calibri"/>
            <w:lang w:val="en-US"/>
          </w:rPr>
          <w:t>B.</w:t>
        </w:r>
        <w:r w:rsidR="007B0DE4" w:rsidRPr="002433F3">
          <w:rPr>
            <w:rFonts w:ascii="Calibri" w:eastAsia="Times New Roman" w:hAnsi="Calibri" w:cs="Times New Roman"/>
            <w:smallCaps w:val="0"/>
            <w:sz w:val="22"/>
            <w:szCs w:val="22"/>
            <w:lang w:val="en-US" w:eastAsia="es-CR"/>
          </w:rPr>
          <w:tab/>
        </w:r>
        <w:r w:rsidR="007B0DE4" w:rsidRPr="002433F3">
          <w:rPr>
            <w:rStyle w:val="Hipervnculo"/>
            <w:lang w:val="en-US" w:eastAsia="es-ES"/>
          </w:rPr>
          <w:t>Considerations</w:t>
        </w:r>
        <w:r w:rsidR="007B0DE4" w:rsidRPr="002433F3">
          <w:rPr>
            <w:rStyle w:val="Hipervnculo"/>
            <w:rFonts w:eastAsia="Calibri"/>
            <w:lang w:val="en-US"/>
          </w:rPr>
          <w:t xml:space="preserve"> of the Court</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_Toc448482271 \h </w:instrText>
        </w:r>
        <w:r w:rsidR="007B0DE4" w:rsidRPr="002433F3">
          <w:rPr>
            <w:webHidden/>
            <w:lang w:val="en-US"/>
          </w:rPr>
        </w:r>
        <w:r w:rsidR="007B0DE4" w:rsidRPr="002433F3">
          <w:rPr>
            <w:webHidden/>
            <w:lang w:val="en-US"/>
          </w:rPr>
          <w:fldChar w:fldCharType="separate"/>
        </w:r>
        <w:r w:rsidR="004E3508" w:rsidRPr="002433F3">
          <w:rPr>
            <w:noProof/>
            <w:webHidden/>
            <w:lang w:val="en-US"/>
          </w:rPr>
          <w:t>37</w:t>
        </w:r>
        <w:r w:rsidR="007B0DE4" w:rsidRPr="002433F3">
          <w:rPr>
            <w:webHidden/>
            <w:lang w:val="en-US"/>
          </w:rPr>
          <w:fldChar w:fldCharType="end"/>
        </w:r>
      </w:hyperlink>
    </w:p>
    <w:p w14:paraId="08DA6ECD" w14:textId="77777777" w:rsidR="007B0DE4" w:rsidRPr="002433F3" w:rsidRDefault="0010152B" w:rsidP="007B0DE4">
      <w:pPr>
        <w:pStyle w:val="TDC3"/>
        <w:rPr>
          <w:rFonts w:ascii="Calibri" w:eastAsia="Times New Roman" w:hAnsi="Calibri" w:cs="Times New Roman"/>
          <w:sz w:val="22"/>
          <w:szCs w:val="22"/>
          <w:lang w:val="en-US" w:eastAsia="es-CR"/>
        </w:rPr>
      </w:pPr>
      <w:hyperlink w:anchor="_Toc448482272" w:history="1">
        <w:r w:rsidR="007A39C5" w:rsidRPr="002433F3">
          <w:rPr>
            <w:rStyle w:val="Hipervnculo"/>
            <w:lang w:val="en-US" w:eastAsia="es-ES"/>
          </w:rPr>
          <w:t>B.1. E</w:t>
        </w:r>
        <w:r w:rsidR="007B0DE4" w:rsidRPr="002433F3">
          <w:rPr>
            <w:rStyle w:val="Hipervnculo"/>
            <w:lang w:val="en-US" w:eastAsia="es-ES"/>
          </w:rPr>
          <w:t>xistence</w:t>
        </w:r>
        <w:r w:rsidR="007B0DE4" w:rsidRPr="002433F3">
          <w:rPr>
            <w:rStyle w:val="Hipervnculo"/>
            <w:lang w:val="en-US"/>
          </w:rPr>
          <w:t xml:space="preserve"> of an effective remedy in Colombia </w:t>
        </w:r>
        <w:r w:rsidR="007A39C5" w:rsidRPr="002433F3">
          <w:rPr>
            <w:rStyle w:val="Hipervnculo"/>
            <w:lang w:val="en-US"/>
          </w:rPr>
          <w:t xml:space="preserve">to claim </w:t>
        </w:r>
        <w:r w:rsidR="007B0DE4" w:rsidRPr="002433F3">
          <w:rPr>
            <w:rStyle w:val="Hipervnculo"/>
            <w:lang w:val="en-US"/>
          </w:rPr>
          <w:t>the survivor’s pension</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_Toc448482272 \h </w:instrText>
        </w:r>
        <w:r w:rsidR="007B0DE4" w:rsidRPr="002433F3">
          <w:rPr>
            <w:webHidden/>
            <w:lang w:val="en-US"/>
          </w:rPr>
        </w:r>
        <w:r w:rsidR="007B0DE4" w:rsidRPr="002433F3">
          <w:rPr>
            <w:webHidden/>
            <w:lang w:val="en-US"/>
          </w:rPr>
          <w:fldChar w:fldCharType="separate"/>
        </w:r>
        <w:r w:rsidR="004E3508" w:rsidRPr="002433F3">
          <w:rPr>
            <w:noProof/>
            <w:webHidden/>
            <w:lang w:val="en-US"/>
          </w:rPr>
          <w:t>37</w:t>
        </w:r>
        <w:r w:rsidR="007B0DE4" w:rsidRPr="002433F3">
          <w:rPr>
            <w:webHidden/>
            <w:lang w:val="en-US"/>
          </w:rPr>
          <w:fldChar w:fldCharType="end"/>
        </w:r>
      </w:hyperlink>
    </w:p>
    <w:p w14:paraId="3ED95549" w14:textId="77777777" w:rsidR="007B0DE4" w:rsidRPr="002433F3" w:rsidRDefault="0010152B" w:rsidP="007B0DE4">
      <w:pPr>
        <w:pStyle w:val="TDC3"/>
        <w:rPr>
          <w:rFonts w:ascii="Calibri" w:eastAsia="Times New Roman" w:hAnsi="Calibri" w:cs="Times New Roman"/>
          <w:sz w:val="22"/>
          <w:szCs w:val="22"/>
          <w:lang w:val="en-US" w:eastAsia="es-CR"/>
        </w:rPr>
      </w:pPr>
      <w:hyperlink w:anchor="_Toc448482273" w:history="1">
        <w:r w:rsidR="007A39C5" w:rsidRPr="002433F3">
          <w:rPr>
            <w:rStyle w:val="Hipervnculo"/>
            <w:lang w:val="en-US" w:eastAsia="es-ES"/>
          </w:rPr>
          <w:t>B.2. A</w:t>
        </w:r>
        <w:r w:rsidR="007B0DE4" w:rsidRPr="002433F3">
          <w:rPr>
            <w:rStyle w:val="Hipervnculo"/>
            <w:lang w:val="en-US"/>
          </w:rPr>
          <w:t xml:space="preserve">lleged violation of Article 8(1) of the Convention </w:t>
        </w:r>
        <w:r w:rsidR="00F9658C" w:rsidRPr="002433F3">
          <w:rPr>
            <w:rStyle w:val="Hipervnculo"/>
            <w:lang w:val="en-US"/>
          </w:rPr>
          <w:t xml:space="preserve">based on </w:t>
        </w:r>
        <w:r w:rsidR="007A39C5" w:rsidRPr="002433F3">
          <w:rPr>
            <w:rStyle w:val="Hipervnculo"/>
            <w:lang w:val="en-US"/>
          </w:rPr>
          <w:t xml:space="preserve">the </w:t>
        </w:r>
        <w:r w:rsidR="007B0DE4" w:rsidRPr="002433F3">
          <w:rPr>
            <w:rStyle w:val="Hipervnculo"/>
            <w:lang w:val="en-US"/>
          </w:rPr>
          <w:t>application of discriminatory stereotypes in judicial decisions</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_Toc448482273 \h </w:instrText>
        </w:r>
        <w:r w:rsidR="007B0DE4" w:rsidRPr="002433F3">
          <w:rPr>
            <w:webHidden/>
            <w:lang w:val="en-US"/>
          </w:rPr>
        </w:r>
        <w:r w:rsidR="007B0DE4" w:rsidRPr="002433F3">
          <w:rPr>
            <w:webHidden/>
            <w:lang w:val="en-US"/>
          </w:rPr>
          <w:fldChar w:fldCharType="separate"/>
        </w:r>
        <w:r w:rsidR="004E3508" w:rsidRPr="002433F3">
          <w:rPr>
            <w:noProof/>
            <w:webHidden/>
            <w:lang w:val="en-US"/>
          </w:rPr>
          <w:t>40</w:t>
        </w:r>
        <w:r w:rsidR="007B0DE4" w:rsidRPr="002433F3">
          <w:rPr>
            <w:webHidden/>
            <w:lang w:val="en-US"/>
          </w:rPr>
          <w:fldChar w:fldCharType="end"/>
        </w:r>
      </w:hyperlink>
    </w:p>
    <w:p w14:paraId="32A9AECE" w14:textId="77777777" w:rsidR="007B0DE4" w:rsidRPr="002433F3" w:rsidRDefault="0010152B" w:rsidP="007B0DE4">
      <w:pPr>
        <w:pStyle w:val="TDC1"/>
        <w:rPr>
          <w:rFonts w:ascii="Calibri" w:eastAsia="Times New Roman" w:hAnsi="Calibri" w:cs="Times New Roman"/>
          <w:b w:val="0"/>
          <w:sz w:val="22"/>
          <w:szCs w:val="22"/>
          <w:lang w:val="en-US" w:eastAsia="es-CR"/>
        </w:rPr>
      </w:pPr>
      <w:hyperlink w:anchor="_Toc448482274" w:history="1">
        <w:r w:rsidR="007A39C5" w:rsidRPr="002433F3">
          <w:rPr>
            <w:rStyle w:val="Hipervnculo"/>
            <w:lang w:val="en-US"/>
          </w:rPr>
          <w:t xml:space="preserve">VIII-3. </w:t>
        </w:r>
        <w:r w:rsidR="003352C1" w:rsidRPr="002433F3">
          <w:rPr>
            <w:rStyle w:val="Hipervnculo"/>
            <w:lang w:val="en-US"/>
          </w:rPr>
          <w:t xml:space="preserve">THE </w:t>
        </w:r>
        <w:r w:rsidR="007B0DE4" w:rsidRPr="002433F3">
          <w:rPr>
            <w:rStyle w:val="Hipervnculo"/>
            <w:lang w:val="en-US"/>
          </w:rPr>
          <w:t>RIGHT</w:t>
        </w:r>
        <w:r w:rsidR="007A39C5" w:rsidRPr="002433F3">
          <w:rPr>
            <w:rStyle w:val="Hipervnculo"/>
            <w:lang w:val="en-US"/>
          </w:rPr>
          <w:t>S</w:t>
        </w:r>
        <w:r w:rsidR="007B0DE4" w:rsidRPr="002433F3">
          <w:rPr>
            <w:rStyle w:val="Hipervnculo"/>
            <w:lang w:val="en-US"/>
          </w:rPr>
          <w:t xml:space="preserve"> TO </w:t>
        </w:r>
        <w:r w:rsidR="007A39C5" w:rsidRPr="002433F3">
          <w:rPr>
            <w:rStyle w:val="Hipervnculo"/>
            <w:lang w:val="en-US"/>
          </w:rPr>
          <w:t>PERSONAL INTEGRITY AND TO LIFE</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_Toc448482274 \h </w:instrText>
        </w:r>
        <w:r w:rsidR="007B0DE4" w:rsidRPr="002433F3">
          <w:rPr>
            <w:webHidden/>
            <w:lang w:val="en-US"/>
          </w:rPr>
        </w:r>
        <w:r w:rsidR="007B0DE4" w:rsidRPr="002433F3">
          <w:rPr>
            <w:webHidden/>
            <w:lang w:val="en-US"/>
          </w:rPr>
          <w:fldChar w:fldCharType="separate"/>
        </w:r>
        <w:r w:rsidR="004E3508" w:rsidRPr="002433F3">
          <w:rPr>
            <w:noProof/>
            <w:webHidden/>
            <w:lang w:val="en-US"/>
          </w:rPr>
          <w:t>42</w:t>
        </w:r>
        <w:r w:rsidR="007B0DE4" w:rsidRPr="002433F3">
          <w:rPr>
            <w:webHidden/>
            <w:lang w:val="en-US"/>
          </w:rPr>
          <w:fldChar w:fldCharType="end"/>
        </w:r>
      </w:hyperlink>
    </w:p>
    <w:p w14:paraId="32A3F425" w14:textId="77777777" w:rsidR="007B0DE4" w:rsidRPr="002433F3" w:rsidRDefault="0010152B" w:rsidP="007B0DE4">
      <w:pPr>
        <w:pStyle w:val="TDC2"/>
        <w:rPr>
          <w:rFonts w:ascii="Calibri" w:eastAsia="Times New Roman" w:hAnsi="Calibri" w:cs="Times New Roman"/>
          <w:smallCaps w:val="0"/>
          <w:sz w:val="22"/>
          <w:szCs w:val="22"/>
          <w:lang w:val="en-US" w:eastAsia="es-CR"/>
        </w:rPr>
      </w:pPr>
      <w:hyperlink w:anchor="_Toc448482275" w:history="1">
        <w:r w:rsidR="007B0DE4" w:rsidRPr="002433F3">
          <w:rPr>
            <w:rStyle w:val="Hipervnculo"/>
            <w:lang w:val="en-US"/>
          </w:rPr>
          <w:t>A.</w:t>
        </w:r>
        <w:r w:rsidR="007B0DE4" w:rsidRPr="002433F3">
          <w:rPr>
            <w:rFonts w:ascii="Calibri" w:eastAsia="Times New Roman" w:hAnsi="Calibri" w:cs="Times New Roman"/>
            <w:smallCaps w:val="0"/>
            <w:sz w:val="22"/>
            <w:szCs w:val="22"/>
            <w:lang w:val="en-US" w:eastAsia="es-CR"/>
          </w:rPr>
          <w:tab/>
        </w:r>
        <w:r w:rsidR="007B0DE4" w:rsidRPr="002433F3">
          <w:rPr>
            <w:rStyle w:val="Hipervnculo"/>
            <w:lang w:val="en-US" w:eastAsia="es-ES"/>
          </w:rPr>
          <w:t>Arguments of the  parties and of the Commission</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_Toc448482275 \h </w:instrText>
        </w:r>
        <w:r w:rsidR="007B0DE4" w:rsidRPr="002433F3">
          <w:rPr>
            <w:webHidden/>
            <w:lang w:val="en-US"/>
          </w:rPr>
        </w:r>
        <w:r w:rsidR="007B0DE4" w:rsidRPr="002433F3">
          <w:rPr>
            <w:webHidden/>
            <w:lang w:val="en-US"/>
          </w:rPr>
          <w:fldChar w:fldCharType="separate"/>
        </w:r>
        <w:r w:rsidR="004E3508" w:rsidRPr="002433F3">
          <w:rPr>
            <w:noProof/>
            <w:webHidden/>
            <w:lang w:val="en-US"/>
          </w:rPr>
          <w:t>42</w:t>
        </w:r>
        <w:r w:rsidR="007B0DE4" w:rsidRPr="002433F3">
          <w:rPr>
            <w:webHidden/>
            <w:lang w:val="en-US"/>
          </w:rPr>
          <w:fldChar w:fldCharType="end"/>
        </w:r>
      </w:hyperlink>
    </w:p>
    <w:p w14:paraId="56DA0B14" w14:textId="77777777" w:rsidR="007B0DE4" w:rsidRPr="002433F3" w:rsidRDefault="0010152B" w:rsidP="007B0DE4">
      <w:pPr>
        <w:pStyle w:val="TDC2"/>
        <w:rPr>
          <w:rFonts w:ascii="Calibri" w:eastAsia="Times New Roman" w:hAnsi="Calibri" w:cs="Times New Roman"/>
          <w:smallCaps w:val="0"/>
          <w:sz w:val="22"/>
          <w:szCs w:val="22"/>
          <w:lang w:val="en-US" w:eastAsia="es-CR"/>
        </w:rPr>
      </w:pPr>
      <w:hyperlink w:anchor="_Toc448482276" w:history="1">
        <w:r w:rsidR="007B0DE4" w:rsidRPr="002433F3">
          <w:rPr>
            <w:rStyle w:val="Hipervnculo"/>
            <w:lang w:val="en-US"/>
          </w:rPr>
          <w:t>B.</w:t>
        </w:r>
        <w:r w:rsidR="007B0DE4" w:rsidRPr="002433F3">
          <w:rPr>
            <w:rFonts w:ascii="Calibri" w:eastAsia="Times New Roman" w:hAnsi="Calibri" w:cs="Times New Roman"/>
            <w:smallCaps w:val="0"/>
            <w:sz w:val="22"/>
            <w:szCs w:val="22"/>
            <w:lang w:val="en-US" w:eastAsia="es-CR"/>
          </w:rPr>
          <w:tab/>
        </w:r>
        <w:r w:rsidR="007B0DE4" w:rsidRPr="002433F3">
          <w:rPr>
            <w:rStyle w:val="Hipervnculo"/>
            <w:lang w:val="en-US" w:eastAsia="es-ES"/>
          </w:rPr>
          <w:t>Considerations</w:t>
        </w:r>
        <w:r w:rsidR="007B0DE4" w:rsidRPr="002433F3">
          <w:rPr>
            <w:rStyle w:val="Hipervnculo"/>
            <w:rFonts w:eastAsia="Calibri"/>
            <w:lang w:val="en-US"/>
          </w:rPr>
          <w:t xml:space="preserve"> of the Court</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_Toc448482276 \h </w:instrText>
        </w:r>
        <w:r w:rsidR="007B0DE4" w:rsidRPr="002433F3">
          <w:rPr>
            <w:webHidden/>
            <w:lang w:val="en-US"/>
          </w:rPr>
        </w:r>
        <w:r w:rsidR="007B0DE4" w:rsidRPr="002433F3">
          <w:rPr>
            <w:webHidden/>
            <w:lang w:val="en-US"/>
          </w:rPr>
          <w:fldChar w:fldCharType="separate"/>
        </w:r>
        <w:r w:rsidR="004E3508" w:rsidRPr="002433F3">
          <w:rPr>
            <w:noProof/>
            <w:webHidden/>
            <w:lang w:val="en-US"/>
          </w:rPr>
          <w:t>43</w:t>
        </w:r>
        <w:r w:rsidR="007B0DE4" w:rsidRPr="002433F3">
          <w:rPr>
            <w:webHidden/>
            <w:lang w:val="en-US"/>
          </w:rPr>
          <w:fldChar w:fldCharType="end"/>
        </w:r>
      </w:hyperlink>
    </w:p>
    <w:p w14:paraId="05E7DDBA" w14:textId="77777777" w:rsidR="007B0DE4" w:rsidRPr="002433F3" w:rsidRDefault="0010152B" w:rsidP="007B0DE4">
      <w:pPr>
        <w:pStyle w:val="TDC3"/>
        <w:rPr>
          <w:rFonts w:ascii="Calibri" w:eastAsia="Times New Roman" w:hAnsi="Calibri" w:cs="Times New Roman"/>
          <w:sz w:val="22"/>
          <w:szCs w:val="22"/>
          <w:lang w:val="en-US" w:eastAsia="es-CR"/>
        </w:rPr>
      </w:pPr>
      <w:hyperlink w:anchor="_Toc448482277" w:history="1">
        <w:r w:rsidR="007B0DE4" w:rsidRPr="002433F3">
          <w:rPr>
            <w:rStyle w:val="Hipervnculo"/>
            <w:lang w:val="en-US" w:eastAsia="es-ES"/>
          </w:rPr>
          <w:t xml:space="preserve">B.1. </w:t>
        </w:r>
        <w:r w:rsidR="00633209" w:rsidRPr="002433F3">
          <w:rPr>
            <w:rStyle w:val="Hipervnculo"/>
            <w:lang w:val="en-US" w:eastAsia="es-ES"/>
          </w:rPr>
          <w:t xml:space="preserve">Standards </w:t>
        </w:r>
        <w:r w:rsidR="003E4D82" w:rsidRPr="002433F3">
          <w:rPr>
            <w:rStyle w:val="Hipervnculo"/>
            <w:lang w:val="en-US" w:eastAsia="es-ES"/>
          </w:rPr>
          <w:t xml:space="preserve">regarding </w:t>
        </w:r>
        <w:r w:rsidR="007B0DE4" w:rsidRPr="002433F3">
          <w:rPr>
            <w:rStyle w:val="Hipervnculo"/>
            <w:lang w:val="en-US"/>
          </w:rPr>
          <w:t>the right to personal integrity in relation to the right to health of persons with HIV</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_Toc448482277 \h </w:instrText>
        </w:r>
        <w:r w:rsidR="007B0DE4" w:rsidRPr="002433F3">
          <w:rPr>
            <w:webHidden/>
            <w:lang w:val="en-US"/>
          </w:rPr>
        </w:r>
        <w:r w:rsidR="007B0DE4" w:rsidRPr="002433F3">
          <w:rPr>
            <w:webHidden/>
            <w:lang w:val="en-US"/>
          </w:rPr>
          <w:fldChar w:fldCharType="separate"/>
        </w:r>
        <w:r w:rsidR="004E3508" w:rsidRPr="002433F3">
          <w:rPr>
            <w:noProof/>
            <w:webHidden/>
            <w:lang w:val="en-US"/>
          </w:rPr>
          <w:t>43</w:t>
        </w:r>
        <w:r w:rsidR="007B0DE4" w:rsidRPr="002433F3">
          <w:rPr>
            <w:webHidden/>
            <w:lang w:val="en-US"/>
          </w:rPr>
          <w:fldChar w:fldCharType="end"/>
        </w:r>
      </w:hyperlink>
    </w:p>
    <w:p w14:paraId="2B31EBC8" w14:textId="77777777" w:rsidR="007B0DE4" w:rsidRPr="002433F3" w:rsidRDefault="0010152B" w:rsidP="007B0DE4">
      <w:pPr>
        <w:pStyle w:val="TDC3"/>
        <w:rPr>
          <w:rFonts w:ascii="Calibri" w:eastAsia="Times New Roman" w:hAnsi="Calibri" w:cs="Times New Roman"/>
          <w:sz w:val="22"/>
          <w:szCs w:val="22"/>
          <w:lang w:val="en-US" w:eastAsia="es-CR"/>
        </w:rPr>
      </w:pPr>
      <w:hyperlink w:anchor="_Toc448482278" w:history="1">
        <w:r w:rsidR="007B0DE4" w:rsidRPr="002433F3">
          <w:rPr>
            <w:rStyle w:val="Hipervnculo"/>
            <w:lang w:val="en-US" w:eastAsia="es-ES"/>
          </w:rPr>
          <w:t xml:space="preserve">B.2. </w:t>
        </w:r>
        <w:r w:rsidR="007B0DE4" w:rsidRPr="002433F3">
          <w:rPr>
            <w:rStyle w:val="Hipervnculo"/>
            <w:lang w:val="en-US"/>
          </w:rPr>
          <w:t xml:space="preserve">Analysis </w:t>
        </w:r>
        <w:r w:rsidR="007B0DE4" w:rsidRPr="002433F3">
          <w:rPr>
            <w:rStyle w:val="Hipervnculo"/>
            <w:lang w:val="en-US" w:eastAsia="es-ES"/>
          </w:rPr>
          <w:t>of the specific case</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_Toc448482278 \h </w:instrText>
        </w:r>
        <w:r w:rsidR="007B0DE4" w:rsidRPr="002433F3">
          <w:rPr>
            <w:webHidden/>
            <w:lang w:val="en-US"/>
          </w:rPr>
        </w:r>
        <w:r w:rsidR="007B0DE4" w:rsidRPr="002433F3">
          <w:rPr>
            <w:webHidden/>
            <w:lang w:val="en-US"/>
          </w:rPr>
          <w:fldChar w:fldCharType="separate"/>
        </w:r>
        <w:r w:rsidR="004E3508" w:rsidRPr="002433F3">
          <w:rPr>
            <w:noProof/>
            <w:webHidden/>
            <w:lang w:val="en-US"/>
          </w:rPr>
          <w:t>46</w:t>
        </w:r>
        <w:r w:rsidR="007B0DE4" w:rsidRPr="002433F3">
          <w:rPr>
            <w:webHidden/>
            <w:lang w:val="en-US"/>
          </w:rPr>
          <w:fldChar w:fldCharType="end"/>
        </w:r>
      </w:hyperlink>
    </w:p>
    <w:p w14:paraId="352F2EE0" w14:textId="77777777" w:rsidR="007B0DE4" w:rsidRPr="002433F3" w:rsidRDefault="0010152B" w:rsidP="007B0DE4">
      <w:pPr>
        <w:pStyle w:val="TDC1"/>
        <w:rPr>
          <w:rFonts w:ascii="Calibri" w:eastAsia="Times New Roman" w:hAnsi="Calibri" w:cs="Times New Roman"/>
          <w:b w:val="0"/>
          <w:sz w:val="22"/>
          <w:szCs w:val="22"/>
          <w:lang w:val="en-US" w:eastAsia="es-CR"/>
        </w:rPr>
      </w:pPr>
      <w:hyperlink w:anchor="_Toc448482279" w:history="1">
        <w:r w:rsidR="007B0DE4" w:rsidRPr="002433F3">
          <w:rPr>
            <w:rStyle w:val="Hipervnculo"/>
            <w:lang w:val="en-US"/>
          </w:rPr>
          <w:t>IX. REPARATIONS</w:t>
        </w:r>
        <w:r w:rsidR="007B0DE4" w:rsidRPr="002433F3">
          <w:rPr>
            <w:rStyle w:val="Hipervnculo"/>
            <w:rFonts w:cs="Verdana"/>
            <w:lang w:val="en-US"/>
          </w:rPr>
          <w:t xml:space="preserve"> </w:t>
        </w:r>
        <w:r w:rsidR="00FF52CC" w:rsidRPr="002433F3">
          <w:rPr>
            <w:rStyle w:val="Hipervnculo"/>
            <w:lang w:val="en-US"/>
          </w:rPr>
          <w:t>(Application of Article 63(</w:t>
        </w:r>
        <w:r w:rsidR="007B0DE4" w:rsidRPr="002433F3">
          <w:rPr>
            <w:rStyle w:val="Hipervnculo"/>
            <w:lang w:val="en-US"/>
          </w:rPr>
          <w:t>1) of the American Convention)</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_Toc448482279 \h </w:instrText>
        </w:r>
        <w:r w:rsidR="007B0DE4" w:rsidRPr="002433F3">
          <w:rPr>
            <w:webHidden/>
            <w:lang w:val="en-US"/>
          </w:rPr>
        </w:r>
        <w:r w:rsidR="007B0DE4" w:rsidRPr="002433F3">
          <w:rPr>
            <w:webHidden/>
            <w:lang w:val="en-US"/>
          </w:rPr>
          <w:fldChar w:fldCharType="separate"/>
        </w:r>
        <w:r w:rsidR="004E3508" w:rsidRPr="002433F3">
          <w:rPr>
            <w:noProof/>
            <w:webHidden/>
            <w:lang w:val="en-US"/>
          </w:rPr>
          <w:t>49</w:t>
        </w:r>
        <w:r w:rsidR="007B0DE4" w:rsidRPr="002433F3">
          <w:rPr>
            <w:webHidden/>
            <w:lang w:val="en-US"/>
          </w:rPr>
          <w:fldChar w:fldCharType="end"/>
        </w:r>
      </w:hyperlink>
    </w:p>
    <w:p w14:paraId="6E260B55" w14:textId="77777777" w:rsidR="00311E97" w:rsidRPr="002433F3" w:rsidRDefault="0010152B" w:rsidP="00311E97">
      <w:pPr>
        <w:pStyle w:val="TDC2"/>
        <w:rPr>
          <w:rFonts w:ascii="Calibri" w:eastAsia="Times New Roman" w:hAnsi="Calibri" w:cs="Times New Roman"/>
          <w:smallCaps w:val="0"/>
          <w:noProof/>
          <w:sz w:val="22"/>
          <w:szCs w:val="22"/>
          <w:lang w:val="es-CR" w:eastAsia="es-CR"/>
        </w:rPr>
      </w:pPr>
      <w:hyperlink w:anchor="_Toc448482280" w:history="1">
        <w:r w:rsidR="00311E97" w:rsidRPr="002433F3">
          <w:rPr>
            <w:rStyle w:val="Hipervnculo"/>
          </w:rPr>
          <w:t>A.</w:t>
        </w:r>
        <w:r w:rsidR="00311E97" w:rsidRPr="002433F3">
          <w:rPr>
            <w:rFonts w:ascii="Calibri" w:eastAsia="Times New Roman" w:hAnsi="Calibri" w:cs="Times New Roman"/>
            <w:smallCaps w:val="0"/>
            <w:noProof/>
            <w:sz w:val="22"/>
            <w:szCs w:val="22"/>
            <w:lang w:val="es-CR" w:eastAsia="es-CR"/>
          </w:rPr>
          <w:tab/>
        </w:r>
        <w:r w:rsidR="00311E97" w:rsidRPr="002433F3">
          <w:rPr>
            <w:rStyle w:val="Hipervnculo"/>
            <w:lang w:eastAsia="es-ES"/>
          </w:rPr>
          <w:t>Injured Party</w:t>
        </w:r>
        <w:r w:rsidR="00311E97" w:rsidRPr="002433F3">
          <w:rPr>
            <w:noProof/>
            <w:webHidden/>
          </w:rPr>
          <w:tab/>
        </w:r>
        <w:r w:rsidR="00311E97" w:rsidRPr="002433F3">
          <w:rPr>
            <w:noProof/>
            <w:webHidden/>
          </w:rPr>
          <w:fldChar w:fldCharType="begin"/>
        </w:r>
        <w:r w:rsidR="00311E97" w:rsidRPr="002433F3">
          <w:rPr>
            <w:noProof/>
            <w:webHidden/>
          </w:rPr>
          <w:instrText xml:space="preserve"> PAGEREF _Toc448482280 \h </w:instrText>
        </w:r>
        <w:r w:rsidR="00311E97" w:rsidRPr="002433F3">
          <w:rPr>
            <w:noProof/>
            <w:webHidden/>
          </w:rPr>
        </w:r>
        <w:r w:rsidR="00311E97" w:rsidRPr="002433F3">
          <w:rPr>
            <w:noProof/>
            <w:webHidden/>
          </w:rPr>
          <w:fldChar w:fldCharType="separate"/>
        </w:r>
        <w:r w:rsidR="00311E97" w:rsidRPr="002433F3">
          <w:rPr>
            <w:noProof/>
            <w:webHidden/>
          </w:rPr>
          <w:t>54</w:t>
        </w:r>
        <w:r w:rsidR="00311E97" w:rsidRPr="002433F3">
          <w:rPr>
            <w:noProof/>
            <w:webHidden/>
          </w:rPr>
          <w:fldChar w:fldCharType="end"/>
        </w:r>
      </w:hyperlink>
    </w:p>
    <w:p w14:paraId="448DB26A" w14:textId="77777777" w:rsidR="007B0DE4" w:rsidRPr="002433F3" w:rsidRDefault="0010152B" w:rsidP="007B0DE4">
      <w:pPr>
        <w:pStyle w:val="TDC2"/>
        <w:rPr>
          <w:rFonts w:ascii="Calibri" w:eastAsia="Times New Roman" w:hAnsi="Calibri" w:cs="Times New Roman"/>
          <w:smallCaps w:val="0"/>
          <w:sz w:val="22"/>
          <w:szCs w:val="22"/>
          <w:lang w:val="en-US" w:eastAsia="es-CR"/>
        </w:rPr>
      </w:pPr>
      <w:hyperlink w:anchor="_Toc448482281" w:history="1">
        <w:r w:rsidR="007B0DE4" w:rsidRPr="002433F3">
          <w:rPr>
            <w:rStyle w:val="Hipervnculo"/>
            <w:lang w:val="en-US"/>
          </w:rPr>
          <w:t>B.</w:t>
        </w:r>
        <w:r w:rsidR="007B0DE4" w:rsidRPr="002433F3">
          <w:rPr>
            <w:rFonts w:ascii="Calibri" w:eastAsia="Times New Roman" w:hAnsi="Calibri" w:cs="Times New Roman"/>
            <w:smallCaps w:val="0"/>
            <w:sz w:val="22"/>
            <w:szCs w:val="22"/>
            <w:lang w:val="en-US" w:eastAsia="es-CR"/>
          </w:rPr>
          <w:tab/>
        </w:r>
        <w:r w:rsidR="007B0DE4" w:rsidRPr="002433F3">
          <w:rPr>
            <w:rStyle w:val="Hipervnculo"/>
            <w:lang w:val="en-US"/>
          </w:rPr>
          <w:t>Measure of Restitution</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_Toc448482281 \h </w:instrText>
        </w:r>
        <w:r w:rsidR="007B0DE4" w:rsidRPr="002433F3">
          <w:rPr>
            <w:webHidden/>
            <w:lang w:val="en-US"/>
          </w:rPr>
        </w:r>
        <w:r w:rsidR="007B0DE4" w:rsidRPr="002433F3">
          <w:rPr>
            <w:webHidden/>
            <w:lang w:val="en-US"/>
          </w:rPr>
          <w:fldChar w:fldCharType="separate"/>
        </w:r>
        <w:r w:rsidR="004E3508" w:rsidRPr="002433F3">
          <w:rPr>
            <w:noProof/>
            <w:webHidden/>
            <w:lang w:val="en-US"/>
          </w:rPr>
          <w:t>50</w:t>
        </w:r>
        <w:r w:rsidR="007B0DE4" w:rsidRPr="002433F3">
          <w:rPr>
            <w:webHidden/>
            <w:lang w:val="en-US"/>
          </w:rPr>
          <w:fldChar w:fldCharType="end"/>
        </w:r>
      </w:hyperlink>
    </w:p>
    <w:p w14:paraId="0B027423" w14:textId="77777777" w:rsidR="007B0DE4" w:rsidRPr="002433F3" w:rsidRDefault="0010152B" w:rsidP="007B0DE4">
      <w:pPr>
        <w:pStyle w:val="TDC2"/>
        <w:rPr>
          <w:rFonts w:ascii="Calibri" w:eastAsia="Times New Roman" w:hAnsi="Calibri" w:cs="Times New Roman"/>
          <w:smallCaps w:val="0"/>
          <w:sz w:val="22"/>
          <w:szCs w:val="22"/>
          <w:lang w:val="en-US" w:eastAsia="es-CR"/>
        </w:rPr>
      </w:pPr>
      <w:hyperlink w:anchor="_Toc448482282" w:history="1">
        <w:r w:rsidR="007B0DE4" w:rsidRPr="002433F3">
          <w:rPr>
            <w:rStyle w:val="Hipervnculo"/>
            <w:lang w:val="en-US"/>
          </w:rPr>
          <w:t>C.</w:t>
        </w:r>
        <w:r w:rsidR="007B0DE4" w:rsidRPr="002433F3">
          <w:rPr>
            <w:rFonts w:ascii="Calibri" w:eastAsia="Times New Roman" w:hAnsi="Calibri" w:cs="Times New Roman"/>
            <w:smallCaps w:val="0"/>
            <w:sz w:val="22"/>
            <w:szCs w:val="22"/>
            <w:lang w:val="en-US" w:eastAsia="es-CR"/>
          </w:rPr>
          <w:tab/>
        </w:r>
        <w:r w:rsidR="007B0DE4" w:rsidRPr="002433F3">
          <w:rPr>
            <w:rStyle w:val="Hipervnculo"/>
            <w:lang w:val="en-US"/>
          </w:rPr>
          <w:t xml:space="preserve">Measures of </w:t>
        </w:r>
        <w:r w:rsidR="007B0DE4" w:rsidRPr="002433F3">
          <w:rPr>
            <w:rStyle w:val="Hipervnculo"/>
            <w:lang w:val="en-US" w:eastAsia="es-ES"/>
          </w:rPr>
          <w:t xml:space="preserve"> Satisfaction</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_Toc448482282 \h </w:instrText>
        </w:r>
        <w:r w:rsidR="007B0DE4" w:rsidRPr="002433F3">
          <w:rPr>
            <w:webHidden/>
            <w:lang w:val="en-US"/>
          </w:rPr>
        </w:r>
        <w:r w:rsidR="007B0DE4" w:rsidRPr="002433F3">
          <w:rPr>
            <w:webHidden/>
            <w:lang w:val="en-US"/>
          </w:rPr>
          <w:fldChar w:fldCharType="separate"/>
        </w:r>
        <w:r w:rsidR="004E3508" w:rsidRPr="002433F3">
          <w:rPr>
            <w:noProof/>
            <w:webHidden/>
            <w:lang w:val="en-US"/>
          </w:rPr>
          <w:t>50</w:t>
        </w:r>
        <w:r w:rsidR="007B0DE4" w:rsidRPr="002433F3">
          <w:rPr>
            <w:webHidden/>
            <w:lang w:val="en-US"/>
          </w:rPr>
          <w:fldChar w:fldCharType="end"/>
        </w:r>
      </w:hyperlink>
    </w:p>
    <w:p w14:paraId="782E1E34" w14:textId="77777777" w:rsidR="007B0DE4" w:rsidRPr="002433F3" w:rsidRDefault="0010152B" w:rsidP="007B0DE4">
      <w:pPr>
        <w:pStyle w:val="TDC2"/>
        <w:rPr>
          <w:rFonts w:ascii="Calibri" w:eastAsia="Times New Roman" w:hAnsi="Calibri" w:cs="Times New Roman"/>
          <w:smallCaps w:val="0"/>
          <w:sz w:val="22"/>
          <w:szCs w:val="22"/>
          <w:lang w:val="en-US" w:eastAsia="es-CR"/>
        </w:rPr>
      </w:pPr>
      <w:hyperlink w:anchor="_Toc448482283" w:history="1">
        <w:r w:rsidR="007B0DE4" w:rsidRPr="002433F3">
          <w:rPr>
            <w:rStyle w:val="Hipervnculo"/>
            <w:lang w:val="en-US"/>
          </w:rPr>
          <w:t>D.</w:t>
        </w:r>
        <w:r w:rsidR="007B0DE4" w:rsidRPr="002433F3">
          <w:rPr>
            <w:rFonts w:ascii="Calibri" w:eastAsia="Times New Roman" w:hAnsi="Calibri" w:cs="Times New Roman"/>
            <w:smallCaps w:val="0"/>
            <w:sz w:val="22"/>
            <w:szCs w:val="22"/>
            <w:lang w:val="en-US" w:eastAsia="es-CR"/>
          </w:rPr>
          <w:tab/>
        </w:r>
        <w:r w:rsidR="007B0DE4" w:rsidRPr="002433F3">
          <w:rPr>
            <w:rStyle w:val="Hipervnculo"/>
            <w:lang w:val="en-US"/>
          </w:rPr>
          <w:t>Other</w:t>
        </w:r>
        <w:r w:rsidR="007B0DE4" w:rsidRPr="002433F3">
          <w:rPr>
            <w:rStyle w:val="Hipervnculo"/>
            <w:lang w:val="en-US" w:eastAsia="es-ES"/>
          </w:rPr>
          <w:t xml:space="preserve"> measures of  reparation requested</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_Toc448482283 \h </w:instrText>
        </w:r>
        <w:r w:rsidR="007B0DE4" w:rsidRPr="002433F3">
          <w:rPr>
            <w:webHidden/>
            <w:lang w:val="en-US"/>
          </w:rPr>
        </w:r>
        <w:r w:rsidR="007B0DE4" w:rsidRPr="002433F3">
          <w:rPr>
            <w:webHidden/>
            <w:lang w:val="en-US"/>
          </w:rPr>
          <w:fldChar w:fldCharType="separate"/>
        </w:r>
        <w:r w:rsidR="004E3508" w:rsidRPr="002433F3">
          <w:rPr>
            <w:noProof/>
            <w:webHidden/>
            <w:lang w:val="en-US"/>
          </w:rPr>
          <w:t>51</w:t>
        </w:r>
        <w:r w:rsidR="007B0DE4" w:rsidRPr="002433F3">
          <w:rPr>
            <w:webHidden/>
            <w:lang w:val="en-US"/>
          </w:rPr>
          <w:fldChar w:fldCharType="end"/>
        </w:r>
      </w:hyperlink>
    </w:p>
    <w:p w14:paraId="1C49B9A3" w14:textId="77777777" w:rsidR="007B0DE4" w:rsidRPr="002433F3" w:rsidRDefault="0010152B" w:rsidP="007B0DE4">
      <w:pPr>
        <w:pStyle w:val="TDC2"/>
        <w:rPr>
          <w:rFonts w:ascii="Calibri" w:eastAsia="Times New Roman" w:hAnsi="Calibri" w:cs="Times New Roman"/>
          <w:smallCaps w:val="0"/>
          <w:sz w:val="22"/>
          <w:szCs w:val="22"/>
          <w:lang w:val="en-US" w:eastAsia="es-CR"/>
        </w:rPr>
      </w:pPr>
      <w:hyperlink w:anchor="_Toc448482284" w:history="1">
        <w:r w:rsidR="007B0DE4" w:rsidRPr="002433F3">
          <w:rPr>
            <w:rStyle w:val="Hipervnculo"/>
            <w:lang w:val="en-US"/>
          </w:rPr>
          <w:t>E.</w:t>
        </w:r>
        <w:r w:rsidR="007B0DE4" w:rsidRPr="002433F3">
          <w:rPr>
            <w:rFonts w:ascii="Calibri" w:eastAsia="Times New Roman" w:hAnsi="Calibri" w:cs="Times New Roman"/>
            <w:smallCaps w:val="0"/>
            <w:sz w:val="22"/>
            <w:szCs w:val="22"/>
            <w:lang w:val="en-US" w:eastAsia="es-CR"/>
          </w:rPr>
          <w:tab/>
        </w:r>
        <w:r w:rsidR="007B0DE4" w:rsidRPr="002433F3">
          <w:rPr>
            <w:rStyle w:val="Hipervnculo"/>
            <w:lang w:val="en-US"/>
          </w:rPr>
          <w:t>Measure of rehabilitation</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_Toc448482284 \h </w:instrText>
        </w:r>
        <w:r w:rsidR="007B0DE4" w:rsidRPr="002433F3">
          <w:rPr>
            <w:webHidden/>
            <w:lang w:val="en-US"/>
          </w:rPr>
        </w:r>
        <w:r w:rsidR="007B0DE4" w:rsidRPr="002433F3">
          <w:rPr>
            <w:webHidden/>
            <w:lang w:val="en-US"/>
          </w:rPr>
          <w:fldChar w:fldCharType="separate"/>
        </w:r>
        <w:r w:rsidR="004E3508" w:rsidRPr="002433F3">
          <w:rPr>
            <w:noProof/>
            <w:webHidden/>
            <w:lang w:val="en-US"/>
          </w:rPr>
          <w:t>52</w:t>
        </w:r>
        <w:r w:rsidR="007B0DE4" w:rsidRPr="002433F3">
          <w:rPr>
            <w:webHidden/>
            <w:lang w:val="en-US"/>
          </w:rPr>
          <w:fldChar w:fldCharType="end"/>
        </w:r>
      </w:hyperlink>
    </w:p>
    <w:p w14:paraId="536368B9" w14:textId="77777777" w:rsidR="007B0DE4" w:rsidRPr="002433F3" w:rsidRDefault="0010152B" w:rsidP="007B0DE4">
      <w:pPr>
        <w:pStyle w:val="TDC2"/>
        <w:rPr>
          <w:rFonts w:ascii="Calibri" w:eastAsia="Times New Roman" w:hAnsi="Calibri" w:cs="Times New Roman"/>
          <w:smallCaps w:val="0"/>
          <w:sz w:val="22"/>
          <w:szCs w:val="22"/>
          <w:lang w:val="en-US" w:eastAsia="es-CR"/>
        </w:rPr>
      </w:pPr>
      <w:hyperlink w:anchor="_Toc448482285" w:history="1">
        <w:r w:rsidR="007B0DE4" w:rsidRPr="002433F3">
          <w:rPr>
            <w:rStyle w:val="Hipervnculo"/>
            <w:lang w:val="en-US" w:eastAsia="es-ES"/>
          </w:rPr>
          <w:t>F.</w:t>
        </w:r>
        <w:r w:rsidR="007B0DE4" w:rsidRPr="002433F3">
          <w:rPr>
            <w:rFonts w:ascii="Calibri" w:eastAsia="Times New Roman" w:hAnsi="Calibri" w:cs="Times New Roman"/>
            <w:smallCaps w:val="0"/>
            <w:sz w:val="22"/>
            <w:szCs w:val="22"/>
            <w:lang w:val="en-US" w:eastAsia="es-CR"/>
          </w:rPr>
          <w:tab/>
        </w:r>
        <w:r w:rsidR="007B0DE4" w:rsidRPr="002433F3">
          <w:rPr>
            <w:rStyle w:val="Hipervnculo"/>
            <w:lang w:val="en-US"/>
          </w:rPr>
          <w:t xml:space="preserve">Compensation for </w:t>
        </w:r>
        <w:r w:rsidR="007B0DE4" w:rsidRPr="002433F3">
          <w:rPr>
            <w:rStyle w:val="Hipervnculo"/>
            <w:lang w:val="en-US" w:eastAsia="es-ES"/>
          </w:rPr>
          <w:t>pecuniary and non-pecuniary damage</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_Toc448482285 \h </w:instrText>
        </w:r>
        <w:r w:rsidR="007B0DE4" w:rsidRPr="002433F3">
          <w:rPr>
            <w:webHidden/>
            <w:lang w:val="en-US"/>
          </w:rPr>
        </w:r>
        <w:r w:rsidR="007B0DE4" w:rsidRPr="002433F3">
          <w:rPr>
            <w:webHidden/>
            <w:lang w:val="en-US"/>
          </w:rPr>
          <w:fldChar w:fldCharType="separate"/>
        </w:r>
        <w:r w:rsidR="004E3508" w:rsidRPr="002433F3">
          <w:rPr>
            <w:noProof/>
            <w:webHidden/>
            <w:lang w:val="en-US"/>
          </w:rPr>
          <w:t>53</w:t>
        </w:r>
        <w:r w:rsidR="007B0DE4" w:rsidRPr="002433F3">
          <w:rPr>
            <w:webHidden/>
            <w:lang w:val="en-US"/>
          </w:rPr>
          <w:fldChar w:fldCharType="end"/>
        </w:r>
      </w:hyperlink>
    </w:p>
    <w:p w14:paraId="27B55820" w14:textId="77777777" w:rsidR="007B0DE4" w:rsidRPr="002433F3" w:rsidRDefault="0010152B" w:rsidP="007B0DE4">
      <w:pPr>
        <w:pStyle w:val="TDC3"/>
        <w:rPr>
          <w:rFonts w:ascii="Calibri" w:eastAsia="Times New Roman" w:hAnsi="Calibri" w:cs="Times New Roman"/>
          <w:sz w:val="22"/>
          <w:szCs w:val="22"/>
          <w:lang w:val="en-US" w:eastAsia="es-CR"/>
        </w:rPr>
      </w:pPr>
      <w:hyperlink w:anchor="_Toc448482286" w:history="1">
        <w:r w:rsidR="007B0DE4" w:rsidRPr="002433F3">
          <w:rPr>
            <w:rStyle w:val="Hipervnculo"/>
            <w:lang w:val="en-US" w:eastAsia="es-ES"/>
          </w:rPr>
          <w:t>F.1. Pecuniary damage</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_Toc448482286 \h </w:instrText>
        </w:r>
        <w:r w:rsidR="007B0DE4" w:rsidRPr="002433F3">
          <w:rPr>
            <w:webHidden/>
            <w:lang w:val="en-US"/>
          </w:rPr>
        </w:r>
        <w:r w:rsidR="007B0DE4" w:rsidRPr="002433F3">
          <w:rPr>
            <w:webHidden/>
            <w:lang w:val="en-US"/>
          </w:rPr>
          <w:fldChar w:fldCharType="separate"/>
        </w:r>
        <w:r w:rsidR="004E3508" w:rsidRPr="002433F3">
          <w:rPr>
            <w:noProof/>
            <w:webHidden/>
            <w:lang w:val="en-US"/>
          </w:rPr>
          <w:t>53</w:t>
        </w:r>
        <w:r w:rsidR="007B0DE4" w:rsidRPr="002433F3">
          <w:rPr>
            <w:webHidden/>
            <w:lang w:val="en-US"/>
          </w:rPr>
          <w:fldChar w:fldCharType="end"/>
        </w:r>
      </w:hyperlink>
    </w:p>
    <w:p w14:paraId="73029212" w14:textId="77777777" w:rsidR="007B0DE4" w:rsidRPr="002433F3" w:rsidRDefault="0010152B" w:rsidP="007B0DE4">
      <w:pPr>
        <w:pStyle w:val="TDC3"/>
        <w:rPr>
          <w:rFonts w:ascii="Calibri" w:eastAsia="Times New Roman" w:hAnsi="Calibri" w:cs="Times New Roman"/>
          <w:sz w:val="22"/>
          <w:szCs w:val="22"/>
          <w:lang w:val="en-US" w:eastAsia="es-CR"/>
        </w:rPr>
      </w:pPr>
      <w:hyperlink w:anchor="_Toc448482287" w:history="1">
        <w:r w:rsidR="007B0DE4" w:rsidRPr="002433F3">
          <w:rPr>
            <w:rStyle w:val="Hipervnculo"/>
            <w:lang w:val="en-US"/>
          </w:rPr>
          <w:t xml:space="preserve">F.2. </w:t>
        </w:r>
        <w:r w:rsidR="007B0DE4" w:rsidRPr="002433F3">
          <w:rPr>
            <w:rStyle w:val="Hipervnculo"/>
            <w:lang w:val="en-US" w:eastAsia="es-ES"/>
          </w:rPr>
          <w:t>Non-pecuniary damage</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_Toc448482287 \h </w:instrText>
        </w:r>
        <w:r w:rsidR="007B0DE4" w:rsidRPr="002433F3">
          <w:rPr>
            <w:webHidden/>
            <w:lang w:val="en-US"/>
          </w:rPr>
        </w:r>
        <w:r w:rsidR="007B0DE4" w:rsidRPr="002433F3">
          <w:rPr>
            <w:webHidden/>
            <w:lang w:val="en-US"/>
          </w:rPr>
          <w:fldChar w:fldCharType="separate"/>
        </w:r>
        <w:r w:rsidR="004E3508" w:rsidRPr="002433F3">
          <w:rPr>
            <w:noProof/>
            <w:webHidden/>
            <w:lang w:val="en-US"/>
          </w:rPr>
          <w:t>54</w:t>
        </w:r>
        <w:r w:rsidR="007B0DE4" w:rsidRPr="002433F3">
          <w:rPr>
            <w:webHidden/>
            <w:lang w:val="en-US"/>
          </w:rPr>
          <w:fldChar w:fldCharType="end"/>
        </w:r>
      </w:hyperlink>
    </w:p>
    <w:p w14:paraId="44AAC38F" w14:textId="77777777" w:rsidR="007B0DE4" w:rsidRPr="002433F3" w:rsidRDefault="0010152B" w:rsidP="007B0DE4">
      <w:pPr>
        <w:pStyle w:val="TDC2"/>
        <w:rPr>
          <w:rFonts w:ascii="Calibri" w:eastAsia="Times New Roman" w:hAnsi="Calibri" w:cs="Times New Roman"/>
          <w:smallCaps w:val="0"/>
          <w:sz w:val="22"/>
          <w:szCs w:val="22"/>
          <w:lang w:val="en-US" w:eastAsia="es-CR"/>
        </w:rPr>
      </w:pPr>
      <w:hyperlink w:anchor="_Toc448482288" w:history="1">
        <w:r w:rsidR="007B0DE4" w:rsidRPr="002433F3">
          <w:rPr>
            <w:rStyle w:val="Hipervnculo"/>
            <w:lang w:val="en-US"/>
          </w:rPr>
          <w:t>G.</w:t>
        </w:r>
        <w:r w:rsidR="007B0DE4" w:rsidRPr="002433F3">
          <w:rPr>
            <w:rFonts w:ascii="Calibri" w:eastAsia="Times New Roman" w:hAnsi="Calibri" w:cs="Times New Roman"/>
            <w:smallCaps w:val="0"/>
            <w:sz w:val="22"/>
            <w:szCs w:val="22"/>
            <w:lang w:val="en-US" w:eastAsia="es-CR"/>
          </w:rPr>
          <w:tab/>
        </w:r>
        <w:r w:rsidR="007B0DE4" w:rsidRPr="002433F3">
          <w:rPr>
            <w:rStyle w:val="Hipervnculo"/>
            <w:lang w:val="en-US"/>
          </w:rPr>
          <w:t>Costs and expenses</w:t>
        </w:r>
        <w:r w:rsidR="007B0DE4" w:rsidRPr="002433F3">
          <w:rPr>
            <w:webHidden/>
            <w:lang w:val="en-US"/>
          </w:rPr>
          <w:tab/>
        </w:r>
      </w:hyperlink>
    </w:p>
    <w:p w14:paraId="661D2B13" w14:textId="77777777" w:rsidR="007B0DE4" w:rsidRPr="002433F3" w:rsidRDefault="0010152B" w:rsidP="007B0DE4">
      <w:pPr>
        <w:pStyle w:val="TDC2"/>
        <w:rPr>
          <w:rFonts w:ascii="Calibri" w:eastAsia="Times New Roman" w:hAnsi="Calibri" w:cs="Times New Roman"/>
          <w:smallCaps w:val="0"/>
          <w:sz w:val="22"/>
          <w:szCs w:val="22"/>
          <w:lang w:val="en-US" w:eastAsia="es-CR"/>
        </w:rPr>
      </w:pPr>
      <w:hyperlink w:anchor="_Toc448482289" w:history="1">
        <w:r w:rsidR="007B0DE4" w:rsidRPr="002433F3">
          <w:rPr>
            <w:rStyle w:val="Hipervnculo"/>
            <w:lang w:val="en-US"/>
          </w:rPr>
          <w:t>H.</w:t>
        </w:r>
        <w:r w:rsidR="007B0DE4" w:rsidRPr="002433F3">
          <w:rPr>
            <w:rFonts w:ascii="Calibri" w:eastAsia="Times New Roman" w:hAnsi="Calibri" w:cs="Times New Roman"/>
            <w:smallCaps w:val="0"/>
            <w:sz w:val="22"/>
            <w:szCs w:val="22"/>
            <w:lang w:val="en-US" w:eastAsia="es-CR"/>
          </w:rPr>
          <w:tab/>
        </w:r>
        <w:r w:rsidR="007B0DE4" w:rsidRPr="002433F3">
          <w:rPr>
            <w:rStyle w:val="Hipervnculo"/>
            <w:lang w:val="en-US"/>
          </w:rPr>
          <w:t>Reimbursement of expenses to the Victims’ Legal Assistance Fund</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_Toc448482289 \h </w:instrText>
        </w:r>
        <w:r w:rsidR="007B0DE4" w:rsidRPr="002433F3">
          <w:rPr>
            <w:webHidden/>
            <w:lang w:val="en-US"/>
          </w:rPr>
        </w:r>
        <w:r w:rsidR="007B0DE4" w:rsidRPr="002433F3">
          <w:rPr>
            <w:webHidden/>
            <w:lang w:val="en-US"/>
          </w:rPr>
          <w:fldChar w:fldCharType="separate"/>
        </w:r>
        <w:r w:rsidR="004E3508" w:rsidRPr="002433F3">
          <w:rPr>
            <w:noProof/>
            <w:webHidden/>
            <w:lang w:val="en-US"/>
          </w:rPr>
          <w:t>56</w:t>
        </w:r>
        <w:r w:rsidR="007B0DE4" w:rsidRPr="002433F3">
          <w:rPr>
            <w:webHidden/>
            <w:lang w:val="en-US"/>
          </w:rPr>
          <w:fldChar w:fldCharType="end"/>
        </w:r>
      </w:hyperlink>
    </w:p>
    <w:p w14:paraId="080A67D9" w14:textId="77777777" w:rsidR="007B0DE4" w:rsidRPr="002433F3" w:rsidRDefault="0010152B" w:rsidP="007B0DE4">
      <w:pPr>
        <w:pStyle w:val="TDC2"/>
        <w:rPr>
          <w:rFonts w:ascii="Calibri" w:eastAsia="Times New Roman" w:hAnsi="Calibri" w:cs="Times New Roman"/>
          <w:smallCaps w:val="0"/>
          <w:sz w:val="22"/>
          <w:szCs w:val="22"/>
          <w:lang w:val="en-US" w:eastAsia="es-CR"/>
        </w:rPr>
      </w:pPr>
      <w:hyperlink w:anchor="_Toc448482290" w:history="1">
        <w:r w:rsidR="007B0DE4" w:rsidRPr="002433F3">
          <w:rPr>
            <w:rStyle w:val="Hipervnculo"/>
            <w:lang w:val="en-US"/>
          </w:rPr>
          <w:t>I.</w:t>
        </w:r>
        <w:r w:rsidR="007B0DE4" w:rsidRPr="002433F3">
          <w:rPr>
            <w:rFonts w:ascii="Calibri" w:eastAsia="Times New Roman" w:hAnsi="Calibri" w:cs="Times New Roman"/>
            <w:smallCaps w:val="0"/>
            <w:sz w:val="22"/>
            <w:szCs w:val="22"/>
            <w:lang w:val="en-US" w:eastAsia="es-CR"/>
          </w:rPr>
          <w:tab/>
        </w:r>
        <w:r w:rsidR="007B0DE4" w:rsidRPr="002433F3">
          <w:rPr>
            <w:rStyle w:val="Hipervnculo"/>
            <w:lang w:val="en-US"/>
          </w:rPr>
          <w:t>Method of compliance with the payments ordered</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_Toc448482290 \h </w:instrText>
        </w:r>
        <w:r w:rsidR="007B0DE4" w:rsidRPr="002433F3">
          <w:rPr>
            <w:webHidden/>
            <w:lang w:val="en-US"/>
          </w:rPr>
        </w:r>
        <w:r w:rsidR="007B0DE4" w:rsidRPr="002433F3">
          <w:rPr>
            <w:webHidden/>
            <w:lang w:val="en-US"/>
          </w:rPr>
          <w:fldChar w:fldCharType="separate"/>
        </w:r>
        <w:r w:rsidR="004E3508" w:rsidRPr="002433F3">
          <w:rPr>
            <w:noProof/>
            <w:webHidden/>
            <w:lang w:val="en-US"/>
          </w:rPr>
          <w:t>57</w:t>
        </w:r>
        <w:r w:rsidR="007B0DE4" w:rsidRPr="002433F3">
          <w:rPr>
            <w:webHidden/>
            <w:lang w:val="en-US"/>
          </w:rPr>
          <w:fldChar w:fldCharType="end"/>
        </w:r>
      </w:hyperlink>
    </w:p>
    <w:p w14:paraId="123EB18C" w14:textId="77777777" w:rsidR="007B0DE4" w:rsidRPr="002433F3" w:rsidRDefault="0010152B" w:rsidP="007B0DE4">
      <w:pPr>
        <w:pStyle w:val="TDC1"/>
        <w:rPr>
          <w:rFonts w:ascii="Calibri" w:eastAsia="Times New Roman" w:hAnsi="Calibri" w:cs="Times New Roman"/>
          <w:b w:val="0"/>
          <w:sz w:val="22"/>
          <w:szCs w:val="22"/>
          <w:lang w:val="en-US" w:eastAsia="es-CR"/>
        </w:rPr>
      </w:pPr>
      <w:hyperlink w:anchor="_Toc448482291" w:history="1">
        <w:r w:rsidR="007B0DE4" w:rsidRPr="002433F3">
          <w:rPr>
            <w:rStyle w:val="Hipervnculo"/>
            <w:lang w:val="en-US"/>
          </w:rPr>
          <w:t xml:space="preserve">X. </w:t>
        </w:r>
        <w:r w:rsidR="007B0DE4" w:rsidRPr="002433F3">
          <w:rPr>
            <w:rStyle w:val="Hipervnculo"/>
            <w:rFonts w:cs="Verdana"/>
            <w:lang w:val="en-US"/>
          </w:rPr>
          <w:t>OPERATIVE PARAGRAPHS</w:t>
        </w:r>
        <w:r w:rsidR="007B0DE4" w:rsidRPr="002433F3">
          <w:rPr>
            <w:webHidden/>
            <w:lang w:val="en-US"/>
          </w:rPr>
          <w:tab/>
        </w:r>
        <w:r w:rsidR="007B0DE4" w:rsidRPr="002433F3">
          <w:rPr>
            <w:webHidden/>
            <w:lang w:val="en-US"/>
          </w:rPr>
          <w:fldChar w:fldCharType="begin"/>
        </w:r>
        <w:r w:rsidR="007B0DE4" w:rsidRPr="002433F3">
          <w:rPr>
            <w:webHidden/>
            <w:lang w:val="en-US"/>
          </w:rPr>
          <w:instrText xml:space="preserve"> PAGEREF _Toc448482291 \h </w:instrText>
        </w:r>
        <w:r w:rsidR="007B0DE4" w:rsidRPr="002433F3">
          <w:rPr>
            <w:webHidden/>
            <w:lang w:val="en-US"/>
          </w:rPr>
        </w:r>
        <w:r w:rsidR="007B0DE4" w:rsidRPr="002433F3">
          <w:rPr>
            <w:webHidden/>
            <w:lang w:val="en-US"/>
          </w:rPr>
          <w:fldChar w:fldCharType="separate"/>
        </w:r>
        <w:r w:rsidR="004E3508" w:rsidRPr="002433F3">
          <w:rPr>
            <w:noProof/>
            <w:webHidden/>
            <w:lang w:val="en-US"/>
          </w:rPr>
          <w:t>57</w:t>
        </w:r>
        <w:r w:rsidR="007B0DE4" w:rsidRPr="002433F3">
          <w:rPr>
            <w:webHidden/>
            <w:lang w:val="en-US"/>
          </w:rPr>
          <w:fldChar w:fldCharType="end"/>
        </w:r>
      </w:hyperlink>
    </w:p>
    <w:p w14:paraId="0A2E06CE" w14:textId="77777777" w:rsidR="007B0DE4" w:rsidRPr="002433F3" w:rsidRDefault="007B0DE4" w:rsidP="007B0DE4">
      <w:pPr>
        <w:tabs>
          <w:tab w:val="right" w:leader="dot" w:pos="9848"/>
        </w:tabs>
        <w:spacing w:after="200" w:line="276" w:lineRule="auto"/>
        <w:ind w:right="107"/>
        <w:jc w:val="left"/>
        <w:rPr>
          <w:lang w:val="en-US"/>
        </w:rPr>
      </w:pPr>
      <w:r w:rsidRPr="002433F3">
        <w:rPr>
          <w:lang w:val="en-US"/>
        </w:rPr>
        <w:fldChar w:fldCharType="end"/>
      </w:r>
      <w:r w:rsidRPr="002433F3">
        <w:rPr>
          <w:lang w:val="en-US"/>
        </w:rPr>
        <w:br w:type="page"/>
      </w:r>
    </w:p>
    <w:p w14:paraId="22C7B021" w14:textId="77777777" w:rsidR="007B0DE4" w:rsidRPr="002433F3" w:rsidRDefault="007B0DE4" w:rsidP="007B0DE4">
      <w:pPr>
        <w:pStyle w:val="Ttulo1"/>
        <w:spacing w:before="460" w:after="460"/>
        <w:rPr>
          <w:noProof w:val="0"/>
          <w:lang w:val="en-US"/>
        </w:rPr>
      </w:pPr>
      <w:bookmarkStart w:id="0" w:name="_Toc369989729"/>
      <w:bookmarkStart w:id="1" w:name="_Toc448482240"/>
      <w:r w:rsidRPr="002433F3">
        <w:rPr>
          <w:noProof w:val="0"/>
          <w:lang w:val="en-US"/>
        </w:rPr>
        <w:lastRenderedPageBreak/>
        <w:t>I</w:t>
      </w:r>
      <w:bookmarkStart w:id="2" w:name="_Toc288744729"/>
      <w:r w:rsidRPr="002433F3">
        <w:rPr>
          <w:noProof w:val="0"/>
          <w:lang w:val="en-US"/>
        </w:rPr>
        <w:br/>
        <w:t xml:space="preserve">INTRODUCTION of the CASE and PURPOSE OF THE DISPUTE </w:t>
      </w:r>
      <w:bookmarkEnd w:id="0"/>
      <w:bookmarkEnd w:id="1"/>
      <w:bookmarkEnd w:id="2"/>
    </w:p>
    <w:p w14:paraId="61BCAAAB" w14:textId="77777777" w:rsidR="007B0DE4" w:rsidRPr="002433F3" w:rsidRDefault="007B0DE4" w:rsidP="007B0DE4">
      <w:pPr>
        <w:numPr>
          <w:ilvl w:val="0"/>
          <w:numId w:val="2"/>
        </w:numPr>
        <w:spacing w:before="120" w:after="120"/>
        <w:ind w:right="4"/>
        <w:rPr>
          <w:rFonts w:eastAsia="Calibri"/>
          <w:szCs w:val="20"/>
          <w:lang w:val="en-US"/>
        </w:rPr>
      </w:pPr>
      <w:r w:rsidRPr="002433F3">
        <w:rPr>
          <w:i/>
          <w:lang w:val="en-US"/>
        </w:rPr>
        <w:t>The case submitted to the Court.</w:t>
      </w:r>
      <w:r w:rsidR="00D33C9C" w:rsidRPr="002433F3">
        <w:rPr>
          <w:lang w:val="en-US"/>
        </w:rPr>
        <w:t xml:space="preserve"> </w:t>
      </w:r>
      <w:r w:rsidRPr="002433F3">
        <w:rPr>
          <w:lang w:val="en-US"/>
        </w:rPr>
        <w:t xml:space="preserve">On </w:t>
      </w:r>
      <w:r w:rsidRPr="002433F3">
        <w:rPr>
          <w:szCs w:val="20"/>
          <w:lang w:val="en-US"/>
        </w:rPr>
        <w:t>October 21, 2014</w:t>
      </w:r>
      <w:r w:rsidR="003E4D82" w:rsidRPr="002433F3">
        <w:rPr>
          <w:szCs w:val="20"/>
          <w:lang w:val="en-US"/>
        </w:rPr>
        <w:t>,</w:t>
      </w:r>
      <w:r w:rsidRPr="002433F3">
        <w:rPr>
          <w:szCs w:val="20"/>
          <w:lang w:val="en-US"/>
        </w:rPr>
        <w:t xml:space="preserve"> </w:t>
      </w:r>
      <w:r w:rsidR="003E4D82" w:rsidRPr="002433F3">
        <w:rPr>
          <w:szCs w:val="20"/>
          <w:lang w:val="en-US"/>
        </w:rPr>
        <w:t>the Inter-American Commission on</w:t>
      </w:r>
      <w:r w:rsidR="00FC016A" w:rsidRPr="002433F3">
        <w:rPr>
          <w:szCs w:val="20"/>
          <w:lang w:val="en-US"/>
        </w:rPr>
        <w:t xml:space="preserve"> Human Rights (hereinafter</w:t>
      </w:r>
      <w:r w:rsidRPr="002433F3">
        <w:rPr>
          <w:szCs w:val="20"/>
          <w:lang w:val="en-US"/>
        </w:rPr>
        <w:t xml:space="preserve"> “the Inter-American Commission” or “the Commission”) submitted to the jurisdiction of the Inter-American Court of Human Rights</w:t>
      </w:r>
      <w:r w:rsidRPr="002433F3">
        <w:rPr>
          <w:rFonts w:eastAsia="Calibri"/>
          <w:szCs w:val="20"/>
          <w:lang w:val="en-US"/>
        </w:rPr>
        <w:t xml:space="preserve"> </w:t>
      </w:r>
      <w:r w:rsidRPr="002433F3">
        <w:rPr>
          <w:szCs w:val="20"/>
          <w:lang w:val="en-US"/>
        </w:rPr>
        <w:t xml:space="preserve">the case of </w:t>
      </w:r>
      <w:r w:rsidRPr="002433F3">
        <w:rPr>
          <w:rFonts w:cs="Verdana"/>
          <w:i/>
          <w:szCs w:val="20"/>
          <w:lang w:val="en-US"/>
        </w:rPr>
        <w:t xml:space="preserve">Ángel Alberto Duque </w:t>
      </w:r>
      <w:r w:rsidRPr="002433F3">
        <w:rPr>
          <w:szCs w:val="20"/>
          <w:lang w:val="en-US"/>
        </w:rPr>
        <w:t>against the Republic of Colombia</w:t>
      </w:r>
      <w:r w:rsidRPr="002433F3">
        <w:rPr>
          <w:i/>
          <w:szCs w:val="20"/>
          <w:lang w:val="en-US"/>
        </w:rPr>
        <w:t xml:space="preserve"> </w:t>
      </w:r>
      <w:r w:rsidR="00FC016A" w:rsidRPr="002433F3">
        <w:rPr>
          <w:szCs w:val="20"/>
          <w:lang w:val="en-US"/>
        </w:rPr>
        <w:t>(hereinafter</w:t>
      </w:r>
      <w:r w:rsidRPr="002433F3">
        <w:rPr>
          <w:szCs w:val="20"/>
          <w:lang w:val="en-US"/>
        </w:rPr>
        <w:t xml:space="preserve"> “the State” or “Colombia”)</w:t>
      </w:r>
      <w:r w:rsidRPr="002433F3">
        <w:rPr>
          <w:i/>
          <w:szCs w:val="20"/>
          <w:lang w:val="en-US"/>
        </w:rPr>
        <w:t>.</w:t>
      </w:r>
      <w:r w:rsidRPr="002433F3">
        <w:rPr>
          <w:szCs w:val="20"/>
          <w:lang w:val="en-US"/>
        </w:rPr>
        <w:t xml:space="preserve"> </w:t>
      </w:r>
      <w:r w:rsidR="00FC016A" w:rsidRPr="002433F3">
        <w:rPr>
          <w:szCs w:val="20"/>
          <w:lang w:val="en-US"/>
        </w:rPr>
        <w:t>T</w:t>
      </w:r>
      <w:r w:rsidR="00FC016A" w:rsidRPr="002433F3">
        <w:rPr>
          <w:rFonts w:eastAsia="Calibri"/>
          <w:szCs w:val="20"/>
          <w:lang w:val="en-US"/>
        </w:rPr>
        <w:t>he Commission indicated that</w:t>
      </w:r>
      <w:r w:rsidRPr="002433F3">
        <w:rPr>
          <w:rFonts w:eastAsia="Calibri"/>
          <w:szCs w:val="20"/>
          <w:lang w:val="en-US"/>
        </w:rPr>
        <w:t xml:space="preserve"> the case concerns the alleged</w:t>
      </w:r>
      <w:r w:rsidRPr="002433F3">
        <w:rPr>
          <w:szCs w:val="20"/>
          <w:lang w:val="en-US"/>
        </w:rPr>
        <w:t xml:space="preserve"> international responsibility of Colombia for </w:t>
      </w:r>
      <w:r w:rsidR="00FC016A" w:rsidRPr="002433F3">
        <w:rPr>
          <w:szCs w:val="20"/>
          <w:lang w:val="en-US"/>
        </w:rPr>
        <w:t xml:space="preserve">allegedly denying </w:t>
      </w:r>
      <w:r w:rsidRPr="002433F3">
        <w:rPr>
          <w:rFonts w:eastAsia="Calibri"/>
          <w:szCs w:val="20"/>
          <w:lang w:val="en-US"/>
        </w:rPr>
        <w:t>Mr. Duque</w:t>
      </w:r>
      <w:r w:rsidR="00980F7D" w:rsidRPr="002433F3">
        <w:rPr>
          <w:rFonts w:eastAsia="Calibri"/>
          <w:szCs w:val="20"/>
          <w:lang w:val="en-US"/>
        </w:rPr>
        <w:t>’s claim to</w:t>
      </w:r>
      <w:r w:rsidRPr="002433F3">
        <w:rPr>
          <w:rFonts w:eastAsia="Calibri"/>
          <w:szCs w:val="20"/>
          <w:lang w:val="en-US"/>
        </w:rPr>
        <w:t xml:space="preserve"> </w:t>
      </w:r>
      <w:r w:rsidR="00980F7D" w:rsidRPr="002433F3">
        <w:rPr>
          <w:rFonts w:eastAsia="Calibri"/>
          <w:szCs w:val="20"/>
          <w:lang w:val="en-US"/>
        </w:rPr>
        <w:t>a</w:t>
      </w:r>
      <w:r w:rsidRPr="002433F3">
        <w:rPr>
          <w:rFonts w:eastAsia="Calibri"/>
          <w:szCs w:val="20"/>
          <w:lang w:val="en-US"/>
        </w:rPr>
        <w:t xml:space="preserve"> “survivor’s pension”</w:t>
      </w:r>
      <w:r w:rsidRPr="002433F3">
        <w:rPr>
          <w:rStyle w:val="Refdenotaalpie"/>
          <w:rFonts w:eastAsia="Calibri"/>
          <w:lang w:val="en-US"/>
        </w:rPr>
        <w:footnoteReference w:id="2"/>
      </w:r>
      <w:r w:rsidRPr="002433F3">
        <w:rPr>
          <w:rFonts w:eastAsia="Calibri"/>
          <w:szCs w:val="20"/>
          <w:lang w:val="en-US"/>
        </w:rPr>
        <w:t xml:space="preserve"> after the death of his partner, </w:t>
      </w:r>
      <w:r w:rsidR="00980F7D" w:rsidRPr="002433F3">
        <w:rPr>
          <w:rFonts w:eastAsia="Calibri"/>
          <w:szCs w:val="20"/>
          <w:lang w:val="en-US"/>
        </w:rPr>
        <w:t xml:space="preserve">supposedly </w:t>
      </w:r>
      <w:r w:rsidRPr="002433F3">
        <w:rPr>
          <w:rFonts w:eastAsia="Calibri"/>
          <w:szCs w:val="20"/>
          <w:lang w:val="en-US"/>
        </w:rPr>
        <w:t>b</w:t>
      </w:r>
      <w:r w:rsidR="00980F7D" w:rsidRPr="002433F3">
        <w:rPr>
          <w:rFonts w:eastAsia="Calibri"/>
          <w:szCs w:val="20"/>
          <w:lang w:val="en-US"/>
        </w:rPr>
        <w:t xml:space="preserve">ecause they </w:t>
      </w:r>
      <w:r w:rsidRPr="002433F3">
        <w:rPr>
          <w:rFonts w:eastAsia="Calibri"/>
          <w:szCs w:val="20"/>
          <w:lang w:val="en-US"/>
        </w:rPr>
        <w:t xml:space="preserve">were a same-sex couple. </w:t>
      </w:r>
      <w:r w:rsidR="003E4D82" w:rsidRPr="002433F3">
        <w:rPr>
          <w:rFonts w:eastAsia="Calibri"/>
          <w:szCs w:val="20"/>
          <w:lang w:val="en-US"/>
        </w:rPr>
        <w:t xml:space="preserve">The Commission also </w:t>
      </w:r>
      <w:r w:rsidRPr="002433F3">
        <w:rPr>
          <w:rFonts w:eastAsia="Calibri"/>
          <w:szCs w:val="20"/>
          <w:lang w:val="en-US"/>
        </w:rPr>
        <w:t xml:space="preserve">considered that </w:t>
      </w:r>
      <w:r w:rsidR="00980F7D" w:rsidRPr="002433F3">
        <w:rPr>
          <w:rFonts w:eastAsia="Calibri"/>
          <w:szCs w:val="20"/>
          <w:lang w:val="en-US"/>
        </w:rPr>
        <w:t xml:space="preserve">Mr. Duque was </w:t>
      </w:r>
      <w:r w:rsidR="00FC016A" w:rsidRPr="002433F3">
        <w:rPr>
          <w:rFonts w:eastAsia="Calibri"/>
          <w:szCs w:val="20"/>
          <w:lang w:val="en-US"/>
        </w:rPr>
        <w:t>the</w:t>
      </w:r>
      <w:r w:rsidRPr="002433F3">
        <w:rPr>
          <w:rFonts w:eastAsia="Calibri"/>
          <w:szCs w:val="20"/>
          <w:lang w:val="en-US"/>
        </w:rPr>
        <w:t xml:space="preserve"> victim of discrimination based on his sexual orientation</w:t>
      </w:r>
      <w:r w:rsidR="00FC016A" w:rsidRPr="002433F3">
        <w:rPr>
          <w:rFonts w:eastAsia="Calibri"/>
          <w:szCs w:val="20"/>
          <w:lang w:val="en-US"/>
        </w:rPr>
        <w:t xml:space="preserve">, given that the different treatment to which he was subjected was </w:t>
      </w:r>
      <w:r w:rsidR="00980F7D" w:rsidRPr="002433F3">
        <w:rPr>
          <w:rFonts w:eastAsia="Calibri"/>
          <w:szCs w:val="20"/>
          <w:lang w:val="en-US"/>
        </w:rPr>
        <w:t xml:space="preserve">based on </w:t>
      </w:r>
      <w:r w:rsidR="000130DC" w:rsidRPr="002433F3">
        <w:rPr>
          <w:rFonts w:eastAsia="Calibri"/>
          <w:szCs w:val="20"/>
          <w:lang w:val="en-US"/>
        </w:rPr>
        <w:t xml:space="preserve">a </w:t>
      </w:r>
      <w:r w:rsidR="00980F7D" w:rsidRPr="002433F3">
        <w:rPr>
          <w:rFonts w:eastAsia="Calibri"/>
          <w:szCs w:val="20"/>
          <w:lang w:val="en-US"/>
        </w:rPr>
        <w:t xml:space="preserve">narrow and stereotyped concept of family, which arbitrarily excluded </w:t>
      </w:r>
      <w:r w:rsidRPr="002433F3">
        <w:rPr>
          <w:rFonts w:eastAsia="Calibri"/>
          <w:szCs w:val="20"/>
          <w:lang w:val="en-US"/>
        </w:rPr>
        <w:t>diverse families</w:t>
      </w:r>
      <w:r w:rsidR="00980F7D" w:rsidRPr="002433F3">
        <w:rPr>
          <w:rFonts w:eastAsia="Calibri"/>
          <w:szCs w:val="20"/>
          <w:lang w:val="en-US"/>
        </w:rPr>
        <w:t>,</w:t>
      </w:r>
      <w:r w:rsidRPr="002433F3">
        <w:rPr>
          <w:rFonts w:eastAsia="Calibri"/>
          <w:szCs w:val="20"/>
          <w:lang w:val="en-US"/>
        </w:rPr>
        <w:t xml:space="preserve"> such as those </w:t>
      </w:r>
      <w:r w:rsidR="000130DC" w:rsidRPr="002433F3">
        <w:rPr>
          <w:rFonts w:eastAsia="Calibri"/>
          <w:szCs w:val="20"/>
          <w:lang w:val="en-US"/>
        </w:rPr>
        <w:t xml:space="preserve">formed by </w:t>
      </w:r>
      <w:r w:rsidRPr="002433F3">
        <w:rPr>
          <w:rFonts w:eastAsia="Calibri"/>
          <w:szCs w:val="20"/>
          <w:lang w:val="en-US"/>
        </w:rPr>
        <w:t xml:space="preserve">same-sex couples. </w:t>
      </w:r>
      <w:r w:rsidR="00980F7D" w:rsidRPr="002433F3">
        <w:rPr>
          <w:rFonts w:eastAsia="Calibri"/>
          <w:szCs w:val="20"/>
          <w:lang w:val="en-US"/>
        </w:rPr>
        <w:t>In addition</w:t>
      </w:r>
      <w:r w:rsidRPr="002433F3">
        <w:rPr>
          <w:rFonts w:eastAsia="Calibri"/>
          <w:szCs w:val="20"/>
          <w:lang w:val="en-US"/>
        </w:rPr>
        <w:t xml:space="preserve">, the Commission </w:t>
      </w:r>
      <w:r w:rsidR="00980F7D" w:rsidRPr="002433F3">
        <w:rPr>
          <w:rFonts w:eastAsia="Calibri"/>
          <w:szCs w:val="20"/>
          <w:lang w:val="en-US"/>
        </w:rPr>
        <w:t xml:space="preserve">determined </w:t>
      </w:r>
      <w:r w:rsidRPr="002433F3">
        <w:rPr>
          <w:rFonts w:eastAsia="Calibri"/>
          <w:szCs w:val="20"/>
          <w:lang w:val="en-US"/>
        </w:rPr>
        <w:t xml:space="preserve">that the </w:t>
      </w:r>
      <w:r w:rsidR="000130DC" w:rsidRPr="002433F3">
        <w:rPr>
          <w:rFonts w:eastAsia="Calibri"/>
          <w:szCs w:val="20"/>
          <w:lang w:val="en-US"/>
        </w:rPr>
        <w:t xml:space="preserve">State did not provide the </w:t>
      </w:r>
      <w:r w:rsidRPr="002433F3">
        <w:rPr>
          <w:rFonts w:eastAsia="Calibri"/>
          <w:szCs w:val="20"/>
          <w:lang w:val="en-US"/>
        </w:rPr>
        <w:t xml:space="preserve">alleged victim </w:t>
      </w:r>
      <w:r w:rsidR="000130DC" w:rsidRPr="002433F3">
        <w:rPr>
          <w:rFonts w:eastAsia="Calibri"/>
          <w:szCs w:val="20"/>
          <w:lang w:val="en-US"/>
        </w:rPr>
        <w:t xml:space="preserve">with </w:t>
      </w:r>
      <w:r w:rsidRPr="002433F3">
        <w:rPr>
          <w:rFonts w:eastAsia="Calibri"/>
          <w:szCs w:val="20"/>
          <w:lang w:val="en-US"/>
        </w:rPr>
        <w:t xml:space="preserve">an effective remedy </w:t>
      </w:r>
      <w:r w:rsidR="000130DC" w:rsidRPr="002433F3">
        <w:rPr>
          <w:rFonts w:eastAsia="Calibri"/>
          <w:szCs w:val="20"/>
          <w:lang w:val="en-US"/>
        </w:rPr>
        <w:t xml:space="preserve">to </w:t>
      </w:r>
      <w:r w:rsidR="00AD21EF" w:rsidRPr="002433F3">
        <w:rPr>
          <w:rFonts w:eastAsia="Calibri"/>
          <w:szCs w:val="20"/>
          <w:lang w:val="en-US"/>
        </w:rPr>
        <w:t xml:space="preserve">challenge </w:t>
      </w:r>
      <w:r w:rsidRPr="002433F3">
        <w:rPr>
          <w:rFonts w:eastAsia="Calibri"/>
          <w:szCs w:val="20"/>
          <w:lang w:val="en-US"/>
        </w:rPr>
        <w:t xml:space="preserve">the alleged violation and that, on the contrary, the </w:t>
      </w:r>
      <w:r w:rsidR="000130DC" w:rsidRPr="002433F3">
        <w:rPr>
          <w:rFonts w:eastAsia="Calibri"/>
          <w:szCs w:val="20"/>
          <w:lang w:val="en-US"/>
        </w:rPr>
        <w:t xml:space="preserve">rulings issued by the </w:t>
      </w:r>
      <w:r w:rsidRPr="002433F3">
        <w:rPr>
          <w:rFonts w:eastAsia="Calibri"/>
          <w:szCs w:val="20"/>
          <w:lang w:val="en-US"/>
        </w:rPr>
        <w:t xml:space="preserve">judicial authorities perpetuated </w:t>
      </w:r>
      <w:r w:rsidR="000130DC" w:rsidRPr="002433F3">
        <w:rPr>
          <w:rFonts w:eastAsia="Calibri"/>
          <w:szCs w:val="20"/>
          <w:lang w:val="en-US"/>
        </w:rPr>
        <w:t>the prejudice</w:t>
      </w:r>
      <w:r w:rsidRPr="002433F3">
        <w:rPr>
          <w:rFonts w:eastAsia="Calibri"/>
          <w:szCs w:val="20"/>
          <w:lang w:val="en-US"/>
        </w:rPr>
        <w:t xml:space="preserve"> and stigmatization of same-sex couples. Finally, </w:t>
      </w:r>
      <w:r w:rsidR="00AD21EF" w:rsidRPr="002433F3">
        <w:rPr>
          <w:rFonts w:eastAsia="Calibri"/>
          <w:szCs w:val="20"/>
          <w:lang w:val="en-US"/>
        </w:rPr>
        <w:t xml:space="preserve">the Commission </w:t>
      </w:r>
      <w:r w:rsidRPr="002433F3">
        <w:rPr>
          <w:rFonts w:eastAsia="Calibri"/>
          <w:szCs w:val="20"/>
          <w:lang w:val="en-US"/>
        </w:rPr>
        <w:t xml:space="preserve">concluded that, </w:t>
      </w:r>
      <w:r w:rsidR="00AD21EF" w:rsidRPr="002433F3">
        <w:rPr>
          <w:rFonts w:eastAsia="Calibri"/>
          <w:szCs w:val="20"/>
          <w:lang w:val="en-US"/>
        </w:rPr>
        <w:t>given</w:t>
      </w:r>
      <w:r w:rsidRPr="002433F3">
        <w:rPr>
          <w:rFonts w:eastAsia="Calibri"/>
          <w:szCs w:val="20"/>
          <w:lang w:val="en-US"/>
        </w:rPr>
        <w:t xml:space="preserve"> the </w:t>
      </w:r>
      <w:r w:rsidR="00AD21EF" w:rsidRPr="002433F3">
        <w:rPr>
          <w:rFonts w:eastAsia="Calibri"/>
          <w:szCs w:val="20"/>
          <w:lang w:val="en-US"/>
        </w:rPr>
        <w:t xml:space="preserve">alleged victim’s </w:t>
      </w:r>
      <w:r w:rsidRPr="002433F3">
        <w:rPr>
          <w:rFonts w:eastAsia="Calibri"/>
          <w:szCs w:val="20"/>
          <w:lang w:val="en-US"/>
        </w:rPr>
        <w:t>multiple factors of vulnerability</w:t>
      </w:r>
      <w:r w:rsidR="00AD21EF" w:rsidRPr="002433F3">
        <w:rPr>
          <w:rFonts w:eastAsia="Calibri"/>
          <w:szCs w:val="20"/>
          <w:lang w:val="en-US"/>
        </w:rPr>
        <w:t xml:space="preserve"> -</w:t>
      </w:r>
      <w:r w:rsidRPr="002433F3">
        <w:rPr>
          <w:rFonts w:eastAsia="Calibri"/>
          <w:szCs w:val="20"/>
          <w:lang w:val="en-US"/>
        </w:rPr>
        <w:t xml:space="preserve"> including his sexual orientation, being HIV positi</w:t>
      </w:r>
      <w:r w:rsidR="00AD21EF" w:rsidRPr="002433F3">
        <w:rPr>
          <w:rFonts w:eastAsia="Calibri"/>
          <w:szCs w:val="20"/>
          <w:lang w:val="en-US"/>
        </w:rPr>
        <w:t>ve, and his financial situation –</w:t>
      </w:r>
      <w:r w:rsidRPr="002433F3">
        <w:rPr>
          <w:rFonts w:eastAsia="Calibri"/>
          <w:szCs w:val="20"/>
          <w:lang w:val="en-US"/>
        </w:rPr>
        <w:t xml:space="preserve"> </w:t>
      </w:r>
      <w:r w:rsidR="00AD21EF" w:rsidRPr="002433F3">
        <w:rPr>
          <w:rFonts w:eastAsia="Calibri"/>
          <w:szCs w:val="20"/>
          <w:lang w:val="en-US"/>
        </w:rPr>
        <w:t xml:space="preserve">Mr. Duque’s right to </w:t>
      </w:r>
      <w:r w:rsidRPr="002433F3">
        <w:rPr>
          <w:rFonts w:eastAsia="Calibri"/>
          <w:szCs w:val="20"/>
          <w:lang w:val="en-US"/>
        </w:rPr>
        <w:t>personal integrity</w:t>
      </w:r>
      <w:r w:rsidR="00AD21EF" w:rsidRPr="002433F3">
        <w:rPr>
          <w:rFonts w:eastAsia="Calibri"/>
          <w:szCs w:val="20"/>
          <w:lang w:val="en-US"/>
        </w:rPr>
        <w:t xml:space="preserve"> was also impaired</w:t>
      </w:r>
      <w:r w:rsidRPr="002433F3">
        <w:rPr>
          <w:rFonts w:eastAsia="Calibri"/>
          <w:szCs w:val="20"/>
          <w:lang w:val="en-US"/>
        </w:rPr>
        <w:t xml:space="preserve">. </w:t>
      </w:r>
    </w:p>
    <w:p w14:paraId="1DEC434E" w14:textId="77777777" w:rsidR="007B0DE4" w:rsidRPr="002433F3" w:rsidRDefault="007B0DE4" w:rsidP="007B0DE4">
      <w:pPr>
        <w:numPr>
          <w:ilvl w:val="0"/>
          <w:numId w:val="2"/>
        </w:numPr>
        <w:spacing w:before="120" w:after="120"/>
        <w:ind w:right="4"/>
        <w:rPr>
          <w:lang w:val="en-US"/>
        </w:rPr>
      </w:pPr>
      <w:bookmarkStart w:id="3" w:name="_Ref363651855"/>
      <w:r w:rsidRPr="002433F3">
        <w:rPr>
          <w:i/>
          <w:lang w:val="en-US"/>
        </w:rPr>
        <w:t>Proce</w:t>
      </w:r>
      <w:r w:rsidR="00FC016A" w:rsidRPr="002433F3">
        <w:rPr>
          <w:i/>
          <w:lang w:val="en-US"/>
        </w:rPr>
        <w:t xml:space="preserve">dure before </w:t>
      </w:r>
      <w:r w:rsidRPr="002433F3">
        <w:rPr>
          <w:i/>
          <w:lang w:val="en-US"/>
        </w:rPr>
        <w:t xml:space="preserve">the Commission. </w:t>
      </w:r>
      <w:r w:rsidR="00AD21EF" w:rsidRPr="002433F3">
        <w:rPr>
          <w:lang w:val="en-US"/>
        </w:rPr>
        <w:t xml:space="preserve">The </w:t>
      </w:r>
      <w:r w:rsidRPr="002433F3">
        <w:rPr>
          <w:lang w:val="en-US"/>
        </w:rPr>
        <w:t>proce</w:t>
      </w:r>
      <w:r w:rsidR="00FC016A" w:rsidRPr="002433F3">
        <w:rPr>
          <w:lang w:val="en-US"/>
        </w:rPr>
        <w:t xml:space="preserve">dure </w:t>
      </w:r>
      <w:r w:rsidR="00AD21EF" w:rsidRPr="002433F3">
        <w:rPr>
          <w:lang w:val="en-US"/>
        </w:rPr>
        <w:t xml:space="preserve">before </w:t>
      </w:r>
      <w:r w:rsidRPr="002433F3">
        <w:rPr>
          <w:lang w:val="en-US"/>
        </w:rPr>
        <w:t>the Commission was as follows:</w:t>
      </w:r>
      <w:bookmarkEnd w:id="3"/>
    </w:p>
    <w:p w14:paraId="0BDED15E" w14:textId="77777777" w:rsidR="007B0DE4" w:rsidRPr="002433F3" w:rsidRDefault="00D33C9C" w:rsidP="007B0DE4">
      <w:pPr>
        <w:numPr>
          <w:ilvl w:val="1"/>
          <w:numId w:val="2"/>
        </w:numPr>
        <w:spacing w:before="120" w:after="120"/>
        <w:ind w:left="360" w:right="6" w:firstLine="357"/>
        <w:rPr>
          <w:lang w:val="en-US"/>
        </w:rPr>
      </w:pPr>
      <w:r w:rsidRPr="002433F3">
        <w:rPr>
          <w:i/>
          <w:szCs w:val="20"/>
          <w:lang w:val="en-US"/>
        </w:rPr>
        <w:t xml:space="preserve">Petition. </w:t>
      </w:r>
      <w:r w:rsidR="007B0DE4" w:rsidRPr="002433F3">
        <w:rPr>
          <w:szCs w:val="20"/>
          <w:lang w:val="en-US"/>
        </w:rPr>
        <w:t>On February 8, 2005</w:t>
      </w:r>
      <w:r w:rsidR="00AD21EF" w:rsidRPr="002433F3">
        <w:rPr>
          <w:szCs w:val="20"/>
          <w:lang w:val="en-US"/>
        </w:rPr>
        <w:t>,</w:t>
      </w:r>
      <w:r w:rsidR="007B0DE4" w:rsidRPr="002433F3">
        <w:rPr>
          <w:szCs w:val="20"/>
          <w:lang w:val="en-US"/>
        </w:rPr>
        <w:t xml:space="preserve"> the Commission r</w:t>
      </w:r>
      <w:r w:rsidR="00AD21EF" w:rsidRPr="002433F3">
        <w:rPr>
          <w:szCs w:val="20"/>
          <w:lang w:val="en-US"/>
        </w:rPr>
        <w:t xml:space="preserve">eceived a petition </w:t>
      </w:r>
      <w:r w:rsidR="00FC016A" w:rsidRPr="002433F3">
        <w:rPr>
          <w:szCs w:val="20"/>
          <w:lang w:val="en-US"/>
        </w:rPr>
        <w:t xml:space="preserve">submitted </w:t>
      </w:r>
      <w:r w:rsidR="00AD21EF" w:rsidRPr="002433F3">
        <w:rPr>
          <w:szCs w:val="20"/>
          <w:lang w:val="en-US"/>
        </w:rPr>
        <w:t xml:space="preserve">by the </w:t>
      </w:r>
      <w:r w:rsidR="007B0DE4" w:rsidRPr="002433F3">
        <w:rPr>
          <w:szCs w:val="20"/>
          <w:lang w:val="en-US"/>
        </w:rPr>
        <w:t xml:space="preserve">Colombian Commission of Jurists and </w:t>
      </w:r>
      <w:r w:rsidR="00FC016A" w:rsidRPr="002433F3">
        <w:rPr>
          <w:szCs w:val="20"/>
          <w:lang w:val="en-US"/>
        </w:rPr>
        <w:t xml:space="preserve">the attorney </w:t>
      </w:r>
      <w:r w:rsidR="007B0DE4" w:rsidRPr="002433F3">
        <w:rPr>
          <w:szCs w:val="20"/>
          <w:lang w:val="en-US"/>
        </w:rPr>
        <w:t>Germán Humberto Rincón Perfetti (hereinafter “the petitioners”).</w:t>
      </w:r>
    </w:p>
    <w:p w14:paraId="7E12C84E" w14:textId="77777777" w:rsidR="007B0DE4" w:rsidRPr="002433F3" w:rsidRDefault="007B0DE4" w:rsidP="007B0DE4">
      <w:pPr>
        <w:numPr>
          <w:ilvl w:val="1"/>
          <w:numId w:val="2"/>
        </w:numPr>
        <w:spacing w:before="120" w:after="120"/>
        <w:ind w:left="360" w:right="6" w:firstLine="357"/>
        <w:rPr>
          <w:lang w:val="en-US"/>
        </w:rPr>
      </w:pPr>
      <w:r w:rsidRPr="002433F3">
        <w:rPr>
          <w:i/>
          <w:szCs w:val="20"/>
          <w:lang w:val="en-US"/>
        </w:rPr>
        <w:t>Admissibility Report</w:t>
      </w:r>
      <w:r w:rsidRPr="002433F3">
        <w:rPr>
          <w:szCs w:val="20"/>
          <w:lang w:val="en-US"/>
        </w:rPr>
        <w:t xml:space="preserve">. </w:t>
      </w:r>
      <w:r w:rsidRPr="002433F3">
        <w:rPr>
          <w:lang w:val="en-US"/>
        </w:rPr>
        <w:t>On November 2, 2011</w:t>
      </w:r>
      <w:r w:rsidR="00AD21EF" w:rsidRPr="002433F3">
        <w:rPr>
          <w:lang w:val="en-US"/>
        </w:rPr>
        <w:t>,</w:t>
      </w:r>
      <w:r w:rsidRPr="002433F3">
        <w:rPr>
          <w:lang w:val="en-US"/>
        </w:rPr>
        <w:t xml:space="preserve"> the Commission a</w:t>
      </w:r>
      <w:r w:rsidR="00D4053E" w:rsidRPr="002433F3">
        <w:rPr>
          <w:lang w:val="en-US"/>
        </w:rPr>
        <w:t xml:space="preserve">dopted </w:t>
      </w:r>
      <w:r w:rsidRPr="002433F3">
        <w:rPr>
          <w:lang w:val="en-US"/>
        </w:rPr>
        <w:t>Admissibility Report N</w:t>
      </w:r>
      <w:r w:rsidRPr="002433F3">
        <w:rPr>
          <w:vertAlign w:val="superscript"/>
          <w:lang w:val="en-US"/>
        </w:rPr>
        <w:t>o</w:t>
      </w:r>
      <w:r w:rsidRPr="002433F3">
        <w:rPr>
          <w:lang w:val="en-US"/>
        </w:rPr>
        <w:t>. 150/11</w:t>
      </w:r>
      <w:r w:rsidR="001D09E6" w:rsidRPr="002433F3">
        <w:rPr>
          <w:lang w:val="en-US"/>
        </w:rPr>
        <w:t>.</w:t>
      </w:r>
      <w:r w:rsidRPr="002433F3">
        <w:rPr>
          <w:rStyle w:val="Refdenotaalpie"/>
          <w:lang w:val="en-US"/>
        </w:rPr>
        <w:footnoteReference w:id="3"/>
      </w:r>
      <w:r w:rsidRPr="002433F3">
        <w:rPr>
          <w:szCs w:val="20"/>
          <w:lang w:val="en-US"/>
        </w:rPr>
        <w:t xml:space="preserve"> </w:t>
      </w:r>
    </w:p>
    <w:p w14:paraId="319B4B47" w14:textId="77777777" w:rsidR="007B0DE4" w:rsidRPr="002433F3" w:rsidRDefault="00D4053E" w:rsidP="007B0DE4">
      <w:pPr>
        <w:numPr>
          <w:ilvl w:val="1"/>
          <w:numId w:val="2"/>
        </w:numPr>
        <w:spacing w:before="120" w:after="120"/>
        <w:ind w:left="360" w:right="6" w:firstLine="357"/>
        <w:rPr>
          <w:lang w:val="en-US"/>
        </w:rPr>
      </w:pPr>
      <w:r w:rsidRPr="002433F3">
        <w:rPr>
          <w:i/>
          <w:szCs w:val="20"/>
          <w:lang w:val="en-US"/>
        </w:rPr>
        <w:t xml:space="preserve">Merits </w:t>
      </w:r>
      <w:r w:rsidR="007B0DE4" w:rsidRPr="002433F3">
        <w:rPr>
          <w:i/>
          <w:szCs w:val="20"/>
          <w:lang w:val="en-US"/>
        </w:rPr>
        <w:t>Report</w:t>
      </w:r>
      <w:r w:rsidR="007B0DE4" w:rsidRPr="002433F3">
        <w:rPr>
          <w:szCs w:val="20"/>
          <w:lang w:val="en-US"/>
        </w:rPr>
        <w:t xml:space="preserve">. On </w:t>
      </w:r>
      <w:r w:rsidR="007B0DE4" w:rsidRPr="002433F3">
        <w:rPr>
          <w:lang w:val="en-US"/>
        </w:rPr>
        <w:t>April 2, 2014</w:t>
      </w:r>
      <w:r w:rsidR="00AD21EF" w:rsidRPr="002433F3">
        <w:rPr>
          <w:lang w:val="en-US"/>
        </w:rPr>
        <w:t xml:space="preserve">, the Commission </w:t>
      </w:r>
      <w:r w:rsidRPr="002433F3">
        <w:rPr>
          <w:lang w:val="en-US"/>
        </w:rPr>
        <w:t xml:space="preserve">adopted Merits </w:t>
      </w:r>
      <w:r w:rsidR="007B0DE4" w:rsidRPr="002433F3">
        <w:rPr>
          <w:lang w:val="en-US"/>
        </w:rPr>
        <w:t>Report N</w:t>
      </w:r>
      <w:r w:rsidR="007B0DE4" w:rsidRPr="002433F3">
        <w:rPr>
          <w:vertAlign w:val="superscript"/>
          <w:lang w:val="en-US"/>
        </w:rPr>
        <w:t xml:space="preserve">° </w:t>
      </w:r>
      <w:r w:rsidR="007B0DE4" w:rsidRPr="002433F3">
        <w:rPr>
          <w:lang w:val="en-US"/>
        </w:rPr>
        <w:t xml:space="preserve">5/14, </w:t>
      </w:r>
      <w:r w:rsidR="00AD21EF" w:rsidRPr="002433F3">
        <w:rPr>
          <w:lang w:val="en-US"/>
        </w:rPr>
        <w:t xml:space="preserve">pursuant to </w:t>
      </w:r>
      <w:r w:rsidR="007B0DE4" w:rsidRPr="002433F3">
        <w:rPr>
          <w:lang w:val="en-US"/>
        </w:rPr>
        <w:t xml:space="preserve">Article 50 of the Convention, in which it reached a series of conclusions and </w:t>
      </w:r>
      <w:r w:rsidR="00AD21EF" w:rsidRPr="002433F3">
        <w:rPr>
          <w:lang w:val="en-US"/>
        </w:rPr>
        <w:t>made several recommendations to the</w:t>
      </w:r>
      <w:r w:rsidR="007B0DE4" w:rsidRPr="002433F3">
        <w:rPr>
          <w:lang w:val="en-US"/>
        </w:rPr>
        <w:t xml:space="preserve"> State:</w:t>
      </w:r>
    </w:p>
    <w:p w14:paraId="2DA3AED9" w14:textId="77777777" w:rsidR="007B0DE4" w:rsidRPr="002433F3" w:rsidRDefault="007B0DE4" w:rsidP="007B0DE4">
      <w:pPr>
        <w:pStyle w:val="Estilo1"/>
        <w:numPr>
          <w:ilvl w:val="2"/>
          <w:numId w:val="2"/>
        </w:numPr>
        <w:spacing w:before="120"/>
        <w:ind w:left="1349" w:hanging="181"/>
        <w:rPr>
          <w:i w:val="0"/>
          <w:noProof w:val="0"/>
          <w:lang w:val="en-US"/>
        </w:rPr>
      </w:pPr>
      <w:r w:rsidRPr="002433F3">
        <w:rPr>
          <w:noProof w:val="0"/>
          <w:lang w:val="en-US"/>
        </w:rPr>
        <w:t xml:space="preserve">Conclusions. </w:t>
      </w:r>
      <w:r w:rsidRPr="002433F3">
        <w:rPr>
          <w:i w:val="0"/>
          <w:noProof w:val="0"/>
          <w:lang w:val="en-US"/>
        </w:rPr>
        <w:t xml:space="preserve">The Commission concluded that the State </w:t>
      </w:r>
      <w:r w:rsidR="0003136D" w:rsidRPr="002433F3">
        <w:rPr>
          <w:i w:val="0"/>
          <w:noProof w:val="0"/>
          <w:lang w:val="en-US"/>
        </w:rPr>
        <w:t>of Colombia was responsible for</w:t>
      </w:r>
      <w:r w:rsidRPr="002433F3">
        <w:rPr>
          <w:i w:val="0"/>
          <w:noProof w:val="0"/>
          <w:lang w:val="en-US"/>
        </w:rPr>
        <w:t xml:space="preserve"> the  violation of the following rights established in the American Convention:</w:t>
      </w:r>
    </w:p>
    <w:p w14:paraId="7B777C51" w14:textId="77777777" w:rsidR="007B0DE4" w:rsidRPr="002433F3" w:rsidRDefault="007B0DE4" w:rsidP="007B0DE4">
      <w:pPr>
        <w:numPr>
          <w:ilvl w:val="0"/>
          <w:numId w:val="3"/>
        </w:numPr>
        <w:spacing w:before="120" w:after="120"/>
        <w:ind w:left="1071" w:right="6" w:hanging="357"/>
        <w:rPr>
          <w:rFonts w:eastAsia="Calibri" w:cs="Arial"/>
          <w:sz w:val="16"/>
          <w:szCs w:val="16"/>
          <w:lang w:val="en-US"/>
        </w:rPr>
      </w:pPr>
      <w:r w:rsidRPr="002433F3">
        <w:rPr>
          <w:rFonts w:eastAsia="Calibri" w:cs="Arial"/>
          <w:sz w:val="16"/>
          <w:szCs w:val="16"/>
          <w:lang w:val="en-US"/>
        </w:rPr>
        <w:t>The right to personal inte</w:t>
      </w:r>
      <w:r w:rsidR="0003136D" w:rsidRPr="002433F3">
        <w:rPr>
          <w:rFonts w:eastAsia="Calibri" w:cs="Arial"/>
          <w:sz w:val="16"/>
          <w:szCs w:val="16"/>
          <w:lang w:val="en-US"/>
        </w:rPr>
        <w:t>grity, established in Article 5(</w:t>
      </w:r>
      <w:r w:rsidRPr="002433F3">
        <w:rPr>
          <w:rFonts w:eastAsia="Calibri" w:cs="Arial"/>
          <w:sz w:val="16"/>
          <w:szCs w:val="16"/>
          <w:lang w:val="en-US"/>
        </w:rPr>
        <w:t>1</w:t>
      </w:r>
      <w:r w:rsidR="0003136D" w:rsidRPr="002433F3">
        <w:rPr>
          <w:rFonts w:eastAsia="Calibri" w:cs="Arial"/>
          <w:sz w:val="16"/>
          <w:szCs w:val="16"/>
          <w:lang w:val="en-US"/>
        </w:rPr>
        <w:t xml:space="preserve">), in relation to </w:t>
      </w:r>
      <w:r w:rsidRPr="002433F3">
        <w:rPr>
          <w:rFonts w:eastAsia="Calibri" w:cs="Arial"/>
          <w:sz w:val="16"/>
          <w:szCs w:val="16"/>
          <w:lang w:val="en-US"/>
        </w:rPr>
        <w:t xml:space="preserve">Article 1(1) of the American Convention, to the detriment of Ángel Alberto Duque; </w:t>
      </w:r>
    </w:p>
    <w:p w14:paraId="31E92630" w14:textId="77777777" w:rsidR="007B0DE4" w:rsidRPr="002433F3" w:rsidRDefault="007B0DE4" w:rsidP="007B0DE4">
      <w:pPr>
        <w:numPr>
          <w:ilvl w:val="0"/>
          <w:numId w:val="3"/>
        </w:numPr>
        <w:spacing w:before="120" w:after="120"/>
        <w:ind w:left="1071" w:right="6" w:hanging="357"/>
        <w:rPr>
          <w:rFonts w:eastAsia="Calibri" w:cs="Arial"/>
          <w:sz w:val="16"/>
          <w:szCs w:val="16"/>
          <w:lang w:val="en-US"/>
        </w:rPr>
      </w:pPr>
      <w:r w:rsidRPr="002433F3">
        <w:rPr>
          <w:rFonts w:eastAsia="Calibri" w:cs="Arial"/>
          <w:sz w:val="16"/>
          <w:szCs w:val="16"/>
          <w:lang w:val="en-US"/>
        </w:rPr>
        <w:t>The rights to judicial guarantees and judicial protection, established in Articles 8(1) and 25, in relation to Article 1(1) of the American Convention, to the detriment of  Ángel Alberto Duque, and</w:t>
      </w:r>
    </w:p>
    <w:p w14:paraId="586AD587" w14:textId="77777777" w:rsidR="007B0DE4" w:rsidRPr="002433F3" w:rsidRDefault="007B0DE4" w:rsidP="007B0DE4">
      <w:pPr>
        <w:numPr>
          <w:ilvl w:val="0"/>
          <w:numId w:val="3"/>
        </w:numPr>
        <w:spacing w:before="120" w:after="120"/>
        <w:ind w:left="1071" w:right="6" w:hanging="357"/>
        <w:rPr>
          <w:rFonts w:eastAsia="Calibri" w:cs="Arial"/>
          <w:sz w:val="16"/>
          <w:szCs w:val="16"/>
          <w:lang w:val="en-US"/>
        </w:rPr>
      </w:pPr>
      <w:r w:rsidRPr="002433F3">
        <w:rPr>
          <w:rFonts w:eastAsia="Calibri" w:cs="Arial"/>
          <w:sz w:val="16"/>
          <w:szCs w:val="16"/>
          <w:lang w:val="en-US"/>
        </w:rPr>
        <w:t>The principle</w:t>
      </w:r>
      <w:r w:rsidR="001D09E6" w:rsidRPr="002433F3">
        <w:rPr>
          <w:rFonts w:eastAsia="Calibri" w:cs="Arial"/>
          <w:sz w:val="16"/>
          <w:szCs w:val="16"/>
          <w:lang w:val="en-US"/>
        </w:rPr>
        <w:t>s</w:t>
      </w:r>
      <w:r w:rsidRPr="002433F3">
        <w:rPr>
          <w:rFonts w:eastAsia="Calibri" w:cs="Arial"/>
          <w:sz w:val="16"/>
          <w:szCs w:val="16"/>
          <w:lang w:val="en-US"/>
        </w:rPr>
        <w:t xml:space="preserve"> of equality and non-discrimination, established in Article 24, in relation to Articles 1(1) and 2 of the American Convention, to the detriment of Ángel Alberto Duque. </w:t>
      </w:r>
    </w:p>
    <w:p w14:paraId="158E90EF" w14:textId="77777777" w:rsidR="007B0DE4" w:rsidRPr="002433F3" w:rsidRDefault="007B0DE4" w:rsidP="007B0DE4">
      <w:pPr>
        <w:pStyle w:val="Estilo1"/>
        <w:numPr>
          <w:ilvl w:val="2"/>
          <w:numId w:val="2"/>
        </w:numPr>
        <w:spacing w:before="120"/>
        <w:ind w:left="1349" w:hanging="181"/>
        <w:rPr>
          <w:i w:val="0"/>
          <w:noProof w:val="0"/>
          <w:lang w:val="en-US"/>
        </w:rPr>
      </w:pPr>
      <w:r w:rsidRPr="002433F3">
        <w:rPr>
          <w:noProof w:val="0"/>
          <w:lang w:val="en-US"/>
        </w:rPr>
        <w:t xml:space="preserve">Recommendations. </w:t>
      </w:r>
      <w:r w:rsidRPr="002433F3">
        <w:rPr>
          <w:i w:val="0"/>
          <w:noProof w:val="0"/>
          <w:lang w:val="en-US"/>
        </w:rPr>
        <w:t xml:space="preserve">The Commission </w:t>
      </w:r>
      <w:r w:rsidR="001D09E6" w:rsidRPr="002433F3">
        <w:rPr>
          <w:i w:val="0"/>
          <w:noProof w:val="0"/>
          <w:lang w:val="en-US"/>
        </w:rPr>
        <w:t>made the following recommendations</w:t>
      </w:r>
      <w:r w:rsidRPr="002433F3">
        <w:rPr>
          <w:i w:val="0"/>
          <w:noProof w:val="0"/>
          <w:lang w:val="en-US"/>
        </w:rPr>
        <w:t xml:space="preserve"> to the State: </w:t>
      </w:r>
    </w:p>
    <w:p w14:paraId="195AE217" w14:textId="77777777" w:rsidR="007B0DE4" w:rsidRPr="002433F3" w:rsidRDefault="00B541D5" w:rsidP="007B0DE4">
      <w:pPr>
        <w:numPr>
          <w:ilvl w:val="0"/>
          <w:numId w:val="3"/>
        </w:numPr>
        <w:spacing w:before="120" w:after="120"/>
        <w:ind w:left="1071" w:right="6" w:hanging="357"/>
        <w:rPr>
          <w:sz w:val="16"/>
          <w:szCs w:val="16"/>
          <w:lang w:val="en-US"/>
        </w:rPr>
      </w:pPr>
      <w:r w:rsidRPr="002433F3">
        <w:rPr>
          <w:sz w:val="16"/>
          <w:szCs w:val="16"/>
          <w:lang w:val="en-US"/>
        </w:rPr>
        <w:lastRenderedPageBreak/>
        <w:t>Make adequate reparation</w:t>
      </w:r>
      <w:r w:rsidR="007B0DE4" w:rsidRPr="002433F3">
        <w:rPr>
          <w:sz w:val="16"/>
          <w:szCs w:val="16"/>
          <w:lang w:val="en-US"/>
        </w:rPr>
        <w:t xml:space="preserve"> to Mr. Ángel Alberto Duque for the human rights violations declared in this report, including pec</w:t>
      </w:r>
      <w:r w:rsidR="004E3508" w:rsidRPr="002433F3">
        <w:rPr>
          <w:sz w:val="16"/>
          <w:szCs w:val="16"/>
          <w:lang w:val="en-US"/>
        </w:rPr>
        <w:t>uniary and non-pecuniary damage</w:t>
      </w:r>
      <w:r w:rsidR="007B0DE4" w:rsidRPr="002433F3">
        <w:rPr>
          <w:sz w:val="16"/>
          <w:szCs w:val="16"/>
          <w:lang w:val="en-US"/>
        </w:rPr>
        <w:t xml:space="preserve">. Such reparation should at least include the granting of the survivor’s pension and </w:t>
      </w:r>
      <w:r w:rsidRPr="002433F3">
        <w:rPr>
          <w:sz w:val="16"/>
          <w:szCs w:val="16"/>
          <w:lang w:val="en-US"/>
        </w:rPr>
        <w:t>just compensation. Furthermore, the S</w:t>
      </w:r>
      <w:r w:rsidR="007B0DE4" w:rsidRPr="002433F3">
        <w:rPr>
          <w:sz w:val="16"/>
          <w:szCs w:val="16"/>
          <w:lang w:val="en-US"/>
        </w:rPr>
        <w:t>tate should provide uninterrupted access to the health</w:t>
      </w:r>
      <w:r w:rsidRPr="002433F3">
        <w:rPr>
          <w:sz w:val="16"/>
          <w:szCs w:val="16"/>
          <w:lang w:val="en-US"/>
        </w:rPr>
        <w:t>care</w:t>
      </w:r>
      <w:r w:rsidR="007B0DE4" w:rsidRPr="002433F3">
        <w:rPr>
          <w:sz w:val="16"/>
          <w:szCs w:val="16"/>
          <w:lang w:val="en-US"/>
        </w:rPr>
        <w:t xml:space="preserve"> services and treatment that he requires as a person living with HIV; </w:t>
      </w:r>
    </w:p>
    <w:p w14:paraId="4EA047D9" w14:textId="77777777" w:rsidR="007B0DE4" w:rsidRPr="002433F3" w:rsidRDefault="00B541D5" w:rsidP="007B0DE4">
      <w:pPr>
        <w:numPr>
          <w:ilvl w:val="0"/>
          <w:numId w:val="3"/>
        </w:numPr>
        <w:spacing w:before="120" w:after="120"/>
        <w:ind w:left="1071" w:right="6" w:hanging="357"/>
        <w:rPr>
          <w:sz w:val="16"/>
          <w:szCs w:val="16"/>
          <w:lang w:val="en-US"/>
        </w:rPr>
      </w:pPr>
      <w:r w:rsidRPr="002433F3">
        <w:rPr>
          <w:sz w:val="16"/>
          <w:szCs w:val="16"/>
          <w:lang w:val="en-US"/>
        </w:rPr>
        <w:t>Take any</w:t>
      </w:r>
      <w:r w:rsidR="007B0DE4" w:rsidRPr="002433F3">
        <w:rPr>
          <w:sz w:val="16"/>
          <w:szCs w:val="16"/>
          <w:lang w:val="en-US"/>
        </w:rPr>
        <w:t xml:space="preserve"> necessary measures that may still be </w:t>
      </w:r>
      <w:r w:rsidR="004E3508" w:rsidRPr="002433F3">
        <w:rPr>
          <w:sz w:val="16"/>
          <w:szCs w:val="16"/>
          <w:lang w:val="en-US"/>
        </w:rPr>
        <w:t xml:space="preserve">required </w:t>
      </w:r>
      <w:r w:rsidR="007B0DE4" w:rsidRPr="002433F3">
        <w:rPr>
          <w:sz w:val="16"/>
          <w:szCs w:val="16"/>
          <w:lang w:val="en-US"/>
        </w:rPr>
        <w:t>to ensure the no</w:t>
      </w:r>
      <w:r w:rsidR="001D09E6" w:rsidRPr="002433F3">
        <w:rPr>
          <w:sz w:val="16"/>
          <w:szCs w:val="16"/>
          <w:lang w:val="en-US"/>
        </w:rPr>
        <w:t>n-repetition of the facts of this</w:t>
      </w:r>
      <w:r w:rsidR="007B0DE4" w:rsidRPr="002433F3">
        <w:rPr>
          <w:sz w:val="16"/>
          <w:szCs w:val="16"/>
          <w:lang w:val="en-US"/>
        </w:rPr>
        <w:t xml:space="preserve"> case. In particular, the State should adopt the necessary measures so that all judicial decisions issued in Colombia subsequent to the facts of the present case, which have recognized the right to survivor’s pension for same-sex couples —and determined that cases which </w:t>
      </w:r>
      <w:r w:rsidR="001D09E6" w:rsidRPr="002433F3">
        <w:rPr>
          <w:sz w:val="16"/>
          <w:szCs w:val="16"/>
          <w:lang w:val="en-US"/>
        </w:rPr>
        <w:t xml:space="preserve">preceded </w:t>
      </w:r>
      <w:r w:rsidR="007B0DE4" w:rsidRPr="002433F3">
        <w:rPr>
          <w:sz w:val="16"/>
          <w:szCs w:val="16"/>
          <w:lang w:val="en-US"/>
        </w:rPr>
        <w:t>those decisions also benefited from their effects— are fully complied with;</w:t>
      </w:r>
    </w:p>
    <w:p w14:paraId="75F13236" w14:textId="77777777" w:rsidR="007B0DE4" w:rsidRPr="002433F3" w:rsidRDefault="007B0DE4" w:rsidP="007B0DE4">
      <w:pPr>
        <w:numPr>
          <w:ilvl w:val="0"/>
          <w:numId w:val="3"/>
        </w:numPr>
        <w:spacing w:before="120" w:after="120"/>
        <w:ind w:left="1071" w:right="6" w:hanging="357"/>
        <w:rPr>
          <w:sz w:val="16"/>
          <w:szCs w:val="16"/>
          <w:lang w:val="en-US"/>
        </w:rPr>
      </w:pPr>
      <w:r w:rsidRPr="002433F3">
        <w:rPr>
          <w:sz w:val="16"/>
          <w:szCs w:val="16"/>
          <w:lang w:val="en-US"/>
        </w:rPr>
        <w:t>Take the necessary measures to ensure that the personnel of social security agencies, both in the private and public sphere, receive adequate training to accept and process requests of persons who are living or have lived as a same-sex couple, in accordance with the domestic legal system, and</w:t>
      </w:r>
    </w:p>
    <w:p w14:paraId="41202E6A" w14:textId="77777777" w:rsidR="007B0DE4" w:rsidRPr="002433F3" w:rsidRDefault="007B0DE4" w:rsidP="007B0DE4">
      <w:pPr>
        <w:numPr>
          <w:ilvl w:val="0"/>
          <w:numId w:val="3"/>
        </w:numPr>
        <w:spacing w:before="120" w:after="120"/>
        <w:ind w:left="1071" w:right="6" w:hanging="357"/>
        <w:rPr>
          <w:sz w:val="16"/>
          <w:szCs w:val="16"/>
          <w:lang w:val="en-US"/>
        </w:rPr>
      </w:pPr>
      <w:r w:rsidRPr="002433F3">
        <w:rPr>
          <w:sz w:val="16"/>
          <w:szCs w:val="16"/>
          <w:lang w:val="en-US"/>
        </w:rPr>
        <w:t xml:space="preserve">Take the necessary measures to ensure that same-sex couples are not discriminated against when </w:t>
      </w:r>
      <w:r w:rsidR="0095552B" w:rsidRPr="002433F3">
        <w:rPr>
          <w:sz w:val="16"/>
          <w:szCs w:val="16"/>
          <w:lang w:val="en-US"/>
        </w:rPr>
        <w:t xml:space="preserve">attempting </w:t>
      </w:r>
      <w:r w:rsidRPr="002433F3">
        <w:rPr>
          <w:sz w:val="16"/>
          <w:szCs w:val="16"/>
          <w:lang w:val="en-US"/>
        </w:rPr>
        <w:t>to access social security services and, in particular, that they are allowed to prese</w:t>
      </w:r>
      <w:r w:rsidR="001D09E6" w:rsidRPr="002433F3">
        <w:rPr>
          <w:sz w:val="16"/>
          <w:szCs w:val="16"/>
          <w:lang w:val="en-US"/>
        </w:rPr>
        <w:t xml:space="preserve">nt the same evidence </w:t>
      </w:r>
      <w:r w:rsidR="0095552B" w:rsidRPr="002433F3">
        <w:rPr>
          <w:sz w:val="16"/>
          <w:szCs w:val="16"/>
          <w:lang w:val="en-US"/>
        </w:rPr>
        <w:t xml:space="preserve">mandated for </w:t>
      </w:r>
      <w:r w:rsidRPr="002433F3">
        <w:rPr>
          <w:sz w:val="16"/>
          <w:szCs w:val="16"/>
          <w:lang w:val="en-US"/>
        </w:rPr>
        <w:t>other couples, in accordance with the domestic legal system.</w:t>
      </w:r>
    </w:p>
    <w:p w14:paraId="0AA16876" w14:textId="77777777" w:rsidR="007B0DE4" w:rsidRPr="002433F3" w:rsidRDefault="007B0DE4" w:rsidP="007B0DE4">
      <w:pPr>
        <w:numPr>
          <w:ilvl w:val="1"/>
          <w:numId w:val="2"/>
        </w:numPr>
        <w:spacing w:before="120" w:after="120"/>
        <w:ind w:left="357" w:right="6" w:firstLine="357"/>
        <w:rPr>
          <w:lang w:val="en-US"/>
        </w:rPr>
      </w:pPr>
      <w:r w:rsidRPr="002433F3">
        <w:rPr>
          <w:i/>
          <w:lang w:val="en-US"/>
        </w:rPr>
        <w:t xml:space="preserve">Notification to the State. </w:t>
      </w:r>
      <w:r w:rsidR="00651A28" w:rsidRPr="002433F3">
        <w:rPr>
          <w:lang w:val="en-US"/>
        </w:rPr>
        <w:t>On April 21, 2014, t</w:t>
      </w:r>
      <w:r w:rsidRPr="002433F3">
        <w:rPr>
          <w:lang w:val="en-US"/>
        </w:rPr>
        <w:t>he Merits Report was notified to the State</w:t>
      </w:r>
      <w:r w:rsidR="00395E97" w:rsidRPr="002433F3">
        <w:rPr>
          <w:lang w:val="en-US"/>
        </w:rPr>
        <w:t>,</w:t>
      </w:r>
      <w:r w:rsidRPr="002433F3">
        <w:rPr>
          <w:lang w:val="en-US"/>
        </w:rPr>
        <w:t xml:space="preserve"> which was granted a period of two months to </w:t>
      </w:r>
      <w:r w:rsidR="004E3508" w:rsidRPr="002433F3">
        <w:rPr>
          <w:lang w:val="en-US"/>
        </w:rPr>
        <w:t xml:space="preserve">provide a report on </w:t>
      </w:r>
      <w:r w:rsidRPr="002433F3">
        <w:rPr>
          <w:lang w:val="en-US"/>
        </w:rPr>
        <w:t>compliance with the recomm</w:t>
      </w:r>
      <w:r w:rsidR="004E3508" w:rsidRPr="002433F3">
        <w:rPr>
          <w:lang w:val="en-US"/>
        </w:rPr>
        <w:t>endations. The State presented its</w:t>
      </w:r>
      <w:r w:rsidRPr="002433F3">
        <w:rPr>
          <w:lang w:val="en-US"/>
        </w:rPr>
        <w:t xml:space="preserve"> report on June 20, 2014</w:t>
      </w:r>
      <w:r w:rsidR="00651A28" w:rsidRPr="002433F3">
        <w:rPr>
          <w:lang w:val="en-US"/>
        </w:rPr>
        <w:t>,</w:t>
      </w:r>
      <w:r w:rsidRPr="002433F3">
        <w:rPr>
          <w:rStyle w:val="Refdenotaalpie"/>
          <w:lang w:val="en-US"/>
        </w:rPr>
        <w:footnoteReference w:id="4"/>
      </w:r>
      <w:r w:rsidRPr="002433F3">
        <w:rPr>
          <w:lang w:val="en-US"/>
        </w:rPr>
        <w:t xml:space="preserve"> </w:t>
      </w:r>
      <w:r w:rsidR="00651A28" w:rsidRPr="002433F3">
        <w:rPr>
          <w:lang w:val="en-US"/>
        </w:rPr>
        <w:t>requesting</w:t>
      </w:r>
      <w:r w:rsidRPr="002433F3">
        <w:rPr>
          <w:lang w:val="en-US"/>
        </w:rPr>
        <w:t xml:space="preserve"> a </w:t>
      </w:r>
      <w:r w:rsidR="004E3508" w:rsidRPr="002433F3">
        <w:rPr>
          <w:lang w:val="en-US"/>
        </w:rPr>
        <w:t>three-month extension</w:t>
      </w:r>
      <w:r w:rsidRPr="002433F3">
        <w:rPr>
          <w:lang w:val="en-US"/>
        </w:rPr>
        <w:t xml:space="preserve"> to submit certain information. This request was granted </w:t>
      </w:r>
      <w:r w:rsidR="00651A28" w:rsidRPr="002433F3">
        <w:rPr>
          <w:lang w:val="en-US"/>
        </w:rPr>
        <w:t xml:space="preserve">and </w:t>
      </w:r>
      <w:r w:rsidRPr="002433F3">
        <w:rPr>
          <w:lang w:val="en-US"/>
        </w:rPr>
        <w:t xml:space="preserve">the State subsequently submitted a second report. </w:t>
      </w:r>
    </w:p>
    <w:p w14:paraId="6D312313" w14:textId="77777777" w:rsidR="007B0DE4" w:rsidRPr="002433F3" w:rsidRDefault="007B0DE4" w:rsidP="007B0DE4">
      <w:pPr>
        <w:numPr>
          <w:ilvl w:val="1"/>
          <w:numId w:val="2"/>
        </w:numPr>
        <w:spacing w:before="120" w:after="120"/>
        <w:ind w:left="357" w:right="6" w:firstLine="357"/>
        <w:rPr>
          <w:lang w:val="en-US"/>
        </w:rPr>
      </w:pPr>
      <w:r w:rsidRPr="002433F3">
        <w:rPr>
          <w:i/>
          <w:lang w:val="en-US"/>
        </w:rPr>
        <w:t xml:space="preserve">Submission to the Court. </w:t>
      </w:r>
      <w:r w:rsidRPr="002433F3">
        <w:rPr>
          <w:lang w:val="en-US"/>
        </w:rPr>
        <w:t xml:space="preserve">On </w:t>
      </w:r>
      <w:r w:rsidRPr="002433F3">
        <w:rPr>
          <w:szCs w:val="20"/>
          <w:lang w:val="en-US"/>
        </w:rPr>
        <w:t>October 21, 2014</w:t>
      </w:r>
      <w:r w:rsidR="00651A28" w:rsidRPr="002433F3">
        <w:rPr>
          <w:szCs w:val="20"/>
          <w:lang w:val="en-US"/>
        </w:rPr>
        <w:t>,</w:t>
      </w:r>
      <w:r w:rsidRPr="002433F3">
        <w:rPr>
          <w:szCs w:val="20"/>
          <w:lang w:val="en-US"/>
        </w:rPr>
        <w:t xml:space="preserve"> </w:t>
      </w:r>
      <w:r w:rsidRPr="002433F3">
        <w:rPr>
          <w:lang w:val="en-US"/>
        </w:rPr>
        <w:t>the Commission submitted to</w:t>
      </w:r>
      <w:r w:rsidRPr="002433F3">
        <w:rPr>
          <w:rFonts w:eastAsia="Calibri" w:cs="Verdana"/>
          <w:szCs w:val="20"/>
          <w:lang w:val="en-US"/>
        </w:rPr>
        <w:t xml:space="preserve"> the Inter-American Court all the facts and alleged human rights violations described in </w:t>
      </w:r>
      <w:r w:rsidR="00651A28" w:rsidRPr="002433F3">
        <w:rPr>
          <w:rFonts w:eastAsia="Calibri" w:cs="Verdana"/>
          <w:szCs w:val="20"/>
          <w:lang w:val="en-US"/>
        </w:rPr>
        <w:t xml:space="preserve">its </w:t>
      </w:r>
      <w:r w:rsidRPr="002433F3">
        <w:rPr>
          <w:rFonts w:eastAsia="Calibri" w:cs="Verdana"/>
          <w:szCs w:val="20"/>
          <w:lang w:val="en-US"/>
        </w:rPr>
        <w:t>Merits Report,</w:t>
      </w:r>
      <w:r w:rsidRPr="002433F3">
        <w:rPr>
          <w:lang w:val="en-US"/>
        </w:rPr>
        <w:t xml:space="preserve"> “</w:t>
      </w:r>
      <w:r w:rsidR="00651A28" w:rsidRPr="002433F3">
        <w:rPr>
          <w:lang w:val="en-US"/>
        </w:rPr>
        <w:t xml:space="preserve">given </w:t>
      </w:r>
      <w:r w:rsidRPr="002433F3">
        <w:rPr>
          <w:lang w:val="en-US"/>
        </w:rPr>
        <w:t>the need to obtain justice for the [alleged] victim</w:t>
      </w:r>
      <w:r w:rsidR="00651A28" w:rsidRPr="002433F3">
        <w:rPr>
          <w:lang w:val="en-US"/>
        </w:rPr>
        <w:t>.”</w:t>
      </w:r>
      <w:r w:rsidRPr="002433F3">
        <w:rPr>
          <w:lang w:val="en-US"/>
        </w:rPr>
        <w:t xml:space="preserve"> </w:t>
      </w:r>
      <w:r w:rsidR="00651A28" w:rsidRPr="002433F3">
        <w:rPr>
          <w:lang w:val="en-US"/>
        </w:rPr>
        <w:t xml:space="preserve">The Commission also </w:t>
      </w:r>
      <w:r w:rsidR="004E3508" w:rsidRPr="002433F3">
        <w:rPr>
          <w:lang w:val="en-US"/>
        </w:rPr>
        <w:t xml:space="preserve">noted </w:t>
      </w:r>
      <w:r w:rsidRPr="002433F3">
        <w:rPr>
          <w:lang w:val="en-US"/>
        </w:rPr>
        <w:t xml:space="preserve">that the State </w:t>
      </w:r>
      <w:r w:rsidR="00AE3270" w:rsidRPr="002433F3">
        <w:rPr>
          <w:lang w:val="en-US"/>
        </w:rPr>
        <w:t>had not mad</w:t>
      </w:r>
      <w:r w:rsidR="00395E97" w:rsidRPr="002433F3">
        <w:rPr>
          <w:lang w:val="en-US"/>
        </w:rPr>
        <w:t xml:space="preserve">e </w:t>
      </w:r>
      <w:r w:rsidRPr="002433F3">
        <w:rPr>
          <w:lang w:val="en-US"/>
        </w:rPr>
        <w:t>a concrete proposal for comprehensive reparatio</w:t>
      </w:r>
      <w:r w:rsidR="00395E97" w:rsidRPr="002433F3">
        <w:rPr>
          <w:lang w:val="en-US"/>
        </w:rPr>
        <w:t xml:space="preserve">n </w:t>
      </w:r>
      <w:r w:rsidR="00AE3270" w:rsidRPr="002433F3">
        <w:rPr>
          <w:lang w:val="en-US"/>
        </w:rPr>
        <w:t xml:space="preserve">in its second report, </w:t>
      </w:r>
      <w:r w:rsidR="00395E97" w:rsidRPr="002433F3">
        <w:rPr>
          <w:lang w:val="en-US"/>
        </w:rPr>
        <w:t>and</w:t>
      </w:r>
      <w:r w:rsidRPr="002433F3">
        <w:rPr>
          <w:lang w:val="en-US"/>
        </w:rPr>
        <w:t xml:space="preserve"> had </w:t>
      </w:r>
      <w:r w:rsidR="00395E97" w:rsidRPr="002433F3">
        <w:rPr>
          <w:lang w:val="en-US"/>
        </w:rPr>
        <w:t xml:space="preserve">suggested </w:t>
      </w:r>
      <w:r w:rsidRPr="002433F3">
        <w:rPr>
          <w:lang w:val="en-US"/>
        </w:rPr>
        <w:t xml:space="preserve">that the alleged victim should open a second </w:t>
      </w:r>
      <w:r w:rsidR="00651A28" w:rsidRPr="002433F3">
        <w:rPr>
          <w:lang w:val="en-US"/>
        </w:rPr>
        <w:t xml:space="preserve">round of </w:t>
      </w:r>
      <w:r w:rsidRPr="002433F3">
        <w:rPr>
          <w:lang w:val="en-US"/>
        </w:rPr>
        <w:t>proceeding</w:t>
      </w:r>
      <w:r w:rsidR="00651A28" w:rsidRPr="002433F3">
        <w:rPr>
          <w:lang w:val="en-US"/>
        </w:rPr>
        <w:t>s</w:t>
      </w:r>
      <w:r w:rsidR="00395E97" w:rsidRPr="002433F3">
        <w:rPr>
          <w:lang w:val="en-US"/>
        </w:rPr>
        <w:t>.</w:t>
      </w:r>
      <w:r w:rsidR="00651A28" w:rsidRPr="002433F3">
        <w:rPr>
          <w:lang w:val="en-US"/>
        </w:rPr>
        <w:t xml:space="preserve"> </w:t>
      </w:r>
      <w:r w:rsidR="00395E97" w:rsidRPr="002433F3">
        <w:rPr>
          <w:lang w:val="en-US"/>
        </w:rPr>
        <w:t xml:space="preserve">Furthermore, the State </w:t>
      </w:r>
      <w:r w:rsidR="00AE3270" w:rsidRPr="002433F3">
        <w:rPr>
          <w:lang w:val="en-US"/>
        </w:rPr>
        <w:t xml:space="preserve">did not </w:t>
      </w:r>
      <w:r w:rsidR="00651A28" w:rsidRPr="002433F3">
        <w:rPr>
          <w:lang w:val="en-US"/>
        </w:rPr>
        <w:t xml:space="preserve">recognize that the </w:t>
      </w:r>
      <w:r w:rsidRPr="002433F3">
        <w:rPr>
          <w:lang w:val="en-US"/>
        </w:rPr>
        <w:t xml:space="preserve">facts of the case </w:t>
      </w:r>
      <w:r w:rsidR="00AE3270" w:rsidRPr="002433F3">
        <w:rPr>
          <w:lang w:val="en-US"/>
        </w:rPr>
        <w:t xml:space="preserve">could result in </w:t>
      </w:r>
      <w:r w:rsidRPr="002433F3">
        <w:rPr>
          <w:lang w:val="en-US"/>
        </w:rPr>
        <w:t xml:space="preserve">an internationally wrongful act. </w:t>
      </w:r>
    </w:p>
    <w:p w14:paraId="111B7030" w14:textId="77777777" w:rsidR="007B0DE4" w:rsidRPr="002433F3" w:rsidRDefault="007B0DE4" w:rsidP="007B0DE4">
      <w:pPr>
        <w:numPr>
          <w:ilvl w:val="0"/>
          <w:numId w:val="2"/>
        </w:numPr>
        <w:spacing w:before="120" w:after="120"/>
        <w:ind w:right="-138"/>
        <w:rPr>
          <w:lang w:val="en-US"/>
        </w:rPr>
      </w:pPr>
      <w:r w:rsidRPr="002433F3">
        <w:rPr>
          <w:i/>
          <w:lang w:val="en-US"/>
        </w:rPr>
        <w:t xml:space="preserve">Request of the Inter-American Commission. </w:t>
      </w:r>
      <w:r w:rsidRPr="002433F3">
        <w:rPr>
          <w:szCs w:val="20"/>
          <w:lang w:val="en-US"/>
        </w:rPr>
        <w:t xml:space="preserve">Based on the foregoing, the Commission </w:t>
      </w:r>
      <w:r w:rsidR="00AE3270" w:rsidRPr="002433F3">
        <w:rPr>
          <w:szCs w:val="20"/>
          <w:lang w:val="en-US"/>
        </w:rPr>
        <w:t xml:space="preserve">asked </w:t>
      </w:r>
      <w:r w:rsidR="00395E97" w:rsidRPr="002433F3">
        <w:rPr>
          <w:szCs w:val="20"/>
          <w:lang w:val="en-US"/>
        </w:rPr>
        <w:t xml:space="preserve">the Court </w:t>
      </w:r>
      <w:r w:rsidR="00AE3270" w:rsidRPr="002433F3">
        <w:rPr>
          <w:szCs w:val="20"/>
          <w:lang w:val="en-US"/>
        </w:rPr>
        <w:t xml:space="preserve">to </w:t>
      </w:r>
      <w:r w:rsidRPr="002433F3">
        <w:rPr>
          <w:szCs w:val="20"/>
          <w:lang w:val="en-US"/>
        </w:rPr>
        <w:t xml:space="preserve">declare the international responsibility of Colombia for the alleged </w:t>
      </w:r>
      <w:r w:rsidRPr="002433F3">
        <w:rPr>
          <w:lang w:val="en-US"/>
        </w:rPr>
        <w:t>violation</w:t>
      </w:r>
      <w:r w:rsidR="00AE3270" w:rsidRPr="002433F3">
        <w:rPr>
          <w:lang w:val="en-US"/>
        </w:rPr>
        <w:t>s</w:t>
      </w:r>
      <w:r w:rsidRPr="002433F3">
        <w:rPr>
          <w:lang w:val="en-US"/>
        </w:rPr>
        <w:t xml:space="preserve"> </w:t>
      </w:r>
      <w:r w:rsidR="00395E97" w:rsidRPr="002433F3">
        <w:rPr>
          <w:lang w:val="en-US"/>
        </w:rPr>
        <w:t xml:space="preserve">indicated </w:t>
      </w:r>
      <w:r w:rsidR="00AE3270" w:rsidRPr="002433F3">
        <w:rPr>
          <w:lang w:val="en-US"/>
        </w:rPr>
        <w:t>in the conclusions of its</w:t>
      </w:r>
      <w:r w:rsidRPr="002433F3">
        <w:rPr>
          <w:lang w:val="en-US"/>
        </w:rPr>
        <w:t xml:space="preserve"> Merits Report</w:t>
      </w:r>
      <w:r w:rsidR="00AE3270" w:rsidRPr="002433F3">
        <w:rPr>
          <w:rFonts w:eastAsia="Calibri" w:cs="Arial"/>
          <w:bCs/>
          <w:szCs w:val="20"/>
          <w:lang w:val="en-US"/>
        </w:rPr>
        <w:t xml:space="preserve"> and to</w:t>
      </w:r>
      <w:r w:rsidRPr="002433F3">
        <w:rPr>
          <w:rFonts w:eastAsia="Calibri" w:cs="Arial"/>
          <w:bCs/>
          <w:szCs w:val="20"/>
          <w:lang w:val="en-US"/>
        </w:rPr>
        <w:t xml:space="preserve"> </w:t>
      </w:r>
      <w:r w:rsidR="00AE3270" w:rsidRPr="002433F3">
        <w:rPr>
          <w:rFonts w:eastAsia="Calibri" w:cs="Arial"/>
          <w:bCs/>
          <w:szCs w:val="20"/>
          <w:lang w:val="en-US"/>
        </w:rPr>
        <w:t xml:space="preserve">require </w:t>
      </w:r>
      <w:r w:rsidRPr="002433F3">
        <w:rPr>
          <w:lang w:val="en-US"/>
        </w:rPr>
        <w:t xml:space="preserve">the State to implement certain measures of reparation, which </w:t>
      </w:r>
      <w:r w:rsidR="00395E97" w:rsidRPr="002433F3">
        <w:rPr>
          <w:lang w:val="en-US"/>
        </w:rPr>
        <w:t xml:space="preserve">are </w:t>
      </w:r>
      <w:r w:rsidRPr="002433F3">
        <w:rPr>
          <w:lang w:val="en-US"/>
        </w:rPr>
        <w:t>described and analyzed in the corresponding chapter</w:t>
      </w:r>
      <w:r w:rsidRPr="002433F3">
        <w:rPr>
          <w:szCs w:val="20"/>
          <w:lang w:val="en-US"/>
        </w:rPr>
        <w:t xml:space="preserve">. </w:t>
      </w:r>
    </w:p>
    <w:p w14:paraId="64ABA4A5" w14:textId="77777777" w:rsidR="007B0DE4" w:rsidRPr="002433F3" w:rsidRDefault="007B0DE4" w:rsidP="007B0DE4">
      <w:pPr>
        <w:pStyle w:val="Ttulo1"/>
        <w:spacing w:before="460" w:after="460"/>
        <w:rPr>
          <w:noProof w:val="0"/>
          <w:lang w:val="en-US"/>
        </w:rPr>
      </w:pPr>
      <w:bookmarkStart w:id="4" w:name="_Toc359314415"/>
      <w:bookmarkStart w:id="5" w:name="_Toc361671572"/>
      <w:bookmarkStart w:id="6" w:name="_Toc361671992"/>
      <w:bookmarkStart w:id="7" w:name="_Toc361732789"/>
      <w:bookmarkStart w:id="8" w:name="_Toc361732832"/>
      <w:bookmarkStart w:id="9" w:name="_Toc362456863"/>
      <w:bookmarkStart w:id="10" w:name="_Toc365021392"/>
      <w:bookmarkStart w:id="11" w:name="_Toc369076778"/>
      <w:bookmarkStart w:id="12" w:name="_Toc369989362"/>
      <w:bookmarkStart w:id="13" w:name="_Toc369989449"/>
      <w:bookmarkStart w:id="14" w:name="_Toc369989730"/>
      <w:bookmarkStart w:id="15" w:name="_Toc448482241"/>
      <w:r w:rsidRPr="002433F3">
        <w:rPr>
          <w:noProof w:val="0"/>
          <w:lang w:val="en-US"/>
        </w:rPr>
        <w:t>II</w:t>
      </w:r>
      <w:r w:rsidRPr="002433F3">
        <w:rPr>
          <w:noProof w:val="0"/>
          <w:color w:val="FFDDDD"/>
          <w:lang w:val="en-US"/>
        </w:rPr>
        <w:t xml:space="preserve">. </w:t>
      </w:r>
      <w:r w:rsidRPr="002433F3">
        <w:rPr>
          <w:noProof w:val="0"/>
          <w:lang w:val="en-US"/>
        </w:rPr>
        <w:br/>
      </w:r>
      <w:bookmarkStart w:id="16" w:name="_Toc311128156"/>
      <w:bookmarkStart w:id="17" w:name="_Toc311128353"/>
      <w:r w:rsidRPr="002433F3">
        <w:rPr>
          <w:noProof w:val="0"/>
          <w:lang w:val="en-US"/>
        </w:rPr>
        <w:t>PROCEEDINGS BEFORE THE COURT</w:t>
      </w:r>
      <w:bookmarkEnd w:id="4"/>
      <w:bookmarkEnd w:id="5"/>
      <w:bookmarkEnd w:id="6"/>
      <w:bookmarkEnd w:id="7"/>
      <w:bookmarkEnd w:id="8"/>
      <w:bookmarkEnd w:id="9"/>
      <w:bookmarkEnd w:id="10"/>
      <w:bookmarkEnd w:id="11"/>
      <w:bookmarkEnd w:id="12"/>
      <w:bookmarkEnd w:id="13"/>
      <w:bookmarkEnd w:id="14"/>
      <w:bookmarkEnd w:id="15"/>
      <w:bookmarkEnd w:id="16"/>
      <w:bookmarkEnd w:id="17"/>
    </w:p>
    <w:p w14:paraId="27D84B86" w14:textId="77777777" w:rsidR="007B0DE4" w:rsidRPr="002433F3" w:rsidRDefault="007B0DE4" w:rsidP="007B0DE4">
      <w:pPr>
        <w:pStyle w:val="Estilo1"/>
        <w:numPr>
          <w:ilvl w:val="0"/>
          <w:numId w:val="2"/>
        </w:numPr>
        <w:tabs>
          <w:tab w:val="left" w:pos="567"/>
          <w:tab w:val="left" w:pos="1134"/>
        </w:tabs>
        <w:spacing w:before="120"/>
        <w:ind w:right="0"/>
        <w:rPr>
          <w:b/>
          <w:noProof w:val="0"/>
          <w:szCs w:val="20"/>
          <w:lang w:val="en-US" w:eastAsia="es-ES"/>
        </w:rPr>
      </w:pPr>
      <w:r w:rsidRPr="002433F3">
        <w:rPr>
          <w:noProof w:val="0"/>
          <w:szCs w:val="20"/>
          <w:lang w:val="en-US" w:eastAsia="es-ES"/>
        </w:rPr>
        <w:t>Notification to the State and to the representatives</w:t>
      </w:r>
      <w:r w:rsidRPr="002433F3">
        <w:rPr>
          <w:rStyle w:val="Refdenotaalpie"/>
          <w:noProof w:val="0"/>
          <w:lang w:val="en-US" w:eastAsia="es-ES"/>
        </w:rPr>
        <w:footnoteReference w:id="5"/>
      </w:r>
      <w:r w:rsidRPr="002433F3">
        <w:rPr>
          <w:noProof w:val="0"/>
          <w:szCs w:val="20"/>
          <w:lang w:val="en-US" w:eastAsia="es-ES"/>
        </w:rPr>
        <w:t xml:space="preserve">. </w:t>
      </w:r>
      <w:r w:rsidRPr="002433F3">
        <w:rPr>
          <w:i w:val="0"/>
          <w:noProof w:val="0"/>
          <w:szCs w:val="20"/>
          <w:lang w:val="en-US" w:eastAsia="es-ES"/>
        </w:rPr>
        <w:t>The</w:t>
      </w:r>
      <w:r w:rsidRPr="002433F3">
        <w:rPr>
          <w:noProof w:val="0"/>
          <w:szCs w:val="20"/>
          <w:lang w:val="en-US" w:eastAsia="es-ES"/>
        </w:rPr>
        <w:t xml:space="preserve"> </w:t>
      </w:r>
      <w:r w:rsidRPr="002433F3">
        <w:rPr>
          <w:i w:val="0"/>
          <w:noProof w:val="0"/>
          <w:szCs w:val="20"/>
          <w:lang w:val="en-US"/>
        </w:rPr>
        <w:t>submission of the case by the Commission was notified to the State and to the representatives on November 11, 2014.</w:t>
      </w:r>
    </w:p>
    <w:p w14:paraId="2FD617A4" w14:textId="77777777" w:rsidR="007B0DE4" w:rsidRPr="002433F3" w:rsidRDefault="00AE3270" w:rsidP="007B0DE4">
      <w:pPr>
        <w:pStyle w:val="Estilo1"/>
        <w:numPr>
          <w:ilvl w:val="0"/>
          <w:numId w:val="2"/>
        </w:numPr>
        <w:tabs>
          <w:tab w:val="left" w:pos="567"/>
          <w:tab w:val="left" w:pos="1134"/>
          <w:tab w:val="num" w:pos="6042"/>
        </w:tabs>
        <w:spacing w:before="120"/>
        <w:ind w:right="0"/>
        <w:rPr>
          <w:noProof w:val="0"/>
          <w:szCs w:val="20"/>
          <w:lang w:val="en-US" w:eastAsia="es-ES"/>
        </w:rPr>
      </w:pPr>
      <w:r w:rsidRPr="002433F3">
        <w:rPr>
          <w:noProof w:val="0"/>
          <w:szCs w:val="20"/>
          <w:lang w:val="en-US" w:eastAsia="es-ES"/>
        </w:rPr>
        <w:t>Brief with</w:t>
      </w:r>
      <w:r w:rsidR="007B0DE4" w:rsidRPr="002433F3">
        <w:rPr>
          <w:noProof w:val="0"/>
          <w:szCs w:val="20"/>
          <w:lang w:val="en-US" w:eastAsia="es-ES"/>
        </w:rPr>
        <w:t xml:space="preserve"> pleadings, motions and evidence. </w:t>
      </w:r>
      <w:r w:rsidR="007B0DE4" w:rsidRPr="002433F3">
        <w:rPr>
          <w:i w:val="0"/>
          <w:noProof w:val="0"/>
          <w:szCs w:val="20"/>
          <w:lang w:val="en-US" w:eastAsia="es-ES"/>
        </w:rPr>
        <w:t xml:space="preserve">On </w:t>
      </w:r>
      <w:r w:rsidR="007B0DE4" w:rsidRPr="002433F3">
        <w:rPr>
          <w:i w:val="0"/>
          <w:noProof w:val="0"/>
          <w:szCs w:val="20"/>
          <w:lang w:val="en-US"/>
        </w:rPr>
        <w:t>January 12, 2015, the represen</w:t>
      </w:r>
      <w:r w:rsidRPr="002433F3">
        <w:rPr>
          <w:i w:val="0"/>
          <w:noProof w:val="0"/>
          <w:szCs w:val="20"/>
          <w:lang w:val="en-US"/>
        </w:rPr>
        <w:t>tatives presented their brief with</w:t>
      </w:r>
      <w:r w:rsidR="007B0DE4" w:rsidRPr="002433F3">
        <w:rPr>
          <w:i w:val="0"/>
          <w:noProof w:val="0"/>
          <w:szCs w:val="20"/>
          <w:lang w:val="en-US"/>
        </w:rPr>
        <w:t xml:space="preserve"> pleadings, motions and evidence</w:t>
      </w:r>
      <w:r w:rsidR="007B0DE4" w:rsidRPr="002433F3">
        <w:rPr>
          <w:rStyle w:val="Refdenotaalpie"/>
          <w:i w:val="0"/>
          <w:noProof w:val="0"/>
          <w:lang w:val="en-US"/>
        </w:rPr>
        <w:footnoteReference w:id="6"/>
      </w:r>
      <w:r w:rsidR="007B0DE4" w:rsidRPr="002433F3">
        <w:rPr>
          <w:i w:val="0"/>
          <w:noProof w:val="0"/>
          <w:szCs w:val="20"/>
          <w:lang w:val="en-US"/>
        </w:rPr>
        <w:t xml:space="preserve"> (hereinafter “pleadings and motions brief”), pursuant to Articles 25 and 40 of the Rules of the Court.</w:t>
      </w:r>
      <w:r w:rsidR="007B0DE4" w:rsidRPr="002433F3">
        <w:rPr>
          <w:noProof w:val="0"/>
          <w:szCs w:val="20"/>
          <w:lang w:val="en-US" w:eastAsia="es-ES"/>
        </w:rPr>
        <w:t xml:space="preserve"> </w:t>
      </w:r>
    </w:p>
    <w:p w14:paraId="4355BEC0" w14:textId="77777777" w:rsidR="007B0DE4" w:rsidRPr="002433F3" w:rsidRDefault="007B0DE4" w:rsidP="007B0DE4">
      <w:pPr>
        <w:pStyle w:val="Estilo1"/>
        <w:numPr>
          <w:ilvl w:val="0"/>
          <w:numId w:val="2"/>
        </w:numPr>
        <w:tabs>
          <w:tab w:val="left" w:pos="567"/>
          <w:tab w:val="left" w:pos="1134"/>
          <w:tab w:val="num" w:pos="6042"/>
        </w:tabs>
        <w:spacing w:before="120"/>
        <w:ind w:right="0"/>
        <w:rPr>
          <w:i w:val="0"/>
          <w:noProof w:val="0"/>
          <w:szCs w:val="20"/>
          <w:lang w:val="en-US" w:eastAsia="es-ES"/>
        </w:rPr>
      </w:pPr>
      <w:r w:rsidRPr="002433F3">
        <w:rPr>
          <w:rFonts w:eastAsia="Calibri"/>
          <w:bCs/>
          <w:noProof w:val="0"/>
          <w:szCs w:val="20"/>
          <w:lang w:val="en-US"/>
        </w:rPr>
        <w:lastRenderedPageBreak/>
        <w:t xml:space="preserve">Answering brief. </w:t>
      </w:r>
      <w:r w:rsidRPr="002433F3">
        <w:rPr>
          <w:rFonts w:eastAsia="Calibri"/>
          <w:bCs/>
          <w:i w:val="0"/>
          <w:noProof w:val="0"/>
          <w:szCs w:val="20"/>
          <w:lang w:val="en-US"/>
        </w:rPr>
        <w:t xml:space="preserve">On </w:t>
      </w:r>
      <w:r w:rsidRPr="002433F3">
        <w:rPr>
          <w:i w:val="0"/>
          <w:noProof w:val="0"/>
          <w:szCs w:val="20"/>
          <w:lang w:val="en-US"/>
        </w:rPr>
        <w:t xml:space="preserve">April 1, 2015, the State </w:t>
      </w:r>
      <w:r w:rsidR="007078AC" w:rsidRPr="002433F3">
        <w:rPr>
          <w:i w:val="0"/>
          <w:noProof w:val="0"/>
          <w:szCs w:val="20"/>
          <w:lang w:val="en-US"/>
        </w:rPr>
        <w:t xml:space="preserve">submitted to </w:t>
      </w:r>
      <w:r w:rsidRPr="002433F3">
        <w:rPr>
          <w:i w:val="0"/>
          <w:noProof w:val="0"/>
          <w:szCs w:val="20"/>
          <w:lang w:val="en-US"/>
        </w:rPr>
        <w:t>the Court its brief answering the submission of the case</w:t>
      </w:r>
      <w:r w:rsidR="007078AC" w:rsidRPr="002433F3">
        <w:rPr>
          <w:i w:val="0"/>
          <w:noProof w:val="0"/>
          <w:szCs w:val="20"/>
          <w:lang w:val="en-US"/>
        </w:rPr>
        <w:t>, the</w:t>
      </w:r>
      <w:r w:rsidRPr="002433F3">
        <w:rPr>
          <w:i w:val="0"/>
          <w:noProof w:val="0"/>
          <w:szCs w:val="20"/>
          <w:lang w:val="en-US"/>
        </w:rPr>
        <w:t xml:space="preserve"> </w:t>
      </w:r>
      <w:r w:rsidR="00206751" w:rsidRPr="002433F3">
        <w:rPr>
          <w:i w:val="0"/>
          <w:noProof w:val="0"/>
          <w:szCs w:val="20"/>
          <w:lang w:val="en-US"/>
        </w:rPr>
        <w:t xml:space="preserve">pleadings and </w:t>
      </w:r>
      <w:r w:rsidRPr="002433F3">
        <w:rPr>
          <w:i w:val="0"/>
          <w:noProof w:val="0"/>
          <w:szCs w:val="20"/>
          <w:lang w:val="en-US"/>
        </w:rPr>
        <w:t>motions</w:t>
      </w:r>
      <w:r w:rsidR="007078AC" w:rsidRPr="002433F3">
        <w:rPr>
          <w:i w:val="0"/>
          <w:noProof w:val="0"/>
          <w:szCs w:val="20"/>
          <w:lang w:val="en-US"/>
        </w:rPr>
        <w:t xml:space="preserve"> brief and the</w:t>
      </w:r>
      <w:r w:rsidRPr="002433F3">
        <w:rPr>
          <w:i w:val="0"/>
          <w:noProof w:val="0"/>
          <w:szCs w:val="20"/>
          <w:lang w:val="en-US"/>
        </w:rPr>
        <w:t xml:space="preserve"> preliminary objections (hereinafter “answer” or “answering brief”), pursuant to Article 41 of the Rules of the Court</w:t>
      </w:r>
      <w:r w:rsidR="007078AC" w:rsidRPr="002433F3">
        <w:rPr>
          <w:i w:val="0"/>
          <w:noProof w:val="0"/>
          <w:szCs w:val="20"/>
          <w:lang w:val="en-US"/>
        </w:rPr>
        <w:t>.</w:t>
      </w:r>
      <w:r w:rsidRPr="002433F3">
        <w:rPr>
          <w:rStyle w:val="Refdenotaalpie"/>
          <w:i w:val="0"/>
          <w:noProof w:val="0"/>
          <w:lang w:val="en-US"/>
        </w:rPr>
        <w:footnoteReference w:id="7"/>
      </w:r>
      <w:r w:rsidRPr="002433F3">
        <w:rPr>
          <w:rFonts w:cs="Verdana"/>
          <w:i w:val="0"/>
          <w:noProof w:val="0"/>
          <w:szCs w:val="20"/>
          <w:lang w:val="en-US"/>
        </w:rPr>
        <w:t xml:space="preserve"> </w:t>
      </w:r>
    </w:p>
    <w:p w14:paraId="4B83B33A" w14:textId="77777777" w:rsidR="007B0DE4" w:rsidRPr="002433F3" w:rsidRDefault="00206751" w:rsidP="007B0DE4">
      <w:pPr>
        <w:pStyle w:val="Estilo1"/>
        <w:numPr>
          <w:ilvl w:val="0"/>
          <w:numId w:val="2"/>
        </w:numPr>
        <w:tabs>
          <w:tab w:val="left" w:pos="567"/>
          <w:tab w:val="left" w:pos="1134"/>
        </w:tabs>
        <w:spacing w:before="120"/>
        <w:ind w:right="0"/>
        <w:rPr>
          <w:i w:val="0"/>
          <w:noProof w:val="0"/>
          <w:szCs w:val="20"/>
          <w:lang w:val="en-US" w:eastAsia="es-ES"/>
        </w:rPr>
      </w:pPr>
      <w:r w:rsidRPr="002433F3">
        <w:rPr>
          <w:noProof w:val="0"/>
          <w:szCs w:val="20"/>
          <w:lang w:val="en-US" w:eastAsia="es-ES"/>
        </w:rPr>
        <w:t>Observations on</w:t>
      </w:r>
      <w:r w:rsidR="007B0DE4" w:rsidRPr="002433F3">
        <w:rPr>
          <w:noProof w:val="0"/>
          <w:szCs w:val="20"/>
          <w:lang w:val="en-US" w:eastAsia="es-ES"/>
        </w:rPr>
        <w:t xml:space="preserve"> the preliminary objections. </w:t>
      </w:r>
      <w:r w:rsidR="007078AC" w:rsidRPr="002433F3">
        <w:rPr>
          <w:i w:val="0"/>
          <w:noProof w:val="0"/>
          <w:szCs w:val="20"/>
          <w:lang w:val="en-US" w:eastAsia="es-ES"/>
        </w:rPr>
        <w:t>O</w:t>
      </w:r>
      <w:r w:rsidR="007B0DE4" w:rsidRPr="002433F3">
        <w:rPr>
          <w:i w:val="0"/>
          <w:noProof w:val="0"/>
          <w:szCs w:val="20"/>
          <w:lang w:val="en-US" w:eastAsia="es-ES"/>
        </w:rPr>
        <w:t xml:space="preserve">n June 1, 2014, the representatives and the Commission presented </w:t>
      </w:r>
      <w:r w:rsidR="007078AC" w:rsidRPr="002433F3">
        <w:rPr>
          <w:i w:val="0"/>
          <w:noProof w:val="0"/>
          <w:szCs w:val="20"/>
          <w:lang w:val="en-US" w:eastAsia="es-ES"/>
        </w:rPr>
        <w:t xml:space="preserve">briefs containing </w:t>
      </w:r>
      <w:r w:rsidR="00924144" w:rsidRPr="002433F3">
        <w:rPr>
          <w:i w:val="0"/>
          <w:noProof w:val="0"/>
          <w:szCs w:val="20"/>
          <w:lang w:val="en-US" w:eastAsia="es-ES"/>
        </w:rPr>
        <w:t>their observations on</w:t>
      </w:r>
      <w:r w:rsidR="007B0DE4" w:rsidRPr="002433F3">
        <w:rPr>
          <w:i w:val="0"/>
          <w:noProof w:val="0"/>
          <w:szCs w:val="20"/>
          <w:lang w:val="en-US" w:eastAsia="es-ES"/>
        </w:rPr>
        <w:t xml:space="preserve"> the preliminary objections filed by the State</w:t>
      </w:r>
      <w:r w:rsidR="00924144" w:rsidRPr="002433F3">
        <w:rPr>
          <w:i w:val="0"/>
          <w:noProof w:val="0"/>
          <w:szCs w:val="20"/>
          <w:lang w:val="en-US" w:eastAsia="es-ES"/>
        </w:rPr>
        <w:t xml:space="preserve">, requesting that </w:t>
      </w:r>
      <w:r w:rsidR="007B0DE4" w:rsidRPr="002433F3">
        <w:rPr>
          <w:i w:val="0"/>
          <w:noProof w:val="0"/>
          <w:szCs w:val="20"/>
          <w:lang w:val="en-US" w:eastAsia="es-ES"/>
        </w:rPr>
        <w:t xml:space="preserve">these be </w:t>
      </w:r>
      <w:r w:rsidR="00924144" w:rsidRPr="002433F3">
        <w:rPr>
          <w:i w:val="0"/>
          <w:noProof w:val="0"/>
          <w:szCs w:val="20"/>
          <w:lang w:val="en-US" w:eastAsia="es-ES"/>
        </w:rPr>
        <w:t>dismissed</w:t>
      </w:r>
      <w:r w:rsidR="007B0DE4" w:rsidRPr="002433F3">
        <w:rPr>
          <w:i w:val="0"/>
          <w:noProof w:val="0"/>
          <w:szCs w:val="20"/>
          <w:lang w:val="en-US" w:eastAsia="es-ES"/>
        </w:rPr>
        <w:t>.</w:t>
      </w:r>
    </w:p>
    <w:p w14:paraId="167F8BFE" w14:textId="77777777" w:rsidR="007B0DE4" w:rsidRPr="002433F3" w:rsidRDefault="007B0DE4" w:rsidP="007B0DE4">
      <w:pPr>
        <w:pStyle w:val="Estilo1"/>
        <w:numPr>
          <w:ilvl w:val="0"/>
          <w:numId w:val="2"/>
        </w:numPr>
        <w:tabs>
          <w:tab w:val="left" w:pos="567"/>
          <w:tab w:val="left" w:pos="1134"/>
        </w:tabs>
        <w:autoSpaceDE w:val="0"/>
        <w:autoSpaceDN w:val="0"/>
        <w:adjustRightInd w:val="0"/>
        <w:spacing w:after="0"/>
        <w:ind w:right="0"/>
        <w:rPr>
          <w:rFonts w:cs="Verdana"/>
          <w:i w:val="0"/>
          <w:noProof w:val="0"/>
          <w:szCs w:val="20"/>
          <w:lang w:val="en-US" w:eastAsia="es-ES"/>
        </w:rPr>
      </w:pPr>
      <w:r w:rsidRPr="002433F3">
        <w:rPr>
          <w:rFonts w:cs="Verdana"/>
          <w:noProof w:val="0"/>
          <w:szCs w:val="20"/>
          <w:lang w:val="en-US" w:eastAsia="es-ES"/>
        </w:rPr>
        <w:t xml:space="preserve">Victims’ Legal Assistance Fund. </w:t>
      </w:r>
      <w:r w:rsidRPr="002433F3">
        <w:rPr>
          <w:rFonts w:cs="Verdana"/>
          <w:i w:val="0"/>
          <w:noProof w:val="0"/>
          <w:szCs w:val="20"/>
          <w:lang w:val="en-US" w:eastAsia="es-ES"/>
        </w:rPr>
        <w:t xml:space="preserve">In an Order of May 5, 2014, the President of the Court declared admissible the request submitted by the alleged victim, through his representatives, to have access to the Victims’ Legal Assistance Fund, and granted financial assistance for the presentation of a maximum of three statements, either at the public hearing or by affidavit. </w:t>
      </w:r>
    </w:p>
    <w:p w14:paraId="362A5389" w14:textId="77777777" w:rsidR="007B0DE4" w:rsidRPr="002433F3" w:rsidRDefault="007B0DE4" w:rsidP="007B0DE4">
      <w:pPr>
        <w:pStyle w:val="Estilo1"/>
        <w:numPr>
          <w:ilvl w:val="0"/>
          <w:numId w:val="2"/>
        </w:numPr>
        <w:tabs>
          <w:tab w:val="left" w:pos="567"/>
          <w:tab w:val="left" w:pos="1134"/>
          <w:tab w:val="num" w:pos="6042"/>
        </w:tabs>
        <w:spacing w:before="120"/>
        <w:ind w:right="0"/>
        <w:rPr>
          <w:rFonts w:cs="Arial"/>
          <w:i w:val="0"/>
          <w:noProof w:val="0"/>
          <w:szCs w:val="20"/>
          <w:lang w:val="en-US"/>
        </w:rPr>
      </w:pPr>
      <w:r w:rsidRPr="002433F3">
        <w:rPr>
          <w:noProof w:val="0"/>
          <w:szCs w:val="20"/>
          <w:lang w:val="en-US" w:eastAsia="es-ES"/>
        </w:rPr>
        <w:t xml:space="preserve">Public hearing. </w:t>
      </w:r>
      <w:r w:rsidR="0003418D" w:rsidRPr="002433F3">
        <w:rPr>
          <w:i w:val="0"/>
          <w:noProof w:val="0"/>
          <w:szCs w:val="20"/>
          <w:lang w:val="en-US" w:eastAsia="es-ES"/>
        </w:rPr>
        <w:t xml:space="preserve">On </w:t>
      </w:r>
      <w:r w:rsidRPr="002433F3">
        <w:rPr>
          <w:i w:val="0"/>
          <w:noProof w:val="0"/>
          <w:szCs w:val="20"/>
          <w:lang w:val="en-US" w:eastAsia="es-ES"/>
        </w:rPr>
        <w:t xml:space="preserve">July 2, 2015, </w:t>
      </w:r>
      <w:r w:rsidR="007078AC" w:rsidRPr="002433F3">
        <w:rPr>
          <w:i w:val="0"/>
          <w:noProof w:val="0"/>
          <w:szCs w:val="20"/>
          <w:lang w:val="en-US" w:eastAsia="es-ES"/>
        </w:rPr>
        <w:t xml:space="preserve">the President of the Court </w:t>
      </w:r>
      <w:r w:rsidR="0003418D" w:rsidRPr="002433F3">
        <w:rPr>
          <w:i w:val="0"/>
          <w:noProof w:val="0"/>
          <w:szCs w:val="20"/>
          <w:lang w:val="en-US" w:eastAsia="es-ES"/>
        </w:rPr>
        <w:t xml:space="preserve">issued an order in which he </w:t>
      </w:r>
      <w:r w:rsidR="007078AC" w:rsidRPr="002433F3">
        <w:rPr>
          <w:i w:val="0"/>
          <w:noProof w:val="0"/>
          <w:szCs w:val="20"/>
          <w:lang w:val="en-US" w:eastAsia="es-ES"/>
        </w:rPr>
        <w:t xml:space="preserve">summoned </w:t>
      </w:r>
      <w:r w:rsidRPr="002433F3">
        <w:rPr>
          <w:i w:val="0"/>
          <w:noProof w:val="0"/>
          <w:szCs w:val="20"/>
          <w:lang w:val="en-US" w:eastAsia="es-ES"/>
        </w:rPr>
        <w:t xml:space="preserve">the parties and the Commission to a public hearing </w:t>
      </w:r>
      <w:r w:rsidR="007078AC" w:rsidRPr="002433F3">
        <w:rPr>
          <w:i w:val="0"/>
          <w:noProof w:val="0"/>
          <w:szCs w:val="20"/>
          <w:lang w:val="en-US" w:eastAsia="es-ES"/>
        </w:rPr>
        <w:t xml:space="preserve">on August 25, 2015, </w:t>
      </w:r>
      <w:r w:rsidRPr="002433F3">
        <w:rPr>
          <w:i w:val="0"/>
          <w:noProof w:val="0"/>
          <w:szCs w:val="20"/>
          <w:lang w:val="en-US" w:eastAsia="es-ES"/>
        </w:rPr>
        <w:t>during the 53</w:t>
      </w:r>
      <w:r w:rsidRPr="002433F3">
        <w:rPr>
          <w:i w:val="0"/>
          <w:noProof w:val="0"/>
          <w:szCs w:val="20"/>
          <w:vertAlign w:val="superscript"/>
          <w:lang w:val="en-US" w:eastAsia="es-ES"/>
        </w:rPr>
        <w:t>rd</w:t>
      </w:r>
      <w:r w:rsidRPr="002433F3">
        <w:rPr>
          <w:i w:val="0"/>
          <w:noProof w:val="0"/>
          <w:szCs w:val="20"/>
          <w:lang w:val="en-US" w:eastAsia="es-ES"/>
        </w:rPr>
        <w:t xml:space="preserve"> </w:t>
      </w:r>
      <w:r w:rsidR="0003418D" w:rsidRPr="002433F3">
        <w:rPr>
          <w:i w:val="0"/>
          <w:noProof w:val="0"/>
          <w:szCs w:val="20"/>
          <w:lang w:val="en-US" w:eastAsia="es-ES"/>
        </w:rPr>
        <w:t xml:space="preserve">Special </w:t>
      </w:r>
      <w:r w:rsidRPr="002433F3">
        <w:rPr>
          <w:rFonts w:cs="Verdana"/>
          <w:i w:val="0"/>
          <w:noProof w:val="0"/>
          <w:szCs w:val="20"/>
          <w:lang w:val="en-US" w:bidi="en-US"/>
        </w:rPr>
        <w:t>Session of the Court</w:t>
      </w:r>
      <w:r w:rsidRPr="002433F3">
        <w:rPr>
          <w:i w:val="0"/>
          <w:noProof w:val="0"/>
          <w:szCs w:val="20"/>
          <w:lang w:val="en-US" w:eastAsia="es-ES"/>
        </w:rPr>
        <w:t xml:space="preserve"> held in Tegucigalpa, Honduras.</w:t>
      </w:r>
      <w:r w:rsidRPr="002433F3">
        <w:rPr>
          <w:rStyle w:val="Refdenotaalpie"/>
          <w:i w:val="0"/>
          <w:noProof w:val="0"/>
          <w:lang w:val="en-US"/>
        </w:rPr>
        <w:footnoteReference w:id="8"/>
      </w:r>
      <w:r w:rsidRPr="002433F3">
        <w:rPr>
          <w:i w:val="0"/>
          <w:noProof w:val="0"/>
          <w:szCs w:val="20"/>
          <w:lang w:val="en-US" w:eastAsia="es-ES"/>
        </w:rPr>
        <w:t xml:space="preserve"> During the hearing</w:t>
      </w:r>
      <w:r w:rsidR="007078AC" w:rsidRPr="002433F3">
        <w:rPr>
          <w:i w:val="0"/>
          <w:noProof w:val="0"/>
          <w:szCs w:val="20"/>
          <w:lang w:val="en-US" w:eastAsia="es-ES"/>
        </w:rPr>
        <w:t>, the Court</w:t>
      </w:r>
      <w:r w:rsidRPr="002433F3">
        <w:rPr>
          <w:i w:val="0"/>
          <w:noProof w:val="0"/>
          <w:szCs w:val="20"/>
          <w:lang w:val="en-US" w:eastAsia="es-ES"/>
        </w:rPr>
        <w:t xml:space="preserve"> received </w:t>
      </w:r>
      <w:r w:rsidR="007078AC" w:rsidRPr="002433F3">
        <w:rPr>
          <w:i w:val="0"/>
          <w:noProof w:val="0"/>
          <w:szCs w:val="20"/>
          <w:lang w:val="en-US" w:eastAsia="es-ES"/>
        </w:rPr>
        <w:t xml:space="preserve">the statements of </w:t>
      </w:r>
      <w:r w:rsidRPr="002433F3">
        <w:rPr>
          <w:i w:val="0"/>
          <w:noProof w:val="0"/>
          <w:szCs w:val="20"/>
          <w:lang w:val="en-US" w:eastAsia="es-ES"/>
        </w:rPr>
        <w:t>the alleg</w:t>
      </w:r>
      <w:r w:rsidR="007078AC" w:rsidRPr="002433F3">
        <w:rPr>
          <w:i w:val="0"/>
          <w:noProof w:val="0"/>
          <w:szCs w:val="20"/>
          <w:lang w:val="en-US" w:eastAsia="es-ES"/>
        </w:rPr>
        <w:t>ed victim and an expert witness</w:t>
      </w:r>
      <w:r w:rsidRPr="002433F3">
        <w:rPr>
          <w:i w:val="0"/>
          <w:noProof w:val="0"/>
          <w:szCs w:val="20"/>
          <w:lang w:val="en-US" w:eastAsia="es-ES"/>
        </w:rPr>
        <w:t xml:space="preserve"> proposed by the representatives</w:t>
      </w:r>
      <w:r w:rsidRPr="002433F3">
        <w:rPr>
          <w:i w:val="0"/>
          <w:noProof w:val="0"/>
          <w:lang w:val="en-US" w:eastAsia="es-ES"/>
        </w:rPr>
        <w:t>,</w:t>
      </w:r>
      <w:r w:rsidRPr="002433F3">
        <w:rPr>
          <w:i w:val="0"/>
          <w:noProof w:val="0"/>
          <w:szCs w:val="20"/>
          <w:lang w:val="en-US" w:eastAsia="es-ES"/>
        </w:rPr>
        <w:t xml:space="preserve"> an expert witness proposed by the Commission, and one witness and one expert witness offered by the State, </w:t>
      </w:r>
      <w:r w:rsidR="007078AC" w:rsidRPr="002433F3">
        <w:rPr>
          <w:i w:val="0"/>
          <w:noProof w:val="0"/>
          <w:szCs w:val="20"/>
          <w:lang w:val="en-US" w:eastAsia="es-ES"/>
        </w:rPr>
        <w:t xml:space="preserve">together with the </w:t>
      </w:r>
      <w:r w:rsidRPr="002433F3">
        <w:rPr>
          <w:i w:val="0"/>
          <w:noProof w:val="0"/>
          <w:szCs w:val="20"/>
          <w:lang w:val="en-US" w:eastAsia="es-ES"/>
        </w:rPr>
        <w:t xml:space="preserve">observations </w:t>
      </w:r>
      <w:r w:rsidR="007078AC" w:rsidRPr="002433F3">
        <w:rPr>
          <w:i w:val="0"/>
          <w:noProof w:val="0"/>
          <w:szCs w:val="20"/>
          <w:lang w:val="en-US" w:eastAsia="es-ES"/>
        </w:rPr>
        <w:t xml:space="preserve">and final oral arguments of the Commission, the </w:t>
      </w:r>
      <w:r w:rsidRPr="002433F3">
        <w:rPr>
          <w:i w:val="0"/>
          <w:noProof w:val="0"/>
          <w:szCs w:val="20"/>
          <w:lang w:val="en-US" w:eastAsia="es-ES"/>
        </w:rPr>
        <w:t xml:space="preserve">representatives of the alleged victim and the State, respectively. </w:t>
      </w:r>
      <w:r w:rsidR="00787F1C" w:rsidRPr="002433F3">
        <w:rPr>
          <w:i w:val="0"/>
          <w:noProof w:val="0"/>
          <w:szCs w:val="20"/>
          <w:lang w:val="en-US" w:eastAsia="es-ES"/>
        </w:rPr>
        <w:t>I</w:t>
      </w:r>
      <w:r w:rsidRPr="002433F3">
        <w:rPr>
          <w:i w:val="0"/>
          <w:noProof w:val="0"/>
          <w:szCs w:val="20"/>
          <w:lang w:val="en-US" w:eastAsia="es-ES"/>
        </w:rPr>
        <w:t xml:space="preserve">n that </w:t>
      </w:r>
      <w:r w:rsidR="00787F1C" w:rsidRPr="002433F3">
        <w:rPr>
          <w:i w:val="0"/>
          <w:noProof w:val="0"/>
          <w:szCs w:val="20"/>
          <w:lang w:val="en-US" w:eastAsia="es-ES"/>
        </w:rPr>
        <w:t xml:space="preserve">same </w:t>
      </w:r>
      <w:r w:rsidR="0003418D" w:rsidRPr="002433F3">
        <w:rPr>
          <w:i w:val="0"/>
          <w:noProof w:val="0"/>
          <w:szCs w:val="20"/>
          <w:lang w:val="en-US" w:eastAsia="es-ES"/>
        </w:rPr>
        <w:t>o</w:t>
      </w:r>
      <w:r w:rsidRPr="002433F3">
        <w:rPr>
          <w:i w:val="0"/>
          <w:noProof w:val="0"/>
          <w:szCs w:val="20"/>
          <w:lang w:val="en-US" w:eastAsia="es-ES"/>
        </w:rPr>
        <w:t>rder</w:t>
      </w:r>
      <w:r w:rsidR="00787F1C" w:rsidRPr="002433F3">
        <w:rPr>
          <w:i w:val="0"/>
          <w:noProof w:val="0"/>
          <w:szCs w:val="20"/>
          <w:lang w:val="en-US" w:eastAsia="es-ES"/>
        </w:rPr>
        <w:t>, the President also</w:t>
      </w:r>
      <w:r w:rsidRPr="002433F3">
        <w:rPr>
          <w:i w:val="0"/>
          <w:noProof w:val="0"/>
          <w:szCs w:val="20"/>
          <w:lang w:val="en-US" w:eastAsia="es-ES"/>
        </w:rPr>
        <w:t xml:space="preserve"> required the </w:t>
      </w:r>
      <w:r w:rsidR="00787F1C" w:rsidRPr="002433F3">
        <w:rPr>
          <w:i w:val="0"/>
          <w:noProof w:val="0"/>
          <w:szCs w:val="20"/>
          <w:lang w:val="en-US" w:eastAsia="es-ES"/>
        </w:rPr>
        <w:t xml:space="preserve">affidavits </w:t>
      </w:r>
      <w:r w:rsidR="0003418D" w:rsidRPr="002433F3">
        <w:rPr>
          <w:i w:val="0"/>
          <w:noProof w:val="0"/>
          <w:szCs w:val="20"/>
          <w:lang w:val="en-US" w:eastAsia="es-ES"/>
        </w:rPr>
        <w:t xml:space="preserve">of </w:t>
      </w:r>
      <w:r w:rsidR="00787F1C" w:rsidRPr="002433F3">
        <w:rPr>
          <w:i w:val="0"/>
          <w:noProof w:val="0"/>
          <w:szCs w:val="20"/>
          <w:lang w:val="en-US" w:eastAsia="es-ES"/>
        </w:rPr>
        <w:t>four expert witnesses</w:t>
      </w:r>
      <w:r w:rsidRPr="002433F3">
        <w:rPr>
          <w:i w:val="0"/>
          <w:noProof w:val="0"/>
          <w:szCs w:val="20"/>
          <w:lang w:val="en-US" w:eastAsia="es-ES"/>
        </w:rPr>
        <w:t xml:space="preserve"> proposed by the representatives, one witness and one expert witn</w:t>
      </w:r>
      <w:r w:rsidR="00787F1C" w:rsidRPr="002433F3">
        <w:rPr>
          <w:i w:val="0"/>
          <w:noProof w:val="0"/>
          <w:szCs w:val="20"/>
          <w:lang w:val="en-US" w:eastAsia="es-ES"/>
        </w:rPr>
        <w:t>ess offered by the State, and one</w:t>
      </w:r>
      <w:r w:rsidRPr="002433F3">
        <w:rPr>
          <w:i w:val="0"/>
          <w:noProof w:val="0"/>
          <w:szCs w:val="20"/>
          <w:lang w:val="en-US" w:eastAsia="es-ES"/>
        </w:rPr>
        <w:t xml:space="preserve"> expert </w:t>
      </w:r>
      <w:r w:rsidR="00787F1C" w:rsidRPr="002433F3">
        <w:rPr>
          <w:i w:val="0"/>
          <w:noProof w:val="0"/>
          <w:szCs w:val="20"/>
          <w:lang w:val="en-US" w:eastAsia="es-ES"/>
        </w:rPr>
        <w:t xml:space="preserve">witness </w:t>
      </w:r>
      <w:r w:rsidRPr="002433F3">
        <w:rPr>
          <w:i w:val="0"/>
          <w:noProof w:val="0"/>
          <w:szCs w:val="20"/>
          <w:lang w:val="en-US" w:eastAsia="es-ES"/>
        </w:rPr>
        <w:t>proposed by the Commission.</w:t>
      </w:r>
    </w:p>
    <w:p w14:paraId="10D37475" w14:textId="77777777" w:rsidR="007B0DE4" w:rsidRPr="002433F3" w:rsidRDefault="007B0DE4" w:rsidP="007B0DE4">
      <w:pPr>
        <w:pStyle w:val="Estilo1"/>
        <w:numPr>
          <w:ilvl w:val="0"/>
          <w:numId w:val="2"/>
        </w:numPr>
        <w:tabs>
          <w:tab w:val="left" w:pos="567"/>
          <w:tab w:val="left" w:pos="1134"/>
          <w:tab w:val="num" w:pos="6042"/>
        </w:tabs>
        <w:spacing w:before="120"/>
        <w:ind w:right="0"/>
        <w:rPr>
          <w:rFonts w:cs="Arial"/>
          <w:i w:val="0"/>
          <w:noProof w:val="0"/>
          <w:szCs w:val="20"/>
          <w:lang w:val="en-US"/>
        </w:rPr>
      </w:pPr>
      <w:r w:rsidRPr="002433F3">
        <w:rPr>
          <w:noProof w:val="0"/>
          <w:lang w:val="en-US"/>
        </w:rPr>
        <w:t xml:space="preserve">Amici </w:t>
      </w:r>
      <w:r w:rsidR="00D33C9C" w:rsidRPr="002433F3">
        <w:rPr>
          <w:noProof w:val="0"/>
          <w:lang w:val="en-US"/>
        </w:rPr>
        <w:t>Curiae.</w:t>
      </w:r>
      <w:r w:rsidR="00D33C9C" w:rsidRPr="002433F3">
        <w:rPr>
          <w:rFonts w:cs="Arial"/>
          <w:i w:val="0"/>
          <w:noProof w:val="0"/>
          <w:lang w:val="en-US"/>
        </w:rPr>
        <w:t xml:space="preserve"> The</w:t>
      </w:r>
      <w:r w:rsidRPr="002433F3">
        <w:rPr>
          <w:rFonts w:cs="Arial"/>
          <w:i w:val="0"/>
          <w:noProof w:val="0"/>
          <w:lang w:val="en-US"/>
        </w:rPr>
        <w:t xml:space="preserve"> </w:t>
      </w:r>
      <w:r w:rsidR="007E6734" w:rsidRPr="002433F3">
        <w:rPr>
          <w:i w:val="0"/>
          <w:noProof w:val="0"/>
          <w:szCs w:val="20"/>
          <w:lang w:val="en-US"/>
        </w:rPr>
        <w:t>Court received nine</w:t>
      </w:r>
      <w:r w:rsidRPr="002433F3">
        <w:rPr>
          <w:i w:val="0"/>
          <w:noProof w:val="0"/>
          <w:szCs w:val="20"/>
          <w:lang w:val="en-US"/>
        </w:rPr>
        <w:t xml:space="preserve"> </w:t>
      </w:r>
      <w:r w:rsidRPr="002433F3">
        <w:rPr>
          <w:noProof w:val="0"/>
          <w:szCs w:val="20"/>
          <w:lang w:val="en-US"/>
        </w:rPr>
        <w:t>amic</w:t>
      </w:r>
      <w:r w:rsidR="00E42CD8" w:rsidRPr="002433F3">
        <w:rPr>
          <w:noProof w:val="0"/>
          <w:szCs w:val="20"/>
          <w:lang w:val="en-US"/>
        </w:rPr>
        <w:t>us</w:t>
      </w:r>
      <w:r w:rsidRPr="002433F3">
        <w:rPr>
          <w:noProof w:val="0"/>
          <w:szCs w:val="20"/>
          <w:lang w:val="en-US"/>
        </w:rPr>
        <w:t xml:space="preserve"> curiae </w:t>
      </w:r>
      <w:r w:rsidRPr="002433F3">
        <w:rPr>
          <w:i w:val="0"/>
          <w:noProof w:val="0"/>
          <w:szCs w:val="20"/>
          <w:lang w:val="en-US"/>
        </w:rPr>
        <w:t xml:space="preserve">briefs </w:t>
      </w:r>
      <w:r w:rsidR="007E6734" w:rsidRPr="002433F3">
        <w:rPr>
          <w:i w:val="0"/>
          <w:noProof w:val="0"/>
          <w:szCs w:val="20"/>
          <w:lang w:val="en-US"/>
        </w:rPr>
        <w:t>submitted</w:t>
      </w:r>
      <w:r w:rsidR="00787F1C" w:rsidRPr="002433F3">
        <w:rPr>
          <w:i w:val="0"/>
          <w:noProof w:val="0"/>
          <w:szCs w:val="20"/>
          <w:lang w:val="en-US"/>
        </w:rPr>
        <w:t xml:space="preserve"> by: 1) the </w:t>
      </w:r>
      <w:r w:rsidR="007E6734" w:rsidRPr="002433F3">
        <w:rPr>
          <w:i w:val="0"/>
          <w:noProof w:val="0"/>
          <w:szCs w:val="20"/>
          <w:lang w:val="en-US"/>
        </w:rPr>
        <w:t>Latin Culture</w:t>
      </w:r>
      <w:r w:rsidRPr="002433F3">
        <w:rPr>
          <w:i w:val="0"/>
          <w:noProof w:val="0"/>
          <w:szCs w:val="20"/>
          <w:lang w:val="en-US"/>
        </w:rPr>
        <w:t xml:space="preserve"> </w:t>
      </w:r>
      <w:r w:rsidR="007E6734" w:rsidRPr="002433F3">
        <w:rPr>
          <w:i w:val="0"/>
          <w:noProof w:val="0"/>
          <w:szCs w:val="20"/>
          <w:lang w:val="en-US"/>
        </w:rPr>
        <w:t>Foundation;</w:t>
      </w:r>
      <w:r w:rsidRPr="002433F3">
        <w:rPr>
          <w:rStyle w:val="Refdenotaalpie"/>
          <w:i w:val="0"/>
          <w:noProof w:val="0"/>
          <w:lang w:val="en-US" w:eastAsia="es-ES"/>
        </w:rPr>
        <w:footnoteReference w:id="9"/>
      </w:r>
      <w:r w:rsidRPr="002433F3">
        <w:rPr>
          <w:i w:val="0"/>
          <w:noProof w:val="0"/>
          <w:szCs w:val="20"/>
          <w:lang w:val="en-US"/>
        </w:rPr>
        <w:t xml:space="preserve"> 2) </w:t>
      </w:r>
      <w:r w:rsidRPr="002433F3">
        <w:rPr>
          <w:rFonts w:eastAsia="Calibri"/>
          <w:i w:val="0"/>
          <w:noProof w:val="0"/>
          <w:szCs w:val="20"/>
          <w:lang w:val="en-US"/>
        </w:rPr>
        <w:t xml:space="preserve">Human Rights Clinic of the University of Texas </w:t>
      </w:r>
      <w:r w:rsidR="00787F1C" w:rsidRPr="002433F3">
        <w:rPr>
          <w:rFonts w:eastAsia="Calibri"/>
          <w:i w:val="0"/>
          <w:noProof w:val="0"/>
          <w:szCs w:val="20"/>
          <w:lang w:val="en-US"/>
        </w:rPr>
        <w:t xml:space="preserve">School of </w:t>
      </w:r>
      <w:r w:rsidRPr="002433F3">
        <w:rPr>
          <w:rFonts w:eastAsia="Calibri"/>
          <w:i w:val="0"/>
          <w:noProof w:val="0"/>
          <w:szCs w:val="20"/>
          <w:lang w:val="en-US"/>
        </w:rPr>
        <w:t xml:space="preserve">Law and </w:t>
      </w:r>
      <w:r w:rsidR="00787F1C" w:rsidRPr="002433F3">
        <w:rPr>
          <w:rFonts w:eastAsia="Calibri"/>
          <w:i w:val="0"/>
          <w:noProof w:val="0"/>
          <w:szCs w:val="20"/>
          <w:lang w:val="en-US"/>
        </w:rPr>
        <w:t xml:space="preserve">the </w:t>
      </w:r>
      <w:r w:rsidRPr="002433F3">
        <w:rPr>
          <w:rFonts w:eastAsia="Calibri"/>
          <w:i w:val="0"/>
          <w:noProof w:val="0"/>
          <w:szCs w:val="20"/>
          <w:lang w:val="en-US"/>
        </w:rPr>
        <w:t>International Gay and Lesbian Human Rights Commission;</w:t>
      </w:r>
      <w:r w:rsidRPr="002433F3">
        <w:rPr>
          <w:rStyle w:val="Refdenotaalpie"/>
          <w:rFonts w:eastAsia="Calibri"/>
          <w:i w:val="0"/>
          <w:noProof w:val="0"/>
          <w:lang w:val="en-US"/>
        </w:rPr>
        <w:footnoteReference w:id="10"/>
      </w:r>
      <w:r w:rsidRPr="002433F3">
        <w:rPr>
          <w:i w:val="0"/>
          <w:noProof w:val="0"/>
          <w:szCs w:val="20"/>
          <w:lang w:val="en-US"/>
        </w:rPr>
        <w:t xml:space="preserve"> 3) Alliance Defending Freedom</w:t>
      </w:r>
      <w:r w:rsidR="007E6734" w:rsidRPr="002433F3">
        <w:rPr>
          <w:i w:val="0"/>
          <w:noProof w:val="0"/>
          <w:szCs w:val="20"/>
          <w:lang w:val="en-US"/>
        </w:rPr>
        <w:t xml:space="preserve"> Organization;</w:t>
      </w:r>
      <w:r w:rsidRPr="002433F3">
        <w:rPr>
          <w:rStyle w:val="Refdenotaalpie"/>
          <w:i w:val="0"/>
          <w:noProof w:val="0"/>
          <w:lang w:val="en-US"/>
        </w:rPr>
        <w:footnoteReference w:id="11"/>
      </w:r>
      <w:r w:rsidRPr="002433F3">
        <w:rPr>
          <w:i w:val="0"/>
          <w:noProof w:val="0"/>
          <w:szCs w:val="20"/>
          <w:lang w:val="en-US"/>
        </w:rPr>
        <w:t xml:space="preserve"> 4) Damián A. González-Salzberg</w:t>
      </w:r>
      <w:r w:rsidR="00C44C4A" w:rsidRPr="002433F3">
        <w:rPr>
          <w:i w:val="0"/>
          <w:noProof w:val="0"/>
          <w:szCs w:val="20"/>
          <w:lang w:val="en-US"/>
        </w:rPr>
        <w:t>;</w:t>
      </w:r>
      <w:r w:rsidRPr="002433F3">
        <w:rPr>
          <w:rStyle w:val="Refdenotaalpie"/>
          <w:i w:val="0"/>
          <w:noProof w:val="0"/>
          <w:lang w:val="en-US"/>
        </w:rPr>
        <w:footnoteReference w:id="12"/>
      </w:r>
      <w:r w:rsidRPr="002433F3">
        <w:rPr>
          <w:i w:val="0"/>
          <w:noProof w:val="0"/>
          <w:szCs w:val="20"/>
          <w:lang w:val="en-US"/>
        </w:rPr>
        <w:t xml:space="preserve"> 5) Leitner Center for </w:t>
      </w:r>
      <w:r w:rsidR="00E42CD8" w:rsidRPr="002433F3">
        <w:rPr>
          <w:i w:val="0"/>
          <w:noProof w:val="0"/>
          <w:szCs w:val="20"/>
          <w:lang w:val="en-US"/>
        </w:rPr>
        <w:t>Justice and International Law at</w:t>
      </w:r>
      <w:r w:rsidRPr="002433F3">
        <w:rPr>
          <w:i w:val="0"/>
          <w:noProof w:val="0"/>
          <w:szCs w:val="20"/>
          <w:lang w:val="en-US"/>
        </w:rPr>
        <w:t xml:space="preserve"> Fordham </w:t>
      </w:r>
      <w:r w:rsidR="00E42CD8" w:rsidRPr="002433F3">
        <w:rPr>
          <w:i w:val="0"/>
          <w:noProof w:val="0"/>
          <w:szCs w:val="20"/>
          <w:lang w:val="en-US"/>
        </w:rPr>
        <w:t xml:space="preserve">Law School </w:t>
      </w:r>
      <w:r w:rsidRPr="002433F3">
        <w:rPr>
          <w:i w:val="0"/>
          <w:noProof w:val="0"/>
          <w:szCs w:val="20"/>
          <w:lang w:val="en-US"/>
        </w:rPr>
        <w:t xml:space="preserve">and the International Human Rights </w:t>
      </w:r>
      <w:r w:rsidR="00E42CD8" w:rsidRPr="002433F3">
        <w:rPr>
          <w:i w:val="0"/>
          <w:noProof w:val="0"/>
          <w:szCs w:val="20"/>
          <w:lang w:val="en-US"/>
        </w:rPr>
        <w:t xml:space="preserve">Commission </w:t>
      </w:r>
      <w:r w:rsidRPr="002433F3">
        <w:rPr>
          <w:i w:val="0"/>
          <w:noProof w:val="0"/>
          <w:szCs w:val="20"/>
          <w:lang w:val="en-US"/>
        </w:rPr>
        <w:t>for Gays and Lesbians</w:t>
      </w:r>
      <w:r w:rsidR="00E42CD8" w:rsidRPr="002433F3">
        <w:rPr>
          <w:i w:val="0"/>
          <w:noProof w:val="0"/>
          <w:szCs w:val="20"/>
          <w:lang w:val="en-US"/>
        </w:rPr>
        <w:t>;</w:t>
      </w:r>
      <w:r w:rsidRPr="002433F3">
        <w:rPr>
          <w:rStyle w:val="Refdenotaalpie"/>
          <w:i w:val="0"/>
          <w:noProof w:val="0"/>
          <w:lang w:val="en-US"/>
        </w:rPr>
        <w:footnoteReference w:id="13"/>
      </w:r>
      <w:r w:rsidRPr="002433F3">
        <w:rPr>
          <w:i w:val="0"/>
          <w:noProof w:val="0"/>
          <w:szCs w:val="20"/>
          <w:lang w:val="en-US"/>
        </w:rPr>
        <w:t xml:space="preserve"> 6) </w:t>
      </w:r>
      <w:r w:rsidRPr="002433F3">
        <w:rPr>
          <w:noProof w:val="0"/>
          <w:szCs w:val="20"/>
          <w:lang w:val="en-US"/>
        </w:rPr>
        <w:t>Colombia Diversa</w:t>
      </w:r>
      <w:r w:rsidRPr="002433F3">
        <w:rPr>
          <w:i w:val="0"/>
          <w:noProof w:val="0"/>
          <w:szCs w:val="20"/>
          <w:lang w:val="en-US"/>
        </w:rPr>
        <w:t xml:space="preserve"> and the  Action Program for Equality and Social Inclusion (PAI</w:t>
      </w:r>
      <w:r w:rsidR="00C44C4A" w:rsidRPr="002433F3">
        <w:rPr>
          <w:i w:val="0"/>
          <w:noProof w:val="0"/>
          <w:szCs w:val="20"/>
          <w:lang w:val="en-US"/>
        </w:rPr>
        <w:t xml:space="preserve">IS) of the Law Faculty at Universidad de los </w:t>
      </w:r>
      <w:r w:rsidRPr="002433F3">
        <w:rPr>
          <w:i w:val="0"/>
          <w:noProof w:val="0"/>
          <w:szCs w:val="20"/>
          <w:lang w:val="en-US"/>
        </w:rPr>
        <w:t>Andes</w:t>
      </w:r>
      <w:r w:rsidR="00E42CD8" w:rsidRPr="002433F3">
        <w:rPr>
          <w:i w:val="0"/>
          <w:noProof w:val="0"/>
          <w:szCs w:val="20"/>
          <w:lang w:val="en-US"/>
        </w:rPr>
        <w:t>;</w:t>
      </w:r>
      <w:r w:rsidRPr="002433F3">
        <w:rPr>
          <w:rStyle w:val="Refdenotaalpie"/>
          <w:i w:val="0"/>
          <w:noProof w:val="0"/>
          <w:lang w:val="en-US"/>
        </w:rPr>
        <w:footnoteReference w:id="14"/>
      </w:r>
      <w:r w:rsidRPr="002433F3">
        <w:rPr>
          <w:i w:val="0"/>
          <w:noProof w:val="0"/>
          <w:szCs w:val="20"/>
          <w:lang w:val="en-US"/>
        </w:rPr>
        <w:t xml:space="preserve"> 7) The Heartland Alliance for Human Needs and Human Rights, Venezuela Diversa Civil Association, United and Strong Inc., Corporation </w:t>
      </w:r>
      <w:r w:rsidR="00E42CD8" w:rsidRPr="002433F3">
        <w:rPr>
          <w:i w:val="0"/>
          <w:noProof w:val="0"/>
          <w:szCs w:val="20"/>
          <w:lang w:val="en-US"/>
        </w:rPr>
        <w:t>for Women’s Promotion/Women’s Communication Workshop</w:t>
      </w:r>
      <w:r w:rsidRPr="002433F3">
        <w:rPr>
          <w:i w:val="0"/>
          <w:noProof w:val="0"/>
          <w:szCs w:val="20"/>
          <w:lang w:val="en-US"/>
        </w:rPr>
        <w:t xml:space="preserve">, SASOD - Society Against Sexual Orientation Discrimination, Women and Health Collective, Aireana </w:t>
      </w:r>
      <w:r w:rsidR="00653F67" w:rsidRPr="002433F3">
        <w:rPr>
          <w:i w:val="0"/>
          <w:noProof w:val="0"/>
          <w:szCs w:val="20"/>
          <w:lang w:val="en-US"/>
        </w:rPr>
        <w:lastRenderedPageBreak/>
        <w:t>Group for Lesbian</w:t>
      </w:r>
      <w:r w:rsidRPr="002433F3">
        <w:rPr>
          <w:i w:val="0"/>
          <w:noProof w:val="0"/>
          <w:szCs w:val="20"/>
          <w:lang w:val="en-US"/>
        </w:rPr>
        <w:t xml:space="preserve"> Rights, United Belize Advocacy Movement, </w:t>
      </w:r>
      <w:r w:rsidRPr="002433F3">
        <w:rPr>
          <w:noProof w:val="0"/>
          <w:szCs w:val="20"/>
          <w:lang w:val="en-US"/>
        </w:rPr>
        <w:t xml:space="preserve">Mulabi </w:t>
      </w:r>
      <w:r w:rsidRPr="002433F3">
        <w:rPr>
          <w:i w:val="0"/>
          <w:noProof w:val="0"/>
          <w:szCs w:val="20"/>
          <w:lang w:val="en-US"/>
        </w:rPr>
        <w:t xml:space="preserve">- </w:t>
      </w:r>
      <w:r w:rsidRPr="002433F3">
        <w:rPr>
          <w:noProof w:val="0"/>
          <w:szCs w:val="20"/>
          <w:lang w:val="en-US"/>
        </w:rPr>
        <w:t>Espacio Latinoamericano</w:t>
      </w:r>
      <w:r w:rsidRPr="002433F3">
        <w:rPr>
          <w:i w:val="0"/>
          <w:noProof w:val="0"/>
          <w:szCs w:val="20"/>
          <w:lang w:val="en-US"/>
        </w:rPr>
        <w:t xml:space="preserve"> </w:t>
      </w:r>
      <w:r w:rsidRPr="002433F3">
        <w:rPr>
          <w:noProof w:val="0"/>
          <w:szCs w:val="20"/>
          <w:lang w:val="en-US"/>
        </w:rPr>
        <w:t xml:space="preserve">de </w:t>
      </w:r>
      <w:r w:rsidR="00653F67" w:rsidRPr="002433F3">
        <w:rPr>
          <w:noProof w:val="0"/>
          <w:szCs w:val="20"/>
          <w:lang w:val="en-US"/>
        </w:rPr>
        <w:t>Sexualidades y Derechos</w:t>
      </w:r>
      <w:r w:rsidR="00653F67" w:rsidRPr="002433F3">
        <w:rPr>
          <w:i w:val="0"/>
          <w:noProof w:val="0"/>
          <w:szCs w:val="20"/>
          <w:lang w:val="en-US"/>
        </w:rPr>
        <w:t xml:space="preserve">, </w:t>
      </w:r>
      <w:r w:rsidR="00BF4708" w:rsidRPr="002433F3">
        <w:rPr>
          <w:szCs w:val="20"/>
        </w:rPr>
        <w:t xml:space="preserve">Akahatá – </w:t>
      </w:r>
      <w:r w:rsidR="00BF4708" w:rsidRPr="002433F3">
        <w:rPr>
          <w:i w:val="0"/>
          <w:szCs w:val="20"/>
        </w:rPr>
        <w:t>Work Team on Sexualities and</w:t>
      </w:r>
      <w:r w:rsidR="00BF4708" w:rsidRPr="002433F3">
        <w:rPr>
          <w:szCs w:val="20"/>
        </w:rPr>
        <w:t xml:space="preserve"> </w:t>
      </w:r>
      <w:r w:rsidR="00BF4708" w:rsidRPr="002433F3">
        <w:rPr>
          <w:i w:val="0"/>
          <w:szCs w:val="20"/>
        </w:rPr>
        <w:t>Genders</w:t>
      </w:r>
      <w:r w:rsidRPr="002433F3">
        <w:rPr>
          <w:i w:val="0"/>
          <w:noProof w:val="0"/>
          <w:szCs w:val="20"/>
          <w:lang w:val="en-US"/>
        </w:rPr>
        <w:t xml:space="preserve">, </w:t>
      </w:r>
      <w:r w:rsidRPr="002433F3">
        <w:rPr>
          <w:noProof w:val="0"/>
          <w:szCs w:val="20"/>
          <w:lang w:val="en-US"/>
        </w:rPr>
        <w:t>Colectivo Ovejas Negras</w:t>
      </w:r>
      <w:r w:rsidRPr="002433F3">
        <w:rPr>
          <w:i w:val="0"/>
          <w:noProof w:val="0"/>
          <w:szCs w:val="20"/>
          <w:lang w:val="en-US"/>
        </w:rPr>
        <w:t xml:space="preserve">, Center for the Promotion and Defense of Sexual and Reproductive Rights (PROMSEX), </w:t>
      </w:r>
      <w:r w:rsidR="00160E03" w:rsidRPr="002433F3">
        <w:rPr>
          <w:noProof w:val="0"/>
          <w:szCs w:val="20"/>
          <w:lang w:val="en-US"/>
        </w:rPr>
        <w:t>Red</w:t>
      </w:r>
      <w:r w:rsidRPr="002433F3">
        <w:rPr>
          <w:noProof w:val="0"/>
          <w:szCs w:val="20"/>
          <w:lang w:val="en-US"/>
        </w:rPr>
        <w:t xml:space="preserve"> Nacional de Negras and Negros LGBT</w:t>
      </w:r>
      <w:r w:rsidRPr="002433F3">
        <w:rPr>
          <w:i w:val="0"/>
          <w:noProof w:val="0"/>
          <w:szCs w:val="20"/>
          <w:lang w:val="en-US"/>
        </w:rPr>
        <w:t xml:space="preserve">, Women’s Way Foundation, Jamaica Forum of Lesbians, All-Sexuals and Gays (J-FLAG), </w:t>
      </w:r>
      <w:r w:rsidRPr="002433F3">
        <w:rPr>
          <w:noProof w:val="0"/>
          <w:szCs w:val="20"/>
          <w:lang w:val="en-US"/>
        </w:rPr>
        <w:t>Red Latinoamericana y del Caribe de Personas Trans (Redlactrans)</w:t>
      </w:r>
      <w:r w:rsidRPr="002433F3">
        <w:rPr>
          <w:i w:val="0"/>
          <w:noProof w:val="0"/>
          <w:szCs w:val="20"/>
          <w:lang w:val="en-US"/>
        </w:rPr>
        <w:t xml:space="preserve">, </w:t>
      </w:r>
      <w:r w:rsidRPr="002433F3">
        <w:rPr>
          <w:noProof w:val="0"/>
          <w:szCs w:val="20"/>
          <w:lang w:val="en-US"/>
        </w:rPr>
        <w:t>Amanda Jofré</w:t>
      </w:r>
      <w:r w:rsidR="00BF4708" w:rsidRPr="002433F3">
        <w:rPr>
          <w:i w:val="0"/>
          <w:noProof w:val="0"/>
          <w:szCs w:val="20"/>
          <w:lang w:val="en-US"/>
        </w:rPr>
        <w:t xml:space="preserve"> Trade Union,</w:t>
      </w:r>
      <w:r w:rsidRPr="002433F3">
        <w:rPr>
          <w:i w:val="0"/>
          <w:noProof w:val="0"/>
          <w:szCs w:val="20"/>
          <w:lang w:val="en-US"/>
        </w:rPr>
        <w:t xml:space="preserve"> Trans Network of Peru, </w:t>
      </w:r>
      <w:r w:rsidR="00BF4708" w:rsidRPr="002433F3">
        <w:rPr>
          <w:i w:val="0"/>
        </w:rPr>
        <w:t>Panamani</w:t>
      </w:r>
      <w:r w:rsidR="00653F67" w:rsidRPr="002433F3">
        <w:rPr>
          <w:i w:val="0"/>
        </w:rPr>
        <w:t>an Association of Trans People</w:t>
      </w:r>
      <w:r w:rsidR="00774D28" w:rsidRPr="002433F3">
        <w:rPr>
          <w:noProof w:val="0"/>
          <w:szCs w:val="20"/>
          <w:lang w:val="en-US"/>
        </w:rPr>
        <w:t>,</w:t>
      </w:r>
      <w:r w:rsidR="00774D28" w:rsidRPr="002433F3">
        <w:rPr>
          <w:i w:val="0"/>
          <w:noProof w:val="0"/>
          <w:szCs w:val="20"/>
          <w:lang w:val="en-US"/>
        </w:rPr>
        <w:t xml:space="preserve"> </w:t>
      </w:r>
      <w:r w:rsidRPr="002433F3">
        <w:rPr>
          <w:noProof w:val="0"/>
          <w:szCs w:val="20"/>
          <w:lang w:val="en-US"/>
        </w:rPr>
        <w:t>Panambí</w:t>
      </w:r>
      <w:r w:rsidRPr="002433F3">
        <w:rPr>
          <w:i w:val="0"/>
          <w:noProof w:val="0"/>
          <w:szCs w:val="20"/>
          <w:lang w:val="en-US"/>
        </w:rPr>
        <w:t xml:space="preserve"> </w:t>
      </w:r>
      <w:r w:rsidR="00BF4708" w:rsidRPr="002433F3">
        <w:rPr>
          <w:i w:val="0"/>
          <w:noProof w:val="0"/>
          <w:szCs w:val="20"/>
          <w:lang w:val="en-US"/>
        </w:rPr>
        <w:t xml:space="preserve">Association </w:t>
      </w:r>
      <w:r w:rsidRPr="002433F3">
        <w:rPr>
          <w:i w:val="0"/>
          <w:noProof w:val="0"/>
          <w:szCs w:val="20"/>
          <w:lang w:val="en-US"/>
        </w:rPr>
        <w:t xml:space="preserve">and </w:t>
      </w:r>
      <w:r w:rsidRPr="002433F3">
        <w:rPr>
          <w:noProof w:val="0"/>
          <w:szCs w:val="20"/>
          <w:lang w:val="en-US"/>
        </w:rPr>
        <w:t>Alfil</w:t>
      </w:r>
      <w:r w:rsidR="00BF4708" w:rsidRPr="002433F3">
        <w:rPr>
          <w:i w:val="0"/>
          <w:noProof w:val="0"/>
          <w:szCs w:val="20"/>
          <w:lang w:val="en-US"/>
        </w:rPr>
        <w:t xml:space="preserve"> Association</w:t>
      </w:r>
      <w:r w:rsidR="003E2129" w:rsidRPr="002433F3">
        <w:rPr>
          <w:i w:val="0"/>
          <w:noProof w:val="0"/>
          <w:szCs w:val="20"/>
          <w:lang w:val="en-US"/>
        </w:rPr>
        <w:t>;</w:t>
      </w:r>
      <w:r w:rsidRPr="002433F3">
        <w:rPr>
          <w:rStyle w:val="Refdenotaalpie"/>
          <w:i w:val="0"/>
          <w:noProof w:val="0"/>
          <w:lang w:val="en-US"/>
        </w:rPr>
        <w:footnoteReference w:id="15"/>
      </w:r>
      <w:r w:rsidRPr="002433F3">
        <w:rPr>
          <w:i w:val="0"/>
          <w:noProof w:val="0"/>
          <w:szCs w:val="20"/>
          <w:lang w:val="en-US"/>
        </w:rPr>
        <w:t xml:space="preserve"> 8) Human Rights Clinic of the Faculty </w:t>
      </w:r>
      <w:r w:rsidR="00BF4708" w:rsidRPr="002433F3">
        <w:rPr>
          <w:i w:val="0"/>
          <w:noProof w:val="0"/>
          <w:szCs w:val="20"/>
          <w:lang w:val="en-US"/>
        </w:rPr>
        <w:t xml:space="preserve">of Law </w:t>
      </w:r>
      <w:r w:rsidRPr="002433F3">
        <w:rPr>
          <w:i w:val="0"/>
          <w:noProof w:val="0"/>
          <w:szCs w:val="20"/>
          <w:lang w:val="en-US"/>
        </w:rPr>
        <w:t>of Santa Clara University</w:t>
      </w:r>
      <w:r w:rsidR="00064D91" w:rsidRPr="002433F3">
        <w:rPr>
          <w:i w:val="0"/>
          <w:noProof w:val="0"/>
          <w:szCs w:val="20"/>
          <w:lang w:val="en-US"/>
        </w:rPr>
        <w:t xml:space="preserve">, </w:t>
      </w:r>
      <w:r w:rsidRPr="002433F3">
        <w:rPr>
          <w:i w:val="0"/>
          <w:noProof w:val="0"/>
          <w:szCs w:val="20"/>
          <w:lang w:val="en-US"/>
        </w:rPr>
        <w:t>California</w:t>
      </w:r>
      <w:r w:rsidRPr="002433F3">
        <w:rPr>
          <w:rStyle w:val="Refdenotaalpie"/>
          <w:i w:val="0"/>
          <w:noProof w:val="0"/>
          <w:lang w:val="en-US"/>
        </w:rPr>
        <w:footnoteReference w:id="16"/>
      </w:r>
      <w:r w:rsidRPr="002433F3">
        <w:rPr>
          <w:i w:val="0"/>
          <w:noProof w:val="0"/>
          <w:szCs w:val="20"/>
          <w:lang w:val="en-US"/>
        </w:rPr>
        <w:t xml:space="preserve"> and 9) Public Action Group of the Law Faculty of the Universidad del Rosario,</w:t>
      </w:r>
      <w:r w:rsidR="003E2129" w:rsidRPr="002433F3">
        <w:rPr>
          <w:i w:val="0"/>
          <w:noProof w:val="0"/>
          <w:szCs w:val="20"/>
          <w:lang w:val="en-US"/>
        </w:rPr>
        <w:t xml:space="preserve"> </w:t>
      </w:r>
      <w:r w:rsidRPr="002433F3">
        <w:rPr>
          <w:i w:val="0"/>
          <w:noProof w:val="0"/>
          <w:szCs w:val="20"/>
          <w:lang w:val="en-US"/>
        </w:rPr>
        <w:t>Colombia</w:t>
      </w:r>
      <w:r w:rsidR="00653F67" w:rsidRPr="002433F3">
        <w:rPr>
          <w:i w:val="0"/>
          <w:noProof w:val="0"/>
          <w:szCs w:val="20"/>
          <w:lang w:val="en-US"/>
        </w:rPr>
        <w:t xml:space="preserve"> Probono</w:t>
      </w:r>
      <w:r w:rsidR="00653F67" w:rsidRPr="002433F3">
        <w:rPr>
          <w:noProof w:val="0"/>
          <w:szCs w:val="20"/>
          <w:lang w:val="en-US"/>
        </w:rPr>
        <w:t xml:space="preserve"> </w:t>
      </w:r>
      <w:r w:rsidR="00653F67" w:rsidRPr="002433F3">
        <w:rPr>
          <w:i w:val="0"/>
          <w:noProof w:val="0"/>
          <w:szCs w:val="20"/>
          <w:lang w:val="en-US"/>
        </w:rPr>
        <w:t>Foundation</w:t>
      </w:r>
      <w:r w:rsidRPr="002433F3">
        <w:rPr>
          <w:i w:val="0"/>
          <w:noProof w:val="0"/>
          <w:szCs w:val="20"/>
          <w:lang w:val="en-US"/>
        </w:rPr>
        <w:t>, Chile</w:t>
      </w:r>
      <w:r w:rsidR="00BF4708" w:rsidRPr="002433F3">
        <w:rPr>
          <w:i w:val="0"/>
          <w:noProof w:val="0"/>
          <w:szCs w:val="20"/>
          <w:lang w:val="en-US"/>
        </w:rPr>
        <w:t xml:space="preserve"> Probono Network</w:t>
      </w:r>
      <w:r w:rsidRPr="002433F3">
        <w:rPr>
          <w:i w:val="0"/>
          <w:noProof w:val="0"/>
          <w:szCs w:val="20"/>
          <w:lang w:val="en-US"/>
        </w:rPr>
        <w:t xml:space="preserve">, </w:t>
      </w:r>
      <w:r w:rsidRPr="002433F3">
        <w:rPr>
          <w:noProof w:val="0"/>
          <w:szCs w:val="20"/>
          <w:lang w:val="en-US"/>
        </w:rPr>
        <w:t>Estudio Jurídico Ferrada Nheme</w:t>
      </w:r>
      <w:r w:rsidR="00653F67" w:rsidRPr="002433F3">
        <w:rPr>
          <w:i w:val="0"/>
          <w:noProof w:val="0"/>
          <w:szCs w:val="20"/>
          <w:lang w:val="en-US"/>
        </w:rPr>
        <w:t xml:space="preserve"> and the Baker </w:t>
      </w:r>
      <w:r w:rsidRPr="002433F3">
        <w:rPr>
          <w:i w:val="0"/>
          <w:noProof w:val="0"/>
          <w:szCs w:val="20"/>
          <w:lang w:val="en-US"/>
        </w:rPr>
        <w:t>and McKenzie Law Firm of Colombia.</w:t>
      </w:r>
      <w:r w:rsidRPr="002433F3">
        <w:rPr>
          <w:noProof w:val="0"/>
          <w:lang w:val="en-US"/>
        </w:rPr>
        <w:t xml:space="preserve"> </w:t>
      </w:r>
    </w:p>
    <w:p w14:paraId="1B275D23" w14:textId="77777777" w:rsidR="007B0DE4" w:rsidRPr="002433F3" w:rsidRDefault="007B0DE4" w:rsidP="007B0DE4">
      <w:pPr>
        <w:pStyle w:val="Estilo1"/>
        <w:numPr>
          <w:ilvl w:val="0"/>
          <w:numId w:val="2"/>
        </w:numPr>
        <w:tabs>
          <w:tab w:val="left" w:pos="567"/>
          <w:tab w:val="left" w:pos="1134"/>
          <w:tab w:val="num" w:pos="6042"/>
        </w:tabs>
        <w:spacing w:before="120"/>
        <w:ind w:right="0"/>
        <w:rPr>
          <w:rFonts w:cs="Verdana"/>
          <w:noProof w:val="0"/>
          <w:szCs w:val="20"/>
          <w:lang w:val="en-US" w:eastAsia="es-ES"/>
        </w:rPr>
      </w:pPr>
      <w:r w:rsidRPr="002433F3">
        <w:rPr>
          <w:rFonts w:cs="Arial"/>
          <w:noProof w:val="0"/>
          <w:szCs w:val="20"/>
          <w:lang w:val="en-US" w:eastAsia="es-ES"/>
        </w:rPr>
        <w:t xml:space="preserve">Final written arguments </w:t>
      </w:r>
      <w:r w:rsidRPr="002433F3">
        <w:rPr>
          <w:rFonts w:cs="Verdana"/>
          <w:noProof w:val="0"/>
          <w:szCs w:val="20"/>
          <w:lang w:val="en-US" w:eastAsia="es-ES"/>
        </w:rPr>
        <w:t>and observations.</w:t>
      </w:r>
      <w:r w:rsidRPr="002433F3">
        <w:rPr>
          <w:rFonts w:cs="Verdana"/>
          <w:i w:val="0"/>
          <w:noProof w:val="0"/>
          <w:szCs w:val="20"/>
          <w:lang w:val="en-US" w:eastAsia="es-ES"/>
        </w:rPr>
        <w:t xml:space="preserve"> On </w:t>
      </w:r>
      <w:bookmarkStart w:id="18" w:name="_Ref313990861"/>
      <w:r w:rsidRPr="002433F3">
        <w:rPr>
          <w:rFonts w:cs="Verdana"/>
          <w:i w:val="0"/>
          <w:noProof w:val="0"/>
          <w:szCs w:val="20"/>
          <w:lang w:val="en-US" w:eastAsia="es-ES"/>
        </w:rPr>
        <w:t>September 25, 2015, the representatives</w:t>
      </w:r>
      <w:r w:rsidR="00064D91" w:rsidRPr="002433F3">
        <w:rPr>
          <w:rFonts w:cs="Verdana"/>
          <w:i w:val="0"/>
          <w:noProof w:val="0"/>
          <w:szCs w:val="20"/>
          <w:lang w:val="en-US" w:eastAsia="es-ES"/>
        </w:rPr>
        <w:t>,</w:t>
      </w:r>
      <w:r w:rsidRPr="002433F3">
        <w:rPr>
          <w:rFonts w:cs="Verdana"/>
          <w:i w:val="0"/>
          <w:noProof w:val="0"/>
          <w:szCs w:val="20"/>
          <w:lang w:val="en-US" w:eastAsia="es-ES"/>
        </w:rPr>
        <w:t xml:space="preserve"> the State </w:t>
      </w:r>
      <w:r w:rsidR="00064D91" w:rsidRPr="002433F3">
        <w:rPr>
          <w:rFonts w:cs="Verdana"/>
          <w:i w:val="0"/>
          <w:noProof w:val="0"/>
          <w:szCs w:val="20"/>
          <w:lang w:val="en-US" w:eastAsia="es-ES"/>
        </w:rPr>
        <w:t xml:space="preserve">and the Inter-American Commission, forwarded </w:t>
      </w:r>
      <w:r w:rsidR="00274631" w:rsidRPr="002433F3">
        <w:rPr>
          <w:rFonts w:cs="Verdana"/>
          <w:i w:val="0"/>
          <w:noProof w:val="0"/>
          <w:szCs w:val="20"/>
          <w:lang w:val="en-US" w:eastAsia="es-ES"/>
        </w:rPr>
        <w:t xml:space="preserve">their </w:t>
      </w:r>
      <w:r w:rsidRPr="002433F3">
        <w:rPr>
          <w:rFonts w:cs="Verdana"/>
          <w:i w:val="0"/>
          <w:noProof w:val="0"/>
          <w:szCs w:val="20"/>
          <w:lang w:val="en-US" w:eastAsia="es-ES"/>
        </w:rPr>
        <w:t xml:space="preserve">final written arguments and </w:t>
      </w:r>
      <w:r w:rsidR="00064D91" w:rsidRPr="002433F3">
        <w:rPr>
          <w:rFonts w:cs="Verdana"/>
          <w:i w:val="0"/>
          <w:noProof w:val="0"/>
          <w:szCs w:val="20"/>
          <w:lang w:val="en-US" w:eastAsia="es-ES"/>
        </w:rPr>
        <w:t>final written observations, respectively.</w:t>
      </w:r>
      <w:r w:rsidRPr="002433F3">
        <w:rPr>
          <w:rFonts w:cs="Verdana"/>
          <w:i w:val="0"/>
          <w:noProof w:val="0"/>
          <w:szCs w:val="20"/>
          <w:lang w:val="en-US" w:eastAsia="es-ES"/>
        </w:rPr>
        <w:t xml:space="preserve"> </w:t>
      </w:r>
    </w:p>
    <w:bookmarkEnd w:id="18"/>
    <w:p w14:paraId="502CB6C5" w14:textId="77777777" w:rsidR="007B0DE4" w:rsidRPr="002433F3" w:rsidRDefault="007B0DE4" w:rsidP="007B0DE4">
      <w:pPr>
        <w:pStyle w:val="Estilo1"/>
        <w:numPr>
          <w:ilvl w:val="0"/>
          <w:numId w:val="2"/>
        </w:numPr>
        <w:tabs>
          <w:tab w:val="left" w:pos="567"/>
          <w:tab w:val="left" w:pos="1134"/>
          <w:tab w:val="num" w:pos="6042"/>
        </w:tabs>
        <w:spacing w:before="120"/>
        <w:ind w:right="0"/>
        <w:rPr>
          <w:rFonts w:cs="Verdana"/>
          <w:i w:val="0"/>
          <w:noProof w:val="0"/>
          <w:szCs w:val="20"/>
          <w:lang w:val="en-US" w:eastAsia="es-ES"/>
        </w:rPr>
      </w:pPr>
      <w:r w:rsidRPr="002433F3">
        <w:rPr>
          <w:noProof w:val="0"/>
          <w:lang w:val="en-US" w:eastAsia="es-CR"/>
        </w:rPr>
        <w:t xml:space="preserve">Deliberation of this case. </w:t>
      </w:r>
      <w:r w:rsidRPr="002433F3">
        <w:rPr>
          <w:i w:val="0"/>
          <w:noProof w:val="0"/>
          <w:lang w:val="en-US" w:eastAsia="es-CR"/>
        </w:rPr>
        <w:t xml:space="preserve">The Court began </w:t>
      </w:r>
      <w:r w:rsidR="00064D91" w:rsidRPr="002433F3">
        <w:rPr>
          <w:i w:val="0"/>
          <w:noProof w:val="0"/>
          <w:lang w:val="en-US" w:eastAsia="es-CR"/>
        </w:rPr>
        <w:t>its deliberations on</w:t>
      </w:r>
      <w:r w:rsidRPr="002433F3">
        <w:rPr>
          <w:i w:val="0"/>
          <w:noProof w:val="0"/>
          <w:lang w:val="en-US" w:eastAsia="es-CR"/>
        </w:rPr>
        <w:t xml:space="preserve"> this Judgment on February 25, 2016.</w:t>
      </w:r>
    </w:p>
    <w:p w14:paraId="5E6C801A" w14:textId="77777777" w:rsidR="007B0DE4" w:rsidRPr="002433F3" w:rsidRDefault="007B0DE4" w:rsidP="007B0DE4">
      <w:pPr>
        <w:pStyle w:val="Ttulo1"/>
        <w:spacing w:before="460" w:after="460"/>
        <w:rPr>
          <w:noProof w:val="0"/>
          <w:lang w:val="en-US"/>
        </w:rPr>
      </w:pPr>
      <w:bookmarkStart w:id="19" w:name="_Toc315133576"/>
      <w:bookmarkStart w:id="20" w:name="_Toc316919761"/>
      <w:bookmarkStart w:id="21" w:name="_Toc329703866"/>
      <w:bookmarkStart w:id="22" w:name="_Toc336638903"/>
      <w:bookmarkStart w:id="23" w:name="_Toc359314423"/>
      <w:bookmarkStart w:id="24" w:name="_Toc361671573"/>
      <w:bookmarkStart w:id="25" w:name="_Toc361671993"/>
      <w:bookmarkStart w:id="26" w:name="_Toc361732790"/>
      <w:bookmarkStart w:id="27" w:name="_Toc361732833"/>
      <w:bookmarkStart w:id="28" w:name="_Toc362456864"/>
      <w:bookmarkStart w:id="29" w:name="_Toc365021393"/>
      <w:bookmarkStart w:id="30" w:name="_Toc369076779"/>
      <w:bookmarkStart w:id="31" w:name="_Toc369989363"/>
      <w:bookmarkStart w:id="32" w:name="_Toc369989450"/>
      <w:bookmarkStart w:id="33" w:name="_Toc369989731"/>
      <w:bookmarkStart w:id="34" w:name="_Toc448482242"/>
      <w:r w:rsidRPr="002433F3">
        <w:rPr>
          <w:noProof w:val="0"/>
          <w:lang w:val="en-US"/>
        </w:rPr>
        <w:t>III</w:t>
      </w:r>
      <w:r w:rsidRPr="002433F3">
        <w:rPr>
          <w:noProof w:val="0"/>
          <w:lang w:val="en-US"/>
        </w:rPr>
        <w:br/>
      </w:r>
      <w:bookmarkStart w:id="35" w:name="_Toc311128357"/>
      <w:bookmarkStart w:id="36" w:name="_Toc311128160"/>
      <w:r w:rsidRPr="002433F3">
        <w:rPr>
          <w:noProof w:val="0"/>
          <w:lang w:val="en-US"/>
        </w:rPr>
        <w:t xml:space="preserve">JURISDICTION </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037B4BCD" w14:textId="77777777" w:rsidR="007B0DE4" w:rsidRPr="002433F3" w:rsidRDefault="007B0DE4" w:rsidP="007B0DE4">
      <w:pPr>
        <w:numPr>
          <w:ilvl w:val="0"/>
          <w:numId w:val="2"/>
        </w:numPr>
        <w:tabs>
          <w:tab w:val="left" w:pos="567"/>
          <w:tab w:val="left" w:pos="720"/>
          <w:tab w:val="left" w:pos="1134"/>
          <w:tab w:val="num" w:pos="1427"/>
          <w:tab w:val="num" w:pos="6042"/>
        </w:tabs>
        <w:autoSpaceDE w:val="0"/>
        <w:autoSpaceDN w:val="0"/>
        <w:adjustRightInd w:val="0"/>
        <w:spacing w:before="120"/>
        <w:ind w:right="-90"/>
        <w:rPr>
          <w:sz w:val="16"/>
          <w:szCs w:val="16"/>
          <w:lang w:val="en-US"/>
        </w:rPr>
      </w:pPr>
      <w:r w:rsidRPr="002433F3">
        <w:rPr>
          <w:lang w:val="en-US"/>
        </w:rPr>
        <w:t xml:space="preserve">The </w:t>
      </w:r>
      <w:r w:rsidR="008C5FCF" w:rsidRPr="002433F3">
        <w:rPr>
          <w:rFonts w:eastAsia="Times New Roman" w:cs="Times New Roman"/>
          <w:szCs w:val="20"/>
          <w:lang w:val="en-US" w:eastAsia="es-CR"/>
        </w:rPr>
        <w:t>Inter-American Court</w:t>
      </w:r>
      <w:r w:rsidR="008C5FCF" w:rsidRPr="002433F3">
        <w:rPr>
          <w:lang w:val="en-US"/>
        </w:rPr>
        <w:t xml:space="preserve"> </w:t>
      </w:r>
      <w:r w:rsidRPr="002433F3">
        <w:rPr>
          <w:lang w:val="en-US"/>
        </w:rPr>
        <w:t>has</w:t>
      </w:r>
      <w:r w:rsidR="008C5FCF" w:rsidRPr="002433F3">
        <w:rPr>
          <w:lang w:val="en-US"/>
        </w:rPr>
        <w:t xml:space="preserve"> jurisdiction to hear this case</w:t>
      </w:r>
      <w:r w:rsidRPr="002433F3">
        <w:rPr>
          <w:lang w:val="en-US"/>
        </w:rPr>
        <w:t xml:space="preserve"> </w:t>
      </w:r>
      <w:r w:rsidR="008C5FCF" w:rsidRPr="002433F3">
        <w:rPr>
          <w:lang w:val="en-US"/>
        </w:rPr>
        <w:t xml:space="preserve">pursuant to </w:t>
      </w:r>
      <w:r w:rsidRPr="002433F3">
        <w:rPr>
          <w:lang w:val="en-US"/>
        </w:rPr>
        <w:t xml:space="preserve">Article 62(3) of the </w:t>
      </w:r>
      <w:r w:rsidR="008C5FCF" w:rsidRPr="002433F3">
        <w:rPr>
          <w:lang w:val="en-US"/>
        </w:rPr>
        <w:t xml:space="preserve">American </w:t>
      </w:r>
      <w:r w:rsidRPr="002433F3">
        <w:rPr>
          <w:lang w:val="en-US"/>
        </w:rPr>
        <w:t>Convention, because Colombia has been a State Party to the Convention since July 31, 1973</w:t>
      </w:r>
      <w:r w:rsidR="008C5FCF" w:rsidRPr="002433F3">
        <w:rPr>
          <w:lang w:val="en-US"/>
        </w:rPr>
        <w:t>,</w:t>
      </w:r>
      <w:r w:rsidR="00086A41" w:rsidRPr="002433F3">
        <w:rPr>
          <w:lang w:val="en-US"/>
        </w:rPr>
        <w:t xml:space="preserve"> and accepted the</w:t>
      </w:r>
      <w:r w:rsidRPr="002433F3">
        <w:rPr>
          <w:lang w:val="en-US"/>
        </w:rPr>
        <w:t xml:space="preserve"> contentious jurisdiction </w:t>
      </w:r>
      <w:r w:rsidR="00086A41" w:rsidRPr="002433F3">
        <w:rPr>
          <w:lang w:val="en-US"/>
        </w:rPr>
        <w:t xml:space="preserve">of this Court </w:t>
      </w:r>
      <w:r w:rsidRPr="002433F3">
        <w:rPr>
          <w:lang w:val="en-US"/>
        </w:rPr>
        <w:t xml:space="preserve">on June 21, 1985. </w:t>
      </w:r>
      <w:bookmarkStart w:id="37" w:name="_Toc361671586"/>
      <w:bookmarkStart w:id="38" w:name="_Toc361672006"/>
      <w:bookmarkStart w:id="39" w:name="_Toc361732803"/>
      <w:bookmarkStart w:id="40" w:name="_Toc361732846"/>
      <w:bookmarkStart w:id="41" w:name="_Toc362456877"/>
      <w:bookmarkStart w:id="42" w:name="_Toc365021406"/>
      <w:bookmarkStart w:id="43" w:name="_Toc369989371"/>
      <w:bookmarkStart w:id="44" w:name="_Toc369989458"/>
      <w:bookmarkStart w:id="45" w:name="_Toc369989739"/>
      <w:bookmarkStart w:id="46" w:name="_Toc375154222"/>
    </w:p>
    <w:p w14:paraId="2C17AF98" w14:textId="77777777" w:rsidR="007B0DE4" w:rsidRPr="002433F3" w:rsidRDefault="007B0DE4" w:rsidP="007B0DE4">
      <w:pPr>
        <w:pStyle w:val="Ttulo1"/>
        <w:spacing w:before="460" w:after="460"/>
        <w:rPr>
          <w:noProof w:val="0"/>
          <w:lang w:val="en-US"/>
        </w:rPr>
      </w:pPr>
      <w:bookmarkStart w:id="47" w:name="_Toc432843058"/>
      <w:bookmarkStart w:id="48" w:name="_Toc448482243"/>
      <w:r w:rsidRPr="002433F3">
        <w:rPr>
          <w:caps w:val="0"/>
          <w:noProof w:val="0"/>
          <w:lang w:val="en-US"/>
        </w:rPr>
        <w:t>IV</w:t>
      </w:r>
      <w:r w:rsidRPr="002433F3">
        <w:rPr>
          <w:caps w:val="0"/>
          <w:noProof w:val="0"/>
          <w:color w:val="FFDDDD"/>
          <w:lang w:val="en-US"/>
        </w:rPr>
        <w:t xml:space="preserve">. </w:t>
      </w:r>
      <w:r w:rsidRPr="002433F3">
        <w:rPr>
          <w:noProof w:val="0"/>
          <w:lang w:val="en-US"/>
        </w:rPr>
        <w:br/>
        <w:t>PRELIMINARY OBJECTIONS</w:t>
      </w:r>
      <w:bookmarkEnd w:id="47"/>
      <w:bookmarkEnd w:id="48"/>
    </w:p>
    <w:p w14:paraId="23B835EF" w14:textId="77777777" w:rsidR="007B0DE4" w:rsidRPr="002433F3" w:rsidRDefault="007B0DE4" w:rsidP="007B0DE4">
      <w:pPr>
        <w:numPr>
          <w:ilvl w:val="0"/>
          <w:numId w:val="2"/>
        </w:numPr>
        <w:tabs>
          <w:tab w:val="left" w:pos="567"/>
          <w:tab w:val="left" w:pos="720"/>
          <w:tab w:val="left" w:pos="1134"/>
          <w:tab w:val="num" w:pos="1427"/>
          <w:tab w:val="num" w:pos="6042"/>
        </w:tabs>
        <w:autoSpaceDE w:val="0"/>
        <w:autoSpaceDN w:val="0"/>
        <w:adjustRightInd w:val="0"/>
        <w:spacing w:before="120"/>
        <w:ind w:right="-90"/>
        <w:rPr>
          <w:rStyle w:val="Estilo1Car"/>
          <w:noProof w:val="0"/>
          <w:lang w:val="en-US"/>
        </w:rPr>
      </w:pPr>
      <w:r w:rsidRPr="002433F3">
        <w:rPr>
          <w:rStyle w:val="Estilo1Car"/>
          <w:i w:val="0"/>
          <w:noProof w:val="0"/>
          <w:lang w:val="en-US"/>
        </w:rPr>
        <w:t xml:space="preserve">The </w:t>
      </w:r>
      <w:r w:rsidRPr="002433F3">
        <w:rPr>
          <w:rStyle w:val="Estilo1Car"/>
          <w:noProof w:val="0"/>
          <w:lang w:val="en-US"/>
        </w:rPr>
        <w:t>State</w:t>
      </w:r>
      <w:r w:rsidRPr="002433F3">
        <w:rPr>
          <w:rStyle w:val="Estilo1Car"/>
          <w:i w:val="0"/>
          <w:noProof w:val="0"/>
          <w:lang w:val="en-US"/>
        </w:rPr>
        <w:t xml:space="preserve"> </w:t>
      </w:r>
      <w:r w:rsidR="00D277BE" w:rsidRPr="002433F3">
        <w:rPr>
          <w:rStyle w:val="Estilo1Car"/>
          <w:i w:val="0"/>
          <w:noProof w:val="0"/>
          <w:lang w:val="en-US"/>
        </w:rPr>
        <w:t xml:space="preserve">filed </w:t>
      </w:r>
      <w:r w:rsidRPr="002433F3">
        <w:rPr>
          <w:rStyle w:val="Estilo1Car"/>
          <w:i w:val="0"/>
          <w:noProof w:val="0"/>
          <w:lang w:val="en-US"/>
        </w:rPr>
        <w:t xml:space="preserve">two preliminary objections </w:t>
      </w:r>
      <w:r w:rsidR="00D277BE" w:rsidRPr="002433F3">
        <w:rPr>
          <w:rStyle w:val="Estilo1Car"/>
          <w:i w:val="0"/>
          <w:noProof w:val="0"/>
          <w:lang w:val="en-US"/>
        </w:rPr>
        <w:t>related to</w:t>
      </w:r>
      <w:r w:rsidRPr="002433F3">
        <w:rPr>
          <w:rStyle w:val="Estilo1Car"/>
          <w:i w:val="0"/>
          <w:noProof w:val="0"/>
          <w:lang w:val="en-US"/>
        </w:rPr>
        <w:t xml:space="preserve">: a) the </w:t>
      </w:r>
      <w:r w:rsidR="00D277BE" w:rsidRPr="002433F3">
        <w:rPr>
          <w:rStyle w:val="Estilo1Car"/>
          <w:i w:val="0"/>
          <w:noProof w:val="0"/>
          <w:lang w:val="en-US"/>
        </w:rPr>
        <w:t xml:space="preserve">alleged </w:t>
      </w:r>
      <w:r w:rsidRPr="002433F3">
        <w:rPr>
          <w:rStyle w:val="Estilo1Car"/>
          <w:i w:val="0"/>
          <w:noProof w:val="0"/>
          <w:lang w:val="en-US"/>
        </w:rPr>
        <w:t>failur</w:t>
      </w:r>
      <w:r w:rsidR="008C5FCF" w:rsidRPr="002433F3">
        <w:rPr>
          <w:rStyle w:val="Estilo1Car"/>
          <w:i w:val="0"/>
          <w:noProof w:val="0"/>
          <w:lang w:val="en-US"/>
        </w:rPr>
        <w:t xml:space="preserve">e to exhaust domestic remedies </w:t>
      </w:r>
      <w:r w:rsidR="00EA630B" w:rsidRPr="002433F3">
        <w:rPr>
          <w:rStyle w:val="Estilo1Car"/>
          <w:i w:val="0"/>
          <w:noProof w:val="0"/>
          <w:lang w:val="en-US"/>
        </w:rPr>
        <w:t xml:space="preserve">regarding </w:t>
      </w:r>
      <w:r w:rsidR="00D277BE" w:rsidRPr="002433F3">
        <w:rPr>
          <w:rStyle w:val="Estilo1Car"/>
          <w:i w:val="0"/>
          <w:noProof w:val="0"/>
          <w:lang w:val="en-US"/>
        </w:rPr>
        <w:t xml:space="preserve">the </w:t>
      </w:r>
      <w:r w:rsidRPr="002433F3">
        <w:rPr>
          <w:rStyle w:val="Estilo1Car"/>
          <w:i w:val="0"/>
          <w:noProof w:val="0"/>
          <w:lang w:val="en-US"/>
        </w:rPr>
        <w:t xml:space="preserve">recognition of the survivor’s pension claimed by Mr. Duque, and b) the </w:t>
      </w:r>
      <w:r w:rsidR="008C5FCF" w:rsidRPr="002433F3">
        <w:rPr>
          <w:rStyle w:val="Estilo1Car"/>
          <w:i w:val="0"/>
          <w:noProof w:val="0"/>
          <w:lang w:val="en-US"/>
        </w:rPr>
        <w:t xml:space="preserve">supposed factual basis for </w:t>
      </w:r>
      <w:r w:rsidRPr="002433F3">
        <w:rPr>
          <w:rStyle w:val="Estilo1Car"/>
          <w:i w:val="0"/>
          <w:noProof w:val="0"/>
          <w:lang w:val="en-US"/>
        </w:rPr>
        <w:t>the alleged violation of Article</w:t>
      </w:r>
      <w:r w:rsidR="008C5FCF" w:rsidRPr="002433F3">
        <w:rPr>
          <w:rStyle w:val="Estilo1Car"/>
          <w:i w:val="0"/>
          <w:noProof w:val="0"/>
          <w:lang w:val="en-US"/>
        </w:rPr>
        <w:t xml:space="preserve">s 4(1) and 5(1) in relation to </w:t>
      </w:r>
      <w:r w:rsidRPr="002433F3">
        <w:rPr>
          <w:rStyle w:val="Estilo1Car"/>
          <w:i w:val="0"/>
          <w:noProof w:val="0"/>
          <w:lang w:val="en-US"/>
        </w:rPr>
        <w:t xml:space="preserve">Article 1(1) of the American Convention. </w:t>
      </w:r>
      <w:r w:rsidR="008C5FCF" w:rsidRPr="002433F3">
        <w:rPr>
          <w:rStyle w:val="Estilo1Car"/>
          <w:i w:val="0"/>
          <w:noProof w:val="0"/>
          <w:lang w:val="en-US"/>
        </w:rPr>
        <w:t>“As an additional</w:t>
      </w:r>
      <w:r w:rsidR="007A2474" w:rsidRPr="002433F3">
        <w:rPr>
          <w:rStyle w:val="Estilo1Car"/>
          <w:i w:val="0"/>
          <w:noProof w:val="0"/>
          <w:lang w:val="en-US"/>
        </w:rPr>
        <w:t xml:space="preserve"> </w:t>
      </w:r>
      <w:r w:rsidRPr="002433F3">
        <w:rPr>
          <w:rStyle w:val="Estilo1Car"/>
          <w:i w:val="0"/>
          <w:noProof w:val="0"/>
          <w:lang w:val="en-US"/>
        </w:rPr>
        <w:t>objection</w:t>
      </w:r>
      <w:r w:rsidR="008C5FCF" w:rsidRPr="002433F3">
        <w:rPr>
          <w:rStyle w:val="Estilo1Car"/>
          <w:i w:val="0"/>
          <w:noProof w:val="0"/>
          <w:lang w:val="en-US"/>
        </w:rPr>
        <w:t>,”</w:t>
      </w:r>
      <w:r w:rsidRPr="002433F3">
        <w:rPr>
          <w:rStyle w:val="Estilo1Car"/>
          <w:i w:val="0"/>
          <w:noProof w:val="0"/>
          <w:lang w:val="en-US"/>
        </w:rPr>
        <w:t xml:space="preserve"> </w:t>
      </w:r>
      <w:r w:rsidR="008C5FCF" w:rsidRPr="002433F3">
        <w:rPr>
          <w:rStyle w:val="Estilo1Car"/>
          <w:i w:val="0"/>
          <w:noProof w:val="0"/>
          <w:lang w:val="en-US"/>
        </w:rPr>
        <w:t>the State also a</w:t>
      </w:r>
      <w:r w:rsidR="00D277BE" w:rsidRPr="002433F3">
        <w:rPr>
          <w:rStyle w:val="Estilo1Car"/>
          <w:i w:val="0"/>
          <w:noProof w:val="0"/>
          <w:lang w:val="en-US"/>
        </w:rPr>
        <w:t xml:space="preserve">lleged </w:t>
      </w:r>
      <w:r w:rsidR="008C5FCF" w:rsidRPr="002433F3">
        <w:rPr>
          <w:rStyle w:val="Estilo1Car"/>
          <w:i w:val="0"/>
          <w:noProof w:val="0"/>
          <w:lang w:val="en-US"/>
        </w:rPr>
        <w:t xml:space="preserve">the </w:t>
      </w:r>
      <w:r w:rsidRPr="002433F3">
        <w:rPr>
          <w:rStyle w:val="Estilo1Car"/>
          <w:i w:val="0"/>
          <w:noProof w:val="0"/>
          <w:lang w:val="en-US"/>
        </w:rPr>
        <w:t xml:space="preserve">failure to exhaust domestic remedies </w:t>
      </w:r>
      <w:r w:rsidR="008C5FCF" w:rsidRPr="002433F3">
        <w:rPr>
          <w:rStyle w:val="Estilo1Car"/>
          <w:i w:val="0"/>
          <w:noProof w:val="0"/>
          <w:lang w:val="en-US"/>
        </w:rPr>
        <w:t xml:space="preserve">in relation to </w:t>
      </w:r>
      <w:r w:rsidRPr="002433F3">
        <w:rPr>
          <w:rStyle w:val="Estilo1Car"/>
          <w:i w:val="0"/>
          <w:noProof w:val="0"/>
          <w:lang w:val="en-US"/>
        </w:rPr>
        <w:t xml:space="preserve">the rights to life and personal integrity. The Court will </w:t>
      </w:r>
      <w:r w:rsidR="008C5FCF" w:rsidRPr="002433F3">
        <w:rPr>
          <w:rStyle w:val="Estilo1Car"/>
          <w:i w:val="0"/>
          <w:noProof w:val="0"/>
          <w:lang w:val="en-US"/>
        </w:rPr>
        <w:t xml:space="preserve">consider </w:t>
      </w:r>
      <w:r w:rsidRPr="002433F3">
        <w:rPr>
          <w:rStyle w:val="Estilo1Car"/>
          <w:i w:val="0"/>
          <w:noProof w:val="0"/>
          <w:lang w:val="en-US"/>
        </w:rPr>
        <w:t>the objections submitted by the State.</w:t>
      </w:r>
    </w:p>
    <w:p w14:paraId="6CF9D1E3" w14:textId="77777777" w:rsidR="007B0DE4" w:rsidRPr="002433F3" w:rsidRDefault="007B0DE4" w:rsidP="007B0DE4">
      <w:pPr>
        <w:pStyle w:val="Ttulo2"/>
        <w:numPr>
          <w:ilvl w:val="3"/>
          <w:numId w:val="1"/>
        </w:numPr>
        <w:spacing w:before="280" w:after="280"/>
        <w:ind w:left="714" w:hanging="357"/>
        <w:rPr>
          <w:noProof w:val="0"/>
          <w:lang w:val="en-US"/>
        </w:rPr>
      </w:pPr>
      <w:bookmarkStart w:id="49" w:name="_Toc448482244"/>
      <w:r w:rsidRPr="002433F3">
        <w:rPr>
          <w:noProof w:val="0"/>
          <w:lang w:val="en-US"/>
        </w:rPr>
        <w:t xml:space="preserve">Failure to exhaust domestic remedies </w:t>
      </w:r>
      <w:r w:rsidR="008C5FCF" w:rsidRPr="002433F3">
        <w:rPr>
          <w:noProof w:val="0"/>
          <w:lang w:val="en-US"/>
        </w:rPr>
        <w:t xml:space="preserve">regarding </w:t>
      </w:r>
      <w:r w:rsidRPr="002433F3">
        <w:rPr>
          <w:noProof w:val="0"/>
          <w:lang w:val="en-US"/>
        </w:rPr>
        <w:t>recognition of the survivor’s pension claimed by Mr. Duque</w:t>
      </w:r>
      <w:bookmarkEnd w:id="49"/>
    </w:p>
    <w:p w14:paraId="46F5D6EB" w14:textId="77777777" w:rsidR="007B0DE4" w:rsidRPr="002433F3" w:rsidRDefault="007B0DE4" w:rsidP="007B0DE4">
      <w:pPr>
        <w:pStyle w:val="Ttulo3"/>
        <w:spacing w:before="280" w:after="280"/>
        <w:ind w:left="1066"/>
        <w:rPr>
          <w:noProof w:val="0"/>
          <w:lang w:val="en-US"/>
        </w:rPr>
      </w:pPr>
      <w:bookmarkStart w:id="50" w:name="_Toc448482245"/>
      <w:r w:rsidRPr="002433F3">
        <w:rPr>
          <w:noProof w:val="0"/>
          <w:lang w:val="en-US"/>
        </w:rPr>
        <w:t xml:space="preserve">A.1. Arguments of the State and observations of the Commission and </w:t>
      </w:r>
      <w:bookmarkEnd w:id="50"/>
      <w:r w:rsidRPr="002433F3">
        <w:rPr>
          <w:noProof w:val="0"/>
          <w:lang w:val="en-US"/>
        </w:rPr>
        <w:t>the representatives</w:t>
      </w:r>
    </w:p>
    <w:p w14:paraId="6042CD1C" w14:textId="77777777" w:rsidR="007B0DE4" w:rsidRPr="002433F3" w:rsidRDefault="007B0DE4" w:rsidP="007B0DE4">
      <w:pPr>
        <w:numPr>
          <w:ilvl w:val="0"/>
          <w:numId w:val="2"/>
        </w:numPr>
        <w:spacing w:before="120" w:after="120"/>
        <w:rPr>
          <w:lang w:val="en-US"/>
        </w:rPr>
      </w:pPr>
      <w:r w:rsidRPr="002433F3">
        <w:rPr>
          <w:lang w:val="en-US"/>
        </w:rPr>
        <w:t xml:space="preserve">The </w:t>
      </w:r>
      <w:r w:rsidRPr="002433F3">
        <w:rPr>
          <w:i/>
          <w:lang w:val="en-US"/>
        </w:rPr>
        <w:t>State</w:t>
      </w:r>
      <w:r w:rsidRPr="002433F3">
        <w:rPr>
          <w:lang w:val="en-US"/>
        </w:rPr>
        <w:t xml:space="preserve"> argued that</w:t>
      </w:r>
      <w:r w:rsidR="00EA630B" w:rsidRPr="002433F3">
        <w:rPr>
          <w:lang w:val="en-US"/>
        </w:rPr>
        <w:t>,</w:t>
      </w:r>
      <w:r w:rsidRPr="002433F3">
        <w:rPr>
          <w:lang w:val="en-US"/>
        </w:rPr>
        <w:t xml:space="preserve"> </w:t>
      </w:r>
      <w:r w:rsidR="008C5FCF" w:rsidRPr="002433F3">
        <w:rPr>
          <w:lang w:val="en-US"/>
        </w:rPr>
        <w:t xml:space="preserve">under </w:t>
      </w:r>
      <w:r w:rsidRPr="002433F3">
        <w:rPr>
          <w:lang w:val="en-US"/>
        </w:rPr>
        <w:t>the existing legal system, Mr. Ángel Alberto Duque had access to an administrative remedy (</w:t>
      </w:r>
      <w:r w:rsidR="003B1D20" w:rsidRPr="002433F3">
        <w:rPr>
          <w:lang w:val="en-US"/>
        </w:rPr>
        <w:t xml:space="preserve">a </w:t>
      </w:r>
      <w:r w:rsidRPr="002433F3">
        <w:rPr>
          <w:lang w:val="en-US"/>
        </w:rPr>
        <w:t xml:space="preserve">formal claim for recognition of the right to a pension from the </w:t>
      </w:r>
      <w:r w:rsidRPr="002433F3">
        <w:rPr>
          <w:i/>
          <w:lang w:val="en-US"/>
        </w:rPr>
        <w:t>Compañía Colombiana Administradora de Fondos de Pensiones y Cesantías</w:t>
      </w:r>
      <w:r w:rsidRPr="002433F3">
        <w:rPr>
          <w:lang w:val="en-US"/>
        </w:rPr>
        <w:t xml:space="preserve"> - </w:t>
      </w:r>
      <w:r w:rsidRPr="002433F3">
        <w:rPr>
          <w:lang w:val="en-US"/>
        </w:rPr>
        <w:lastRenderedPageBreak/>
        <w:t xml:space="preserve">COLFONDOS) and a judicial remedy to </w:t>
      </w:r>
      <w:r w:rsidR="00CD2E3D" w:rsidRPr="002433F3">
        <w:rPr>
          <w:lang w:val="en-US"/>
        </w:rPr>
        <w:t>obtain protection</w:t>
      </w:r>
      <w:r w:rsidRPr="002433F3">
        <w:rPr>
          <w:lang w:val="en-US"/>
        </w:rPr>
        <w:t xml:space="preserve">, at the domestic level, of the rights </w:t>
      </w:r>
      <w:r w:rsidR="00EA630B" w:rsidRPr="002433F3">
        <w:rPr>
          <w:lang w:val="en-US"/>
        </w:rPr>
        <w:t xml:space="preserve">allegedly </w:t>
      </w:r>
      <w:r w:rsidRPr="002433F3">
        <w:rPr>
          <w:lang w:val="en-US"/>
        </w:rPr>
        <w:t xml:space="preserve">violated. The </w:t>
      </w:r>
      <w:r w:rsidRPr="002433F3">
        <w:rPr>
          <w:i/>
          <w:lang w:val="en-US"/>
        </w:rPr>
        <w:t>State</w:t>
      </w:r>
      <w:r w:rsidRPr="002433F3">
        <w:rPr>
          <w:lang w:val="en-US"/>
        </w:rPr>
        <w:t xml:space="preserve"> </w:t>
      </w:r>
      <w:r w:rsidR="00CD2E3D" w:rsidRPr="002433F3">
        <w:rPr>
          <w:lang w:val="en-US"/>
        </w:rPr>
        <w:t xml:space="preserve">added </w:t>
      </w:r>
      <w:r w:rsidRPr="002433F3">
        <w:rPr>
          <w:lang w:val="en-US"/>
        </w:rPr>
        <w:t xml:space="preserve">that during the admissibility proceeding, prior to the issuance of the Admissibility Report, it </w:t>
      </w:r>
      <w:r w:rsidR="00CD2E3D" w:rsidRPr="002433F3">
        <w:rPr>
          <w:lang w:val="en-US"/>
        </w:rPr>
        <w:t xml:space="preserve">had </w:t>
      </w:r>
      <w:r w:rsidRPr="002433F3">
        <w:rPr>
          <w:lang w:val="en-US"/>
        </w:rPr>
        <w:t xml:space="preserve">informed the Commission that domestic case law had changed, </w:t>
      </w:r>
      <w:r w:rsidR="00965118" w:rsidRPr="002433F3">
        <w:rPr>
          <w:lang w:val="en-US"/>
        </w:rPr>
        <w:t xml:space="preserve">offering </w:t>
      </w:r>
      <w:r w:rsidRPr="002433F3">
        <w:rPr>
          <w:lang w:val="en-US"/>
        </w:rPr>
        <w:t xml:space="preserve">adequate and effective remedies </w:t>
      </w:r>
      <w:r w:rsidR="00965118" w:rsidRPr="002433F3">
        <w:rPr>
          <w:lang w:val="en-US"/>
        </w:rPr>
        <w:t xml:space="preserve">that </w:t>
      </w:r>
      <w:r w:rsidRPr="002433F3">
        <w:rPr>
          <w:lang w:val="en-US"/>
        </w:rPr>
        <w:t>Mr. Duque had not exhausted.</w:t>
      </w:r>
    </w:p>
    <w:p w14:paraId="7DC39FE8" w14:textId="77777777" w:rsidR="007B0DE4" w:rsidRPr="002433F3" w:rsidRDefault="007B0DE4" w:rsidP="007B0DE4">
      <w:pPr>
        <w:numPr>
          <w:ilvl w:val="0"/>
          <w:numId w:val="2"/>
        </w:numPr>
        <w:spacing w:before="120" w:after="120"/>
        <w:rPr>
          <w:lang w:val="en-US"/>
        </w:rPr>
      </w:pPr>
      <w:r w:rsidRPr="002433F3">
        <w:rPr>
          <w:lang w:val="en-US"/>
        </w:rPr>
        <w:t>Acc</w:t>
      </w:r>
      <w:r w:rsidR="006669A3" w:rsidRPr="002433F3">
        <w:rPr>
          <w:lang w:val="en-US"/>
        </w:rPr>
        <w:t xml:space="preserve">ording to the </w:t>
      </w:r>
      <w:r w:rsidR="006669A3" w:rsidRPr="002433F3">
        <w:rPr>
          <w:i/>
          <w:lang w:val="en-US"/>
        </w:rPr>
        <w:t>State</w:t>
      </w:r>
      <w:r w:rsidR="006669A3" w:rsidRPr="002433F3">
        <w:rPr>
          <w:lang w:val="en-US"/>
        </w:rPr>
        <w:t xml:space="preserve">, Mr. Duque filed </w:t>
      </w:r>
      <w:r w:rsidRPr="002433F3">
        <w:rPr>
          <w:lang w:val="en-US"/>
        </w:rPr>
        <w:t>his petit</w:t>
      </w:r>
      <w:r w:rsidR="00283458" w:rsidRPr="002433F3">
        <w:rPr>
          <w:lang w:val="en-US"/>
        </w:rPr>
        <w:t>ion with the Commission in 2005;</w:t>
      </w:r>
      <w:r w:rsidRPr="002433F3">
        <w:rPr>
          <w:lang w:val="en-US"/>
        </w:rPr>
        <w:t xml:space="preserve"> </w:t>
      </w:r>
      <w:r w:rsidR="00283458" w:rsidRPr="002433F3">
        <w:rPr>
          <w:lang w:val="en-US"/>
        </w:rPr>
        <w:t xml:space="preserve">however, </w:t>
      </w:r>
      <w:r w:rsidR="006669A3" w:rsidRPr="002433F3">
        <w:rPr>
          <w:lang w:val="en-US"/>
        </w:rPr>
        <w:t xml:space="preserve">it </w:t>
      </w:r>
      <w:r w:rsidR="00F63469" w:rsidRPr="002433F3">
        <w:rPr>
          <w:lang w:val="en-US"/>
        </w:rPr>
        <w:t xml:space="preserve">pointed out </w:t>
      </w:r>
      <w:r w:rsidR="006669A3" w:rsidRPr="002433F3">
        <w:rPr>
          <w:lang w:val="en-US"/>
        </w:rPr>
        <w:t xml:space="preserve">that </w:t>
      </w:r>
      <w:r w:rsidR="00283458" w:rsidRPr="002433F3">
        <w:rPr>
          <w:lang w:val="en-US"/>
        </w:rPr>
        <w:t xml:space="preserve">Colombia’s case law was </w:t>
      </w:r>
      <w:r w:rsidR="00F63469" w:rsidRPr="002433F3">
        <w:rPr>
          <w:lang w:val="en-US"/>
        </w:rPr>
        <w:t xml:space="preserve">modified </w:t>
      </w:r>
      <w:r w:rsidR="00283458" w:rsidRPr="002433F3">
        <w:rPr>
          <w:lang w:val="en-US"/>
        </w:rPr>
        <w:t xml:space="preserve">by the Constitutional Court in </w:t>
      </w:r>
      <w:r w:rsidRPr="002433F3">
        <w:rPr>
          <w:lang w:val="en-US"/>
        </w:rPr>
        <w:t>Judgment C-336 of 2008</w:t>
      </w:r>
      <w:r w:rsidR="00F63469" w:rsidRPr="002433F3">
        <w:rPr>
          <w:lang w:val="en-US"/>
        </w:rPr>
        <w:t>,</w:t>
      </w:r>
      <w:r w:rsidR="006669A3" w:rsidRPr="002433F3">
        <w:rPr>
          <w:lang w:val="en-US"/>
        </w:rPr>
        <w:t xml:space="preserve"> which granted same-sex couples the right to a survivor’s pension and that </w:t>
      </w:r>
      <w:r w:rsidR="005E26AD" w:rsidRPr="002433F3">
        <w:rPr>
          <w:lang w:val="en-US"/>
        </w:rPr>
        <w:t xml:space="preserve">this </w:t>
      </w:r>
      <w:r w:rsidR="006669A3" w:rsidRPr="002433F3">
        <w:rPr>
          <w:lang w:val="en-US"/>
        </w:rPr>
        <w:t>ruling</w:t>
      </w:r>
      <w:r w:rsidRPr="002433F3">
        <w:rPr>
          <w:lang w:val="en-US"/>
        </w:rPr>
        <w:t xml:space="preserve"> was consolidated through Judgment T-051 of 2010. </w:t>
      </w:r>
      <w:r w:rsidR="006669A3" w:rsidRPr="002433F3">
        <w:rPr>
          <w:lang w:val="en-US"/>
        </w:rPr>
        <w:t>T</w:t>
      </w:r>
      <w:r w:rsidRPr="002433F3">
        <w:rPr>
          <w:lang w:val="en-US"/>
        </w:rPr>
        <w:t xml:space="preserve">he </w:t>
      </w:r>
      <w:r w:rsidRPr="002433F3">
        <w:rPr>
          <w:i/>
          <w:lang w:val="en-US"/>
        </w:rPr>
        <w:t>State</w:t>
      </w:r>
      <w:r w:rsidRPr="002433F3">
        <w:rPr>
          <w:lang w:val="en-US"/>
        </w:rPr>
        <w:t xml:space="preserve"> </w:t>
      </w:r>
      <w:r w:rsidR="006669A3" w:rsidRPr="002433F3">
        <w:rPr>
          <w:lang w:val="en-US"/>
        </w:rPr>
        <w:t xml:space="preserve">also argued that </w:t>
      </w:r>
      <w:r w:rsidR="00F63469" w:rsidRPr="002433F3">
        <w:rPr>
          <w:lang w:val="en-US"/>
        </w:rPr>
        <w:t xml:space="preserve">it had reported </w:t>
      </w:r>
      <w:r w:rsidR="005E26AD" w:rsidRPr="002433F3">
        <w:rPr>
          <w:lang w:val="en-US"/>
        </w:rPr>
        <w:t xml:space="preserve">these </w:t>
      </w:r>
      <w:r w:rsidR="00965118" w:rsidRPr="002433F3">
        <w:rPr>
          <w:lang w:val="en-US"/>
        </w:rPr>
        <w:t xml:space="preserve">advances in its </w:t>
      </w:r>
      <w:r w:rsidR="005E26AD" w:rsidRPr="002433F3">
        <w:rPr>
          <w:lang w:val="en-US"/>
        </w:rPr>
        <w:t xml:space="preserve">case law </w:t>
      </w:r>
      <w:r w:rsidR="006669A3" w:rsidRPr="002433F3">
        <w:rPr>
          <w:lang w:val="en-US"/>
        </w:rPr>
        <w:t xml:space="preserve">in its brief of observations </w:t>
      </w:r>
      <w:r w:rsidR="00965118" w:rsidRPr="002433F3">
        <w:rPr>
          <w:lang w:val="en-US"/>
        </w:rPr>
        <w:t>dated</w:t>
      </w:r>
      <w:r w:rsidR="00F63469" w:rsidRPr="002433F3">
        <w:rPr>
          <w:lang w:val="en-US"/>
        </w:rPr>
        <w:t xml:space="preserve"> </w:t>
      </w:r>
      <w:r w:rsidR="006669A3" w:rsidRPr="002433F3">
        <w:rPr>
          <w:lang w:val="en-US"/>
        </w:rPr>
        <w:t>July 7, 2009</w:t>
      </w:r>
      <w:r w:rsidR="0054114F" w:rsidRPr="002433F3">
        <w:rPr>
          <w:lang w:val="en-US"/>
        </w:rPr>
        <w:t>, mentioning</w:t>
      </w:r>
      <w:r w:rsidR="00965118" w:rsidRPr="002433F3">
        <w:rPr>
          <w:lang w:val="en-US"/>
        </w:rPr>
        <w:t xml:space="preserve"> </w:t>
      </w:r>
      <w:r w:rsidR="00F63469" w:rsidRPr="002433F3">
        <w:rPr>
          <w:lang w:val="en-US"/>
        </w:rPr>
        <w:t xml:space="preserve">not only </w:t>
      </w:r>
      <w:r w:rsidR="0054114F" w:rsidRPr="002433F3">
        <w:rPr>
          <w:lang w:val="en-US"/>
        </w:rPr>
        <w:t>th</w:t>
      </w:r>
      <w:r w:rsidRPr="002433F3">
        <w:rPr>
          <w:lang w:val="en-US"/>
        </w:rPr>
        <w:t xml:space="preserve">e domestic remedies that had not been exhausted, but </w:t>
      </w:r>
      <w:r w:rsidR="0054114F" w:rsidRPr="002433F3">
        <w:rPr>
          <w:lang w:val="en-US"/>
        </w:rPr>
        <w:t>also specifying</w:t>
      </w:r>
      <w:r w:rsidRPr="002433F3">
        <w:rPr>
          <w:lang w:val="en-US"/>
        </w:rPr>
        <w:t xml:space="preserve"> those pending exhaustion and pr</w:t>
      </w:r>
      <w:r w:rsidR="005E26AD" w:rsidRPr="002433F3">
        <w:rPr>
          <w:lang w:val="en-US"/>
        </w:rPr>
        <w:t>ovid</w:t>
      </w:r>
      <w:r w:rsidR="0054114F" w:rsidRPr="002433F3">
        <w:rPr>
          <w:lang w:val="en-US"/>
        </w:rPr>
        <w:t xml:space="preserve">ing </w:t>
      </w:r>
      <w:r w:rsidRPr="002433F3">
        <w:rPr>
          <w:lang w:val="en-US"/>
        </w:rPr>
        <w:t>evidence to demonstrate that they were adequate and effective.</w:t>
      </w:r>
    </w:p>
    <w:p w14:paraId="54DA8755" w14:textId="77777777" w:rsidR="007B0DE4" w:rsidRPr="002433F3" w:rsidRDefault="007B0DE4" w:rsidP="007B0DE4">
      <w:pPr>
        <w:numPr>
          <w:ilvl w:val="0"/>
          <w:numId w:val="2"/>
        </w:numPr>
        <w:spacing w:before="120" w:after="120"/>
        <w:rPr>
          <w:lang w:val="en-US"/>
        </w:rPr>
      </w:pPr>
      <w:r w:rsidRPr="002433F3">
        <w:rPr>
          <w:lang w:val="en-US"/>
        </w:rPr>
        <w:t xml:space="preserve">Finally, the </w:t>
      </w:r>
      <w:r w:rsidRPr="002433F3">
        <w:rPr>
          <w:i/>
          <w:lang w:val="en-US"/>
        </w:rPr>
        <w:t>State</w:t>
      </w:r>
      <w:r w:rsidRPr="002433F3">
        <w:rPr>
          <w:lang w:val="en-US"/>
        </w:rPr>
        <w:t xml:space="preserve"> pointed out that domestic </w:t>
      </w:r>
      <w:r w:rsidR="00965118" w:rsidRPr="002433F3">
        <w:rPr>
          <w:lang w:val="en-US"/>
        </w:rPr>
        <w:t xml:space="preserve">jurisprudence </w:t>
      </w:r>
      <w:r w:rsidR="0054114F" w:rsidRPr="002433F3">
        <w:rPr>
          <w:lang w:val="en-US"/>
        </w:rPr>
        <w:t>favors Mr. Duque;</w:t>
      </w:r>
      <w:r w:rsidRPr="002433F3">
        <w:rPr>
          <w:lang w:val="en-US"/>
        </w:rPr>
        <w:t xml:space="preserve"> therefore the requirement to </w:t>
      </w:r>
      <w:r w:rsidR="005E26AD" w:rsidRPr="002433F3">
        <w:rPr>
          <w:lang w:val="en-US"/>
        </w:rPr>
        <w:t xml:space="preserve">apply </w:t>
      </w:r>
      <w:r w:rsidRPr="002433F3">
        <w:rPr>
          <w:lang w:val="en-US"/>
        </w:rPr>
        <w:t>to the pension fund</w:t>
      </w:r>
      <w:r w:rsidR="005E26AD" w:rsidRPr="002433F3">
        <w:rPr>
          <w:lang w:val="en-US"/>
        </w:rPr>
        <w:t>,</w:t>
      </w:r>
      <w:r w:rsidRPr="002433F3">
        <w:rPr>
          <w:lang w:val="en-US"/>
        </w:rPr>
        <w:t xml:space="preserve"> as established </w:t>
      </w:r>
      <w:r w:rsidR="0054114F" w:rsidRPr="002433F3">
        <w:rPr>
          <w:lang w:val="en-US"/>
        </w:rPr>
        <w:t>by law</w:t>
      </w:r>
      <w:r w:rsidR="005E26AD" w:rsidRPr="002433F3">
        <w:rPr>
          <w:lang w:val="en-US"/>
        </w:rPr>
        <w:t>,</w:t>
      </w:r>
      <w:r w:rsidRPr="002433F3">
        <w:rPr>
          <w:lang w:val="en-US"/>
        </w:rPr>
        <w:t xml:space="preserve"> is reasona</w:t>
      </w:r>
      <w:r w:rsidR="005E26AD" w:rsidRPr="002433F3">
        <w:rPr>
          <w:lang w:val="en-US"/>
        </w:rPr>
        <w:t>ble. According to the State, this</w:t>
      </w:r>
      <w:r w:rsidRPr="002433F3">
        <w:rPr>
          <w:lang w:val="en-US"/>
        </w:rPr>
        <w:t xml:space="preserve"> remedy </w:t>
      </w:r>
      <w:r w:rsidR="005E26AD" w:rsidRPr="002433F3">
        <w:rPr>
          <w:lang w:val="en-US"/>
        </w:rPr>
        <w:t xml:space="preserve">remains </w:t>
      </w:r>
      <w:r w:rsidRPr="002433F3">
        <w:rPr>
          <w:lang w:val="en-US"/>
        </w:rPr>
        <w:t>effective today, making Mr. Duque</w:t>
      </w:r>
      <w:r w:rsidR="00D93217" w:rsidRPr="002433F3">
        <w:rPr>
          <w:lang w:val="en-US"/>
        </w:rPr>
        <w:t>’s claims fully viable</w:t>
      </w:r>
      <w:r w:rsidR="005E26AD" w:rsidRPr="002433F3">
        <w:rPr>
          <w:lang w:val="en-US"/>
        </w:rPr>
        <w:t xml:space="preserve">; thus, the decision to admit this </w:t>
      </w:r>
      <w:r w:rsidRPr="002433F3">
        <w:rPr>
          <w:lang w:val="en-US"/>
        </w:rPr>
        <w:t>case would be contrary to the principle of</w:t>
      </w:r>
      <w:r w:rsidR="00D11761" w:rsidRPr="002433F3">
        <w:rPr>
          <w:lang w:val="en-US"/>
        </w:rPr>
        <w:t xml:space="preserve"> subsidiarity that governs the i</w:t>
      </w:r>
      <w:r w:rsidRPr="002433F3">
        <w:rPr>
          <w:lang w:val="en-US"/>
        </w:rPr>
        <w:t xml:space="preserve">nter-American System. </w:t>
      </w:r>
    </w:p>
    <w:p w14:paraId="5E86B20D" w14:textId="77777777" w:rsidR="007B0DE4" w:rsidRPr="002433F3" w:rsidRDefault="007B0DE4" w:rsidP="007B0DE4">
      <w:pPr>
        <w:numPr>
          <w:ilvl w:val="0"/>
          <w:numId w:val="2"/>
        </w:numPr>
        <w:spacing w:before="120" w:after="120"/>
        <w:rPr>
          <w:lang w:val="en-US"/>
        </w:rPr>
      </w:pPr>
      <w:r w:rsidRPr="002433F3">
        <w:rPr>
          <w:lang w:val="en-US"/>
        </w:rPr>
        <w:t xml:space="preserve">The </w:t>
      </w:r>
      <w:r w:rsidRPr="002433F3">
        <w:rPr>
          <w:i/>
          <w:lang w:val="en-US"/>
        </w:rPr>
        <w:t>Commission</w:t>
      </w:r>
      <w:r w:rsidR="00D11761" w:rsidRPr="002433F3">
        <w:rPr>
          <w:lang w:val="en-US"/>
        </w:rPr>
        <w:t xml:space="preserve"> argued </w:t>
      </w:r>
      <w:r w:rsidRPr="002433F3">
        <w:rPr>
          <w:lang w:val="en-US"/>
        </w:rPr>
        <w:t xml:space="preserve">that the principle of subsidiarity does not </w:t>
      </w:r>
      <w:r w:rsidR="00020B28" w:rsidRPr="002433F3">
        <w:rPr>
          <w:lang w:val="en-US"/>
        </w:rPr>
        <w:t xml:space="preserve">imply </w:t>
      </w:r>
      <w:r w:rsidRPr="002433F3">
        <w:rPr>
          <w:lang w:val="en-US"/>
        </w:rPr>
        <w:t>that States should have unlimi</w:t>
      </w:r>
      <w:r w:rsidR="00D11761" w:rsidRPr="002433F3">
        <w:rPr>
          <w:lang w:val="en-US"/>
        </w:rPr>
        <w:t>ted opportunities to resolve a</w:t>
      </w:r>
      <w:r w:rsidRPr="002433F3">
        <w:rPr>
          <w:lang w:val="en-US"/>
        </w:rPr>
        <w:t xml:space="preserve"> matter. It added that </w:t>
      </w:r>
      <w:r w:rsidR="00020B28" w:rsidRPr="002433F3">
        <w:rPr>
          <w:lang w:val="en-US"/>
        </w:rPr>
        <w:t xml:space="preserve">when </w:t>
      </w:r>
      <w:r w:rsidRPr="002433F3">
        <w:rPr>
          <w:lang w:val="en-US"/>
        </w:rPr>
        <w:t>the State ha</w:t>
      </w:r>
      <w:r w:rsidR="00020B28" w:rsidRPr="002433F3">
        <w:rPr>
          <w:lang w:val="en-US"/>
        </w:rPr>
        <w:t>s ha</w:t>
      </w:r>
      <w:r w:rsidRPr="002433F3">
        <w:rPr>
          <w:lang w:val="en-US"/>
        </w:rPr>
        <w:t xml:space="preserve">d </w:t>
      </w:r>
      <w:r w:rsidR="00D11761" w:rsidRPr="002433F3">
        <w:rPr>
          <w:lang w:val="en-US"/>
        </w:rPr>
        <w:t>an opportunity to respond to an</w:t>
      </w:r>
      <w:r w:rsidRPr="002433F3">
        <w:rPr>
          <w:lang w:val="en-US"/>
        </w:rPr>
        <w:t xml:space="preserve"> alleged violation without having done so, it should be understood that the principle of subsidiarity</w:t>
      </w:r>
      <w:r w:rsidR="00D33C9C" w:rsidRPr="002433F3">
        <w:rPr>
          <w:lang w:val="en-US"/>
        </w:rPr>
        <w:t xml:space="preserve"> </w:t>
      </w:r>
      <w:r w:rsidR="00020B28" w:rsidRPr="002433F3">
        <w:rPr>
          <w:lang w:val="en-US"/>
        </w:rPr>
        <w:t>must be safeguarded</w:t>
      </w:r>
      <w:r w:rsidRPr="002433F3">
        <w:rPr>
          <w:lang w:val="en-US"/>
        </w:rPr>
        <w:t xml:space="preserve">. Otherwise, an excessive burden </w:t>
      </w:r>
      <w:r w:rsidR="00020B28" w:rsidRPr="002433F3">
        <w:rPr>
          <w:lang w:val="en-US"/>
        </w:rPr>
        <w:t xml:space="preserve">would be placed </w:t>
      </w:r>
      <w:r w:rsidRPr="002433F3">
        <w:rPr>
          <w:lang w:val="en-US"/>
        </w:rPr>
        <w:t xml:space="preserve">on the victims who, having received a rejection at the domestic level, </w:t>
      </w:r>
      <w:r w:rsidR="00D11761" w:rsidRPr="002433F3">
        <w:rPr>
          <w:lang w:val="en-US"/>
        </w:rPr>
        <w:t xml:space="preserve">would need to </w:t>
      </w:r>
      <w:r w:rsidRPr="002433F3">
        <w:rPr>
          <w:lang w:val="en-US"/>
        </w:rPr>
        <w:t xml:space="preserve">continue </w:t>
      </w:r>
      <w:r w:rsidR="00020B28" w:rsidRPr="002433F3">
        <w:rPr>
          <w:lang w:val="en-US"/>
        </w:rPr>
        <w:t xml:space="preserve">attempting to </w:t>
      </w:r>
      <w:r w:rsidRPr="002433F3">
        <w:rPr>
          <w:lang w:val="en-US"/>
        </w:rPr>
        <w:t xml:space="preserve">obtain a favorable response. </w:t>
      </w:r>
      <w:r w:rsidR="00020B28" w:rsidRPr="002433F3">
        <w:rPr>
          <w:lang w:val="en-US"/>
        </w:rPr>
        <w:t xml:space="preserve">The Commission indicated that in practice, </w:t>
      </w:r>
      <w:r w:rsidRPr="002433F3">
        <w:rPr>
          <w:lang w:val="en-US"/>
        </w:rPr>
        <w:t xml:space="preserve">this would lead to an unjustifiable delay in international justice and </w:t>
      </w:r>
      <w:r w:rsidR="00020B28" w:rsidRPr="002433F3">
        <w:rPr>
          <w:lang w:val="en-US"/>
        </w:rPr>
        <w:t xml:space="preserve">would not be in line with </w:t>
      </w:r>
      <w:r w:rsidRPr="002433F3">
        <w:rPr>
          <w:lang w:val="en-US"/>
        </w:rPr>
        <w:t xml:space="preserve">the system of petitions </w:t>
      </w:r>
      <w:r w:rsidR="00020B28" w:rsidRPr="002433F3">
        <w:rPr>
          <w:lang w:val="en-US"/>
        </w:rPr>
        <w:t xml:space="preserve">or </w:t>
      </w:r>
      <w:r w:rsidRPr="002433F3">
        <w:rPr>
          <w:lang w:val="en-US"/>
        </w:rPr>
        <w:t xml:space="preserve">the rule </w:t>
      </w:r>
      <w:r w:rsidR="00020B28" w:rsidRPr="002433F3">
        <w:rPr>
          <w:lang w:val="en-US"/>
        </w:rPr>
        <w:t xml:space="preserve">requiring </w:t>
      </w:r>
      <w:r w:rsidRPr="002433F3">
        <w:rPr>
          <w:lang w:val="en-US"/>
        </w:rPr>
        <w:t>the exhaustion of domestic remedies.</w:t>
      </w:r>
    </w:p>
    <w:p w14:paraId="70698552" w14:textId="77777777" w:rsidR="007B0DE4" w:rsidRPr="002433F3" w:rsidRDefault="007B0DE4" w:rsidP="007B0DE4">
      <w:pPr>
        <w:numPr>
          <w:ilvl w:val="0"/>
          <w:numId w:val="2"/>
        </w:numPr>
        <w:spacing w:before="120" w:after="120"/>
        <w:rPr>
          <w:lang w:val="en-US"/>
        </w:rPr>
      </w:pPr>
      <w:r w:rsidRPr="002433F3">
        <w:rPr>
          <w:lang w:val="en-US"/>
        </w:rPr>
        <w:t xml:space="preserve">Furthermore, the </w:t>
      </w:r>
      <w:r w:rsidRPr="002433F3">
        <w:rPr>
          <w:i/>
          <w:lang w:val="en-US"/>
        </w:rPr>
        <w:t>Commission</w:t>
      </w:r>
      <w:r w:rsidRPr="002433F3">
        <w:rPr>
          <w:lang w:val="en-US"/>
        </w:rPr>
        <w:t xml:space="preserve"> alleged that the </w:t>
      </w:r>
      <w:r w:rsidR="00745F5C" w:rsidRPr="002433F3">
        <w:rPr>
          <w:lang w:val="en-US"/>
        </w:rPr>
        <w:t>State</w:t>
      </w:r>
      <w:r w:rsidR="00745F5C" w:rsidRPr="002433F3">
        <w:rPr>
          <w:lang w:val="en-GB"/>
        </w:rPr>
        <w:t xml:space="preserve">’s </w:t>
      </w:r>
      <w:r w:rsidRPr="002433F3">
        <w:rPr>
          <w:lang w:val="en-US"/>
        </w:rPr>
        <w:t xml:space="preserve">central argument </w:t>
      </w:r>
      <w:r w:rsidR="00745F5C" w:rsidRPr="002433F3">
        <w:rPr>
          <w:lang w:val="en-US"/>
        </w:rPr>
        <w:t xml:space="preserve">regarding </w:t>
      </w:r>
      <w:r w:rsidRPr="002433F3">
        <w:rPr>
          <w:lang w:val="en-US"/>
        </w:rPr>
        <w:t>the failu</w:t>
      </w:r>
      <w:r w:rsidR="006B356D" w:rsidRPr="002433F3">
        <w:rPr>
          <w:lang w:val="en-US"/>
        </w:rPr>
        <w:t>re to exhaust domestic remedies was that</w:t>
      </w:r>
      <w:r w:rsidRPr="002433F3">
        <w:rPr>
          <w:lang w:val="en-US"/>
        </w:rPr>
        <w:t xml:space="preserve"> </w:t>
      </w:r>
      <w:r w:rsidR="00293FCE" w:rsidRPr="002433F3">
        <w:rPr>
          <w:lang w:val="en-US"/>
        </w:rPr>
        <w:t>Judgment T-051 of</w:t>
      </w:r>
      <w:r w:rsidRPr="002433F3">
        <w:rPr>
          <w:lang w:val="en-US"/>
        </w:rPr>
        <w:t xml:space="preserve"> 2010</w:t>
      </w:r>
      <w:r w:rsidR="00293FCE" w:rsidRPr="002433F3">
        <w:rPr>
          <w:lang w:val="en-US"/>
        </w:rPr>
        <w:t xml:space="preserve"> modified</w:t>
      </w:r>
      <w:r w:rsidRPr="002433F3">
        <w:rPr>
          <w:lang w:val="en-US"/>
        </w:rPr>
        <w:t xml:space="preserve"> the judicial rules that prevented the application of Judgment C-336 of 2008</w:t>
      </w:r>
      <w:r w:rsidR="00293FCE" w:rsidRPr="002433F3">
        <w:rPr>
          <w:lang w:val="en-US"/>
        </w:rPr>
        <w:t>,</w:t>
      </w:r>
      <w:r w:rsidRPr="002433F3">
        <w:rPr>
          <w:lang w:val="en-US"/>
        </w:rPr>
        <w:t xml:space="preserve"> </w:t>
      </w:r>
      <w:r w:rsidR="00293FCE" w:rsidRPr="002433F3">
        <w:rPr>
          <w:lang w:val="en-US"/>
        </w:rPr>
        <w:t xml:space="preserve">in cases where </w:t>
      </w:r>
      <w:r w:rsidRPr="002433F3">
        <w:rPr>
          <w:lang w:val="en-US"/>
        </w:rPr>
        <w:t xml:space="preserve">the death </w:t>
      </w:r>
      <w:r w:rsidR="00293FCE" w:rsidRPr="002433F3">
        <w:rPr>
          <w:lang w:val="en-US"/>
        </w:rPr>
        <w:t xml:space="preserve">of a partner </w:t>
      </w:r>
      <w:r w:rsidRPr="002433F3">
        <w:rPr>
          <w:lang w:val="en-US"/>
        </w:rPr>
        <w:t xml:space="preserve">had </w:t>
      </w:r>
      <w:r w:rsidR="00293FCE" w:rsidRPr="002433F3">
        <w:rPr>
          <w:lang w:val="en-US"/>
        </w:rPr>
        <w:t xml:space="preserve">occurred prior to </w:t>
      </w:r>
      <w:r w:rsidRPr="002433F3">
        <w:rPr>
          <w:lang w:val="en-US"/>
        </w:rPr>
        <w:t xml:space="preserve">that </w:t>
      </w:r>
      <w:r w:rsidR="00293FCE" w:rsidRPr="002433F3">
        <w:rPr>
          <w:lang w:val="en-US"/>
        </w:rPr>
        <w:t xml:space="preserve">ruling </w:t>
      </w:r>
      <w:r w:rsidRPr="002433F3">
        <w:rPr>
          <w:lang w:val="en-US"/>
        </w:rPr>
        <w:t xml:space="preserve">and </w:t>
      </w:r>
      <w:r w:rsidR="00D11761" w:rsidRPr="002433F3">
        <w:rPr>
          <w:lang w:val="en-US"/>
        </w:rPr>
        <w:t xml:space="preserve">that </w:t>
      </w:r>
      <w:r w:rsidRPr="002433F3">
        <w:rPr>
          <w:lang w:val="en-US"/>
        </w:rPr>
        <w:t xml:space="preserve">the sworn statement </w:t>
      </w:r>
      <w:r w:rsidR="00D11761" w:rsidRPr="002433F3">
        <w:rPr>
          <w:lang w:val="en-US"/>
        </w:rPr>
        <w:t>of both parties before a notary was required</w:t>
      </w:r>
      <w:r w:rsidRPr="002433F3">
        <w:rPr>
          <w:lang w:val="en-US"/>
        </w:rPr>
        <w:t xml:space="preserve"> as evidence of </w:t>
      </w:r>
      <w:r w:rsidR="00D11761" w:rsidRPr="002433F3">
        <w:rPr>
          <w:lang w:val="en-US"/>
        </w:rPr>
        <w:t xml:space="preserve">a </w:t>
      </w:r>
      <w:r w:rsidRPr="002433F3">
        <w:rPr>
          <w:lang w:val="en-US"/>
        </w:rPr>
        <w:t xml:space="preserve">homosexual union. However, </w:t>
      </w:r>
      <w:r w:rsidR="00D11761" w:rsidRPr="002433F3">
        <w:rPr>
          <w:lang w:val="en-US"/>
        </w:rPr>
        <w:t xml:space="preserve">bearing in mind </w:t>
      </w:r>
      <w:r w:rsidRPr="002433F3">
        <w:rPr>
          <w:lang w:val="en-US"/>
        </w:rPr>
        <w:t xml:space="preserve">that the </w:t>
      </w:r>
      <w:r w:rsidR="00293FCE" w:rsidRPr="002433F3">
        <w:rPr>
          <w:lang w:val="en-US"/>
        </w:rPr>
        <w:t xml:space="preserve">State’s final </w:t>
      </w:r>
      <w:r w:rsidRPr="002433F3">
        <w:rPr>
          <w:lang w:val="en-US"/>
        </w:rPr>
        <w:t xml:space="preserve">brief </w:t>
      </w:r>
      <w:r w:rsidR="00293FCE" w:rsidRPr="002433F3">
        <w:rPr>
          <w:lang w:val="en-US"/>
        </w:rPr>
        <w:t>in the admissibility stage dates from 2009, it i</w:t>
      </w:r>
      <w:r w:rsidRPr="002433F3">
        <w:rPr>
          <w:lang w:val="en-US"/>
        </w:rPr>
        <w:t>s clear that the State failed to notify the Commission</w:t>
      </w:r>
      <w:r w:rsidR="00D11761" w:rsidRPr="002433F3">
        <w:rPr>
          <w:lang w:val="en-US"/>
        </w:rPr>
        <w:t>,</w:t>
      </w:r>
      <w:r w:rsidRPr="002433F3">
        <w:rPr>
          <w:lang w:val="en-US"/>
        </w:rPr>
        <w:t xml:space="preserve"> at the ap</w:t>
      </w:r>
      <w:r w:rsidR="00D11761" w:rsidRPr="002433F3">
        <w:rPr>
          <w:lang w:val="en-US"/>
        </w:rPr>
        <w:t>propriate procedural moment -</w:t>
      </w:r>
      <w:r w:rsidRPr="002433F3">
        <w:rPr>
          <w:lang w:val="en-US"/>
        </w:rPr>
        <w:t xml:space="preserve"> </w:t>
      </w:r>
      <w:r w:rsidR="00293FCE" w:rsidRPr="002433F3">
        <w:rPr>
          <w:lang w:val="en-US"/>
        </w:rPr>
        <w:t xml:space="preserve">even </w:t>
      </w:r>
      <w:r w:rsidRPr="002433F3">
        <w:rPr>
          <w:lang w:val="en-US"/>
        </w:rPr>
        <w:t>though it ha</w:t>
      </w:r>
      <w:r w:rsidR="00D11761" w:rsidRPr="002433F3">
        <w:rPr>
          <w:lang w:val="en-US"/>
        </w:rPr>
        <w:t>d ample opportunity to do so-</w:t>
      </w:r>
      <w:r w:rsidR="00293FCE" w:rsidRPr="002433F3">
        <w:rPr>
          <w:lang w:val="en-US"/>
        </w:rPr>
        <w:t xml:space="preserve"> of</w:t>
      </w:r>
      <w:r w:rsidRPr="002433F3">
        <w:rPr>
          <w:lang w:val="en-US"/>
        </w:rPr>
        <w:t xml:space="preserve"> the issuance of Judgment T-051 of 2010, its consequences </w:t>
      </w:r>
      <w:r w:rsidR="00293FCE" w:rsidRPr="002433F3">
        <w:rPr>
          <w:lang w:val="en-US"/>
        </w:rPr>
        <w:t xml:space="preserve">for </w:t>
      </w:r>
      <w:r w:rsidR="00D11761" w:rsidRPr="002433F3">
        <w:rPr>
          <w:lang w:val="en-US"/>
        </w:rPr>
        <w:t xml:space="preserve">the </w:t>
      </w:r>
      <w:r w:rsidRPr="002433F3">
        <w:rPr>
          <w:lang w:val="en-US"/>
        </w:rPr>
        <w:t xml:space="preserve">analysis of the petition’s admissibility and the subsequent judgments that ratified it. </w:t>
      </w:r>
    </w:p>
    <w:p w14:paraId="1B2C8A82" w14:textId="77777777" w:rsidR="007B0DE4" w:rsidRPr="002433F3" w:rsidRDefault="007B0DE4" w:rsidP="007B0DE4">
      <w:pPr>
        <w:numPr>
          <w:ilvl w:val="0"/>
          <w:numId w:val="2"/>
        </w:numPr>
        <w:spacing w:before="120" w:after="120"/>
        <w:rPr>
          <w:lang w:val="en-US"/>
        </w:rPr>
      </w:pPr>
      <w:r w:rsidRPr="002433F3">
        <w:rPr>
          <w:lang w:val="en-US"/>
        </w:rPr>
        <w:t xml:space="preserve">Finally, the </w:t>
      </w:r>
      <w:r w:rsidRPr="002433F3">
        <w:rPr>
          <w:i/>
          <w:lang w:val="en-US"/>
        </w:rPr>
        <w:t>Commission</w:t>
      </w:r>
      <w:r w:rsidR="00293FCE" w:rsidRPr="002433F3">
        <w:rPr>
          <w:lang w:val="en-US"/>
        </w:rPr>
        <w:t xml:space="preserve"> indicated that</w:t>
      </w:r>
      <w:r w:rsidR="006C1140" w:rsidRPr="002433F3">
        <w:rPr>
          <w:lang w:val="en-US"/>
        </w:rPr>
        <w:t>,</w:t>
      </w:r>
      <w:r w:rsidRPr="002433F3">
        <w:rPr>
          <w:lang w:val="en-US"/>
        </w:rPr>
        <w:t xml:space="preserve"> although the State emphasized in several sections of its answering brief that Judgment T-051 of 2010 </w:t>
      </w:r>
      <w:r w:rsidR="00D11761" w:rsidRPr="002433F3">
        <w:rPr>
          <w:lang w:val="en-US"/>
        </w:rPr>
        <w:t xml:space="preserve">predated </w:t>
      </w:r>
      <w:r w:rsidRPr="002433F3">
        <w:rPr>
          <w:lang w:val="en-US"/>
        </w:rPr>
        <w:t xml:space="preserve">the Commission’s Admissibility Report, </w:t>
      </w:r>
      <w:r w:rsidR="006C1140" w:rsidRPr="002433F3">
        <w:rPr>
          <w:lang w:val="en-US"/>
        </w:rPr>
        <w:t xml:space="preserve">taking </w:t>
      </w:r>
      <w:r w:rsidRPr="002433F3">
        <w:rPr>
          <w:lang w:val="en-US"/>
        </w:rPr>
        <w:t xml:space="preserve">into account the rules on the burden of proof and the fact that it is not </w:t>
      </w:r>
      <w:r w:rsidR="00C56AEF" w:rsidRPr="002433F3">
        <w:rPr>
          <w:lang w:val="en-US"/>
        </w:rPr>
        <w:t xml:space="preserve">the task of the </w:t>
      </w:r>
      <w:r w:rsidRPr="002433F3">
        <w:rPr>
          <w:lang w:val="en-US"/>
        </w:rPr>
        <w:t xml:space="preserve">organs of the inter-American system to investigate </w:t>
      </w:r>
      <w:r w:rsidRPr="002433F3">
        <w:rPr>
          <w:i/>
          <w:lang w:val="en-US"/>
        </w:rPr>
        <w:t xml:space="preserve">ex officio </w:t>
      </w:r>
      <w:r w:rsidR="006C1140" w:rsidRPr="002433F3">
        <w:rPr>
          <w:lang w:val="en-US"/>
        </w:rPr>
        <w:t xml:space="preserve">the </w:t>
      </w:r>
      <w:r w:rsidRPr="002433F3">
        <w:rPr>
          <w:lang w:val="en-US"/>
        </w:rPr>
        <w:t>appropriateness and effectiveness of the remedies</w:t>
      </w:r>
      <w:r w:rsidR="006C1140" w:rsidRPr="002433F3">
        <w:rPr>
          <w:lang w:val="en-US"/>
        </w:rPr>
        <w:t xml:space="preserve">, </w:t>
      </w:r>
      <w:r w:rsidRPr="002433F3">
        <w:rPr>
          <w:lang w:val="en-US"/>
        </w:rPr>
        <w:t xml:space="preserve">the important point is not the date on which that </w:t>
      </w:r>
      <w:r w:rsidR="006C1140" w:rsidRPr="002433F3">
        <w:rPr>
          <w:lang w:val="en-US"/>
        </w:rPr>
        <w:t xml:space="preserve">ruling </w:t>
      </w:r>
      <w:r w:rsidRPr="002433F3">
        <w:rPr>
          <w:lang w:val="en-US"/>
        </w:rPr>
        <w:t>was issued, but rather whether it was notified to the Commission opportunely and properly with the respective arguments on it</w:t>
      </w:r>
      <w:r w:rsidR="00293FCE" w:rsidRPr="002433F3">
        <w:rPr>
          <w:lang w:val="en-US"/>
        </w:rPr>
        <w:t xml:space="preserve">s relevance </w:t>
      </w:r>
      <w:r w:rsidR="00D11761" w:rsidRPr="002433F3">
        <w:rPr>
          <w:lang w:val="en-US"/>
        </w:rPr>
        <w:t xml:space="preserve">for the assessment on </w:t>
      </w:r>
      <w:r w:rsidR="00293FCE" w:rsidRPr="002433F3">
        <w:rPr>
          <w:lang w:val="en-US"/>
        </w:rPr>
        <w:t>a</w:t>
      </w:r>
      <w:r w:rsidRPr="002433F3">
        <w:rPr>
          <w:lang w:val="en-US"/>
        </w:rPr>
        <w:t xml:space="preserve">dmissibility. In that </w:t>
      </w:r>
      <w:r w:rsidR="006C1140" w:rsidRPr="002433F3">
        <w:rPr>
          <w:lang w:val="en-US"/>
        </w:rPr>
        <w:t>regard</w:t>
      </w:r>
      <w:r w:rsidRPr="002433F3">
        <w:rPr>
          <w:lang w:val="en-US"/>
        </w:rPr>
        <w:t xml:space="preserve">, the </w:t>
      </w:r>
      <w:r w:rsidRPr="002433F3">
        <w:rPr>
          <w:i/>
          <w:lang w:val="en-US"/>
        </w:rPr>
        <w:t>de facto</w:t>
      </w:r>
      <w:r w:rsidRPr="002433F3">
        <w:rPr>
          <w:lang w:val="en-US"/>
        </w:rPr>
        <w:t xml:space="preserve"> and legal arguments presented by the State regarding the preliminary objections based on Judgment T-051 of 2010</w:t>
      </w:r>
      <w:r w:rsidR="00C56AEF" w:rsidRPr="002433F3">
        <w:rPr>
          <w:lang w:val="en-US"/>
        </w:rPr>
        <w:t>,</w:t>
      </w:r>
      <w:r w:rsidRPr="002433F3">
        <w:rPr>
          <w:lang w:val="en-US"/>
        </w:rPr>
        <w:t xml:space="preserve"> and </w:t>
      </w:r>
      <w:r w:rsidR="006C1140" w:rsidRPr="002433F3">
        <w:rPr>
          <w:lang w:val="en-US"/>
        </w:rPr>
        <w:t>subsequent rulings</w:t>
      </w:r>
      <w:r w:rsidRPr="002433F3">
        <w:rPr>
          <w:lang w:val="en-US"/>
        </w:rPr>
        <w:t>, were not opportunely</w:t>
      </w:r>
      <w:r w:rsidR="00C56AEF" w:rsidRPr="002433F3">
        <w:rPr>
          <w:lang w:val="en-US"/>
        </w:rPr>
        <w:t xml:space="preserve"> notified to the Commission and are therefore</w:t>
      </w:r>
      <w:r w:rsidRPr="002433F3">
        <w:rPr>
          <w:lang w:val="en-US"/>
        </w:rPr>
        <w:t xml:space="preserve"> time-barred.</w:t>
      </w:r>
    </w:p>
    <w:p w14:paraId="16CA707A" w14:textId="77777777" w:rsidR="007B0DE4" w:rsidRPr="002433F3" w:rsidRDefault="007B0DE4" w:rsidP="007B0DE4">
      <w:pPr>
        <w:numPr>
          <w:ilvl w:val="0"/>
          <w:numId w:val="2"/>
        </w:numPr>
        <w:spacing w:before="120" w:after="120"/>
        <w:rPr>
          <w:lang w:val="en-US"/>
        </w:rPr>
      </w:pPr>
      <w:r w:rsidRPr="002433F3">
        <w:rPr>
          <w:szCs w:val="20"/>
          <w:lang w:val="en-US"/>
        </w:rPr>
        <w:t xml:space="preserve">The </w:t>
      </w:r>
      <w:r w:rsidRPr="002433F3">
        <w:rPr>
          <w:i/>
          <w:szCs w:val="20"/>
          <w:lang w:val="en-US"/>
        </w:rPr>
        <w:t>representatives</w:t>
      </w:r>
      <w:r w:rsidRPr="002433F3">
        <w:rPr>
          <w:b/>
          <w:szCs w:val="20"/>
          <w:lang w:val="en-US"/>
        </w:rPr>
        <w:t xml:space="preserve"> </w:t>
      </w:r>
      <w:r w:rsidRPr="002433F3">
        <w:rPr>
          <w:szCs w:val="20"/>
          <w:lang w:val="en-US"/>
        </w:rPr>
        <w:t>argued that</w:t>
      </w:r>
      <w:r w:rsidR="00834B08" w:rsidRPr="002433F3">
        <w:rPr>
          <w:szCs w:val="20"/>
          <w:lang w:val="en-US"/>
        </w:rPr>
        <w:t>,</w:t>
      </w:r>
      <w:r w:rsidRPr="002433F3">
        <w:rPr>
          <w:szCs w:val="20"/>
          <w:lang w:val="en-US"/>
        </w:rPr>
        <w:t xml:space="preserve"> </w:t>
      </w:r>
      <w:r w:rsidR="00834B08" w:rsidRPr="002433F3">
        <w:rPr>
          <w:szCs w:val="20"/>
          <w:lang w:val="en-US"/>
        </w:rPr>
        <w:t xml:space="preserve">notwithstanding </w:t>
      </w:r>
      <w:r w:rsidR="00DD2883" w:rsidRPr="002433F3">
        <w:rPr>
          <w:rFonts w:eastAsia="Calibri" w:cs="TimesNewRomanPSMT"/>
          <w:szCs w:val="20"/>
          <w:lang w:val="en-US"/>
        </w:rPr>
        <w:t xml:space="preserve">the legal </w:t>
      </w:r>
      <w:r w:rsidRPr="002433F3">
        <w:rPr>
          <w:rFonts w:eastAsia="Calibri" w:cs="TimesNewRomanPSMT"/>
          <w:szCs w:val="20"/>
          <w:lang w:val="en-US"/>
        </w:rPr>
        <w:t>change</w:t>
      </w:r>
      <w:r w:rsidR="00DD2883" w:rsidRPr="002433F3">
        <w:rPr>
          <w:rFonts w:eastAsia="Calibri" w:cs="TimesNewRomanPSMT"/>
          <w:szCs w:val="20"/>
          <w:lang w:val="en-US"/>
        </w:rPr>
        <w:t>s</w:t>
      </w:r>
      <w:r w:rsidR="00834B08" w:rsidRPr="002433F3">
        <w:rPr>
          <w:rFonts w:eastAsia="Calibri" w:cs="TimesNewRomanPSMT"/>
          <w:szCs w:val="20"/>
          <w:lang w:val="en-US"/>
        </w:rPr>
        <w:t xml:space="preserve"> </w:t>
      </w:r>
      <w:r w:rsidR="00DD2883" w:rsidRPr="002433F3">
        <w:rPr>
          <w:rFonts w:eastAsia="Calibri" w:cs="TimesNewRomanPSMT"/>
          <w:szCs w:val="20"/>
          <w:lang w:val="en-US"/>
        </w:rPr>
        <w:t xml:space="preserve">regarding pensions for </w:t>
      </w:r>
      <w:r w:rsidRPr="002433F3">
        <w:rPr>
          <w:rFonts w:eastAsia="Calibri" w:cs="TimesNewRomanPSMT"/>
          <w:szCs w:val="20"/>
          <w:lang w:val="en-US"/>
        </w:rPr>
        <w:t>same-sex coup</w:t>
      </w:r>
      <w:r w:rsidR="00DD2883" w:rsidRPr="002433F3">
        <w:rPr>
          <w:rFonts w:eastAsia="Calibri" w:cs="TimesNewRomanPSMT"/>
          <w:szCs w:val="20"/>
          <w:lang w:val="en-US"/>
        </w:rPr>
        <w:t xml:space="preserve">les resulting from Judgment C-336 of 2008 of </w:t>
      </w:r>
      <w:r w:rsidRPr="002433F3">
        <w:rPr>
          <w:rFonts w:eastAsia="Calibri" w:cs="TimesNewRomanPSMT"/>
          <w:szCs w:val="20"/>
          <w:lang w:val="en-US"/>
        </w:rPr>
        <w:t>the Constitutional Court of Colombia, this d</w:t>
      </w:r>
      <w:r w:rsidR="00DD2883" w:rsidRPr="002433F3">
        <w:rPr>
          <w:rFonts w:eastAsia="Calibri" w:cs="TimesNewRomanPSMT"/>
          <w:szCs w:val="20"/>
          <w:lang w:val="en-US"/>
        </w:rPr>
        <w:t xml:space="preserve">id </w:t>
      </w:r>
      <w:r w:rsidRPr="002433F3">
        <w:rPr>
          <w:rFonts w:eastAsia="Calibri" w:cs="TimesNewRomanPSMT"/>
          <w:szCs w:val="20"/>
          <w:lang w:val="en-US"/>
        </w:rPr>
        <w:t>not automatically re</w:t>
      </w:r>
      <w:r w:rsidR="00DD2883" w:rsidRPr="002433F3">
        <w:rPr>
          <w:rFonts w:eastAsia="Calibri" w:cs="TimesNewRomanPSMT"/>
          <w:szCs w:val="20"/>
          <w:lang w:val="en-US"/>
        </w:rPr>
        <w:t xml:space="preserve">pair </w:t>
      </w:r>
      <w:r w:rsidRPr="002433F3">
        <w:rPr>
          <w:rFonts w:eastAsia="Calibri" w:cs="TimesNewRomanPSMT"/>
          <w:szCs w:val="20"/>
          <w:lang w:val="en-US"/>
        </w:rPr>
        <w:t xml:space="preserve">an act of discrimination </w:t>
      </w:r>
      <w:r w:rsidR="00D21B02" w:rsidRPr="002433F3">
        <w:rPr>
          <w:rFonts w:eastAsia="Calibri" w:cs="TimesNewRomanPSMT"/>
          <w:szCs w:val="20"/>
          <w:lang w:val="en-US"/>
        </w:rPr>
        <w:t xml:space="preserve">based on </w:t>
      </w:r>
      <w:r w:rsidRPr="002433F3">
        <w:rPr>
          <w:rFonts w:eastAsia="Calibri" w:cs="TimesNewRomanPSMT"/>
          <w:szCs w:val="20"/>
          <w:lang w:val="en-US"/>
        </w:rPr>
        <w:t>sexual identity against Ángel Alberto Duque, gi</w:t>
      </w:r>
      <w:r w:rsidR="00DD2883" w:rsidRPr="002433F3">
        <w:rPr>
          <w:rFonts w:eastAsia="Calibri" w:cs="TimesNewRomanPSMT"/>
          <w:szCs w:val="20"/>
          <w:lang w:val="en-US"/>
        </w:rPr>
        <w:t xml:space="preserve">ven the denial of his request for a pension </w:t>
      </w:r>
      <w:r w:rsidRPr="002433F3">
        <w:rPr>
          <w:rFonts w:eastAsia="Calibri" w:cs="TimesNewRomanPSMT"/>
          <w:szCs w:val="20"/>
          <w:lang w:val="en-US"/>
        </w:rPr>
        <w:t>on March 19, 2002. According to the representative</w:t>
      </w:r>
      <w:r w:rsidR="00DD2883" w:rsidRPr="002433F3">
        <w:rPr>
          <w:rFonts w:eastAsia="Calibri" w:cs="TimesNewRomanPSMT"/>
          <w:szCs w:val="20"/>
          <w:lang w:val="en-US"/>
        </w:rPr>
        <w:t xml:space="preserve">s, the State’s argument </w:t>
      </w:r>
      <w:r w:rsidR="00834B08" w:rsidRPr="002433F3">
        <w:rPr>
          <w:rFonts w:eastAsia="Calibri" w:cs="TimesNewRomanPSMT"/>
          <w:szCs w:val="20"/>
          <w:lang w:val="en-US"/>
        </w:rPr>
        <w:t xml:space="preserve">concerning </w:t>
      </w:r>
      <w:r w:rsidR="00DD2883" w:rsidRPr="002433F3">
        <w:rPr>
          <w:rFonts w:eastAsia="Calibri" w:cs="TimesNewRomanPSMT"/>
          <w:szCs w:val="20"/>
          <w:lang w:val="en-US"/>
        </w:rPr>
        <w:t xml:space="preserve">the </w:t>
      </w:r>
      <w:r w:rsidRPr="002433F3">
        <w:rPr>
          <w:rFonts w:eastAsia="Calibri" w:cs="TimesNewRomanPSMT"/>
          <w:szCs w:val="20"/>
          <w:lang w:val="en-US"/>
        </w:rPr>
        <w:lastRenderedPageBreak/>
        <w:t>administrative and judicial remedy</w:t>
      </w:r>
      <w:r w:rsidR="006D2804" w:rsidRPr="002433F3">
        <w:rPr>
          <w:rFonts w:eastAsia="Calibri" w:cs="TimesNewRomanPSMT"/>
          <w:szCs w:val="20"/>
          <w:lang w:val="en-US"/>
        </w:rPr>
        <w:t xml:space="preserve"> </w:t>
      </w:r>
      <w:r w:rsidRPr="002433F3">
        <w:rPr>
          <w:rFonts w:eastAsia="Calibri" w:cs="TimesNewRomanPSMT"/>
          <w:szCs w:val="20"/>
          <w:lang w:val="en-US"/>
        </w:rPr>
        <w:t>resulting from the Constitutional Court</w:t>
      </w:r>
      <w:r w:rsidR="006D2804" w:rsidRPr="002433F3">
        <w:rPr>
          <w:rFonts w:eastAsia="Calibri" w:cs="TimesNewRomanPSMT"/>
          <w:szCs w:val="20"/>
          <w:lang w:val="en-US"/>
        </w:rPr>
        <w:t>’s decision</w:t>
      </w:r>
      <w:r w:rsidRPr="002433F3">
        <w:rPr>
          <w:rFonts w:eastAsia="Calibri" w:cs="TimesNewRomanPSMT"/>
          <w:szCs w:val="20"/>
          <w:lang w:val="en-US"/>
        </w:rPr>
        <w:t xml:space="preserve">, implicitly recognizes that the alleged victim did not </w:t>
      </w:r>
      <w:r w:rsidR="006D2804" w:rsidRPr="002433F3">
        <w:rPr>
          <w:rFonts w:eastAsia="Calibri" w:cs="TimesNewRomanPSMT"/>
          <w:szCs w:val="20"/>
          <w:lang w:val="en-US"/>
        </w:rPr>
        <w:t xml:space="preserve">have any remedy </w:t>
      </w:r>
      <w:r w:rsidR="00834B08" w:rsidRPr="002433F3">
        <w:rPr>
          <w:rFonts w:eastAsia="Calibri" w:cs="TimesNewRomanPSMT"/>
          <w:szCs w:val="20"/>
          <w:lang w:val="en-US"/>
        </w:rPr>
        <w:t xml:space="preserve">available to him </w:t>
      </w:r>
      <w:r w:rsidR="006D2804" w:rsidRPr="002433F3">
        <w:rPr>
          <w:rFonts w:eastAsia="Calibri" w:cs="TimesNewRomanPSMT"/>
          <w:szCs w:val="20"/>
          <w:lang w:val="en-US"/>
        </w:rPr>
        <w:t xml:space="preserve">to challenge the </w:t>
      </w:r>
      <w:r w:rsidRPr="002433F3">
        <w:rPr>
          <w:rFonts w:eastAsia="Calibri" w:cs="TimesNewRomanPSMT"/>
          <w:szCs w:val="20"/>
          <w:lang w:val="en-US"/>
        </w:rPr>
        <w:t xml:space="preserve">situation of discrimination </w:t>
      </w:r>
      <w:r w:rsidR="006D2804" w:rsidRPr="002433F3">
        <w:rPr>
          <w:rFonts w:eastAsia="Calibri" w:cs="TimesNewRomanPSMT"/>
          <w:szCs w:val="20"/>
          <w:lang w:val="en-US"/>
        </w:rPr>
        <w:t xml:space="preserve">he suffered at the time of the </w:t>
      </w:r>
      <w:r w:rsidRPr="002433F3">
        <w:rPr>
          <w:rFonts w:eastAsia="Calibri" w:cs="TimesNewRomanPSMT"/>
          <w:szCs w:val="20"/>
          <w:lang w:val="en-US"/>
        </w:rPr>
        <w:t xml:space="preserve">facts. </w:t>
      </w:r>
    </w:p>
    <w:p w14:paraId="6F49A43A" w14:textId="77777777" w:rsidR="007B0DE4" w:rsidRPr="002433F3" w:rsidRDefault="00D21B02" w:rsidP="007B0DE4">
      <w:pPr>
        <w:numPr>
          <w:ilvl w:val="0"/>
          <w:numId w:val="2"/>
        </w:numPr>
        <w:spacing w:before="120" w:after="120"/>
        <w:rPr>
          <w:lang w:val="en-US"/>
        </w:rPr>
      </w:pPr>
      <w:r w:rsidRPr="002433F3">
        <w:rPr>
          <w:rFonts w:eastAsia="Calibri" w:cs="TimesNewRomanPSMT"/>
          <w:szCs w:val="20"/>
          <w:lang w:val="en-US"/>
        </w:rPr>
        <w:t>T</w:t>
      </w:r>
      <w:r w:rsidR="007B0DE4" w:rsidRPr="002433F3">
        <w:rPr>
          <w:rFonts w:eastAsia="Calibri" w:cs="TimesNewRomanPSMT"/>
          <w:szCs w:val="20"/>
          <w:lang w:val="en-US"/>
        </w:rPr>
        <w:t xml:space="preserve">he </w:t>
      </w:r>
      <w:r w:rsidR="007B0DE4" w:rsidRPr="002433F3">
        <w:rPr>
          <w:rFonts w:eastAsia="Calibri" w:cs="TimesNewRomanPSMT"/>
          <w:i/>
          <w:szCs w:val="20"/>
          <w:lang w:val="en-US"/>
        </w:rPr>
        <w:t>representatives</w:t>
      </w:r>
      <w:r w:rsidR="007B0DE4" w:rsidRPr="002433F3">
        <w:rPr>
          <w:rFonts w:eastAsia="Calibri" w:cs="TimesNewRomanPSMT"/>
          <w:szCs w:val="20"/>
          <w:lang w:val="en-US"/>
        </w:rPr>
        <w:t xml:space="preserve"> </w:t>
      </w:r>
      <w:r w:rsidRPr="002433F3">
        <w:rPr>
          <w:rFonts w:eastAsia="Calibri" w:cs="TimesNewRomanPSMT"/>
          <w:szCs w:val="20"/>
          <w:lang w:val="en-US"/>
        </w:rPr>
        <w:t xml:space="preserve">further argued </w:t>
      </w:r>
      <w:r w:rsidR="007B0DE4" w:rsidRPr="002433F3">
        <w:rPr>
          <w:rFonts w:eastAsia="Calibri" w:cs="TimesNewRomanPSMT"/>
          <w:szCs w:val="20"/>
          <w:lang w:val="en-US"/>
        </w:rPr>
        <w:t xml:space="preserve">that the </w:t>
      </w:r>
      <w:r w:rsidR="00171A70" w:rsidRPr="002433F3">
        <w:rPr>
          <w:rFonts w:eastAsia="Calibri" w:cs="TimesNewRomanPSMT"/>
          <w:szCs w:val="20"/>
          <w:lang w:val="en-US"/>
        </w:rPr>
        <w:t xml:space="preserve">exception described </w:t>
      </w:r>
      <w:r w:rsidR="007B0DE4" w:rsidRPr="002433F3">
        <w:rPr>
          <w:rFonts w:eastAsia="Calibri" w:cs="TimesNewRomanPSMT"/>
          <w:szCs w:val="20"/>
          <w:lang w:val="en-US"/>
        </w:rPr>
        <w:t>in Article 46(2) (a)</w:t>
      </w:r>
      <w:r w:rsidR="00171A70" w:rsidRPr="002433F3">
        <w:rPr>
          <w:rFonts w:eastAsia="Calibri" w:cs="TimesNewRomanPSMT"/>
          <w:szCs w:val="20"/>
          <w:lang w:val="en-US"/>
        </w:rPr>
        <w:t xml:space="preserve"> of the American Convention</w:t>
      </w:r>
      <w:r w:rsidR="00E12204" w:rsidRPr="002433F3">
        <w:rPr>
          <w:rFonts w:eastAsia="Calibri" w:cs="TimesNewRomanPSMT"/>
          <w:szCs w:val="20"/>
          <w:lang w:val="en-US"/>
        </w:rPr>
        <w:t>, that</w:t>
      </w:r>
      <w:r w:rsidR="007B0DE4" w:rsidRPr="002433F3">
        <w:rPr>
          <w:rFonts w:eastAsia="Calibri" w:cs="TimesNewRomanPSMT"/>
          <w:szCs w:val="20"/>
          <w:lang w:val="en-US"/>
        </w:rPr>
        <w:t xml:space="preserve"> “the domestic legislation of the State concerned does not afford due process of law for the protection of the right or rights that</w:t>
      </w:r>
      <w:r w:rsidR="00171A70" w:rsidRPr="002433F3">
        <w:rPr>
          <w:rFonts w:eastAsia="Calibri" w:cs="TimesNewRomanPSMT"/>
          <w:szCs w:val="20"/>
          <w:lang w:val="en-US"/>
        </w:rPr>
        <w:t xml:space="preserve"> have allegedly been violated,” </w:t>
      </w:r>
      <w:r w:rsidRPr="002433F3">
        <w:rPr>
          <w:rFonts w:eastAsia="Calibri" w:cs="TimesNewRomanPSMT"/>
          <w:szCs w:val="20"/>
          <w:lang w:val="en-US"/>
        </w:rPr>
        <w:t>remains unchanged today</w:t>
      </w:r>
      <w:r w:rsidR="00683855" w:rsidRPr="002433F3">
        <w:rPr>
          <w:rFonts w:eastAsia="Calibri" w:cs="TimesNewRomanPSMT"/>
          <w:szCs w:val="20"/>
          <w:lang w:val="en-US"/>
        </w:rPr>
        <w:t>,</w:t>
      </w:r>
      <w:r w:rsidRPr="002433F3">
        <w:rPr>
          <w:rFonts w:eastAsia="Calibri" w:cs="TimesNewRomanPSMT"/>
          <w:szCs w:val="20"/>
          <w:lang w:val="en-US"/>
        </w:rPr>
        <w:t xml:space="preserve"> </w:t>
      </w:r>
      <w:r w:rsidR="00683855" w:rsidRPr="002433F3">
        <w:rPr>
          <w:rFonts w:eastAsia="Calibri" w:cs="TimesNewRomanPSMT"/>
          <w:szCs w:val="20"/>
          <w:lang w:val="en-US"/>
        </w:rPr>
        <w:t xml:space="preserve">since </w:t>
      </w:r>
      <w:r w:rsidRPr="002433F3">
        <w:rPr>
          <w:rFonts w:eastAsia="Calibri" w:cs="TimesNewRomanPSMT"/>
          <w:szCs w:val="20"/>
          <w:lang w:val="en-US"/>
        </w:rPr>
        <w:t>this</w:t>
      </w:r>
      <w:r w:rsidR="00171A70" w:rsidRPr="002433F3">
        <w:rPr>
          <w:rFonts w:eastAsia="Calibri" w:cs="TimesNewRomanPSMT"/>
          <w:szCs w:val="20"/>
          <w:lang w:val="en-US"/>
        </w:rPr>
        <w:t xml:space="preserve"> </w:t>
      </w:r>
      <w:r w:rsidR="007B367D" w:rsidRPr="002433F3">
        <w:rPr>
          <w:rFonts w:eastAsia="Calibri" w:cs="TimesNewRomanPSMT"/>
          <w:szCs w:val="20"/>
          <w:lang w:val="en-US"/>
        </w:rPr>
        <w:t xml:space="preserve">situation arose </w:t>
      </w:r>
      <w:r w:rsidR="007B0DE4" w:rsidRPr="002433F3">
        <w:rPr>
          <w:rFonts w:eastAsia="Calibri" w:cs="TimesNewRomanPSMT"/>
          <w:szCs w:val="20"/>
          <w:lang w:val="en-US"/>
        </w:rPr>
        <w:t xml:space="preserve">when the alleged human rights violation occurred. They also held that it was only </w:t>
      </w:r>
      <w:r w:rsidR="007C633C" w:rsidRPr="002433F3">
        <w:rPr>
          <w:rFonts w:eastAsia="Calibri" w:cs="TimesNewRomanPSMT"/>
          <w:szCs w:val="20"/>
          <w:lang w:val="en-US"/>
        </w:rPr>
        <w:t xml:space="preserve">after </w:t>
      </w:r>
      <w:r w:rsidR="007B0DE4" w:rsidRPr="002433F3">
        <w:rPr>
          <w:rFonts w:eastAsia="Calibri" w:cs="TimesNewRomanPSMT"/>
          <w:szCs w:val="20"/>
          <w:lang w:val="en-US"/>
        </w:rPr>
        <w:t xml:space="preserve">Judgment T-051 of 2010 </w:t>
      </w:r>
      <w:r w:rsidR="007C633C" w:rsidRPr="002433F3">
        <w:rPr>
          <w:rFonts w:eastAsia="Calibri" w:cs="TimesNewRomanPSMT"/>
          <w:szCs w:val="20"/>
          <w:lang w:val="en-US"/>
        </w:rPr>
        <w:t xml:space="preserve">was issued </w:t>
      </w:r>
      <w:r w:rsidR="007B0DE4" w:rsidRPr="002433F3">
        <w:rPr>
          <w:rFonts w:eastAsia="Calibri" w:cs="TimesNewRomanPSMT"/>
          <w:szCs w:val="20"/>
          <w:lang w:val="en-US"/>
        </w:rPr>
        <w:t xml:space="preserve">that the assumptions of Judgment C-336 of 2008 were </w:t>
      </w:r>
      <w:r w:rsidRPr="002433F3">
        <w:rPr>
          <w:rFonts w:eastAsia="Calibri" w:cs="TimesNewRomanPSMT"/>
          <w:szCs w:val="20"/>
          <w:lang w:val="en-US"/>
        </w:rPr>
        <w:t>implemented</w:t>
      </w:r>
      <w:r w:rsidR="007B0DE4" w:rsidRPr="002433F3">
        <w:rPr>
          <w:rFonts w:eastAsia="Calibri" w:cs="TimesNewRomanPSMT"/>
          <w:szCs w:val="20"/>
          <w:lang w:val="en-US"/>
        </w:rPr>
        <w:t xml:space="preserve">; thus, </w:t>
      </w:r>
      <w:r w:rsidR="007B367D" w:rsidRPr="002433F3">
        <w:rPr>
          <w:rFonts w:eastAsia="Calibri" w:cs="TimesNewRomanPSMT"/>
          <w:szCs w:val="20"/>
          <w:lang w:val="en-US"/>
        </w:rPr>
        <w:t xml:space="preserve">the remedies </w:t>
      </w:r>
      <w:r w:rsidR="007C633C" w:rsidRPr="002433F3">
        <w:rPr>
          <w:rFonts w:eastAsia="Calibri" w:cs="TimesNewRomanPSMT"/>
          <w:szCs w:val="20"/>
          <w:lang w:val="en-US"/>
        </w:rPr>
        <w:t xml:space="preserve">that the </w:t>
      </w:r>
      <w:r w:rsidR="007B367D" w:rsidRPr="002433F3">
        <w:rPr>
          <w:rFonts w:eastAsia="Calibri" w:cs="TimesNewRomanPSMT"/>
          <w:szCs w:val="20"/>
          <w:lang w:val="en-US"/>
        </w:rPr>
        <w:t xml:space="preserve">State </w:t>
      </w:r>
      <w:r w:rsidR="0019740B" w:rsidRPr="002433F3">
        <w:rPr>
          <w:rFonts w:eastAsia="Calibri" w:cs="TimesNewRomanPSMT"/>
          <w:szCs w:val="20"/>
          <w:lang w:val="en-US"/>
        </w:rPr>
        <w:t>suggests that</w:t>
      </w:r>
      <w:r w:rsidR="007C633C" w:rsidRPr="002433F3">
        <w:rPr>
          <w:rFonts w:eastAsia="Calibri" w:cs="TimesNewRomanPSMT"/>
          <w:szCs w:val="20"/>
          <w:lang w:val="en-US"/>
        </w:rPr>
        <w:t xml:space="preserve"> </w:t>
      </w:r>
      <w:r w:rsidR="007B367D" w:rsidRPr="002433F3">
        <w:rPr>
          <w:rFonts w:eastAsia="Calibri" w:cs="TimesNewRomanPSMT"/>
          <w:szCs w:val="20"/>
          <w:lang w:val="en-US"/>
        </w:rPr>
        <w:t xml:space="preserve">Mr. Duque should have exhausted were not available until </w:t>
      </w:r>
      <w:r w:rsidR="007B0DE4" w:rsidRPr="002433F3">
        <w:rPr>
          <w:rFonts w:eastAsia="Calibri" w:cs="TimesNewRomanPSMT"/>
          <w:szCs w:val="20"/>
          <w:lang w:val="en-US"/>
        </w:rPr>
        <w:t xml:space="preserve">eight years after the facts </w:t>
      </w:r>
      <w:r w:rsidR="007B367D" w:rsidRPr="002433F3">
        <w:rPr>
          <w:rFonts w:eastAsia="Calibri" w:cs="TimesNewRomanPSMT"/>
          <w:szCs w:val="20"/>
          <w:lang w:val="en-US"/>
        </w:rPr>
        <w:t>that gave rise to the violation.</w:t>
      </w:r>
    </w:p>
    <w:p w14:paraId="772E2FD7" w14:textId="77777777" w:rsidR="007B0DE4" w:rsidRPr="002433F3" w:rsidRDefault="007B0DE4" w:rsidP="007B0DE4">
      <w:pPr>
        <w:pStyle w:val="Ttulo3"/>
        <w:spacing w:before="280" w:after="280"/>
        <w:ind w:left="1066"/>
        <w:rPr>
          <w:rFonts w:eastAsia="Calibri" w:cs="TimesNewRomanPSMT"/>
          <w:noProof w:val="0"/>
          <w:lang w:val="en-US"/>
        </w:rPr>
      </w:pPr>
      <w:bookmarkStart w:id="51" w:name="_Toc448482246"/>
      <w:r w:rsidRPr="002433F3">
        <w:rPr>
          <w:rFonts w:eastAsia="Calibri" w:cs="TimesNewRomanPSMT"/>
          <w:noProof w:val="0"/>
          <w:lang w:val="en-US"/>
        </w:rPr>
        <w:t xml:space="preserve">A.2. </w:t>
      </w:r>
      <w:r w:rsidRPr="002433F3">
        <w:rPr>
          <w:noProof w:val="0"/>
          <w:lang w:val="en-US"/>
        </w:rPr>
        <w:t>Considerations</w:t>
      </w:r>
      <w:r w:rsidRPr="002433F3">
        <w:rPr>
          <w:rFonts w:eastAsia="Calibri" w:cs="TimesNewRomanPSMT"/>
          <w:noProof w:val="0"/>
          <w:lang w:val="en-US"/>
        </w:rPr>
        <w:t xml:space="preserve"> of the Court</w:t>
      </w:r>
      <w:bookmarkEnd w:id="51"/>
    </w:p>
    <w:p w14:paraId="41EE452A" w14:textId="77777777" w:rsidR="007B0DE4" w:rsidRPr="002433F3" w:rsidRDefault="007B0DE4" w:rsidP="007B0DE4">
      <w:pPr>
        <w:numPr>
          <w:ilvl w:val="0"/>
          <w:numId w:val="2"/>
        </w:numPr>
        <w:spacing w:before="120" w:after="120"/>
        <w:rPr>
          <w:rFonts w:eastAsia="Verdana" w:cs="Verdana"/>
          <w:szCs w:val="20"/>
          <w:lang w:val="en-US"/>
        </w:rPr>
      </w:pPr>
      <w:r w:rsidRPr="002433F3">
        <w:rPr>
          <w:lang w:val="en-US"/>
        </w:rPr>
        <w:t>Article 46(1)(a) of the American Convention establishe</w:t>
      </w:r>
      <w:r w:rsidR="00216462" w:rsidRPr="002433F3">
        <w:rPr>
          <w:lang w:val="en-US"/>
        </w:rPr>
        <w:t xml:space="preserve">s that </w:t>
      </w:r>
      <w:r w:rsidR="007C633C" w:rsidRPr="002433F3">
        <w:rPr>
          <w:lang w:val="en-US"/>
        </w:rPr>
        <w:t xml:space="preserve">in order </w:t>
      </w:r>
      <w:r w:rsidR="00216462" w:rsidRPr="002433F3">
        <w:rPr>
          <w:lang w:val="en-US"/>
        </w:rPr>
        <w:t>to determine the  a</w:t>
      </w:r>
      <w:r w:rsidRPr="002433F3">
        <w:rPr>
          <w:lang w:val="en-US"/>
        </w:rPr>
        <w:t xml:space="preserve">dmissibility of a petition or communication presented </w:t>
      </w:r>
      <w:r w:rsidR="00216462" w:rsidRPr="002433F3">
        <w:rPr>
          <w:lang w:val="en-US"/>
        </w:rPr>
        <w:t xml:space="preserve">before </w:t>
      </w:r>
      <w:r w:rsidRPr="002433F3">
        <w:rPr>
          <w:lang w:val="en-US"/>
        </w:rPr>
        <w:t xml:space="preserve">the Inter-American Commission, pursuant to Articles 44 or 45 of the Convention, </w:t>
      </w:r>
      <w:r w:rsidRPr="002433F3">
        <w:rPr>
          <w:color w:val="000000"/>
          <w:lang w:val="en-US"/>
        </w:rPr>
        <w:t xml:space="preserve">the remedies under domestic law </w:t>
      </w:r>
      <w:r w:rsidR="007C633C" w:rsidRPr="002433F3">
        <w:rPr>
          <w:color w:val="000000"/>
          <w:lang w:val="en-US"/>
        </w:rPr>
        <w:t xml:space="preserve">must </w:t>
      </w:r>
      <w:r w:rsidRPr="002433F3">
        <w:rPr>
          <w:color w:val="000000"/>
          <w:lang w:val="en-US"/>
        </w:rPr>
        <w:t>have been pursued and exhausted in accordance with generally recognized principles of international law</w:t>
      </w:r>
      <w:r w:rsidRPr="002433F3">
        <w:rPr>
          <w:lang w:val="en-US"/>
        </w:rPr>
        <w:t xml:space="preserve">. In this regard, the Court has held that an objection to the exercise </w:t>
      </w:r>
      <w:r w:rsidR="00410648" w:rsidRPr="002433F3">
        <w:rPr>
          <w:lang w:val="en-US"/>
        </w:rPr>
        <w:t>of its jurisdiction based on the</w:t>
      </w:r>
      <w:r w:rsidRPr="002433F3">
        <w:rPr>
          <w:lang w:val="en-US"/>
        </w:rPr>
        <w:t xml:space="preserve"> supposed failure to exhaust domestic remedies must be submitted at the proper procedural moment, that is, during the admissibility proceeding before the Commission.</w:t>
      </w:r>
      <w:r w:rsidRPr="002433F3">
        <w:rPr>
          <w:szCs w:val="20"/>
          <w:vertAlign w:val="superscript"/>
          <w:lang w:val="en-US"/>
        </w:rPr>
        <w:footnoteReference w:id="17"/>
      </w:r>
      <w:r w:rsidRPr="002433F3">
        <w:rPr>
          <w:lang w:val="en-US"/>
        </w:rPr>
        <w:t xml:space="preserve"> </w:t>
      </w:r>
      <w:r w:rsidR="007B367D" w:rsidRPr="002433F3">
        <w:rPr>
          <w:lang w:val="en-US"/>
        </w:rPr>
        <w:t xml:space="preserve">Moreover, in </w:t>
      </w:r>
      <w:r w:rsidR="00216462" w:rsidRPr="002433F3">
        <w:rPr>
          <w:lang w:val="en-US"/>
        </w:rPr>
        <w:t xml:space="preserve">alleging a </w:t>
      </w:r>
      <w:r w:rsidR="007B367D" w:rsidRPr="002433F3">
        <w:rPr>
          <w:lang w:val="en-US"/>
        </w:rPr>
        <w:t>failure to exhaust domestic remedies</w:t>
      </w:r>
      <w:r w:rsidR="007C633C" w:rsidRPr="002433F3">
        <w:rPr>
          <w:lang w:val="en-US"/>
        </w:rPr>
        <w:t>,</w:t>
      </w:r>
      <w:r w:rsidR="007B367D" w:rsidRPr="002433F3">
        <w:rPr>
          <w:lang w:val="en-US"/>
        </w:rPr>
        <w:t xml:space="preserve"> the State </w:t>
      </w:r>
      <w:r w:rsidR="007C633C" w:rsidRPr="002433F3">
        <w:rPr>
          <w:lang w:val="en-US"/>
        </w:rPr>
        <w:t xml:space="preserve">must </w:t>
      </w:r>
      <w:r w:rsidRPr="002433F3">
        <w:rPr>
          <w:rFonts w:eastAsia="Verdana" w:cs="Verdana"/>
          <w:spacing w:val="1"/>
          <w:szCs w:val="20"/>
          <w:lang w:val="en-US"/>
        </w:rPr>
        <w:t>specify</w:t>
      </w:r>
      <w:r w:rsidRPr="002433F3">
        <w:rPr>
          <w:rFonts w:eastAsia="Verdana" w:cs="Verdana"/>
          <w:spacing w:val="-11"/>
          <w:szCs w:val="20"/>
          <w:lang w:val="en-US"/>
        </w:rPr>
        <w:t xml:space="preserve"> </w:t>
      </w:r>
      <w:r w:rsidR="007B367D" w:rsidRPr="002433F3">
        <w:rPr>
          <w:rFonts w:eastAsia="Verdana" w:cs="Verdana"/>
          <w:spacing w:val="-11"/>
          <w:szCs w:val="20"/>
          <w:lang w:val="en-US"/>
        </w:rPr>
        <w:t xml:space="preserve">which </w:t>
      </w:r>
      <w:r w:rsidRPr="002433F3">
        <w:rPr>
          <w:rFonts w:eastAsia="Verdana" w:cs="Verdana"/>
          <w:spacing w:val="-11"/>
          <w:szCs w:val="20"/>
          <w:lang w:val="en-US"/>
        </w:rPr>
        <w:t>domestic remedies</w:t>
      </w:r>
      <w:r w:rsidRPr="002433F3">
        <w:rPr>
          <w:rFonts w:eastAsia="Verdana" w:cs="Verdana"/>
          <w:spacing w:val="-7"/>
          <w:szCs w:val="20"/>
          <w:lang w:val="en-US"/>
        </w:rPr>
        <w:t xml:space="preserve"> have not been exhausted</w:t>
      </w:r>
      <w:r w:rsidRPr="002433F3">
        <w:rPr>
          <w:rFonts w:eastAsia="Verdana" w:cs="Verdana"/>
          <w:szCs w:val="20"/>
          <w:lang w:val="en-US"/>
        </w:rPr>
        <w:t>,</w:t>
      </w:r>
      <w:r w:rsidRPr="002433F3">
        <w:rPr>
          <w:rFonts w:eastAsia="Verdana" w:cs="Verdana"/>
          <w:spacing w:val="-8"/>
          <w:szCs w:val="20"/>
          <w:lang w:val="en-US"/>
        </w:rPr>
        <w:t xml:space="preserve"> and </w:t>
      </w:r>
      <w:r w:rsidR="007B367D" w:rsidRPr="002433F3">
        <w:rPr>
          <w:rFonts w:eastAsia="Verdana" w:cs="Verdana"/>
          <w:spacing w:val="-8"/>
          <w:szCs w:val="20"/>
          <w:lang w:val="en-US"/>
        </w:rPr>
        <w:t xml:space="preserve">must </w:t>
      </w:r>
      <w:r w:rsidR="00216462" w:rsidRPr="002433F3">
        <w:rPr>
          <w:rFonts w:eastAsia="Verdana" w:cs="Verdana"/>
          <w:spacing w:val="-8"/>
          <w:szCs w:val="20"/>
          <w:lang w:val="en-US"/>
        </w:rPr>
        <w:t xml:space="preserve">also </w:t>
      </w:r>
      <w:r w:rsidRPr="002433F3">
        <w:rPr>
          <w:rFonts w:eastAsia="Verdana" w:cs="Verdana"/>
          <w:spacing w:val="3"/>
          <w:szCs w:val="20"/>
          <w:lang w:val="en-US"/>
        </w:rPr>
        <w:t>d</w:t>
      </w:r>
      <w:r w:rsidRPr="002433F3">
        <w:rPr>
          <w:rFonts w:eastAsia="Verdana" w:cs="Verdana"/>
          <w:spacing w:val="-1"/>
          <w:szCs w:val="20"/>
          <w:lang w:val="en-US"/>
        </w:rPr>
        <w:t>e</w:t>
      </w:r>
      <w:r w:rsidRPr="002433F3">
        <w:rPr>
          <w:rFonts w:eastAsia="Verdana" w:cs="Verdana"/>
          <w:szCs w:val="20"/>
          <w:lang w:val="en-US"/>
        </w:rPr>
        <w:t>m</w:t>
      </w:r>
      <w:r w:rsidRPr="002433F3">
        <w:rPr>
          <w:rFonts w:eastAsia="Verdana" w:cs="Verdana"/>
          <w:spacing w:val="2"/>
          <w:szCs w:val="20"/>
          <w:lang w:val="en-US"/>
        </w:rPr>
        <w:t>o</w:t>
      </w:r>
      <w:r w:rsidRPr="002433F3">
        <w:rPr>
          <w:rFonts w:eastAsia="Verdana" w:cs="Verdana"/>
          <w:szCs w:val="20"/>
          <w:lang w:val="en-US"/>
        </w:rPr>
        <w:t>ns</w:t>
      </w:r>
      <w:r w:rsidRPr="002433F3">
        <w:rPr>
          <w:rFonts w:eastAsia="Verdana" w:cs="Verdana"/>
          <w:spacing w:val="1"/>
          <w:szCs w:val="20"/>
          <w:lang w:val="en-US"/>
        </w:rPr>
        <w:t>t</w:t>
      </w:r>
      <w:r w:rsidRPr="002433F3">
        <w:rPr>
          <w:rFonts w:eastAsia="Verdana" w:cs="Verdana"/>
          <w:szCs w:val="20"/>
          <w:lang w:val="en-US"/>
        </w:rPr>
        <w:t xml:space="preserve">rate </w:t>
      </w:r>
      <w:r w:rsidRPr="002433F3">
        <w:rPr>
          <w:rFonts w:eastAsia="Verdana" w:cs="Verdana"/>
          <w:spacing w:val="-10"/>
          <w:szCs w:val="20"/>
          <w:lang w:val="en-US"/>
        </w:rPr>
        <w:t xml:space="preserve">that these </w:t>
      </w:r>
      <w:r w:rsidR="001F2385" w:rsidRPr="002433F3">
        <w:rPr>
          <w:rFonts w:eastAsia="Verdana" w:cs="Verdana"/>
          <w:spacing w:val="-10"/>
          <w:szCs w:val="20"/>
          <w:lang w:val="en-US"/>
        </w:rPr>
        <w:t xml:space="preserve">remedies </w:t>
      </w:r>
      <w:r w:rsidRPr="002433F3">
        <w:rPr>
          <w:rFonts w:eastAsia="Verdana" w:cs="Verdana"/>
          <w:szCs w:val="20"/>
          <w:lang w:val="en-US"/>
        </w:rPr>
        <w:t>were a</w:t>
      </w:r>
      <w:r w:rsidRPr="002433F3">
        <w:rPr>
          <w:rFonts w:eastAsia="Verdana" w:cs="Verdana"/>
          <w:spacing w:val="1"/>
          <w:szCs w:val="20"/>
          <w:lang w:val="en-US"/>
        </w:rPr>
        <w:t>d</w:t>
      </w:r>
      <w:r w:rsidRPr="002433F3">
        <w:rPr>
          <w:rFonts w:eastAsia="Verdana" w:cs="Verdana"/>
          <w:spacing w:val="-1"/>
          <w:szCs w:val="20"/>
          <w:lang w:val="en-US"/>
        </w:rPr>
        <w:t xml:space="preserve">equate, appropriate </w:t>
      </w:r>
      <w:r w:rsidRPr="002433F3">
        <w:rPr>
          <w:rFonts w:eastAsia="Verdana" w:cs="Verdana"/>
          <w:spacing w:val="6"/>
          <w:szCs w:val="20"/>
          <w:lang w:val="en-US"/>
        </w:rPr>
        <w:t xml:space="preserve">and </w:t>
      </w:r>
      <w:r w:rsidRPr="002433F3">
        <w:rPr>
          <w:rFonts w:eastAsia="Verdana" w:cs="Verdana"/>
          <w:spacing w:val="-1"/>
          <w:szCs w:val="20"/>
          <w:lang w:val="en-US"/>
        </w:rPr>
        <w:t>effective.</w:t>
      </w:r>
      <w:r w:rsidRPr="002433F3">
        <w:rPr>
          <w:rStyle w:val="Refdenotaalpie"/>
          <w:rFonts w:eastAsia="Verdana"/>
          <w:spacing w:val="10"/>
          <w:lang w:val="en-US"/>
        </w:rPr>
        <w:footnoteReference w:id="18"/>
      </w:r>
    </w:p>
    <w:p w14:paraId="6CE0320C" w14:textId="77777777" w:rsidR="007B0DE4" w:rsidRPr="002433F3" w:rsidRDefault="00683855" w:rsidP="007B0DE4">
      <w:pPr>
        <w:numPr>
          <w:ilvl w:val="0"/>
          <w:numId w:val="2"/>
        </w:numPr>
        <w:spacing w:before="120" w:after="120"/>
        <w:rPr>
          <w:lang w:val="en-US"/>
        </w:rPr>
      </w:pPr>
      <w:r w:rsidRPr="002433F3">
        <w:rPr>
          <w:rFonts w:eastAsia="Verdana" w:cs="Verdana"/>
          <w:szCs w:val="20"/>
          <w:lang w:val="en-US"/>
        </w:rPr>
        <w:t>In order t</w:t>
      </w:r>
      <w:r w:rsidR="007B0DE4" w:rsidRPr="002433F3">
        <w:rPr>
          <w:rFonts w:eastAsia="Verdana" w:cs="Verdana"/>
          <w:szCs w:val="20"/>
          <w:lang w:val="en-US"/>
        </w:rPr>
        <w:t xml:space="preserve">o </w:t>
      </w:r>
      <w:r w:rsidRPr="002433F3">
        <w:rPr>
          <w:rFonts w:eastAsia="Verdana" w:cs="Verdana"/>
          <w:szCs w:val="20"/>
          <w:lang w:val="en-US"/>
        </w:rPr>
        <w:t xml:space="preserve">analyze </w:t>
      </w:r>
      <w:r w:rsidR="007B0DE4" w:rsidRPr="002433F3">
        <w:rPr>
          <w:rFonts w:eastAsia="Verdana" w:cs="Verdana"/>
          <w:szCs w:val="20"/>
          <w:lang w:val="en-US"/>
        </w:rPr>
        <w:t>the alleged failure to exhaust domestic remedies</w:t>
      </w:r>
      <w:r w:rsidR="00216462" w:rsidRPr="002433F3">
        <w:rPr>
          <w:rFonts w:eastAsia="Verdana" w:cs="Verdana"/>
          <w:szCs w:val="20"/>
          <w:lang w:val="en-US"/>
        </w:rPr>
        <w:t xml:space="preserve"> </w:t>
      </w:r>
      <w:r w:rsidRPr="002433F3">
        <w:rPr>
          <w:rFonts w:eastAsia="Verdana" w:cs="Verdana"/>
          <w:szCs w:val="20"/>
          <w:lang w:val="en-US"/>
        </w:rPr>
        <w:t xml:space="preserve">in this case </w:t>
      </w:r>
      <w:r w:rsidR="007B0DE4" w:rsidRPr="002433F3">
        <w:rPr>
          <w:rFonts w:eastAsia="Verdana" w:cs="Verdana"/>
          <w:szCs w:val="20"/>
          <w:lang w:val="en-US"/>
        </w:rPr>
        <w:t>it is first nec</w:t>
      </w:r>
      <w:r w:rsidR="00216462" w:rsidRPr="002433F3">
        <w:rPr>
          <w:rFonts w:eastAsia="Verdana" w:cs="Verdana"/>
          <w:szCs w:val="20"/>
          <w:lang w:val="en-US"/>
        </w:rPr>
        <w:t>essary to determine whether the</w:t>
      </w:r>
      <w:r w:rsidR="007B0DE4" w:rsidRPr="002433F3">
        <w:rPr>
          <w:rFonts w:eastAsia="Verdana" w:cs="Verdana"/>
          <w:szCs w:val="20"/>
          <w:lang w:val="en-US"/>
        </w:rPr>
        <w:t xml:space="preserve"> preliminary objection was </w:t>
      </w:r>
      <w:r w:rsidR="00216462" w:rsidRPr="002433F3">
        <w:rPr>
          <w:rFonts w:eastAsia="Verdana" w:cs="Verdana"/>
          <w:szCs w:val="20"/>
          <w:lang w:val="en-US"/>
        </w:rPr>
        <w:t xml:space="preserve">submitted </w:t>
      </w:r>
      <w:r w:rsidR="007B0DE4" w:rsidRPr="002433F3">
        <w:rPr>
          <w:rFonts w:eastAsia="Verdana" w:cs="Verdana"/>
          <w:spacing w:val="-7"/>
          <w:szCs w:val="20"/>
          <w:lang w:val="en-US"/>
        </w:rPr>
        <w:t xml:space="preserve">at </w:t>
      </w:r>
      <w:r w:rsidR="007B0DE4" w:rsidRPr="002433F3">
        <w:rPr>
          <w:rFonts w:eastAsia="Verdana" w:cs="Verdana"/>
          <w:szCs w:val="20"/>
          <w:lang w:val="en-US"/>
        </w:rPr>
        <w:t xml:space="preserve">the </w:t>
      </w:r>
      <w:r w:rsidR="00410648" w:rsidRPr="002433F3">
        <w:rPr>
          <w:rFonts w:eastAsia="Verdana" w:cs="Verdana"/>
          <w:szCs w:val="20"/>
          <w:lang w:val="en-US"/>
        </w:rPr>
        <w:t xml:space="preserve">proper </w:t>
      </w:r>
      <w:r w:rsidR="007B0DE4" w:rsidRPr="002433F3">
        <w:rPr>
          <w:rFonts w:eastAsia="Verdana" w:cs="Verdana"/>
          <w:szCs w:val="20"/>
          <w:lang w:val="en-US"/>
        </w:rPr>
        <w:t>procedural moment.</w:t>
      </w:r>
      <w:r w:rsidR="007B0DE4" w:rsidRPr="002433F3">
        <w:rPr>
          <w:rFonts w:eastAsia="Verdana" w:cs="Verdana"/>
          <w:spacing w:val="-9"/>
          <w:szCs w:val="20"/>
          <w:lang w:val="en-US"/>
        </w:rPr>
        <w:t xml:space="preserve"> </w:t>
      </w:r>
      <w:r w:rsidRPr="002433F3">
        <w:rPr>
          <w:rFonts w:eastAsia="Verdana" w:cs="Verdana"/>
          <w:spacing w:val="-9"/>
          <w:szCs w:val="20"/>
          <w:lang w:val="en-US"/>
        </w:rPr>
        <w:t>In this regard, t</w:t>
      </w:r>
      <w:r w:rsidR="007B0DE4" w:rsidRPr="002433F3">
        <w:rPr>
          <w:rFonts w:eastAsia="Verdana" w:cs="Verdana"/>
          <w:spacing w:val="3"/>
          <w:szCs w:val="20"/>
          <w:lang w:val="en-US"/>
        </w:rPr>
        <w:t>he Court</w:t>
      </w:r>
      <w:r w:rsidR="007B0DE4" w:rsidRPr="002433F3">
        <w:rPr>
          <w:rFonts w:eastAsia="Verdana" w:cs="Verdana"/>
          <w:spacing w:val="7"/>
          <w:szCs w:val="20"/>
          <w:lang w:val="en-US"/>
        </w:rPr>
        <w:t xml:space="preserve"> </w:t>
      </w:r>
      <w:r w:rsidR="007B0DE4" w:rsidRPr="002433F3">
        <w:rPr>
          <w:rFonts w:eastAsia="Verdana" w:cs="Verdana"/>
          <w:spacing w:val="1"/>
          <w:szCs w:val="20"/>
          <w:lang w:val="en-US"/>
        </w:rPr>
        <w:t>n</w:t>
      </w:r>
      <w:r w:rsidR="007B0DE4" w:rsidRPr="002433F3">
        <w:rPr>
          <w:rFonts w:eastAsia="Verdana" w:cs="Verdana"/>
          <w:spacing w:val="-1"/>
          <w:szCs w:val="20"/>
          <w:lang w:val="en-US"/>
        </w:rPr>
        <w:t>o</w:t>
      </w:r>
      <w:r w:rsidR="007B0DE4" w:rsidRPr="002433F3">
        <w:rPr>
          <w:rFonts w:eastAsia="Verdana" w:cs="Verdana"/>
          <w:spacing w:val="3"/>
          <w:szCs w:val="20"/>
          <w:lang w:val="en-US"/>
        </w:rPr>
        <w:t>t</w:t>
      </w:r>
      <w:r w:rsidR="007B0DE4" w:rsidRPr="002433F3">
        <w:rPr>
          <w:rFonts w:eastAsia="Verdana" w:cs="Verdana"/>
          <w:szCs w:val="20"/>
          <w:lang w:val="en-US"/>
        </w:rPr>
        <w:t>es</w:t>
      </w:r>
      <w:r w:rsidR="007B0DE4" w:rsidRPr="002433F3">
        <w:rPr>
          <w:rFonts w:eastAsia="Verdana" w:cs="Verdana"/>
          <w:spacing w:val="8"/>
          <w:szCs w:val="20"/>
          <w:lang w:val="en-US"/>
        </w:rPr>
        <w:t xml:space="preserve"> that </w:t>
      </w:r>
      <w:r w:rsidR="007B0DE4" w:rsidRPr="002433F3">
        <w:rPr>
          <w:rFonts w:eastAsia="Verdana" w:cs="Verdana"/>
          <w:spacing w:val="-1"/>
          <w:szCs w:val="20"/>
          <w:lang w:val="en-US"/>
        </w:rPr>
        <w:t>the State</w:t>
      </w:r>
      <w:r w:rsidR="007B0DE4" w:rsidRPr="002433F3">
        <w:rPr>
          <w:rFonts w:eastAsia="Verdana" w:cs="Verdana"/>
          <w:spacing w:val="3"/>
          <w:szCs w:val="20"/>
          <w:lang w:val="en-US"/>
        </w:rPr>
        <w:t xml:space="preserve"> </w:t>
      </w:r>
      <w:r w:rsidR="00216462" w:rsidRPr="002433F3">
        <w:rPr>
          <w:rFonts w:eastAsia="Verdana" w:cs="Verdana"/>
          <w:spacing w:val="3"/>
          <w:szCs w:val="20"/>
          <w:lang w:val="en-US"/>
        </w:rPr>
        <w:t xml:space="preserve">included </w:t>
      </w:r>
      <w:r w:rsidR="007B0DE4" w:rsidRPr="002433F3">
        <w:rPr>
          <w:rFonts w:eastAsia="Verdana" w:cs="Verdana"/>
          <w:spacing w:val="1"/>
          <w:szCs w:val="20"/>
          <w:lang w:val="en-US"/>
        </w:rPr>
        <w:t xml:space="preserve">that argument in its </w:t>
      </w:r>
      <w:r w:rsidR="007B0DE4" w:rsidRPr="002433F3">
        <w:rPr>
          <w:rFonts w:eastAsia="Verdana" w:cs="Verdana"/>
          <w:szCs w:val="20"/>
          <w:lang w:val="en-US"/>
        </w:rPr>
        <w:t xml:space="preserve">written </w:t>
      </w:r>
      <w:r w:rsidR="007B0DE4" w:rsidRPr="002433F3">
        <w:rPr>
          <w:rFonts w:eastAsia="Verdana" w:cs="Verdana"/>
          <w:spacing w:val="-1"/>
          <w:szCs w:val="20"/>
          <w:lang w:val="en-US"/>
        </w:rPr>
        <w:t>o</w:t>
      </w:r>
      <w:r w:rsidR="007B0DE4" w:rsidRPr="002433F3">
        <w:rPr>
          <w:rFonts w:eastAsia="Verdana" w:cs="Verdana"/>
          <w:spacing w:val="1"/>
          <w:szCs w:val="20"/>
          <w:lang w:val="en-US"/>
        </w:rPr>
        <w:t>b</w:t>
      </w:r>
      <w:r w:rsidR="007B0DE4" w:rsidRPr="002433F3">
        <w:rPr>
          <w:rFonts w:eastAsia="Verdana" w:cs="Verdana"/>
          <w:spacing w:val="2"/>
          <w:szCs w:val="20"/>
          <w:lang w:val="en-US"/>
        </w:rPr>
        <w:t>s</w:t>
      </w:r>
      <w:r w:rsidR="007B0DE4" w:rsidRPr="002433F3">
        <w:rPr>
          <w:rFonts w:eastAsia="Verdana" w:cs="Verdana"/>
          <w:spacing w:val="1"/>
          <w:szCs w:val="20"/>
          <w:lang w:val="en-US"/>
        </w:rPr>
        <w:t>e</w:t>
      </w:r>
      <w:r w:rsidR="007B0DE4" w:rsidRPr="002433F3">
        <w:rPr>
          <w:rFonts w:eastAsia="Verdana" w:cs="Verdana"/>
          <w:spacing w:val="-1"/>
          <w:szCs w:val="20"/>
          <w:lang w:val="en-US"/>
        </w:rPr>
        <w:t>r</w:t>
      </w:r>
      <w:r w:rsidR="007B0DE4" w:rsidRPr="002433F3">
        <w:rPr>
          <w:rFonts w:eastAsia="Verdana" w:cs="Verdana"/>
          <w:szCs w:val="20"/>
          <w:lang w:val="en-US"/>
        </w:rPr>
        <w:t>vations</w:t>
      </w:r>
      <w:r w:rsidR="007B0DE4" w:rsidRPr="002433F3">
        <w:rPr>
          <w:rFonts w:eastAsia="Verdana" w:cs="Verdana"/>
          <w:spacing w:val="-2"/>
          <w:szCs w:val="20"/>
          <w:lang w:val="en-US"/>
        </w:rPr>
        <w:t xml:space="preserve"> to the initial </w:t>
      </w:r>
      <w:r w:rsidR="007B0DE4" w:rsidRPr="002433F3">
        <w:rPr>
          <w:rFonts w:eastAsia="Verdana" w:cs="Verdana"/>
          <w:spacing w:val="1"/>
          <w:szCs w:val="20"/>
          <w:lang w:val="en-US"/>
        </w:rPr>
        <w:t>p</w:t>
      </w:r>
      <w:r w:rsidR="007B0DE4" w:rsidRPr="002433F3">
        <w:rPr>
          <w:rFonts w:eastAsia="Verdana" w:cs="Verdana"/>
          <w:spacing w:val="-1"/>
          <w:szCs w:val="20"/>
          <w:lang w:val="en-US"/>
        </w:rPr>
        <w:t>e</w:t>
      </w:r>
      <w:r w:rsidR="007B0DE4" w:rsidRPr="002433F3">
        <w:rPr>
          <w:rFonts w:eastAsia="Verdana" w:cs="Verdana"/>
          <w:spacing w:val="1"/>
          <w:szCs w:val="20"/>
          <w:lang w:val="en-US"/>
        </w:rPr>
        <w:t>t</w:t>
      </w:r>
      <w:r w:rsidR="007B0DE4" w:rsidRPr="002433F3">
        <w:rPr>
          <w:rFonts w:eastAsia="Verdana" w:cs="Verdana"/>
          <w:spacing w:val="3"/>
          <w:szCs w:val="20"/>
          <w:lang w:val="en-US"/>
        </w:rPr>
        <w:t>i</w:t>
      </w:r>
      <w:r w:rsidR="007B0DE4" w:rsidRPr="002433F3">
        <w:rPr>
          <w:rFonts w:eastAsia="Verdana" w:cs="Verdana"/>
          <w:spacing w:val="-3"/>
          <w:szCs w:val="20"/>
          <w:lang w:val="en-US"/>
        </w:rPr>
        <w:t>tion</w:t>
      </w:r>
      <w:r w:rsidR="007B0DE4" w:rsidRPr="002433F3">
        <w:rPr>
          <w:rFonts w:eastAsia="Verdana" w:cs="Verdana"/>
          <w:szCs w:val="20"/>
          <w:lang w:val="en-US"/>
        </w:rPr>
        <w:t>;</w:t>
      </w:r>
      <w:r w:rsidR="007B0DE4" w:rsidRPr="002433F3">
        <w:rPr>
          <w:rStyle w:val="Refdenotaalpie"/>
          <w:rFonts w:eastAsia="Verdana"/>
          <w:lang w:val="en-US"/>
        </w:rPr>
        <w:footnoteReference w:id="19"/>
      </w:r>
      <w:r w:rsidR="007B0DE4" w:rsidRPr="002433F3">
        <w:rPr>
          <w:rFonts w:eastAsia="Verdana" w:cs="Verdana"/>
          <w:szCs w:val="20"/>
          <w:lang w:val="en-US"/>
        </w:rPr>
        <w:t xml:space="preserve"> therefore, it was presented at the </w:t>
      </w:r>
      <w:r w:rsidR="00410648" w:rsidRPr="002433F3">
        <w:rPr>
          <w:rFonts w:eastAsia="Verdana" w:cs="Verdana"/>
          <w:szCs w:val="20"/>
          <w:lang w:val="en-US"/>
        </w:rPr>
        <w:t xml:space="preserve">appropriate </w:t>
      </w:r>
      <w:r w:rsidR="007B0DE4" w:rsidRPr="002433F3">
        <w:rPr>
          <w:rFonts w:eastAsia="Verdana" w:cs="Verdana"/>
          <w:szCs w:val="20"/>
          <w:lang w:val="en-US"/>
        </w:rPr>
        <w:t xml:space="preserve">procedural opportunity. </w:t>
      </w:r>
    </w:p>
    <w:p w14:paraId="6FECF5BC" w14:textId="77777777" w:rsidR="007B0DE4" w:rsidRPr="002433F3" w:rsidRDefault="007B0DE4" w:rsidP="007B0DE4">
      <w:pPr>
        <w:numPr>
          <w:ilvl w:val="0"/>
          <w:numId w:val="2"/>
        </w:numPr>
        <w:spacing w:before="120" w:after="120"/>
        <w:rPr>
          <w:lang w:val="en-US"/>
        </w:rPr>
      </w:pPr>
      <w:r w:rsidRPr="002433F3">
        <w:rPr>
          <w:rFonts w:eastAsia="Verdana" w:cs="Verdana"/>
          <w:szCs w:val="20"/>
          <w:lang w:val="en-US"/>
        </w:rPr>
        <w:t>In secon</w:t>
      </w:r>
      <w:r w:rsidR="00216462" w:rsidRPr="002433F3">
        <w:rPr>
          <w:rFonts w:eastAsia="Verdana" w:cs="Verdana"/>
          <w:szCs w:val="20"/>
          <w:lang w:val="en-US"/>
        </w:rPr>
        <w:t>d place, the State justifies its</w:t>
      </w:r>
      <w:r w:rsidRPr="002433F3">
        <w:rPr>
          <w:rFonts w:eastAsia="Verdana" w:cs="Verdana"/>
          <w:szCs w:val="20"/>
          <w:lang w:val="en-US"/>
        </w:rPr>
        <w:t xml:space="preserve"> prel</w:t>
      </w:r>
      <w:r w:rsidR="00B55CFE" w:rsidRPr="002433F3">
        <w:rPr>
          <w:rFonts w:eastAsia="Verdana" w:cs="Verdana"/>
          <w:szCs w:val="20"/>
          <w:lang w:val="en-US"/>
        </w:rPr>
        <w:t>iminary objection</w:t>
      </w:r>
      <w:r w:rsidR="00216462" w:rsidRPr="002433F3">
        <w:rPr>
          <w:rFonts w:eastAsia="Verdana" w:cs="Verdana"/>
          <w:szCs w:val="20"/>
          <w:lang w:val="en-US"/>
        </w:rPr>
        <w:t xml:space="preserve"> based on </w:t>
      </w:r>
      <w:r w:rsidRPr="002433F3">
        <w:rPr>
          <w:rFonts w:eastAsia="Verdana" w:cs="Verdana"/>
          <w:szCs w:val="20"/>
          <w:lang w:val="en-US"/>
        </w:rPr>
        <w:t xml:space="preserve">the following arguments: a) </w:t>
      </w:r>
      <w:r w:rsidR="00B55CFE" w:rsidRPr="002433F3">
        <w:rPr>
          <w:rFonts w:eastAsia="Verdana" w:cs="Verdana"/>
          <w:szCs w:val="20"/>
          <w:lang w:val="en-US"/>
        </w:rPr>
        <w:t xml:space="preserve">that </w:t>
      </w:r>
      <w:r w:rsidR="00216462" w:rsidRPr="002433F3">
        <w:rPr>
          <w:rFonts w:eastAsia="Verdana" w:cs="Verdana"/>
          <w:szCs w:val="20"/>
          <w:lang w:val="en-US"/>
        </w:rPr>
        <w:t xml:space="preserve">under </w:t>
      </w:r>
      <w:r w:rsidRPr="002433F3">
        <w:rPr>
          <w:rFonts w:eastAsia="Verdana" w:cs="Verdana"/>
          <w:szCs w:val="20"/>
          <w:lang w:val="en-US"/>
        </w:rPr>
        <w:t>the existing legal system</w:t>
      </w:r>
      <w:r w:rsidRPr="002433F3">
        <w:rPr>
          <w:lang w:val="en-US"/>
        </w:rPr>
        <w:t xml:space="preserve">, Mr. Ángel Alberto Duque </w:t>
      </w:r>
      <w:r w:rsidR="00B55CFE" w:rsidRPr="002433F3">
        <w:rPr>
          <w:lang w:val="en-US"/>
        </w:rPr>
        <w:t xml:space="preserve">could have availed himself of </w:t>
      </w:r>
      <w:r w:rsidRPr="002433F3">
        <w:rPr>
          <w:lang w:val="en-US"/>
        </w:rPr>
        <w:t>an administrative remedy (</w:t>
      </w:r>
      <w:r w:rsidR="00216462" w:rsidRPr="002433F3">
        <w:rPr>
          <w:lang w:val="en-US"/>
        </w:rPr>
        <w:t xml:space="preserve">filing a </w:t>
      </w:r>
      <w:r w:rsidRPr="002433F3">
        <w:rPr>
          <w:lang w:val="en-US"/>
        </w:rPr>
        <w:t>formal claim</w:t>
      </w:r>
      <w:r w:rsidR="0091198C" w:rsidRPr="002433F3">
        <w:rPr>
          <w:lang w:val="en-US"/>
        </w:rPr>
        <w:t xml:space="preserve"> for</w:t>
      </w:r>
      <w:r w:rsidRPr="002433F3">
        <w:rPr>
          <w:lang w:val="en-US"/>
        </w:rPr>
        <w:t xml:space="preserve"> recognition of pension rights </w:t>
      </w:r>
      <w:r w:rsidR="00216462" w:rsidRPr="002433F3">
        <w:rPr>
          <w:lang w:val="en-US"/>
        </w:rPr>
        <w:t xml:space="preserve">with </w:t>
      </w:r>
      <w:r w:rsidRPr="002433F3">
        <w:rPr>
          <w:lang w:val="en-US"/>
        </w:rPr>
        <w:t xml:space="preserve">COLFONDOS) and a judicial remedy at the domestic level, </w:t>
      </w:r>
      <w:r w:rsidR="00216462" w:rsidRPr="002433F3">
        <w:rPr>
          <w:lang w:val="en-US"/>
        </w:rPr>
        <w:t xml:space="preserve">to </w:t>
      </w:r>
      <w:r w:rsidR="00B55CFE" w:rsidRPr="002433F3">
        <w:rPr>
          <w:lang w:val="en-US"/>
        </w:rPr>
        <w:t xml:space="preserve">protect </w:t>
      </w:r>
      <w:r w:rsidR="00216462" w:rsidRPr="002433F3">
        <w:rPr>
          <w:lang w:val="en-US"/>
        </w:rPr>
        <w:t xml:space="preserve">the rights that </w:t>
      </w:r>
      <w:r w:rsidRPr="002433F3">
        <w:rPr>
          <w:lang w:val="en-US"/>
        </w:rPr>
        <w:t xml:space="preserve">he considered violated </w:t>
      </w:r>
      <w:r w:rsidR="00B55CFE" w:rsidRPr="002433F3">
        <w:rPr>
          <w:lang w:val="en-US"/>
        </w:rPr>
        <w:t xml:space="preserve">and </w:t>
      </w:r>
      <w:r w:rsidRPr="002433F3">
        <w:rPr>
          <w:lang w:val="en-US"/>
        </w:rPr>
        <w:t xml:space="preserve">to challenge the </w:t>
      </w:r>
      <w:r w:rsidR="00B55CFE" w:rsidRPr="002433F3">
        <w:rPr>
          <w:lang w:val="en-US"/>
        </w:rPr>
        <w:t>possible</w:t>
      </w:r>
      <w:r w:rsidRPr="002433F3">
        <w:rPr>
          <w:lang w:val="en-US"/>
        </w:rPr>
        <w:t xml:space="preserve"> </w:t>
      </w:r>
      <w:r w:rsidR="00B55CFE" w:rsidRPr="002433F3">
        <w:rPr>
          <w:lang w:val="en-US"/>
        </w:rPr>
        <w:t>rejection of that claim;</w:t>
      </w:r>
      <w:r w:rsidRPr="002433F3">
        <w:rPr>
          <w:lang w:val="en-US"/>
        </w:rPr>
        <w:t xml:space="preserve"> </w:t>
      </w:r>
      <w:r w:rsidR="00B55CFE" w:rsidRPr="002433F3">
        <w:rPr>
          <w:lang w:val="en-US"/>
        </w:rPr>
        <w:t xml:space="preserve">however, he did not </w:t>
      </w:r>
      <w:r w:rsidR="00683855" w:rsidRPr="002433F3">
        <w:rPr>
          <w:lang w:val="en-US"/>
        </w:rPr>
        <w:t xml:space="preserve">make use of </w:t>
      </w:r>
      <w:r w:rsidR="00B55CFE" w:rsidRPr="002433F3">
        <w:rPr>
          <w:lang w:val="en-US"/>
        </w:rPr>
        <w:t>these remedies</w:t>
      </w:r>
      <w:r w:rsidRPr="002433F3">
        <w:rPr>
          <w:lang w:val="en-US"/>
        </w:rPr>
        <w:t xml:space="preserve">, and b) that </w:t>
      </w:r>
      <w:r w:rsidR="00683855" w:rsidRPr="002433F3">
        <w:rPr>
          <w:lang w:val="en-US"/>
        </w:rPr>
        <w:t xml:space="preserve">amendments were made to </w:t>
      </w:r>
      <w:r w:rsidRPr="002433F3">
        <w:rPr>
          <w:lang w:val="en-US"/>
        </w:rPr>
        <w:t xml:space="preserve">domestic </w:t>
      </w:r>
      <w:r w:rsidR="00653F67" w:rsidRPr="002433F3">
        <w:rPr>
          <w:lang w:val="en-US"/>
        </w:rPr>
        <w:t xml:space="preserve">case law between 2008 and 2010 </w:t>
      </w:r>
      <w:r w:rsidRPr="002433F3">
        <w:rPr>
          <w:lang w:val="en-US"/>
        </w:rPr>
        <w:t xml:space="preserve">and </w:t>
      </w:r>
      <w:r w:rsidR="00B55CFE" w:rsidRPr="002433F3">
        <w:rPr>
          <w:lang w:val="en-US"/>
        </w:rPr>
        <w:t xml:space="preserve">consequently </w:t>
      </w:r>
      <w:r w:rsidRPr="002433F3">
        <w:rPr>
          <w:lang w:val="en-US"/>
        </w:rPr>
        <w:t xml:space="preserve">Mr. Duque had access to adequate and effective remedies that he had not exhausted. </w:t>
      </w:r>
    </w:p>
    <w:p w14:paraId="709C2567" w14:textId="77777777" w:rsidR="007B0DE4" w:rsidRPr="002433F3" w:rsidRDefault="007B0DE4" w:rsidP="007B0DE4">
      <w:pPr>
        <w:spacing w:before="240" w:after="240"/>
        <w:rPr>
          <w:i/>
          <w:lang w:val="en-US"/>
        </w:rPr>
      </w:pPr>
      <w:r w:rsidRPr="002433F3">
        <w:rPr>
          <w:i/>
          <w:lang w:val="en-US"/>
        </w:rPr>
        <w:t>a) Exhaustion of domestic remedies in 2005</w:t>
      </w:r>
    </w:p>
    <w:p w14:paraId="3153E737" w14:textId="77777777" w:rsidR="007B0DE4" w:rsidRPr="002433F3" w:rsidRDefault="007B0DE4" w:rsidP="007B0DE4">
      <w:pPr>
        <w:numPr>
          <w:ilvl w:val="0"/>
          <w:numId w:val="2"/>
        </w:numPr>
        <w:spacing w:before="120" w:after="120"/>
        <w:rPr>
          <w:lang w:val="en-US"/>
        </w:rPr>
      </w:pPr>
      <w:r w:rsidRPr="002433F3">
        <w:rPr>
          <w:lang w:val="en-US"/>
        </w:rPr>
        <w:t xml:space="preserve">In relation to the first point, it is clear that on March 19, 2002, Mr. Duque </w:t>
      </w:r>
      <w:r w:rsidR="00B55CFE" w:rsidRPr="002433F3">
        <w:rPr>
          <w:lang w:val="en-US"/>
        </w:rPr>
        <w:t xml:space="preserve">filed </w:t>
      </w:r>
      <w:r w:rsidRPr="002433F3">
        <w:rPr>
          <w:lang w:val="en-US"/>
        </w:rPr>
        <w:t xml:space="preserve">a general request </w:t>
      </w:r>
      <w:r w:rsidR="00B55CFE" w:rsidRPr="002433F3">
        <w:rPr>
          <w:lang w:val="en-US"/>
        </w:rPr>
        <w:t xml:space="preserve">for information </w:t>
      </w:r>
      <w:r w:rsidRPr="002433F3">
        <w:rPr>
          <w:lang w:val="en-US"/>
        </w:rPr>
        <w:t>(</w:t>
      </w:r>
      <w:r w:rsidRPr="002433F3">
        <w:rPr>
          <w:i/>
          <w:lang w:val="en-US"/>
        </w:rPr>
        <w:t>infra</w:t>
      </w:r>
      <w:r w:rsidRPr="002433F3">
        <w:rPr>
          <w:lang w:val="en-US"/>
        </w:rPr>
        <w:t xml:space="preserve"> para. 68) </w:t>
      </w:r>
      <w:r w:rsidR="00B55CFE" w:rsidRPr="002433F3">
        <w:rPr>
          <w:lang w:val="en-US"/>
        </w:rPr>
        <w:t>with</w:t>
      </w:r>
      <w:r w:rsidR="00716773" w:rsidRPr="002433F3">
        <w:rPr>
          <w:lang w:val="en-US"/>
        </w:rPr>
        <w:t xml:space="preserve"> COLFONDOS </w:t>
      </w:r>
      <w:r w:rsidRPr="002433F3">
        <w:rPr>
          <w:lang w:val="en-US"/>
        </w:rPr>
        <w:t xml:space="preserve">asking that it “advise </w:t>
      </w:r>
      <w:r w:rsidR="00B55CFE" w:rsidRPr="002433F3">
        <w:rPr>
          <w:lang w:val="en-US"/>
        </w:rPr>
        <w:t>[</w:t>
      </w:r>
      <w:r w:rsidRPr="002433F3">
        <w:rPr>
          <w:lang w:val="en-US"/>
        </w:rPr>
        <w:t>him</w:t>
      </w:r>
      <w:r w:rsidR="00B55CFE" w:rsidRPr="002433F3">
        <w:rPr>
          <w:lang w:val="en-US"/>
        </w:rPr>
        <w:t>]</w:t>
      </w:r>
      <w:r w:rsidRPr="002433F3">
        <w:rPr>
          <w:lang w:val="en-US"/>
        </w:rPr>
        <w:t xml:space="preserve"> of the requirements [he] must meet to apply for, or be eligible to receive the </w:t>
      </w:r>
      <w:r w:rsidR="00B55CFE" w:rsidRPr="002433F3">
        <w:rPr>
          <w:lang w:val="en-US"/>
        </w:rPr>
        <w:t xml:space="preserve">survivor’s </w:t>
      </w:r>
      <w:r w:rsidRPr="002433F3">
        <w:rPr>
          <w:lang w:val="en-US"/>
        </w:rPr>
        <w:t xml:space="preserve">pension of </w:t>
      </w:r>
      <w:r w:rsidR="00716773" w:rsidRPr="002433F3">
        <w:rPr>
          <w:lang w:val="en-US"/>
        </w:rPr>
        <w:t xml:space="preserve">his partner </w:t>
      </w:r>
      <w:r w:rsidRPr="002433F3">
        <w:rPr>
          <w:lang w:val="en-US"/>
        </w:rPr>
        <w:t>[</w:t>
      </w:r>
      <w:r w:rsidR="00716773" w:rsidRPr="002433F3">
        <w:rPr>
          <w:lang w:val="en-US"/>
        </w:rPr>
        <w:t xml:space="preserve">Mr. </w:t>
      </w:r>
      <w:r w:rsidR="00683855" w:rsidRPr="002433F3">
        <w:rPr>
          <w:lang w:val="en-US"/>
        </w:rPr>
        <w:t>JOJ</w:t>
      </w:r>
      <w:r w:rsidRPr="002433F3">
        <w:rPr>
          <w:lang w:val="en-US"/>
        </w:rPr>
        <w:t>G], who died on September 15, 2001</w:t>
      </w:r>
      <w:r w:rsidR="00716773" w:rsidRPr="002433F3">
        <w:rPr>
          <w:lang w:val="en-US"/>
        </w:rPr>
        <w:t>. Wh</w:t>
      </w:r>
      <w:r w:rsidR="00D21B02" w:rsidRPr="002433F3">
        <w:rPr>
          <w:lang w:val="en-US"/>
        </w:rPr>
        <w:t xml:space="preserve">ile </w:t>
      </w:r>
      <w:r w:rsidR="00716773" w:rsidRPr="002433F3">
        <w:rPr>
          <w:lang w:val="en-US"/>
        </w:rPr>
        <w:t>he was alive,</w:t>
      </w:r>
      <w:r w:rsidRPr="002433F3">
        <w:rPr>
          <w:lang w:val="en-US"/>
        </w:rPr>
        <w:t xml:space="preserve"> </w:t>
      </w:r>
      <w:r w:rsidR="00716773" w:rsidRPr="002433F3">
        <w:rPr>
          <w:lang w:val="en-US"/>
        </w:rPr>
        <w:t xml:space="preserve">Mr. </w:t>
      </w:r>
      <w:r w:rsidR="00DA1CFE" w:rsidRPr="002433F3">
        <w:rPr>
          <w:lang w:val="en-US"/>
        </w:rPr>
        <w:lastRenderedPageBreak/>
        <w:t>JOJG</w:t>
      </w:r>
      <w:r w:rsidR="00716773" w:rsidRPr="002433F3">
        <w:rPr>
          <w:lang w:val="en-US"/>
        </w:rPr>
        <w:t xml:space="preserve"> was </w:t>
      </w:r>
      <w:r w:rsidR="00410648" w:rsidRPr="002433F3">
        <w:rPr>
          <w:lang w:val="en-US"/>
        </w:rPr>
        <w:t xml:space="preserve">enrolled in the </w:t>
      </w:r>
      <w:r w:rsidR="00B55CFE" w:rsidRPr="002433F3">
        <w:rPr>
          <w:lang w:val="en-US"/>
        </w:rPr>
        <w:t xml:space="preserve">pension scheme of the </w:t>
      </w:r>
      <w:r w:rsidR="00716773" w:rsidRPr="002433F3">
        <w:rPr>
          <w:i/>
          <w:lang w:val="en-US"/>
        </w:rPr>
        <w:t>Compañía Colombiana Administradora de Fondos de Pensiones y Cesantías</w:t>
      </w:r>
      <w:r w:rsidR="00716773" w:rsidRPr="002433F3">
        <w:rPr>
          <w:szCs w:val="16"/>
          <w:lang w:val="en-US"/>
        </w:rPr>
        <w:t xml:space="preserve"> -COLFONDOS S.A</w:t>
      </w:r>
      <w:r w:rsidR="00410648" w:rsidRPr="002433F3">
        <w:rPr>
          <w:szCs w:val="16"/>
          <w:lang w:val="en-US"/>
        </w:rPr>
        <w:t>.</w:t>
      </w:r>
      <w:r w:rsidR="00716773" w:rsidRPr="002433F3">
        <w:rPr>
          <w:szCs w:val="16"/>
          <w:lang w:val="en-US"/>
        </w:rPr>
        <w:t xml:space="preserve"> </w:t>
      </w:r>
      <w:r w:rsidRPr="002433F3">
        <w:rPr>
          <w:lang w:val="en-US"/>
        </w:rPr>
        <w:t>and worked at the Office of the Deput</w:t>
      </w:r>
      <w:r w:rsidR="00716773" w:rsidRPr="002433F3">
        <w:rPr>
          <w:lang w:val="en-US"/>
        </w:rPr>
        <w:t xml:space="preserve">y Director of Exchange Control </w:t>
      </w:r>
      <w:r w:rsidRPr="002433F3">
        <w:rPr>
          <w:lang w:val="en-US"/>
        </w:rPr>
        <w:t>in the Directorate of National Taxes and Customs</w:t>
      </w:r>
      <w:r w:rsidR="00261F99" w:rsidRPr="002433F3">
        <w:rPr>
          <w:lang w:val="en-US"/>
        </w:rPr>
        <w:t xml:space="preserve"> </w:t>
      </w:r>
      <w:r w:rsidRPr="002433F3">
        <w:rPr>
          <w:lang w:val="en-US"/>
        </w:rPr>
        <w:t>(</w:t>
      </w:r>
      <w:r w:rsidRPr="002433F3">
        <w:rPr>
          <w:i/>
          <w:lang w:val="en-US"/>
        </w:rPr>
        <w:t>Subdirección de Control Cambiario de la Dirección de Impuestos y Aduanas Nacionales</w:t>
      </w:r>
      <w:r w:rsidRPr="002433F3">
        <w:rPr>
          <w:lang w:val="en-US"/>
        </w:rPr>
        <w:t xml:space="preserve">).” In </w:t>
      </w:r>
      <w:r w:rsidR="00B55CFE" w:rsidRPr="002433F3">
        <w:rPr>
          <w:lang w:val="en-US"/>
        </w:rPr>
        <w:t xml:space="preserve">his </w:t>
      </w:r>
      <w:r w:rsidR="00410648" w:rsidRPr="002433F3">
        <w:rPr>
          <w:lang w:val="en-US"/>
        </w:rPr>
        <w:t>letter,</w:t>
      </w:r>
      <w:r w:rsidRPr="002433F3">
        <w:rPr>
          <w:lang w:val="en-US"/>
        </w:rPr>
        <w:t xml:space="preserve"> Mr. Duque added that </w:t>
      </w:r>
      <w:r w:rsidR="00410648" w:rsidRPr="002433F3">
        <w:rPr>
          <w:lang w:val="en-US"/>
        </w:rPr>
        <w:t xml:space="preserve">his </w:t>
      </w:r>
      <w:r w:rsidRPr="002433F3">
        <w:rPr>
          <w:lang w:val="en-US"/>
        </w:rPr>
        <w:t>“sexual orientation is gay and [he</w:t>
      </w:r>
      <w:r w:rsidR="00C87014" w:rsidRPr="002433F3">
        <w:rPr>
          <w:lang w:val="en-US"/>
        </w:rPr>
        <w:t xml:space="preserve">] </w:t>
      </w:r>
      <w:r w:rsidR="00683855" w:rsidRPr="002433F3">
        <w:rPr>
          <w:lang w:val="en-US"/>
        </w:rPr>
        <w:t xml:space="preserve">lived </w:t>
      </w:r>
      <w:r w:rsidR="00995B93" w:rsidRPr="002433F3">
        <w:rPr>
          <w:lang w:val="en-US"/>
        </w:rPr>
        <w:t xml:space="preserve">as a couple with [his] partner </w:t>
      </w:r>
      <w:r w:rsidRPr="002433F3">
        <w:rPr>
          <w:lang w:val="en-US"/>
        </w:rPr>
        <w:t xml:space="preserve">for ten </w:t>
      </w:r>
      <w:r w:rsidR="00716773" w:rsidRPr="002433F3">
        <w:rPr>
          <w:lang w:val="en-US"/>
        </w:rPr>
        <w:t>(10) years and three (3) months,</w:t>
      </w:r>
      <w:r w:rsidRPr="002433F3">
        <w:rPr>
          <w:lang w:val="en-US"/>
        </w:rPr>
        <w:t xml:space="preserve"> from June 15, 1991, until the time of his death.”</w:t>
      </w:r>
      <w:r w:rsidRPr="002433F3">
        <w:rPr>
          <w:rStyle w:val="Refdenotaalpie"/>
          <w:lang w:val="en-US"/>
        </w:rPr>
        <w:footnoteReference w:id="20"/>
      </w:r>
      <w:r w:rsidR="00716773" w:rsidRPr="002433F3">
        <w:rPr>
          <w:lang w:val="en-US"/>
        </w:rPr>
        <w:t xml:space="preserve"> The</w:t>
      </w:r>
      <w:r w:rsidRPr="002433F3">
        <w:rPr>
          <w:lang w:val="en-US"/>
        </w:rPr>
        <w:t xml:space="preserve"> </w:t>
      </w:r>
      <w:r w:rsidR="00410648" w:rsidRPr="002433F3">
        <w:rPr>
          <w:lang w:val="en-US"/>
        </w:rPr>
        <w:t xml:space="preserve">letter </w:t>
      </w:r>
      <w:r w:rsidRPr="002433F3">
        <w:rPr>
          <w:lang w:val="en-US"/>
        </w:rPr>
        <w:t xml:space="preserve">was not accompanied by </w:t>
      </w:r>
      <w:r w:rsidR="00995B93" w:rsidRPr="002433F3">
        <w:rPr>
          <w:lang w:val="en-US"/>
        </w:rPr>
        <w:t xml:space="preserve">any </w:t>
      </w:r>
      <w:r w:rsidRPr="002433F3">
        <w:rPr>
          <w:lang w:val="en-US"/>
        </w:rPr>
        <w:t>documentation t</w:t>
      </w:r>
      <w:r w:rsidR="00C87014" w:rsidRPr="002433F3">
        <w:rPr>
          <w:lang w:val="en-US"/>
        </w:rPr>
        <w:t xml:space="preserve">hat would have made it possible to determine </w:t>
      </w:r>
      <w:r w:rsidRPr="002433F3">
        <w:rPr>
          <w:lang w:val="en-US"/>
        </w:rPr>
        <w:t xml:space="preserve">whether </w:t>
      </w:r>
      <w:r w:rsidR="00995B93" w:rsidRPr="002433F3">
        <w:rPr>
          <w:lang w:val="en-US"/>
        </w:rPr>
        <w:t xml:space="preserve">or not </w:t>
      </w:r>
      <w:r w:rsidRPr="002433F3">
        <w:rPr>
          <w:lang w:val="en-US"/>
        </w:rPr>
        <w:t xml:space="preserve">Mr. Duque </w:t>
      </w:r>
      <w:r w:rsidR="00C87014" w:rsidRPr="002433F3">
        <w:rPr>
          <w:lang w:val="en-US"/>
        </w:rPr>
        <w:t xml:space="preserve">complied with </w:t>
      </w:r>
      <w:r w:rsidRPr="002433F3">
        <w:rPr>
          <w:lang w:val="en-US"/>
        </w:rPr>
        <w:t xml:space="preserve">the legal requirements and </w:t>
      </w:r>
      <w:r w:rsidR="00C87014" w:rsidRPr="002433F3">
        <w:rPr>
          <w:lang w:val="en-US"/>
        </w:rPr>
        <w:t xml:space="preserve">to calculate the amount </w:t>
      </w:r>
      <w:r w:rsidRPr="002433F3">
        <w:rPr>
          <w:lang w:val="en-US"/>
        </w:rPr>
        <w:t>corresponding to the survivor’s pension</w:t>
      </w:r>
      <w:r w:rsidR="00716773" w:rsidRPr="002433F3">
        <w:rPr>
          <w:lang w:val="en-US"/>
        </w:rPr>
        <w:t>.</w:t>
      </w:r>
      <w:r w:rsidRPr="002433F3">
        <w:rPr>
          <w:rStyle w:val="Refdenotaalpie"/>
          <w:lang w:val="en-US"/>
        </w:rPr>
        <w:footnoteReference w:id="21"/>
      </w:r>
      <w:r w:rsidRPr="002433F3">
        <w:rPr>
          <w:lang w:val="en-US"/>
        </w:rPr>
        <w:t xml:space="preserve"> </w:t>
      </w:r>
    </w:p>
    <w:p w14:paraId="7AD9FA20" w14:textId="77777777" w:rsidR="007B0DE4" w:rsidRPr="002433F3" w:rsidRDefault="007B0DE4" w:rsidP="007B0DE4">
      <w:pPr>
        <w:numPr>
          <w:ilvl w:val="0"/>
          <w:numId w:val="2"/>
        </w:numPr>
        <w:spacing w:before="120" w:after="120"/>
        <w:rPr>
          <w:lang w:val="en-US"/>
        </w:rPr>
      </w:pPr>
      <w:r w:rsidRPr="002433F3">
        <w:rPr>
          <w:lang w:val="en-US"/>
        </w:rPr>
        <w:t>N</w:t>
      </w:r>
      <w:r w:rsidR="00716773" w:rsidRPr="002433F3">
        <w:rPr>
          <w:lang w:val="en-US"/>
        </w:rPr>
        <w:t>evertheless</w:t>
      </w:r>
      <w:r w:rsidRPr="002433F3">
        <w:rPr>
          <w:lang w:val="en-US"/>
        </w:rPr>
        <w:t xml:space="preserve">, </w:t>
      </w:r>
      <w:r w:rsidR="00410648" w:rsidRPr="002433F3">
        <w:rPr>
          <w:lang w:val="en-US"/>
        </w:rPr>
        <w:t>the</w:t>
      </w:r>
      <w:r w:rsidRPr="002433F3">
        <w:rPr>
          <w:lang w:val="en-US"/>
        </w:rPr>
        <w:t xml:space="preserve"> Court </w:t>
      </w:r>
      <w:r w:rsidR="00C87014" w:rsidRPr="002433F3">
        <w:rPr>
          <w:lang w:val="en-US"/>
        </w:rPr>
        <w:t xml:space="preserve">notes </w:t>
      </w:r>
      <w:r w:rsidRPr="002433F3">
        <w:rPr>
          <w:lang w:val="en-US"/>
        </w:rPr>
        <w:t xml:space="preserve">that, in response to Mr. Duque’s </w:t>
      </w:r>
      <w:r w:rsidR="00F83913" w:rsidRPr="002433F3">
        <w:rPr>
          <w:lang w:val="en-US"/>
        </w:rPr>
        <w:t>letter</w:t>
      </w:r>
      <w:r w:rsidRPr="002433F3">
        <w:rPr>
          <w:lang w:val="en-US"/>
        </w:rPr>
        <w:t xml:space="preserve">, COLFONDOS </w:t>
      </w:r>
      <w:r w:rsidR="00C87014" w:rsidRPr="002433F3">
        <w:rPr>
          <w:lang w:val="en-US"/>
        </w:rPr>
        <w:t xml:space="preserve">explained </w:t>
      </w:r>
      <w:r w:rsidRPr="002433F3">
        <w:rPr>
          <w:lang w:val="en-US"/>
        </w:rPr>
        <w:t xml:space="preserve">that “it could not proceed with the requested application process” because Mr. Duque “[did] not qualify as a legal beneficiary entitled to a survivor’s pension.” It </w:t>
      </w:r>
      <w:r w:rsidR="00C87014" w:rsidRPr="002433F3">
        <w:rPr>
          <w:lang w:val="en-US"/>
        </w:rPr>
        <w:t xml:space="preserve">added </w:t>
      </w:r>
      <w:r w:rsidRPr="002433F3">
        <w:rPr>
          <w:lang w:val="en-US"/>
        </w:rPr>
        <w:t xml:space="preserve">that Colombia’s </w:t>
      </w:r>
      <w:r w:rsidR="00C87014" w:rsidRPr="002433F3">
        <w:rPr>
          <w:lang w:val="en-US"/>
        </w:rPr>
        <w:t xml:space="preserve">social security </w:t>
      </w:r>
      <w:r w:rsidR="00995B93" w:rsidRPr="002433F3">
        <w:rPr>
          <w:lang w:val="en-US"/>
        </w:rPr>
        <w:t xml:space="preserve">laws </w:t>
      </w:r>
      <w:r w:rsidRPr="002433F3">
        <w:rPr>
          <w:lang w:val="en-US"/>
        </w:rPr>
        <w:t>“d</w:t>
      </w:r>
      <w:r w:rsidR="00995B93" w:rsidRPr="002433F3">
        <w:rPr>
          <w:lang w:val="en-US"/>
        </w:rPr>
        <w:t>o</w:t>
      </w:r>
      <w:r w:rsidR="00C87014" w:rsidRPr="002433F3">
        <w:rPr>
          <w:lang w:val="en-US"/>
        </w:rPr>
        <w:t xml:space="preserve"> </w:t>
      </w:r>
      <w:r w:rsidRPr="002433F3">
        <w:rPr>
          <w:lang w:val="en-US"/>
        </w:rPr>
        <w:t>not make provision for a union between two persons of the same sex”</w:t>
      </w:r>
      <w:r w:rsidRPr="002433F3">
        <w:rPr>
          <w:rStyle w:val="Refdenotaalpie"/>
          <w:rFonts w:ascii="Segoe UI" w:eastAsia="Calibri" w:hAnsi="Segoe UI"/>
          <w:color w:val="000000"/>
          <w:lang w:val="en-US"/>
        </w:rPr>
        <w:footnoteReference w:id="22"/>
      </w:r>
      <w:r w:rsidRPr="002433F3">
        <w:rPr>
          <w:lang w:val="en-US"/>
        </w:rPr>
        <w:t xml:space="preserve"> (</w:t>
      </w:r>
      <w:r w:rsidRPr="002433F3">
        <w:rPr>
          <w:i/>
          <w:lang w:val="en-US"/>
        </w:rPr>
        <w:t>infra</w:t>
      </w:r>
      <w:r w:rsidRPr="002433F3">
        <w:rPr>
          <w:lang w:val="en-US"/>
        </w:rPr>
        <w:t xml:space="preserve"> paras. 71 to 74). </w:t>
      </w:r>
      <w:r w:rsidR="00C87014" w:rsidRPr="002433F3">
        <w:rPr>
          <w:lang w:val="en-US"/>
        </w:rPr>
        <w:t xml:space="preserve">In view of </w:t>
      </w:r>
      <w:r w:rsidRPr="002433F3">
        <w:rPr>
          <w:lang w:val="en-US"/>
        </w:rPr>
        <w:t>COLFONDOS</w:t>
      </w:r>
      <w:r w:rsidR="00F4627C" w:rsidRPr="002433F3">
        <w:rPr>
          <w:lang w:val="en-US"/>
        </w:rPr>
        <w:t>’ rejection of his request</w:t>
      </w:r>
      <w:r w:rsidRPr="002433F3">
        <w:rPr>
          <w:lang w:val="en-US"/>
        </w:rPr>
        <w:t xml:space="preserve">, Mr. Duque </w:t>
      </w:r>
      <w:r w:rsidR="00C87014" w:rsidRPr="002433F3">
        <w:rPr>
          <w:lang w:val="en-US"/>
        </w:rPr>
        <w:t xml:space="preserve">filed </w:t>
      </w:r>
      <w:r w:rsidRPr="002433F3">
        <w:rPr>
          <w:lang w:val="en-US"/>
        </w:rPr>
        <w:t xml:space="preserve">a </w:t>
      </w:r>
      <w:r w:rsidRPr="002433F3">
        <w:rPr>
          <w:i/>
          <w:lang w:val="en-US"/>
        </w:rPr>
        <w:t>tutela</w:t>
      </w:r>
      <w:r w:rsidRPr="002433F3">
        <w:rPr>
          <w:lang w:val="en-US"/>
        </w:rPr>
        <w:t xml:space="preserve"> action </w:t>
      </w:r>
      <w:r w:rsidR="00D93217" w:rsidRPr="002433F3">
        <w:rPr>
          <w:lang w:val="en-US"/>
        </w:rPr>
        <w:t xml:space="preserve">(special constitutional remedy) </w:t>
      </w:r>
      <w:r w:rsidRPr="002433F3">
        <w:rPr>
          <w:lang w:val="en-US"/>
        </w:rPr>
        <w:t xml:space="preserve">in which he requested that </w:t>
      </w:r>
      <w:r w:rsidR="00F4627C" w:rsidRPr="002433F3">
        <w:rPr>
          <w:lang w:val="en-US"/>
        </w:rPr>
        <w:t xml:space="preserve">a court </w:t>
      </w:r>
      <w:r w:rsidR="007414C0" w:rsidRPr="002433F3">
        <w:rPr>
          <w:lang w:val="en-US"/>
        </w:rPr>
        <w:t xml:space="preserve">order </w:t>
      </w:r>
      <w:r w:rsidRPr="002433F3">
        <w:rPr>
          <w:lang w:val="en-US"/>
        </w:rPr>
        <w:t>“the general manager of COLFONDOS</w:t>
      </w:r>
      <w:r w:rsidR="007414C0" w:rsidRPr="002433F3">
        <w:rPr>
          <w:lang w:val="en-US"/>
        </w:rPr>
        <w:t>,</w:t>
      </w:r>
      <w:r w:rsidRPr="002433F3">
        <w:rPr>
          <w:lang w:val="en-US"/>
        </w:rPr>
        <w:t xml:space="preserve"> and/or </w:t>
      </w:r>
      <w:r w:rsidR="00C87014" w:rsidRPr="002433F3">
        <w:rPr>
          <w:lang w:val="en-US"/>
        </w:rPr>
        <w:t xml:space="preserve">the person </w:t>
      </w:r>
      <w:r w:rsidR="005F3BDC" w:rsidRPr="002433F3">
        <w:rPr>
          <w:lang w:val="en-US"/>
        </w:rPr>
        <w:t>responsible</w:t>
      </w:r>
      <w:r w:rsidR="007414C0" w:rsidRPr="002433F3">
        <w:rPr>
          <w:lang w:val="en-US"/>
        </w:rPr>
        <w:t>,</w:t>
      </w:r>
      <w:r w:rsidRPr="002433F3">
        <w:rPr>
          <w:lang w:val="en-US"/>
        </w:rPr>
        <w:t xml:space="preserve"> to recognize Mr. Ángel Alberto Duque</w:t>
      </w:r>
      <w:r w:rsidR="005F3BDC" w:rsidRPr="002433F3">
        <w:rPr>
          <w:lang w:val="en-US"/>
        </w:rPr>
        <w:t>’s right to the</w:t>
      </w:r>
      <w:r w:rsidRPr="002433F3">
        <w:rPr>
          <w:lang w:val="en-US"/>
        </w:rPr>
        <w:t xml:space="preserve"> </w:t>
      </w:r>
      <w:r w:rsidR="005F3BDC" w:rsidRPr="002433F3">
        <w:rPr>
          <w:lang w:val="en-US"/>
        </w:rPr>
        <w:t xml:space="preserve">survivor’s pension of </w:t>
      </w:r>
      <w:r w:rsidRPr="002433F3">
        <w:rPr>
          <w:lang w:val="en-US"/>
        </w:rPr>
        <w:t>his partner [</w:t>
      </w:r>
      <w:r w:rsidR="00DA1CFE" w:rsidRPr="002433F3">
        <w:rPr>
          <w:lang w:val="en-US"/>
        </w:rPr>
        <w:t>JOJG</w:t>
      </w:r>
      <w:r w:rsidRPr="002433F3">
        <w:rPr>
          <w:lang w:val="en-US"/>
        </w:rPr>
        <w:t xml:space="preserve">]. </w:t>
      </w:r>
      <w:r w:rsidR="00DA146E" w:rsidRPr="002433F3">
        <w:rPr>
          <w:lang w:val="en-US"/>
        </w:rPr>
        <w:t xml:space="preserve">He argued that </w:t>
      </w:r>
      <w:r w:rsidR="00995B93" w:rsidRPr="002433F3">
        <w:rPr>
          <w:lang w:val="en-US"/>
        </w:rPr>
        <w:t xml:space="preserve">obtaining </w:t>
      </w:r>
      <w:r w:rsidR="00DA146E" w:rsidRPr="002433F3">
        <w:rPr>
          <w:lang w:val="en-US"/>
        </w:rPr>
        <w:t xml:space="preserve">a survivor’s pension would guarantee him access </w:t>
      </w:r>
      <w:r w:rsidR="007414C0" w:rsidRPr="002433F3">
        <w:rPr>
          <w:lang w:val="en-US"/>
        </w:rPr>
        <w:t xml:space="preserve">to </w:t>
      </w:r>
      <w:r w:rsidR="00DA146E" w:rsidRPr="002433F3">
        <w:rPr>
          <w:lang w:val="en-US"/>
        </w:rPr>
        <w:t xml:space="preserve">the </w:t>
      </w:r>
      <w:r w:rsidR="007414C0" w:rsidRPr="002433F3">
        <w:rPr>
          <w:lang w:val="en-US"/>
        </w:rPr>
        <w:t xml:space="preserve">social security </w:t>
      </w:r>
      <w:r w:rsidRPr="002433F3">
        <w:rPr>
          <w:lang w:val="en-US"/>
        </w:rPr>
        <w:t>health</w:t>
      </w:r>
      <w:r w:rsidR="007414C0" w:rsidRPr="002433F3">
        <w:rPr>
          <w:lang w:val="en-US"/>
        </w:rPr>
        <w:t xml:space="preserve"> </w:t>
      </w:r>
      <w:r w:rsidR="00DA146E" w:rsidRPr="002433F3">
        <w:rPr>
          <w:lang w:val="en-US"/>
        </w:rPr>
        <w:t xml:space="preserve">services </w:t>
      </w:r>
      <w:r w:rsidR="007414C0" w:rsidRPr="002433F3">
        <w:rPr>
          <w:lang w:val="en-US"/>
        </w:rPr>
        <w:t xml:space="preserve">he required, </w:t>
      </w:r>
      <w:r w:rsidRPr="002433F3">
        <w:rPr>
          <w:lang w:val="en-US"/>
        </w:rPr>
        <w:t xml:space="preserve">since according to </w:t>
      </w:r>
      <w:r w:rsidR="00995B93" w:rsidRPr="002433F3">
        <w:rPr>
          <w:lang w:val="en-US"/>
        </w:rPr>
        <w:t xml:space="preserve">a </w:t>
      </w:r>
      <w:r w:rsidRPr="002433F3">
        <w:rPr>
          <w:lang w:val="en-US"/>
        </w:rPr>
        <w:t xml:space="preserve">certificate </w:t>
      </w:r>
      <w:r w:rsidR="00995B93" w:rsidRPr="002433F3">
        <w:rPr>
          <w:lang w:val="en-US"/>
        </w:rPr>
        <w:t xml:space="preserve">issued by </w:t>
      </w:r>
      <w:r w:rsidRPr="002433F3">
        <w:rPr>
          <w:lang w:val="en-US"/>
        </w:rPr>
        <w:t>the attending physician</w:t>
      </w:r>
      <w:r w:rsidR="00995B93" w:rsidRPr="002433F3">
        <w:rPr>
          <w:lang w:val="en-US"/>
        </w:rPr>
        <w:t>,</w:t>
      </w:r>
      <w:r w:rsidRPr="002433F3">
        <w:rPr>
          <w:lang w:val="en-US"/>
        </w:rPr>
        <w:t xml:space="preserve"> “if the petitioner</w:t>
      </w:r>
      <w:r w:rsidR="007414C0" w:rsidRPr="002433F3">
        <w:rPr>
          <w:lang w:val="en-US"/>
        </w:rPr>
        <w:t>’s</w:t>
      </w:r>
      <w:r w:rsidRPr="002433F3">
        <w:rPr>
          <w:lang w:val="en-US"/>
        </w:rPr>
        <w:t xml:space="preserve"> </w:t>
      </w:r>
      <w:r w:rsidR="00B26B23" w:rsidRPr="002433F3">
        <w:rPr>
          <w:lang w:val="en-US"/>
        </w:rPr>
        <w:t>antiretroviral</w:t>
      </w:r>
      <w:r w:rsidRPr="002433F3">
        <w:rPr>
          <w:lang w:val="en-US"/>
        </w:rPr>
        <w:t xml:space="preserve"> treatment </w:t>
      </w:r>
      <w:r w:rsidR="005778A7" w:rsidRPr="002433F3">
        <w:rPr>
          <w:lang w:val="en-US"/>
        </w:rPr>
        <w:t xml:space="preserve">is </w:t>
      </w:r>
      <w:r w:rsidR="007414C0" w:rsidRPr="002433F3">
        <w:rPr>
          <w:lang w:val="en-US"/>
        </w:rPr>
        <w:t xml:space="preserve">stopped </w:t>
      </w:r>
      <w:r w:rsidRPr="002433F3">
        <w:rPr>
          <w:lang w:val="en-US"/>
        </w:rPr>
        <w:t>he w</w:t>
      </w:r>
      <w:r w:rsidR="005778A7" w:rsidRPr="002433F3">
        <w:rPr>
          <w:lang w:val="en-US"/>
        </w:rPr>
        <w:t xml:space="preserve">ill </w:t>
      </w:r>
      <w:r w:rsidRPr="002433F3">
        <w:rPr>
          <w:lang w:val="en-US"/>
        </w:rPr>
        <w:t>die.”</w:t>
      </w:r>
      <w:r w:rsidRPr="002433F3">
        <w:rPr>
          <w:rStyle w:val="Refdenotaalpie"/>
          <w:lang w:val="en-US"/>
        </w:rPr>
        <w:footnoteReference w:id="23"/>
      </w:r>
      <w:r w:rsidRPr="002433F3">
        <w:rPr>
          <w:lang w:val="en-US"/>
        </w:rPr>
        <w:t xml:space="preserve"> (</w:t>
      </w:r>
      <w:r w:rsidRPr="002433F3">
        <w:rPr>
          <w:i/>
          <w:lang w:val="en-US"/>
        </w:rPr>
        <w:t>infra</w:t>
      </w:r>
      <w:r w:rsidRPr="002433F3">
        <w:rPr>
          <w:lang w:val="en-US"/>
        </w:rPr>
        <w:t xml:space="preserve"> para. </w:t>
      </w:r>
      <w:r w:rsidR="005778A7" w:rsidRPr="002433F3">
        <w:rPr>
          <w:lang w:val="en-US"/>
        </w:rPr>
        <w:t>51</w:t>
      </w:r>
      <w:r w:rsidRPr="002433F3">
        <w:rPr>
          <w:lang w:val="en-US"/>
        </w:rPr>
        <w:t>).</w:t>
      </w:r>
    </w:p>
    <w:p w14:paraId="175D92F7" w14:textId="77777777" w:rsidR="007B0DE4" w:rsidRPr="002433F3" w:rsidRDefault="007414C0" w:rsidP="007B0DE4">
      <w:pPr>
        <w:numPr>
          <w:ilvl w:val="0"/>
          <w:numId w:val="2"/>
        </w:numPr>
        <w:spacing w:before="120" w:after="120"/>
        <w:rPr>
          <w:lang w:val="en-US"/>
        </w:rPr>
      </w:pPr>
      <w:r w:rsidRPr="002433F3">
        <w:rPr>
          <w:lang w:val="en-US"/>
        </w:rPr>
        <w:t>In its</w:t>
      </w:r>
      <w:r w:rsidR="007B0DE4" w:rsidRPr="002433F3">
        <w:rPr>
          <w:lang w:val="en-US"/>
        </w:rPr>
        <w:t xml:space="preserve"> ruling on the </w:t>
      </w:r>
      <w:r w:rsidR="007B0DE4" w:rsidRPr="002433F3">
        <w:rPr>
          <w:i/>
          <w:lang w:val="en-US"/>
        </w:rPr>
        <w:t>tutela</w:t>
      </w:r>
      <w:r w:rsidR="007B0DE4" w:rsidRPr="002433F3">
        <w:rPr>
          <w:lang w:val="en-US"/>
        </w:rPr>
        <w:t xml:space="preserve"> action, the Tenth Municipal Civil Court of Bogotá </w:t>
      </w:r>
      <w:r w:rsidR="00421041" w:rsidRPr="002433F3">
        <w:rPr>
          <w:lang w:val="en-US"/>
        </w:rPr>
        <w:t xml:space="preserve">confirmed </w:t>
      </w:r>
      <w:r w:rsidR="007B0DE4" w:rsidRPr="002433F3">
        <w:rPr>
          <w:lang w:val="en-US"/>
        </w:rPr>
        <w:t xml:space="preserve">that “the petitioner </w:t>
      </w:r>
      <w:r w:rsidR="00184560" w:rsidRPr="002433F3">
        <w:rPr>
          <w:lang w:val="en-US"/>
        </w:rPr>
        <w:t xml:space="preserve">indeed </w:t>
      </w:r>
      <w:r w:rsidR="007B0DE4" w:rsidRPr="002433F3">
        <w:rPr>
          <w:lang w:val="en-US"/>
        </w:rPr>
        <w:t xml:space="preserve">requested the recognition of the </w:t>
      </w:r>
      <w:r w:rsidR="00421041" w:rsidRPr="002433F3">
        <w:rPr>
          <w:lang w:val="en-US"/>
        </w:rPr>
        <w:t xml:space="preserve">survivor’s </w:t>
      </w:r>
      <w:r w:rsidR="007B0DE4" w:rsidRPr="002433F3">
        <w:rPr>
          <w:lang w:val="en-US"/>
        </w:rPr>
        <w:t xml:space="preserve">pension, which </w:t>
      </w:r>
      <w:r w:rsidR="00184560" w:rsidRPr="002433F3">
        <w:rPr>
          <w:lang w:val="en-US"/>
        </w:rPr>
        <w:t xml:space="preserve">was denied </w:t>
      </w:r>
      <w:r w:rsidR="007B0DE4" w:rsidRPr="002433F3">
        <w:rPr>
          <w:lang w:val="en-US"/>
        </w:rPr>
        <w:t>[…]</w:t>
      </w:r>
      <w:r w:rsidR="00995B93" w:rsidRPr="002433F3">
        <w:rPr>
          <w:lang w:val="en-US"/>
        </w:rPr>
        <w:t>,</w:t>
      </w:r>
      <w:r w:rsidR="007B0DE4" w:rsidRPr="002433F3">
        <w:rPr>
          <w:lang w:val="en-US"/>
        </w:rPr>
        <w:t xml:space="preserve">” </w:t>
      </w:r>
      <w:r w:rsidR="00DA146E" w:rsidRPr="002433F3">
        <w:rPr>
          <w:lang w:val="en-US"/>
        </w:rPr>
        <w:t xml:space="preserve">but </w:t>
      </w:r>
      <w:r w:rsidR="00184560" w:rsidRPr="002433F3">
        <w:rPr>
          <w:lang w:val="en-US"/>
        </w:rPr>
        <w:t xml:space="preserve">pointed out </w:t>
      </w:r>
      <w:r w:rsidR="007B0DE4" w:rsidRPr="002433F3">
        <w:rPr>
          <w:lang w:val="en-US"/>
        </w:rPr>
        <w:t>that the response from COLFONDOS was lawful and did not violate Mr. Duque’s fundamental rights.</w:t>
      </w:r>
      <w:r w:rsidR="007B0DE4" w:rsidRPr="002433F3">
        <w:rPr>
          <w:rStyle w:val="Refdenotaalpie"/>
          <w:lang w:val="en-US"/>
        </w:rPr>
        <w:footnoteReference w:id="24"/>
      </w:r>
      <w:r w:rsidR="007B0DE4" w:rsidRPr="002433F3">
        <w:rPr>
          <w:rFonts w:eastAsia="Times New Roman"/>
          <w:color w:val="000000"/>
          <w:lang w:val="en-US"/>
        </w:rPr>
        <w:t xml:space="preserve"> It also </w:t>
      </w:r>
      <w:r w:rsidR="00995B93" w:rsidRPr="002433F3">
        <w:rPr>
          <w:rFonts w:eastAsia="Times New Roman"/>
          <w:color w:val="000000"/>
          <w:lang w:val="en-US"/>
        </w:rPr>
        <w:t xml:space="preserve">advised </w:t>
      </w:r>
      <w:r w:rsidR="0057158D" w:rsidRPr="002433F3">
        <w:rPr>
          <w:rFonts w:eastAsia="Times New Roman"/>
          <w:color w:val="000000"/>
          <w:lang w:val="en-US"/>
        </w:rPr>
        <w:t>that</w:t>
      </w:r>
      <w:r w:rsidR="0057158D" w:rsidRPr="002433F3">
        <w:rPr>
          <w:rFonts w:ascii="Helvetica" w:eastAsia="Times New Roman" w:hAnsi="Helvetica"/>
          <w:color w:val="000000"/>
          <w:lang w:val="en-US"/>
        </w:rPr>
        <w:t xml:space="preserve"> if </w:t>
      </w:r>
      <w:r w:rsidR="0057158D" w:rsidRPr="002433F3">
        <w:rPr>
          <w:lang w:val="en-US"/>
        </w:rPr>
        <w:t>Mr. Duque</w:t>
      </w:r>
      <w:r w:rsidR="007B0DE4" w:rsidRPr="002433F3">
        <w:rPr>
          <w:lang w:val="en-US"/>
        </w:rPr>
        <w:t xml:space="preserve"> </w:t>
      </w:r>
      <w:r w:rsidR="00995B93" w:rsidRPr="002433F3">
        <w:rPr>
          <w:lang w:val="en-US"/>
        </w:rPr>
        <w:t xml:space="preserve">was </w:t>
      </w:r>
      <w:r w:rsidR="007B0DE4" w:rsidRPr="002433F3">
        <w:rPr>
          <w:lang w:val="en-US"/>
        </w:rPr>
        <w:t>dissatisf</w:t>
      </w:r>
      <w:r w:rsidR="00995B93" w:rsidRPr="002433F3">
        <w:rPr>
          <w:lang w:val="en-US"/>
        </w:rPr>
        <w:t xml:space="preserve">ied with the response, </w:t>
      </w:r>
      <w:r w:rsidR="007B0DE4" w:rsidRPr="002433F3">
        <w:rPr>
          <w:lang w:val="en-US"/>
        </w:rPr>
        <w:t xml:space="preserve">“he should have taken </w:t>
      </w:r>
      <w:r w:rsidR="00DA146E" w:rsidRPr="002433F3">
        <w:rPr>
          <w:lang w:val="en-US"/>
        </w:rPr>
        <w:t xml:space="preserve">the matter </w:t>
      </w:r>
      <w:r w:rsidR="007B0DE4" w:rsidRPr="002433F3">
        <w:rPr>
          <w:lang w:val="en-US"/>
        </w:rPr>
        <w:t>to the ordinary (contentious-administrative) courts or filed an appeal or sought a review (</w:t>
      </w:r>
      <w:r w:rsidR="007B0DE4" w:rsidRPr="002433F3">
        <w:rPr>
          <w:i/>
          <w:lang w:val="en-US"/>
        </w:rPr>
        <w:t>reposición</w:t>
      </w:r>
      <w:r w:rsidR="007B0DE4" w:rsidRPr="002433F3">
        <w:rPr>
          <w:lang w:val="en-US"/>
        </w:rPr>
        <w:t>)</w:t>
      </w:r>
      <w:r w:rsidR="00421041" w:rsidRPr="002433F3">
        <w:rPr>
          <w:lang w:val="en-US"/>
        </w:rPr>
        <w:t>,</w:t>
      </w:r>
      <w:r w:rsidR="007B0DE4" w:rsidRPr="002433F3">
        <w:rPr>
          <w:lang w:val="en-US"/>
        </w:rPr>
        <w:t xml:space="preserve"> </w:t>
      </w:r>
      <w:r w:rsidR="0059500F" w:rsidRPr="002433F3">
        <w:rPr>
          <w:lang w:val="en-US"/>
        </w:rPr>
        <w:t>within the statutory period</w:t>
      </w:r>
      <w:r w:rsidR="007B0DE4" w:rsidRPr="002433F3">
        <w:rPr>
          <w:lang w:val="en-US"/>
        </w:rPr>
        <w:t xml:space="preserve">, to challenge the decision issued by COLFONDOS on April 3, 2002. The </w:t>
      </w:r>
      <w:r w:rsidR="0057158D" w:rsidRPr="002433F3">
        <w:rPr>
          <w:lang w:val="en-US"/>
        </w:rPr>
        <w:t xml:space="preserve">court added that “the </w:t>
      </w:r>
      <w:r w:rsidR="007B0DE4" w:rsidRPr="002433F3">
        <w:rPr>
          <w:lang w:val="en-US"/>
        </w:rPr>
        <w:t xml:space="preserve">conflict </w:t>
      </w:r>
      <w:r w:rsidR="00421041" w:rsidRPr="002433F3">
        <w:rPr>
          <w:lang w:val="en-US"/>
        </w:rPr>
        <w:t xml:space="preserve">presented </w:t>
      </w:r>
      <w:r w:rsidR="007B0DE4" w:rsidRPr="002433F3">
        <w:rPr>
          <w:lang w:val="en-US"/>
        </w:rPr>
        <w:t xml:space="preserve">by the petitioner is of a </w:t>
      </w:r>
      <w:r w:rsidR="0057158D" w:rsidRPr="002433F3">
        <w:rPr>
          <w:lang w:val="en-US"/>
        </w:rPr>
        <w:t xml:space="preserve">statutory </w:t>
      </w:r>
      <w:r w:rsidR="007B0DE4" w:rsidRPr="002433F3">
        <w:rPr>
          <w:lang w:val="en-US"/>
        </w:rPr>
        <w:t xml:space="preserve">nature and a </w:t>
      </w:r>
      <w:r w:rsidR="007B0DE4" w:rsidRPr="002433F3">
        <w:rPr>
          <w:i/>
          <w:lang w:val="en-US"/>
        </w:rPr>
        <w:t>tutela</w:t>
      </w:r>
      <w:r w:rsidR="007B0DE4" w:rsidRPr="002433F3">
        <w:rPr>
          <w:lang w:val="en-US"/>
        </w:rPr>
        <w:t xml:space="preserve"> action </w:t>
      </w:r>
      <w:r w:rsidR="0057158D" w:rsidRPr="002433F3">
        <w:rPr>
          <w:lang w:val="en-US"/>
        </w:rPr>
        <w:t xml:space="preserve">is not appropriate to seek </w:t>
      </w:r>
      <w:r w:rsidR="007B0DE4" w:rsidRPr="002433F3">
        <w:rPr>
          <w:lang w:val="en-US"/>
        </w:rPr>
        <w:t>recogni</w:t>
      </w:r>
      <w:r w:rsidR="0057158D" w:rsidRPr="002433F3">
        <w:rPr>
          <w:lang w:val="en-US"/>
        </w:rPr>
        <w:t>tion of the right to a pension.</w:t>
      </w:r>
      <w:r w:rsidR="007B0DE4" w:rsidRPr="002433F3">
        <w:rPr>
          <w:lang w:val="en-US"/>
        </w:rPr>
        <w:t xml:space="preserve"> </w:t>
      </w:r>
      <w:r w:rsidR="0057158D" w:rsidRPr="002433F3">
        <w:rPr>
          <w:lang w:val="en-US"/>
        </w:rPr>
        <w:t xml:space="preserve">This must be done </w:t>
      </w:r>
      <w:r w:rsidR="007B0DE4" w:rsidRPr="002433F3">
        <w:rPr>
          <w:lang w:val="en-US"/>
        </w:rPr>
        <w:t>through ordinary proce</w:t>
      </w:r>
      <w:r w:rsidR="0057158D" w:rsidRPr="002433F3">
        <w:rPr>
          <w:lang w:val="en-US"/>
        </w:rPr>
        <w:t>edings, if that right is to be ultimately recognized</w:t>
      </w:r>
      <w:r w:rsidR="007B0DE4" w:rsidRPr="002433F3">
        <w:rPr>
          <w:lang w:val="en-US"/>
        </w:rPr>
        <w:t>.</w:t>
      </w:r>
      <w:r w:rsidR="0057158D" w:rsidRPr="002433F3">
        <w:rPr>
          <w:lang w:val="en-US"/>
        </w:rPr>
        <w:t>”</w:t>
      </w:r>
      <w:r w:rsidR="007B0DE4" w:rsidRPr="002433F3">
        <w:rPr>
          <w:lang w:val="en-US"/>
        </w:rPr>
        <w:t xml:space="preserve"> In that regard, the </w:t>
      </w:r>
      <w:r w:rsidR="0057158D" w:rsidRPr="002433F3">
        <w:rPr>
          <w:lang w:val="en-US"/>
        </w:rPr>
        <w:t>court referred to the sixth article of Decree</w:t>
      </w:r>
      <w:r w:rsidR="007B0DE4" w:rsidRPr="002433F3">
        <w:rPr>
          <w:lang w:val="en-US"/>
        </w:rPr>
        <w:t xml:space="preserve"> 2591/91, </w:t>
      </w:r>
      <w:r w:rsidR="0057158D" w:rsidRPr="002433F3">
        <w:rPr>
          <w:lang w:val="en-US"/>
        </w:rPr>
        <w:t>which establishes</w:t>
      </w:r>
      <w:r w:rsidR="007B0DE4" w:rsidRPr="002433F3">
        <w:rPr>
          <w:lang w:val="en-US"/>
        </w:rPr>
        <w:t xml:space="preserve"> the inadmissibility of the </w:t>
      </w:r>
      <w:r w:rsidR="007B0DE4" w:rsidRPr="002433F3">
        <w:rPr>
          <w:i/>
          <w:lang w:val="en-US"/>
        </w:rPr>
        <w:t>tutela</w:t>
      </w:r>
      <w:r w:rsidR="007B0DE4" w:rsidRPr="002433F3">
        <w:rPr>
          <w:lang w:val="en-US"/>
        </w:rPr>
        <w:t xml:space="preserve"> action, when other mechanisms or means of legal defense</w:t>
      </w:r>
      <w:r w:rsidR="00DA146E" w:rsidRPr="002433F3">
        <w:rPr>
          <w:lang w:val="en-US"/>
        </w:rPr>
        <w:t xml:space="preserve"> exist</w:t>
      </w:r>
      <w:r w:rsidR="0057158D" w:rsidRPr="002433F3">
        <w:rPr>
          <w:lang w:val="en-US"/>
        </w:rPr>
        <w:t>.</w:t>
      </w:r>
      <w:r w:rsidR="007B0DE4" w:rsidRPr="002433F3">
        <w:rPr>
          <w:rStyle w:val="Refdenotaalpie"/>
          <w:lang w:val="en-US"/>
        </w:rPr>
        <w:footnoteReference w:id="25"/>
      </w:r>
      <w:r w:rsidR="007B0DE4" w:rsidRPr="002433F3">
        <w:rPr>
          <w:lang w:val="en-US"/>
        </w:rPr>
        <w:t xml:space="preserve"> </w:t>
      </w:r>
    </w:p>
    <w:p w14:paraId="7BDBD296" w14:textId="77777777" w:rsidR="007B0DE4" w:rsidRPr="002433F3" w:rsidRDefault="0057158D" w:rsidP="007B0DE4">
      <w:pPr>
        <w:numPr>
          <w:ilvl w:val="0"/>
          <w:numId w:val="2"/>
        </w:numPr>
        <w:spacing w:before="120" w:after="120"/>
        <w:rPr>
          <w:lang w:val="en-US"/>
        </w:rPr>
      </w:pPr>
      <w:r w:rsidRPr="002433F3">
        <w:rPr>
          <w:lang w:val="en-US"/>
        </w:rPr>
        <w:t xml:space="preserve">In relation to </w:t>
      </w:r>
      <w:r w:rsidR="007B0DE4" w:rsidRPr="002433F3">
        <w:rPr>
          <w:lang w:val="en-US"/>
        </w:rPr>
        <w:t>access to social security, the Tenth Municipal Civil Court of Bogotá added that “</w:t>
      </w:r>
      <w:r w:rsidR="00EC294B" w:rsidRPr="002433F3">
        <w:rPr>
          <w:szCs w:val="20"/>
          <w:lang w:val="en-US"/>
        </w:rPr>
        <w:t xml:space="preserve">the petition seeking </w:t>
      </w:r>
      <w:r w:rsidR="00EC294B" w:rsidRPr="002433F3">
        <w:rPr>
          <w:i/>
          <w:iCs/>
          <w:szCs w:val="20"/>
          <w:lang w:val="en-US"/>
        </w:rPr>
        <w:t xml:space="preserve">amparo </w:t>
      </w:r>
      <w:r w:rsidR="00EC294B" w:rsidRPr="002433F3">
        <w:rPr>
          <w:szCs w:val="20"/>
          <w:lang w:val="en-US"/>
        </w:rPr>
        <w:t>relief will be denied</w:t>
      </w:r>
      <w:r w:rsidR="007B0DE4" w:rsidRPr="002433F3">
        <w:rPr>
          <w:lang w:val="en-US"/>
        </w:rPr>
        <w:t xml:space="preserve">, </w:t>
      </w:r>
      <w:r w:rsidR="00EC294B" w:rsidRPr="002433F3">
        <w:rPr>
          <w:lang w:val="en-US"/>
        </w:rPr>
        <w:t xml:space="preserve">but </w:t>
      </w:r>
      <w:r w:rsidR="007B0DE4" w:rsidRPr="002433F3">
        <w:rPr>
          <w:lang w:val="en-US"/>
        </w:rPr>
        <w:t>not without advising the petitioner that, if his in</w:t>
      </w:r>
      <w:r w:rsidR="00F4627C" w:rsidRPr="002433F3">
        <w:rPr>
          <w:lang w:val="en-US"/>
        </w:rPr>
        <w:t>tention i</w:t>
      </w:r>
      <w:r w:rsidR="007B0DE4" w:rsidRPr="002433F3">
        <w:rPr>
          <w:lang w:val="en-US"/>
        </w:rPr>
        <w:t>s also to obtain some type of social security health services, he could turn to the public health institutions created by the State for the purpose of protecting persons w</w:t>
      </w:r>
      <w:r w:rsidRPr="002433F3">
        <w:rPr>
          <w:lang w:val="en-US"/>
        </w:rPr>
        <w:t xml:space="preserve">ho do not have any financial </w:t>
      </w:r>
      <w:r w:rsidR="007B0DE4" w:rsidRPr="002433F3">
        <w:rPr>
          <w:lang w:val="en-US"/>
        </w:rPr>
        <w:t>resources, such as the program offered by SISBEN.”</w:t>
      </w:r>
      <w:r w:rsidR="007B0DE4" w:rsidRPr="002433F3">
        <w:rPr>
          <w:rStyle w:val="Refdenotaalpie"/>
          <w:lang w:val="en-US"/>
        </w:rPr>
        <w:footnoteReference w:id="26"/>
      </w:r>
      <w:r w:rsidR="00353C73" w:rsidRPr="002433F3">
        <w:rPr>
          <w:lang w:val="en-US"/>
        </w:rPr>
        <w:t xml:space="preserve"> </w:t>
      </w:r>
      <w:r w:rsidR="00421041" w:rsidRPr="002433F3">
        <w:rPr>
          <w:lang w:val="en-US"/>
        </w:rPr>
        <w:t xml:space="preserve">Although </w:t>
      </w:r>
      <w:r w:rsidR="00353C73" w:rsidRPr="002433F3">
        <w:rPr>
          <w:lang w:val="en-US"/>
        </w:rPr>
        <w:lastRenderedPageBreak/>
        <w:t xml:space="preserve">Mr. </w:t>
      </w:r>
      <w:r w:rsidR="00F83913" w:rsidRPr="002433F3">
        <w:rPr>
          <w:lang w:val="en-US"/>
        </w:rPr>
        <w:t>Duque challenged that decision</w:t>
      </w:r>
      <w:r w:rsidR="00421041" w:rsidRPr="002433F3">
        <w:rPr>
          <w:lang w:val="en-US"/>
        </w:rPr>
        <w:t>,</w:t>
      </w:r>
      <w:r w:rsidR="00F83913" w:rsidRPr="002433F3">
        <w:rPr>
          <w:lang w:val="en-US"/>
        </w:rPr>
        <w:t xml:space="preserve"> </w:t>
      </w:r>
      <w:r w:rsidR="00353C73" w:rsidRPr="002433F3">
        <w:rPr>
          <w:lang w:val="en-US"/>
        </w:rPr>
        <w:t xml:space="preserve">on July 19, 2002, </w:t>
      </w:r>
      <w:r w:rsidR="007B0DE4" w:rsidRPr="002433F3">
        <w:rPr>
          <w:lang w:val="en-US"/>
        </w:rPr>
        <w:t xml:space="preserve">the Twelfth Civil Court of </w:t>
      </w:r>
      <w:r w:rsidR="00353C73" w:rsidRPr="002433F3">
        <w:rPr>
          <w:lang w:val="en-US"/>
        </w:rPr>
        <w:t xml:space="preserve">the </w:t>
      </w:r>
      <w:r w:rsidR="007B0DE4" w:rsidRPr="002433F3">
        <w:rPr>
          <w:lang w:val="en-US"/>
        </w:rPr>
        <w:t>Bogotá</w:t>
      </w:r>
      <w:r w:rsidR="00353C73" w:rsidRPr="002433F3">
        <w:rPr>
          <w:lang w:val="en-US"/>
        </w:rPr>
        <w:t xml:space="preserve"> Circuit upheld the ruling in its entirety</w:t>
      </w:r>
      <w:r w:rsidR="007B0DE4" w:rsidRPr="002433F3">
        <w:rPr>
          <w:lang w:val="en-US"/>
        </w:rPr>
        <w:t>.</w:t>
      </w:r>
      <w:r w:rsidR="007B0DE4" w:rsidRPr="002433F3">
        <w:rPr>
          <w:rStyle w:val="Refdenotaalpie"/>
          <w:lang w:val="en-US"/>
        </w:rPr>
        <w:footnoteReference w:id="27"/>
      </w:r>
      <w:r w:rsidR="007B0DE4" w:rsidRPr="002433F3">
        <w:rPr>
          <w:lang w:val="en-US"/>
        </w:rPr>
        <w:t xml:space="preserve"> </w:t>
      </w:r>
    </w:p>
    <w:p w14:paraId="3B2AC1EC" w14:textId="77777777" w:rsidR="007B0DE4" w:rsidRPr="002433F3" w:rsidRDefault="00353C73" w:rsidP="007B0DE4">
      <w:pPr>
        <w:numPr>
          <w:ilvl w:val="0"/>
          <w:numId w:val="2"/>
        </w:numPr>
        <w:spacing w:before="120" w:after="120"/>
        <w:rPr>
          <w:lang w:val="en-US"/>
        </w:rPr>
      </w:pPr>
      <w:r w:rsidRPr="002433F3">
        <w:rPr>
          <w:lang w:val="en-US"/>
        </w:rPr>
        <w:t xml:space="preserve">Based on the </w:t>
      </w:r>
      <w:r w:rsidR="007B0DE4" w:rsidRPr="002433F3">
        <w:rPr>
          <w:lang w:val="en-US"/>
        </w:rPr>
        <w:t>foregoing</w:t>
      </w:r>
      <w:r w:rsidRPr="002433F3">
        <w:rPr>
          <w:lang w:val="en-US"/>
        </w:rPr>
        <w:t>,</w:t>
      </w:r>
      <w:r w:rsidR="00F4627C" w:rsidRPr="002433F3">
        <w:rPr>
          <w:lang w:val="en-US"/>
        </w:rPr>
        <w:t xml:space="preserve"> this</w:t>
      </w:r>
      <w:r w:rsidR="007B0DE4" w:rsidRPr="002433F3">
        <w:rPr>
          <w:lang w:val="en-US"/>
        </w:rPr>
        <w:t xml:space="preserve"> Court </w:t>
      </w:r>
      <w:r w:rsidR="00F4627C" w:rsidRPr="002433F3">
        <w:rPr>
          <w:lang w:val="en-US"/>
        </w:rPr>
        <w:t xml:space="preserve">arrives at </w:t>
      </w:r>
      <w:r w:rsidR="007B0DE4" w:rsidRPr="002433F3">
        <w:rPr>
          <w:lang w:val="en-US"/>
        </w:rPr>
        <w:t>the following conclusions: a) both COLFONDOS and the Tenth Municipal Civil Court of Bogotá and the Twelfth Civil Court of Bogotá</w:t>
      </w:r>
      <w:r w:rsidR="00FD4AE6" w:rsidRPr="002433F3">
        <w:rPr>
          <w:lang w:val="en-US"/>
        </w:rPr>
        <w:t xml:space="preserve"> considered that </w:t>
      </w:r>
      <w:r w:rsidR="007B0DE4" w:rsidRPr="002433F3">
        <w:rPr>
          <w:lang w:val="en-US"/>
        </w:rPr>
        <w:t xml:space="preserve">the </w:t>
      </w:r>
      <w:r w:rsidR="00F83913" w:rsidRPr="002433F3">
        <w:rPr>
          <w:lang w:val="en-US"/>
        </w:rPr>
        <w:t xml:space="preserve">letter </w:t>
      </w:r>
      <w:r w:rsidR="007B0DE4" w:rsidRPr="002433F3">
        <w:rPr>
          <w:lang w:val="en-US"/>
        </w:rPr>
        <w:t>sent by Mr. Duque (</w:t>
      </w:r>
      <w:r w:rsidR="007B0DE4" w:rsidRPr="002433F3">
        <w:rPr>
          <w:i/>
          <w:lang w:val="en-US"/>
        </w:rPr>
        <w:t>supra</w:t>
      </w:r>
      <w:r w:rsidR="007B0DE4" w:rsidRPr="002433F3">
        <w:rPr>
          <w:lang w:val="en-US"/>
        </w:rPr>
        <w:t xml:space="preserve"> para. 70) </w:t>
      </w:r>
      <w:r w:rsidR="00FD4AE6" w:rsidRPr="002433F3">
        <w:rPr>
          <w:lang w:val="en-US"/>
        </w:rPr>
        <w:t xml:space="preserve">had </w:t>
      </w:r>
      <w:r w:rsidR="007B0DE4" w:rsidRPr="002433F3">
        <w:rPr>
          <w:lang w:val="en-US"/>
        </w:rPr>
        <w:t xml:space="preserve">the same nature and consequences </w:t>
      </w:r>
      <w:r w:rsidR="00FD4AE6" w:rsidRPr="002433F3">
        <w:rPr>
          <w:lang w:val="en-US"/>
        </w:rPr>
        <w:t xml:space="preserve">as </w:t>
      </w:r>
      <w:r w:rsidR="007B0DE4" w:rsidRPr="002433F3">
        <w:rPr>
          <w:lang w:val="en-US"/>
        </w:rPr>
        <w:t xml:space="preserve">a formal request </w:t>
      </w:r>
      <w:r w:rsidR="00421041" w:rsidRPr="002433F3">
        <w:rPr>
          <w:lang w:val="en-US"/>
        </w:rPr>
        <w:t xml:space="preserve">for </w:t>
      </w:r>
      <w:r w:rsidR="007B0DE4" w:rsidRPr="002433F3">
        <w:rPr>
          <w:lang w:val="en-US"/>
        </w:rPr>
        <w:t xml:space="preserve">recognition of </w:t>
      </w:r>
      <w:r w:rsidR="00F4627C" w:rsidRPr="002433F3">
        <w:rPr>
          <w:lang w:val="en-US"/>
        </w:rPr>
        <w:t xml:space="preserve">a </w:t>
      </w:r>
      <w:r w:rsidR="007B0DE4" w:rsidRPr="002433F3">
        <w:rPr>
          <w:lang w:val="en-US"/>
        </w:rPr>
        <w:t xml:space="preserve">pension; b) Mr. Duque </w:t>
      </w:r>
      <w:r w:rsidR="00FD4AE6" w:rsidRPr="002433F3">
        <w:rPr>
          <w:lang w:val="en-US"/>
        </w:rPr>
        <w:t xml:space="preserve">filed </w:t>
      </w:r>
      <w:r w:rsidR="007B0DE4" w:rsidRPr="002433F3">
        <w:rPr>
          <w:lang w:val="en-US"/>
        </w:rPr>
        <w:t xml:space="preserve">the  </w:t>
      </w:r>
      <w:r w:rsidR="007B0DE4" w:rsidRPr="002433F3">
        <w:rPr>
          <w:i/>
          <w:lang w:val="en-US"/>
        </w:rPr>
        <w:t>tutela</w:t>
      </w:r>
      <w:r w:rsidR="007B0DE4" w:rsidRPr="002433F3">
        <w:rPr>
          <w:lang w:val="en-US"/>
        </w:rPr>
        <w:t xml:space="preserve"> action in purs</w:t>
      </w:r>
      <w:r w:rsidR="00FD4AE6" w:rsidRPr="002433F3">
        <w:rPr>
          <w:lang w:val="en-US"/>
        </w:rPr>
        <w:t>uit of two different objectives:</w:t>
      </w:r>
      <w:r w:rsidR="007B0DE4" w:rsidRPr="002433F3">
        <w:rPr>
          <w:lang w:val="en-US"/>
        </w:rPr>
        <w:t xml:space="preserve"> first to obtain </w:t>
      </w:r>
      <w:r w:rsidR="00FD4AE6" w:rsidRPr="002433F3">
        <w:rPr>
          <w:lang w:val="en-US"/>
        </w:rPr>
        <w:t xml:space="preserve">a </w:t>
      </w:r>
      <w:r w:rsidR="007B0DE4" w:rsidRPr="002433F3">
        <w:rPr>
          <w:lang w:val="en-US"/>
        </w:rPr>
        <w:t xml:space="preserve">survivor’s pension, and second to have access to social security health services </w:t>
      </w:r>
      <w:r w:rsidR="00421041" w:rsidRPr="002433F3">
        <w:rPr>
          <w:lang w:val="en-US"/>
        </w:rPr>
        <w:t xml:space="preserve">in order to avoid the suspension of </w:t>
      </w:r>
      <w:r w:rsidR="007B0DE4" w:rsidRPr="002433F3">
        <w:rPr>
          <w:lang w:val="en-US"/>
        </w:rPr>
        <w:t xml:space="preserve">his medical treatment, and c) the Tenth Municipal Civil Court of Bogotá </w:t>
      </w:r>
      <w:r w:rsidR="00FD4AE6" w:rsidRPr="002433F3">
        <w:rPr>
          <w:lang w:val="en-US"/>
        </w:rPr>
        <w:t xml:space="preserve">advised </w:t>
      </w:r>
      <w:r w:rsidR="007B0DE4" w:rsidRPr="002433F3">
        <w:rPr>
          <w:lang w:val="en-US"/>
        </w:rPr>
        <w:t xml:space="preserve">Mr. Duque that the </w:t>
      </w:r>
      <w:r w:rsidR="007B0DE4" w:rsidRPr="002433F3">
        <w:rPr>
          <w:i/>
          <w:lang w:val="en-US"/>
        </w:rPr>
        <w:t>tutela</w:t>
      </w:r>
      <w:r w:rsidR="007B0DE4" w:rsidRPr="002433F3">
        <w:rPr>
          <w:lang w:val="en-US"/>
        </w:rPr>
        <w:t xml:space="preserve"> action was not the appropriate mechanism for requesting a survivor’s pension, and that he should </w:t>
      </w:r>
      <w:r w:rsidR="00421041" w:rsidRPr="002433F3">
        <w:rPr>
          <w:lang w:val="en-US"/>
        </w:rPr>
        <w:t xml:space="preserve">have </w:t>
      </w:r>
      <w:r w:rsidR="00F4627C" w:rsidRPr="002433F3">
        <w:rPr>
          <w:lang w:val="en-US"/>
        </w:rPr>
        <w:t xml:space="preserve">approached </w:t>
      </w:r>
      <w:r w:rsidR="007B0DE4" w:rsidRPr="002433F3">
        <w:rPr>
          <w:lang w:val="en-US"/>
        </w:rPr>
        <w:t>t</w:t>
      </w:r>
      <w:r w:rsidR="0059500F" w:rsidRPr="002433F3">
        <w:rPr>
          <w:lang w:val="en-US"/>
        </w:rPr>
        <w:t>he ordinary courts (</w:t>
      </w:r>
      <w:r w:rsidR="007B0DE4" w:rsidRPr="002433F3">
        <w:rPr>
          <w:lang w:val="en-US"/>
        </w:rPr>
        <w:t>contentious-administrative courts</w:t>
      </w:r>
      <w:r w:rsidR="0059500F" w:rsidRPr="002433F3">
        <w:rPr>
          <w:lang w:val="en-US"/>
        </w:rPr>
        <w:t>)</w:t>
      </w:r>
      <w:r w:rsidR="007B0DE4" w:rsidRPr="002433F3">
        <w:rPr>
          <w:lang w:val="en-US"/>
        </w:rPr>
        <w:t xml:space="preserve"> and/or fi</w:t>
      </w:r>
      <w:r w:rsidR="00FD4AE6" w:rsidRPr="002433F3">
        <w:rPr>
          <w:lang w:val="en-US"/>
        </w:rPr>
        <w:t>le</w:t>
      </w:r>
      <w:r w:rsidR="00F4627C" w:rsidRPr="002433F3">
        <w:rPr>
          <w:lang w:val="en-US"/>
        </w:rPr>
        <w:t>d</w:t>
      </w:r>
      <w:r w:rsidR="00FD4AE6" w:rsidRPr="002433F3">
        <w:rPr>
          <w:lang w:val="en-US"/>
        </w:rPr>
        <w:t xml:space="preserve"> an appeal or a </w:t>
      </w:r>
      <w:r w:rsidR="007B0DE4" w:rsidRPr="002433F3">
        <w:rPr>
          <w:lang w:val="en-US"/>
        </w:rPr>
        <w:t xml:space="preserve">remedy of </w:t>
      </w:r>
      <w:r w:rsidR="007B0DE4" w:rsidRPr="002433F3">
        <w:rPr>
          <w:i/>
          <w:lang w:val="en-US"/>
        </w:rPr>
        <w:t>reposición</w:t>
      </w:r>
      <w:r w:rsidR="007B0DE4" w:rsidRPr="002433F3">
        <w:rPr>
          <w:lang w:val="en-US"/>
        </w:rPr>
        <w:t xml:space="preserve"> </w:t>
      </w:r>
      <w:r w:rsidR="00FD4AE6" w:rsidRPr="002433F3">
        <w:rPr>
          <w:lang w:val="en-US"/>
        </w:rPr>
        <w:t>(re</w:t>
      </w:r>
      <w:r w:rsidR="00BD0850" w:rsidRPr="002433F3">
        <w:rPr>
          <w:lang w:val="en-US"/>
        </w:rPr>
        <w:t>view</w:t>
      </w:r>
      <w:r w:rsidR="00FD4AE6" w:rsidRPr="002433F3">
        <w:rPr>
          <w:lang w:val="en-US"/>
        </w:rPr>
        <w:t xml:space="preserve">) </w:t>
      </w:r>
      <w:r w:rsidR="007B0DE4" w:rsidRPr="002433F3">
        <w:rPr>
          <w:lang w:val="en-US"/>
        </w:rPr>
        <w:t xml:space="preserve">within the </w:t>
      </w:r>
      <w:r w:rsidR="0059500F" w:rsidRPr="002433F3">
        <w:rPr>
          <w:lang w:val="en-US"/>
        </w:rPr>
        <w:t>statutory period</w:t>
      </w:r>
      <w:r w:rsidR="007B0DE4" w:rsidRPr="002433F3">
        <w:rPr>
          <w:lang w:val="en-US"/>
        </w:rPr>
        <w:t xml:space="preserve">. </w:t>
      </w:r>
    </w:p>
    <w:p w14:paraId="725E5745" w14:textId="77777777" w:rsidR="007B0DE4" w:rsidRPr="002433F3" w:rsidRDefault="006E3063" w:rsidP="007B0DE4">
      <w:pPr>
        <w:numPr>
          <w:ilvl w:val="0"/>
          <w:numId w:val="2"/>
        </w:numPr>
        <w:spacing w:before="120" w:after="120"/>
        <w:rPr>
          <w:lang w:val="en-US"/>
        </w:rPr>
      </w:pPr>
      <w:r w:rsidRPr="002433F3">
        <w:rPr>
          <w:lang w:val="en-US"/>
        </w:rPr>
        <w:t>I</w:t>
      </w:r>
      <w:r w:rsidR="007B0DE4" w:rsidRPr="002433F3">
        <w:rPr>
          <w:lang w:val="en-US"/>
        </w:rPr>
        <w:t xml:space="preserve">t should </w:t>
      </w:r>
      <w:r w:rsidRPr="002433F3">
        <w:rPr>
          <w:lang w:val="en-US"/>
        </w:rPr>
        <w:t xml:space="preserve">also </w:t>
      </w:r>
      <w:r w:rsidR="007B0DE4" w:rsidRPr="002433F3">
        <w:rPr>
          <w:lang w:val="en-US"/>
        </w:rPr>
        <w:t>be recalled that</w:t>
      </w:r>
      <w:r w:rsidR="00076409" w:rsidRPr="002433F3">
        <w:rPr>
          <w:lang w:val="en-US"/>
        </w:rPr>
        <w:t>,</w:t>
      </w:r>
      <w:r w:rsidR="007B0DE4" w:rsidRPr="002433F3">
        <w:rPr>
          <w:lang w:val="en-US"/>
        </w:rPr>
        <w:t xml:space="preserve"> in its arguments regarding </w:t>
      </w:r>
      <w:r w:rsidR="00F00406" w:rsidRPr="002433F3">
        <w:rPr>
          <w:lang w:val="en-US"/>
        </w:rPr>
        <w:t>the preliminary objection of</w:t>
      </w:r>
      <w:r w:rsidR="007B0DE4" w:rsidRPr="002433F3">
        <w:rPr>
          <w:lang w:val="en-US"/>
        </w:rPr>
        <w:t xml:space="preserve"> failu</w:t>
      </w:r>
      <w:r w:rsidR="00F00406" w:rsidRPr="002433F3">
        <w:rPr>
          <w:lang w:val="en-US"/>
        </w:rPr>
        <w:t>re to exhaust domestic remedies in relation to</w:t>
      </w:r>
      <w:r w:rsidR="007B0DE4" w:rsidRPr="002433F3">
        <w:rPr>
          <w:lang w:val="en-US"/>
        </w:rPr>
        <w:t xml:space="preserve"> the rights to life and personal integrity, </w:t>
      </w:r>
      <w:r w:rsidR="00076409" w:rsidRPr="002433F3">
        <w:rPr>
          <w:lang w:val="en-US"/>
        </w:rPr>
        <w:t xml:space="preserve">the State indicated </w:t>
      </w:r>
      <w:r w:rsidR="00BD0850" w:rsidRPr="002433F3">
        <w:rPr>
          <w:lang w:val="en-US"/>
        </w:rPr>
        <w:t xml:space="preserve">that “the </w:t>
      </w:r>
      <w:r w:rsidR="007B0DE4" w:rsidRPr="002433F3">
        <w:rPr>
          <w:i/>
          <w:lang w:val="en-US"/>
        </w:rPr>
        <w:t>tutela</w:t>
      </w:r>
      <w:r w:rsidR="007B0DE4" w:rsidRPr="002433F3">
        <w:rPr>
          <w:lang w:val="en-US"/>
        </w:rPr>
        <w:t xml:space="preserve"> </w:t>
      </w:r>
      <w:r w:rsidR="00BD0850" w:rsidRPr="002433F3">
        <w:rPr>
          <w:lang w:val="en-US"/>
        </w:rPr>
        <w:t>action is an</w:t>
      </w:r>
      <w:r w:rsidR="007B0DE4" w:rsidRPr="002433F3">
        <w:rPr>
          <w:lang w:val="en-US"/>
        </w:rPr>
        <w:t xml:space="preserve"> adequate and effective judicial </w:t>
      </w:r>
      <w:r w:rsidR="00BD0850" w:rsidRPr="002433F3">
        <w:rPr>
          <w:lang w:val="en-US"/>
        </w:rPr>
        <w:t xml:space="preserve">mechanism through which to secure </w:t>
      </w:r>
      <w:r w:rsidR="007B0DE4" w:rsidRPr="002433F3">
        <w:rPr>
          <w:lang w:val="en-US"/>
        </w:rPr>
        <w:t xml:space="preserve">immediate </w:t>
      </w:r>
      <w:r w:rsidR="007B0DE4" w:rsidRPr="002433F3">
        <w:rPr>
          <w:rFonts w:eastAsia="Calibri" w:cs="TimesNewRomanPSMT"/>
          <w:szCs w:val="20"/>
          <w:lang w:val="en-US"/>
        </w:rPr>
        <w:t>protection</w:t>
      </w:r>
      <w:r w:rsidR="007B0DE4" w:rsidRPr="002433F3">
        <w:rPr>
          <w:lang w:val="en-US"/>
        </w:rPr>
        <w:t xml:space="preserve"> of the fundamental rights to health, personal integrity and life when these are threatened by the irregular provision of medical services; th</w:t>
      </w:r>
      <w:r w:rsidR="00EB6665" w:rsidRPr="002433F3">
        <w:rPr>
          <w:lang w:val="en-US"/>
        </w:rPr>
        <w:t>us</w:t>
      </w:r>
      <w:r w:rsidR="007B0DE4" w:rsidRPr="002433F3">
        <w:rPr>
          <w:lang w:val="en-US"/>
        </w:rPr>
        <w:t xml:space="preserve">, Mr. Duque should have exhausted that remedy in relation to the alleged lack of continuity of his </w:t>
      </w:r>
      <w:r w:rsidR="00B26B23" w:rsidRPr="002433F3">
        <w:rPr>
          <w:lang w:val="en-US"/>
        </w:rPr>
        <w:t>antiretroviral</w:t>
      </w:r>
      <w:r w:rsidR="007B0DE4" w:rsidRPr="002433F3">
        <w:rPr>
          <w:lang w:val="en-US"/>
        </w:rPr>
        <w:t xml:space="preserve"> treatment</w:t>
      </w:r>
      <w:r w:rsidR="00F00406" w:rsidRPr="002433F3">
        <w:rPr>
          <w:lang w:val="en-US"/>
        </w:rPr>
        <w:t>.”</w:t>
      </w:r>
    </w:p>
    <w:p w14:paraId="2846D86C" w14:textId="77777777" w:rsidR="007B0DE4" w:rsidRPr="002433F3" w:rsidRDefault="007B0DE4" w:rsidP="007B0DE4">
      <w:pPr>
        <w:numPr>
          <w:ilvl w:val="0"/>
          <w:numId w:val="2"/>
        </w:numPr>
        <w:spacing w:before="120" w:after="120"/>
        <w:rPr>
          <w:lang w:val="en-US"/>
        </w:rPr>
      </w:pPr>
      <w:r w:rsidRPr="002433F3">
        <w:rPr>
          <w:lang w:val="en-US"/>
        </w:rPr>
        <w:t xml:space="preserve">Consequently, it </w:t>
      </w:r>
      <w:r w:rsidR="00BD0850" w:rsidRPr="002433F3">
        <w:rPr>
          <w:lang w:val="en-US"/>
        </w:rPr>
        <w:t xml:space="preserve">may be inferred </w:t>
      </w:r>
      <w:r w:rsidRPr="002433F3">
        <w:rPr>
          <w:lang w:val="en-US"/>
        </w:rPr>
        <w:t xml:space="preserve">that the </w:t>
      </w:r>
      <w:r w:rsidRPr="002433F3">
        <w:rPr>
          <w:i/>
          <w:lang w:val="en-US"/>
        </w:rPr>
        <w:t>tutela</w:t>
      </w:r>
      <w:r w:rsidRPr="002433F3">
        <w:rPr>
          <w:lang w:val="en-US"/>
        </w:rPr>
        <w:t xml:space="preserve"> action filed by Mr. Duque, aimed at obtaining recogniti</w:t>
      </w:r>
      <w:r w:rsidR="00BD0850" w:rsidRPr="002433F3">
        <w:rPr>
          <w:lang w:val="en-US"/>
        </w:rPr>
        <w:t>on of the</w:t>
      </w:r>
      <w:r w:rsidRPr="002433F3">
        <w:rPr>
          <w:lang w:val="en-US"/>
        </w:rPr>
        <w:t xml:space="preserve"> survivor’s pension and acces</w:t>
      </w:r>
      <w:r w:rsidR="00BD0850" w:rsidRPr="002433F3">
        <w:rPr>
          <w:lang w:val="en-US"/>
        </w:rPr>
        <w:t>s to regular medical services, would be an</w:t>
      </w:r>
      <w:r w:rsidRPr="002433F3">
        <w:rPr>
          <w:lang w:val="en-US"/>
        </w:rPr>
        <w:t xml:space="preserve"> adequate and effective remedy to accomplish </w:t>
      </w:r>
      <w:r w:rsidR="00B171A1" w:rsidRPr="002433F3">
        <w:rPr>
          <w:lang w:val="en-US"/>
        </w:rPr>
        <w:t xml:space="preserve">both </w:t>
      </w:r>
      <w:r w:rsidRPr="002433F3">
        <w:rPr>
          <w:lang w:val="en-US"/>
        </w:rPr>
        <w:t xml:space="preserve">objectives pursued, </w:t>
      </w:r>
      <w:r w:rsidR="00BD0850" w:rsidRPr="002433F3">
        <w:rPr>
          <w:lang w:val="en-US"/>
        </w:rPr>
        <w:t xml:space="preserve">notwithstanding the availability of </w:t>
      </w:r>
      <w:r w:rsidRPr="002433F3">
        <w:rPr>
          <w:lang w:val="en-US"/>
        </w:rPr>
        <w:t xml:space="preserve">other ordinary remedies </w:t>
      </w:r>
      <w:r w:rsidR="00D20D86" w:rsidRPr="002433F3">
        <w:rPr>
          <w:lang w:val="en-US"/>
        </w:rPr>
        <w:t xml:space="preserve">specifically </w:t>
      </w:r>
      <w:r w:rsidRPr="002433F3">
        <w:rPr>
          <w:lang w:val="en-US"/>
        </w:rPr>
        <w:t>to request the survivor’s pension</w:t>
      </w:r>
      <w:r w:rsidR="00D20D86" w:rsidRPr="002433F3">
        <w:rPr>
          <w:lang w:val="en-US"/>
        </w:rPr>
        <w:t>, as</w:t>
      </w:r>
      <w:r w:rsidRPr="002433F3">
        <w:rPr>
          <w:lang w:val="en-US"/>
        </w:rPr>
        <w:t xml:space="preserve"> mentioned by the </w:t>
      </w:r>
      <w:r w:rsidR="00E36174" w:rsidRPr="002433F3">
        <w:rPr>
          <w:lang w:val="en-US"/>
        </w:rPr>
        <w:t>Twelfth Civil Court of the Bogotá Circuit</w:t>
      </w:r>
      <w:r w:rsidRPr="002433F3">
        <w:rPr>
          <w:lang w:val="en-US"/>
        </w:rPr>
        <w:t xml:space="preserve"> (</w:t>
      </w:r>
      <w:r w:rsidRPr="002433F3">
        <w:rPr>
          <w:i/>
          <w:lang w:val="en-US"/>
        </w:rPr>
        <w:t>supra</w:t>
      </w:r>
      <w:r w:rsidRPr="002433F3">
        <w:rPr>
          <w:lang w:val="en-US"/>
        </w:rPr>
        <w:t xml:space="preserve"> para. 79). In this case, it is reasonable to conclude that, of th</w:t>
      </w:r>
      <w:r w:rsidR="00A9666C" w:rsidRPr="002433F3">
        <w:rPr>
          <w:lang w:val="en-US"/>
        </w:rPr>
        <w:t xml:space="preserve">e </w:t>
      </w:r>
      <w:r w:rsidRPr="002433F3">
        <w:rPr>
          <w:lang w:val="en-US"/>
        </w:rPr>
        <w:t>available</w:t>
      </w:r>
      <w:r w:rsidR="00A9666C" w:rsidRPr="002433F3">
        <w:rPr>
          <w:lang w:val="en-US"/>
        </w:rPr>
        <w:t xml:space="preserve"> options</w:t>
      </w:r>
      <w:r w:rsidRPr="002433F3">
        <w:rPr>
          <w:lang w:val="en-US"/>
        </w:rPr>
        <w:t xml:space="preserve">, the </w:t>
      </w:r>
      <w:r w:rsidRPr="002433F3">
        <w:rPr>
          <w:i/>
          <w:lang w:val="en-US"/>
        </w:rPr>
        <w:t>tutela</w:t>
      </w:r>
      <w:r w:rsidRPr="002433F3">
        <w:rPr>
          <w:lang w:val="en-US"/>
        </w:rPr>
        <w:t xml:space="preserve"> was a</w:t>
      </w:r>
      <w:r w:rsidR="00D20D86" w:rsidRPr="002433F3">
        <w:rPr>
          <w:lang w:val="en-US"/>
        </w:rPr>
        <w:t>n</w:t>
      </w:r>
      <w:r w:rsidRPr="002433F3">
        <w:rPr>
          <w:lang w:val="en-US"/>
        </w:rPr>
        <w:t xml:space="preserve"> </w:t>
      </w:r>
      <w:r w:rsidR="00D20D86" w:rsidRPr="002433F3">
        <w:rPr>
          <w:lang w:val="en-US"/>
        </w:rPr>
        <w:t xml:space="preserve">appropriate </w:t>
      </w:r>
      <w:r w:rsidRPr="002433F3">
        <w:rPr>
          <w:lang w:val="en-US"/>
        </w:rPr>
        <w:t xml:space="preserve">remedy </w:t>
      </w:r>
      <w:r w:rsidR="00A9666C" w:rsidRPr="002433F3">
        <w:rPr>
          <w:lang w:val="en-US"/>
        </w:rPr>
        <w:t xml:space="preserve">to address </w:t>
      </w:r>
      <w:r w:rsidRPr="002433F3">
        <w:rPr>
          <w:lang w:val="en-US"/>
        </w:rPr>
        <w:t xml:space="preserve">the urgent situation in which Mr. Duque </w:t>
      </w:r>
      <w:r w:rsidR="00D20D86" w:rsidRPr="002433F3">
        <w:rPr>
          <w:lang w:val="en-US"/>
        </w:rPr>
        <w:t xml:space="preserve">found </w:t>
      </w:r>
      <w:r w:rsidRPr="002433F3">
        <w:rPr>
          <w:lang w:val="en-US"/>
        </w:rPr>
        <w:t>himself.</w:t>
      </w:r>
    </w:p>
    <w:p w14:paraId="40E95F81" w14:textId="77777777" w:rsidR="007B0DE4" w:rsidRPr="002433F3" w:rsidRDefault="007B0DE4" w:rsidP="007B0DE4">
      <w:pPr>
        <w:numPr>
          <w:ilvl w:val="0"/>
          <w:numId w:val="2"/>
        </w:numPr>
        <w:spacing w:before="120" w:after="120"/>
        <w:rPr>
          <w:lang w:val="en-US"/>
        </w:rPr>
      </w:pPr>
      <w:r w:rsidRPr="002433F3">
        <w:rPr>
          <w:lang w:val="en-US"/>
        </w:rPr>
        <w:t xml:space="preserve">Therefore, the Court </w:t>
      </w:r>
      <w:r w:rsidR="00A9666C" w:rsidRPr="002433F3">
        <w:rPr>
          <w:lang w:val="en-US"/>
        </w:rPr>
        <w:t xml:space="preserve">considers </w:t>
      </w:r>
      <w:r w:rsidRPr="002433F3">
        <w:rPr>
          <w:lang w:val="en-US"/>
        </w:rPr>
        <w:t xml:space="preserve">that, </w:t>
      </w:r>
      <w:r w:rsidR="00D20D86" w:rsidRPr="002433F3">
        <w:rPr>
          <w:lang w:val="en-US"/>
        </w:rPr>
        <w:t xml:space="preserve">by the time </w:t>
      </w:r>
      <w:r w:rsidRPr="002433F3">
        <w:rPr>
          <w:lang w:val="en-US"/>
        </w:rPr>
        <w:t xml:space="preserve">the brief of observations to the </w:t>
      </w:r>
      <w:r w:rsidR="00D20D86" w:rsidRPr="002433F3">
        <w:rPr>
          <w:lang w:val="en-US"/>
        </w:rPr>
        <w:t xml:space="preserve">State’s </w:t>
      </w:r>
      <w:r w:rsidRPr="002433F3">
        <w:rPr>
          <w:lang w:val="en-US"/>
        </w:rPr>
        <w:t xml:space="preserve">petition </w:t>
      </w:r>
      <w:r w:rsidR="00D20D86" w:rsidRPr="002433F3">
        <w:rPr>
          <w:lang w:val="en-US"/>
        </w:rPr>
        <w:t xml:space="preserve">was filed, </w:t>
      </w:r>
      <w:r w:rsidRPr="002433F3">
        <w:rPr>
          <w:lang w:val="en-US"/>
        </w:rPr>
        <w:t xml:space="preserve">in 2006, Mr. Duque had already exhausted the domestic remedies </w:t>
      </w:r>
      <w:r w:rsidR="00A9666C" w:rsidRPr="002433F3">
        <w:rPr>
          <w:lang w:val="en-US"/>
        </w:rPr>
        <w:t xml:space="preserve">pursuant to </w:t>
      </w:r>
      <w:r w:rsidRPr="002433F3">
        <w:rPr>
          <w:lang w:val="en-US"/>
        </w:rPr>
        <w:t xml:space="preserve">Article 46(1)(a) of the American Convention. </w:t>
      </w:r>
    </w:p>
    <w:p w14:paraId="5401C183" w14:textId="77777777" w:rsidR="007B0DE4" w:rsidRPr="002433F3" w:rsidRDefault="007B0DE4" w:rsidP="007B0DE4">
      <w:pPr>
        <w:spacing w:before="240" w:after="240"/>
        <w:rPr>
          <w:i/>
          <w:lang w:val="en-US"/>
        </w:rPr>
      </w:pPr>
      <w:r w:rsidRPr="002433F3">
        <w:rPr>
          <w:i/>
          <w:lang w:val="en-US"/>
        </w:rPr>
        <w:t>b)  Exhaustion of domestic r</w:t>
      </w:r>
      <w:r w:rsidR="00D20D86" w:rsidRPr="002433F3">
        <w:rPr>
          <w:i/>
          <w:lang w:val="en-US"/>
        </w:rPr>
        <w:t xml:space="preserve">emedies at the time </w:t>
      </w:r>
      <w:r w:rsidR="00C509B5" w:rsidRPr="002433F3">
        <w:rPr>
          <w:i/>
          <w:lang w:val="en-US"/>
        </w:rPr>
        <w:t xml:space="preserve">when the </w:t>
      </w:r>
      <w:r w:rsidRPr="002433F3">
        <w:rPr>
          <w:i/>
          <w:lang w:val="en-US"/>
        </w:rPr>
        <w:t xml:space="preserve">Admissibility Report </w:t>
      </w:r>
      <w:r w:rsidR="00C509B5" w:rsidRPr="002433F3">
        <w:rPr>
          <w:i/>
          <w:lang w:val="en-US"/>
        </w:rPr>
        <w:t xml:space="preserve">was issued </w:t>
      </w:r>
      <w:r w:rsidRPr="002433F3">
        <w:rPr>
          <w:i/>
          <w:lang w:val="en-US"/>
        </w:rPr>
        <w:t>in 2011</w:t>
      </w:r>
    </w:p>
    <w:p w14:paraId="62699CC6" w14:textId="77777777" w:rsidR="007B0DE4" w:rsidRPr="002433F3" w:rsidRDefault="007B0DE4" w:rsidP="007B0DE4">
      <w:pPr>
        <w:numPr>
          <w:ilvl w:val="0"/>
          <w:numId w:val="2"/>
        </w:numPr>
        <w:spacing w:before="120" w:after="120"/>
        <w:rPr>
          <w:lang w:val="en-US"/>
        </w:rPr>
      </w:pPr>
      <w:r w:rsidRPr="002433F3">
        <w:rPr>
          <w:rFonts w:eastAsia="Verdana" w:cs="Verdana"/>
          <w:szCs w:val="20"/>
          <w:lang w:val="en-US"/>
        </w:rPr>
        <w:t xml:space="preserve">In the case of </w:t>
      </w:r>
      <w:r w:rsidRPr="002433F3">
        <w:rPr>
          <w:rFonts w:eastAsia="Verdana" w:cs="Verdana"/>
          <w:i/>
          <w:szCs w:val="20"/>
          <w:lang w:val="en-US"/>
        </w:rPr>
        <w:t>Wong Ho Wing v. Peru</w:t>
      </w:r>
      <w:r w:rsidRPr="002433F3">
        <w:rPr>
          <w:rFonts w:eastAsia="Verdana" w:cs="Verdana"/>
          <w:szCs w:val="20"/>
          <w:lang w:val="en-US"/>
        </w:rPr>
        <w:t xml:space="preserve">, the Court </w:t>
      </w:r>
      <w:r w:rsidR="00C509B5" w:rsidRPr="002433F3">
        <w:rPr>
          <w:rFonts w:eastAsia="Verdana" w:cs="Verdana"/>
          <w:szCs w:val="20"/>
          <w:lang w:val="en-US"/>
        </w:rPr>
        <w:t xml:space="preserve">indicated </w:t>
      </w:r>
      <w:r w:rsidRPr="002433F3">
        <w:rPr>
          <w:rFonts w:eastAsia="Verdana" w:cs="Verdana"/>
          <w:szCs w:val="20"/>
          <w:lang w:val="en-US"/>
        </w:rPr>
        <w:t>that</w:t>
      </w:r>
      <w:r w:rsidR="00C509B5" w:rsidRPr="002433F3">
        <w:rPr>
          <w:rFonts w:eastAsia="Verdana" w:cs="Verdana"/>
          <w:szCs w:val="20"/>
          <w:lang w:val="en-US"/>
        </w:rPr>
        <w:t>,</w:t>
      </w:r>
      <w:r w:rsidRPr="002433F3">
        <w:rPr>
          <w:rFonts w:eastAsia="Verdana" w:cs="Verdana"/>
          <w:szCs w:val="20"/>
          <w:lang w:val="en-US"/>
        </w:rPr>
        <w:t xml:space="preserve"> </w:t>
      </w:r>
      <w:r w:rsidR="00C509B5" w:rsidRPr="002433F3">
        <w:rPr>
          <w:rFonts w:eastAsia="Verdana" w:cs="Verdana"/>
          <w:szCs w:val="20"/>
          <w:lang w:val="en-US"/>
        </w:rPr>
        <w:t xml:space="preserve">under </w:t>
      </w:r>
      <w:r w:rsidR="005C4D79" w:rsidRPr="002433F3">
        <w:rPr>
          <w:lang w:val="en-US"/>
        </w:rPr>
        <w:t>Article 46(1)(a) of the Ameri</w:t>
      </w:r>
      <w:r w:rsidR="00C509B5" w:rsidRPr="002433F3">
        <w:rPr>
          <w:lang w:val="en-US"/>
        </w:rPr>
        <w:t xml:space="preserve">can Convention, </w:t>
      </w:r>
      <w:r w:rsidR="005C4D79" w:rsidRPr="002433F3">
        <w:rPr>
          <w:lang w:val="en-US"/>
        </w:rPr>
        <w:t xml:space="preserve">the admissibility of a petition or communication lodged before </w:t>
      </w:r>
      <w:r w:rsidR="00C509B5" w:rsidRPr="002433F3">
        <w:rPr>
          <w:lang w:val="en-US"/>
        </w:rPr>
        <w:t xml:space="preserve">the </w:t>
      </w:r>
      <w:r w:rsidR="005C4D79" w:rsidRPr="002433F3">
        <w:rPr>
          <w:lang w:val="en-US"/>
        </w:rPr>
        <w:t>Inter-American Commission</w:t>
      </w:r>
      <w:r w:rsidR="00C509B5" w:rsidRPr="002433F3">
        <w:rPr>
          <w:lang w:val="en-US"/>
        </w:rPr>
        <w:t>,</w:t>
      </w:r>
      <w:r w:rsidR="005C4D79" w:rsidRPr="002433F3">
        <w:rPr>
          <w:lang w:val="en-US"/>
        </w:rPr>
        <w:t xml:space="preserve"> </w:t>
      </w:r>
      <w:r w:rsidR="00C509B5" w:rsidRPr="002433F3">
        <w:rPr>
          <w:lang w:val="en-US"/>
        </w:rPr>
        <w:t xml:space="preserve">pursuant to </w:t>
      </w:r>
      <w:r w:rsidR="005C4D79" w:rsidRPr="002433F3">
        <w:rPr>
          <w:lang w:val="en-US"/>
        </w:rPr>
        <w:t xml:space="preserve">Articles 44 or 45 of the Convention, </w:t>
      </w:r>
      <w:r w:rsidR="0011479A" w:rsidRPr="002433F3">
        <w:rPr>
          <w:lang w:val="en-US"/>
        </w:rPr>
        <w:t xml:space="preserve">is subject to </w:t>
      </w:r>
      <w:r w:rsidR="005C4D79" w:rsidRPr="002433F3">
        <w:rPr>
          <w:lang w:val="en-US"/>
        </w:rPr>
        <w:t xml:space="preserve">the </w:t>
      </w:r>
      <w:r w:rsidR="0011479A" w:rsidRPr="002433F3">
        <w:rPr>
          <w:lang w:val="en-US"/>
        </w:rPr>
        <w:t xml:space="preserve">requirement that the </w:t>
      </w:r>
      <w:r w:rsidR="005C4D79" w:rsidRPr="002433F3">
        <w:rPr>
          <w:lang w:val="en-US"/>
        </w:rPr>
        <w:t>remedies under domestic law have been pursued and exhausted</w:t>
      </w:r>
      <w:r w:rsidR="00B171A1" w:rsidRPr="002433F3">
        <w:rPr>
          <w:lang w:val="en-US"/>
        </w:rPr>
        <w:t>.</w:t>
      </w:r>
      <w:r w:rsidRPr="002433F3">
        <w:rPr>
          <w:lang w:val="en-US"/>
        </w:rPr>
        <w:t xml:space="preserve"> </w:t>
      </w:r>
      <w:r w:rsidR="00B171A1" w:rsidRPr="002433F3">
        <w:rPr>
          <w:lang w:val="en-US"/>
        </w:rPr>
        <w:t xml:space="preserve">This </w:t>
      </w:r>
      <w:r w:rsidRPr="002433F3">
        <w:rPr>
          <w:lang w:val="en-US"/>
        </w:rPr>
        <w:t xml:space="preserve">should be </w:t>
      </w:r>
      <w:r w:rsidR="0011479A" w:rsidRPr="002433F3">
        <w:rPr>
          <w:lang w:val="en-US"/>
        </w:rPr>
        <w:t xml:space="preserve">understood </w:t>
      </w:r>
      <w:r w:rsidR="005C4D79" w:rsidRPr="002433F3">
        <w:rPr>
          <w:lang w:val="en-US"/>
        </w:rPr>
        <w:t xml:space="preserve">to mean that </w:t>
      </w:r>
      <w:r w:rsidR="00301190" w:rsidRPr="002433F3">
        <w:rPr>
          <w:lang w:val="en-US"/>
        </w:rPr>
        <w:t xml:space="preserve">the </w:t>
      </w:r>
      <w:r w:rsidR="005C4D79" w:rsidRPr="002433F3">
        <w:rPr>
          <w:lang w:val="en-US"/>
        </w:rPr>
        <w:t xml:space="preserve">exhaustion of </w:t>
      </w:r>
      <w:r w:rsidR="00301190" w:rsidRPr="002433F3">
        <w:rPr>
          <w:lang w:val="en-US"/>
        </w:rPr>
        <w:t xml:space="preserve">domestic </w:t>
      </w:r>
      <w:r w:rsidR="005C4D79" w:rsidRPr="002433F3">
        <w:rPr>
          <w:lang w:val="en-US"/>
        </w:rPr>
        <w:t xml:space="preserve">remedies is required when deciding on the admissibility of the petition and not when </w:t>
      </w:r>
      <w:r w:rsidR="00301190" w:rsidRPr="002433F3">
        <w:rPr>
          <w:lang w:val="en-US"/>
        </w:rPr>
        <w:t xml:space="preserve">it </w:t>
      </w:r>
      <w:r w:rsidR="005C4D79" w:rsidRPr="002433F3">
        <w:rPr>
          <w:lang w:val="en-US"/>
        </w:rPr>
        <w:t>is lodged</w:t>
      </w:r>
      <w:r w:rsidRPr="002433F3">
        <w:rPr>
          <w:spacing w:val="-2"/>
          <w:lang w:val="en-US"/>
        </w:rPr>
        <w:t>.</w:t>
      </w:r>
      <w:r w:rsidRPr="002433F3">
        <w:rPr>
          <w:rStyle w:val="Refdenotaalpie"/>
          <w:spacing w:val="-2"/>
          <w:lang w:val="en-US"/>
        </w:rPr>
        <w:footnoteReference w:id="28"/>
      </w:r>
      <w:r w:rsidRPr="002433F3">
        <w:rPr>
          <w:spacing w:val="-2"/>
          <w:lang w:val="en-US"/>
        </w:rPr>
        <w:t xml:space="preserve"> </w:t>
      </w:r>
    </w:p>
    <w:p w14:paraId="08B03E23" w14:textId="77777777" w:rsidR="007B0DE4" w:rsidRPr="002433F3" w:rsidRDefault="005C4D79" w:rsidP="007B0DE4">
      <w:pPr>
        <w:numPr>
          <w:ilvl w:val="0"/>
          <w:numId w:val="2"/>
        </w:numPr>
        <w:spacing w:before="120" w:after="120"/>
        <w:rPr>
          <w:rFonts w:eastAsia="Verdana" w:cs="Verdana"/>
          <w:szCs w:val="20"/>
          <w:lang w:val="en-US"/>
        </w:rPr>
      </w:pPr>
      <w:r w:rsidRPr="002433F3">
        <w:rPr>
          <w:rFonts w:eastAsia="Verdana" w:cs="Verdana"/>
          <w:szCs w:val="20"/>
          <w:lang w:val="en-US"/>
        </w:rPr>
        <w:t>T</w:t>
      </w:r>
      <w:r w:rsidR="00B171A1" w:rsidRPr="002433F3">
        <w:rPr>
          <w:rFonts w:eastAsia="Verdana" w:cs="Verdana"/>
          <w:szCs w:val="20"/>
          <w:lang w:val="en-US"/>
        </w:rPr>
        <w:t>he</w:t>
      </w:r>
      <w:r w:rsidR="007B0DE4" w:rsidRPr="002433F3">
        <w:rPr>
          <w:rFonts w:eastAsia="Verdana" w:cs="Verdana"/>
          <w:szCs w:val="20"/>
          <w:lang w:val="en-US"/>
        </w:rPr>
        <w:t xml:space="preserve"> Court</w:t>
      </w:r>
      <w:r w:rsidR="007B0DE4" w:rsidRPr="002433F3">
        <w:rPr>
          <w:rFonts w:eastAsia="Verdana" w:cs="Verdana"/>
          <w:spacing w:val="12"/>
          <w:szCs w:val="20"/>
          <w:lang w:val="en-US"/>
        </w:rPr>
        <w:t xml:space="preserve"> </w:t>
      </w:r>
      <w:r w:rsidRPr="002433F3">
        <w:rPr>
          <w:rFonts w:eastAsia="Verdana" w:cs="Verdana"/>
          <w:spacing w:val="12"/>
          <w:szCs w:val="20"/>
          <w:lang w:val="en-US"/>
        </w:rPr>
        <w:t xml:space="preserve">also </w:t>
      </w:r>
      <w:r w:rsidR="007B0DE4" w:rsidRPr="002433F3">
        <w:rPr>
          <w:rFonts w:eastAsia="Verdana" w:cs="Verdana"/>
          <w:spacing w:val="1"/>
          <w:szCs w:val="20"/>
          <w:lang w:val="en-US"/>
        </w:rPr>
        <w:t>r</w:t>
      </w:r>
      <w:r w:rsidR="007B0DE4" w:rsidRPr="002433F3">
        <w:rPr>
          <w:rFonts w:eastAsia="Verdana" w:cs="Verdana"/>
          <w:spacing w:val="-1"/>
          <w:szCs w:val="20"/>
          <w:lang w:val="en-US"/>
        </w:rPr>
        <w:t>e</w:t>
      </w:r>
      <w:r w:rsidR="007B0DE4" w:rsidRPr="002433F3">
        <w:rPr>
          <w:rFonts w:eastAsia="Verdana" w:cs="Verdana"/>
          <w:szCs w:val="20"/>
          <w:lang w:val="en-US"/>
        </w:rPr>
        <w:t xml:space="preserve">calls </w:t>
      </w:r>
      <w:r w:rsidR="007B0DE4" w:rsidRPr="002433F3">
        <w:rPr>
          <w:rFonts w:eastAsia="Verdana" w:cs="Verdana"/>
          <w:spacing w:val="6"/>
          <w:szCs w:val="20"/>
          <w:lang w:val="en-US"/>
        </w:rPr>
        <w:t xml:space="preserve">that </w:t>
      </w:r>
      <w:r w:rsidR="007B0DE4" w:rsidRPr="002433F3">
        <w:rPr>
          <w:rFonts w:eastAsia="Verdana" w:cs="Verdana"/>
          <w:spacing w:val="10"/>
          <w:szCs w:val="20"/>
          <w:lang w:val="en-US"/>
        </w:rPr>
        <w:t xml:space="preserve">the </w:t>
      </w:r>
      <w:r w:rsidR="007B0DE4" w:rsidRPr="002433F3">
        <w:rPr>
          <w:rFonts w:eastAsia="Verdana" w:cs="Verdana"/>
          <w:spacing w:val="-1"/>
          <w:szCs w:val="20"/>
          <w:lang w:val="en-US"/>
        </w:rPr>
        <w:t xml:space="preserve">rule of </w:t>
      </w:r>
      <w:r w:rsidR="007B0DE4" w:rsidRPr="002433F3">
        <w:rPr>
          <w:rFonts w:eastAsia="Verdana" w:cs="Verdana"/>
          <w:spacing w:val="1"/>
          <w:szCs w:val="20"/>
          <w:lang w:val="en-US"/>
        </w:rPr>
        <w:t>p</w:t>
      </w:r>
      <w:r w:rsidR="007B0DE4" w:rsidRPr="002433F3">
        <w:rPr>
          <w:rFonts w:eastAsia="Verdana" w:cs="Verdana"/>
          <w:spacing w:val="-1"/>
          <w:szCs w:val="20"/>
          <w:lang w:val="en-US"/>
        </w:rPr>
        <w:t xml:space="preserve">rior </w:t>
      </w:r>
      <w:r w:rsidR="007B0DE4" w:rsidRPr="002433F3">
        <w:rPr>
          <w:rFonts w:eastAsia="Verdana" w:cs="Verdana"/>
          <w:szCs w:val="20"/>
          <w:lang w:val="en-US"/>
        </w:rPr>
        <w:t>exhaustion</w:t>
      </w:r>
      <w:r w:rsidR="007B0DE4" w:rsidRPr="002433F3">
        <w:rPr>
          <w:rFonts w:eastAsia="Verdana" w:cs="Verdana"/>
          <w:spacing w:val="1"/>
          <w:szCs w:val="20"/>
          <w:lang w:val="en-US"/>
        </w:rPr>
        <w:t xml:space="preserve"> of </w:t>
      </w:r>
      <w:r w:rsidR="007B0DE4" w:rsidRPr="002433F3">
        <w:rPr>
          <w:rFonts w:eastAsia="Verdana" w:cs="Verdana"/>
          <w:spacing w:val="11"/>
          <w:szCs w:val="20"/>
          <w:lang w:val="en-US"/>
        </w:rPr>
        <w:t>domestic remedies</w:t>
      </w:r>
      <w:r w:rsidR="007B0DE4" w:rsidRPr="002433F3">
        <w:rPr>
          <w:rFonts w:eastAsia="Verdana" w:cs="Verdana"/>
          <w:spacing w:val="8"/>
          <w:szCs w:val="20"/>
          <w:lang w:val="en-US"/>
        </w:rPr>
        <w:t xml:space="preserve"> </w:t>
      </w:r>
      <w:r w:rsidR="0011479A" w:rsidRPr="002433F3">
        <w:rPr>
          <w:lang w:val="en-US"/>
        </w:rPr>
        <w:t>was conceived in the interest</w:t>
      </w:r>
      <w:r w:rsidR="007B0DE4" w:rsidRPr="002433F3">
        <w:rPr>
          <w:lang w:val="en-US"/>
        </w:rPr>
        <w:t xml:space="preserve"> of the State, because it seeks to exempt it from responding before an international organ for acts it is accused of before it has had the opportunity to remedy them by its own means</w:t>
      </w:r>
      <w:r w:rsidR="007B0DE4" w:rsidRPr="002433F3">
        <w:rPr>
          <w:rFonts w:eastAsia="Verdana" w:cs="Verdana"/>
          <w:szCs w:val="20"/>
          <w:lang w:val="en-US"/>
        </w:rPr>
        <w:t>.</w:t>
      </w:r>
      <w:r w:rsidR="007B0DE4" w:rsidRPr="002433F3">
        <w:rPr>
          <w:rStyle w:val="Refdenotaalpie"/>
          <w:rFonts w:eastAsia="Verdana"/>
          <w:spacing w:val="3"/>
          <w:lang w:val="en-US"/>
        </w:rPr>
        <w:footnoteReference w:id="29"/>
      </w:r>
      <w:r w:rsidR="00733623" w:rsidRPr="002433F3">
        <w:rPr>
          <w:rFonts w:eastAsia="Verdana" w:cs="Verdana"/>
          <w:spacing w:val="4"/>
          <w:szCs w:val="20"/>
          <w:lang w:val="en-US"/>
        </w:rPr>
        <w:t xml:space="preserve"> </w:t>
      </w:r>
      <w:r w:rsidR="007B0DE4" w:rsidRPr="002433F3">
        <w:rPr>
          <w:rFonts w:eastAsia="Verdana" w:cs="Verdana"/>
          <w:spacing w:val="4"/>
          <w:szCs w:val="20"/>
          <w:lang w:val="en-US"/>
        </w:rPr>
        <w:t xml:space="preserve">This </w:t>
      </w:r>
      <w:r w:rsidR="00630DD9" w:rsidRPr="002433F3">
        <w:rPr>
          <w:rFonts w:eastAsia="Verdana" w:cs="Verdana"/>
          <w:spacing w:val="1"/>
          <w:szCs w:val="20"/>
          <w:lang w:val="en-US"/>
        </w:rPr>
        <w:t>not only</w:t>
      </w:r>
      <w:r w:rsidR="00630DD9" w:rsidRPr="002433F3">
        <w:rPr>
          <w:rFonts w:eastAsia="Verdana" w:cs="Verdana"/>
          <w:spacing w:val="9"/>
          <w:szCs w:val="20"/>
          <w:lang w:val="en-US"/>
        </w:rPr>
        <w:t xml:space="preserve"> implies </w:t>
      </w:r>
      <w:r w:rsidR="007B0DE4" w:rsidRPr="002433F3">
        <w:rPr>
          <w:rFonts w:eastAsia="Verdana" w:cs="Verdana"/>
          <w:spacing w:val="9"/>
          <w:szCs w:val="20"/>
          <w:lang w:val="en-US"/>
        </w:rPr>
        <w:t xml:space="preserve">that </w:t>
      </w:r>
      <w:r w:rsidR="0011479A" w:rsidRPr="002433F3">
        <w:rPr>
          <w:rFonts w:eastAsia="Verdana" w:cs="Verdana"/>
          <w:spacing w:val="9"/>
          <w:szCs w:val="20"/>
          <w:lang w:val="en-US"/>
        </w:rPr>
        <w:t xml:space="preserve">such </w:t>
      </w:r>
      <w:r w:rsidR="007B0DE4" w:rsidRPr="002433F3">
        <w:rPr>
          <w:rFonts w:eastAsia="Verdana" w:cs="Verdana"/>
          <w:spacing w:val="9"/>
          <w:szCs w:val="20"/>
          <w:lang w:val="en-US"/>
        </w:rPr>
        <w:t xml:space="preserve">remedies should exist formally, </w:t>
      </w:r>
      <w:r w:rsidR="007B0DE4" w:rsidRPr="002433F3">
        <w:rPr>
          <w:rFonts w:eastAsia="Verdana" w:cs="Verdana"/>
          <w:spacing w:val="4"/>
          <w:szCs w:val="20"/>
          <w:lang w:val="en-US"/>
        </w:rPr>
        <w:lastRenderedPageBreak/>
        <w:t xml:space="preserve">but </w:t>
      </w:r>
      <w:r w:rsidR="0011479A" w:rsidRPr="002433F3">
        <w:rPr>
          <w:rFonts w:eastAsia="Verdana" w:cs="Verdana"/>
          <w:spacing w:val="4"/>
          <w:szCs w:val="20"/>
          <w:lang w:val="en-US"/>
        </w:rPr>
        <w:t xml:space="preserve">also </w:t>
      </w:r>
      <w:r w:rsidR="007B0DE4" w:rsidRPr="002433F3">
        <w:rPr>
          <w:rFonts w:eastAsia="Verdana" w:cs="Verdana"/>
          <w:spacing w:val="4"/>
          <w:szCs w:val="20"/>
          <w:lang w:val="en-US"/>
        </w:rPr>
        <w:t xml:space="preserve">that they </w:t>
      </w:r>
      <w:r w:rsidR="007B0DE4" w:rsidRPr="002433F3">
        <w:rPr>
          <w:rFonts w:eastAsia="Verdana" w:cs="Verdana"/>
          <w:spacing w:val="9"/>
          <w:szCs w:val="20"/>
          <w:lang w:val="en-US"/>
        </w:rPr>
        <w:t xml:space="preserve">must </w:t>
      </w:r>
      <w:r w:rsidR="007B0DE4" w:rsidRPr="002433F3">
        <w:rPr>
          <w:rFonts w:eastAsia="Verdana" w:cs="Verdana"/>
          <w:spacing w:val="6"/>
          <w:szCs w:val="20"/>
          <w:lang w:val="en-US"/>
        </w:rPr>
        <w:t xml:space="preserve">be </w:t>
      </w:r>
      <w:r w:rsidR="007B0DE4" w:rsidRPr="002433F3">
        <w:rPr>
          <w:rFonts w:eastAsia="Verdana" w:cs="Verdana"/>
          <w:szCs w:val="20"/>
          <w:lang w:val="en-US"/>
        </w:rPr>
        <w:t>adequate</w:t>
      </w:r>
      <w:r w:rsidR="007B0DE4" w:rsidRPr="002433F3">
        <w:rPr>
          <w:rFonts w:eastAsia="Verdana" w:cs="Verdana"/>
          <w:spacing w:val="-3"/>
          <w:szCs w:val="20"/>
          <w:lang w:val="en-US"/>
        </w:rPr>
        <w:t xml:space="preserve"> and </w:t>
      </w:r>
      <w:r w:rsidR="007B0DE4" w:rsidRPr="002433F3">
        <w:rPr>
          <w:rFonts w:eastAsia="Verdana" w:cs="Verdana"/>
          <w:spacing w:val="-1"/>
          <w:szCs w:val="20"/>
          <w:lang w:val="en-US"/>
        </w:rPr>
        <w:t>effective</w:t>
      </w:r>
      <w:r w:rsidR="007B0DE4" w:rsidRPr="002433F3">
        <w:rPr>
          <w:rFonts w:eastAsia="Verdana" w:cs="Verdana"/>
          <w:szCs w:val="20"/>
          <w:lang w:val="en-US"/>
        </w:rPr>
        <w:t xml:space="preserve">, </w:t>
      </w:r>
      <w:r w:rsidR="003847B6" w:rsidRPr="002433F3">
        <w:rPr>
          <w:rFonts w:eastAsia="Verdana" w:cs="Verdana"/>
          <w:szCs w:val="20"/>
          <w:lang w:val="en-US"/>
        </w:rPr>
        <w:t>subject to the</w:t>
      </w:r>
      <w:r w:rsidR="007B0DE4" w:rsidRPr="002433F3">
        <w:rPr>
          <w:rFonts w:eastAsia="Verdana" w:cs="Verdana"/>
          <w:spacing w:val="6"/>
          <w:szCs w:val="20"/>
          <w:lang w:val="en-US"/>
        </w:rPr>
        <w:t xml:space="preserve"> exceptions</w:t>
      </w:r>
      <w:r w:rsidR="007B0DE4" w:rsidRPr="002433F3">
        <w:rPr>
          <w:rFonts w:eastAsia="Verdana" w:cs="Verdana"/>
          <w:spacing w:val="-2"/>
          <w:szCs w:val="20"/>
          <w:lang w:val="en-US"/>
        </w:rPr>
        <w:t xml:space="preserve"> </w:t>
      </w:r>
      <w:r w:rsidR="00733623" w:rsidRPr="002433F3">
        <w:rPr>
          <w:rFonts w:eastAsia="Verdana" w:cs="Verdana"/>
          <w:spacing w:val="-2"/>
          <w:szCs w:val="20"/>
          <w:lang w:val="en-US"/>
        </w:rPr>
        <w:t xml:space="preserve">established </w:t>
      </w:r>
      <w:r w:rsidR="007B0DE4" w:rsidRPr="002433F3">
        <w:rPr>
          <w:rFonts w:eastAsia="Verdana" w:cs="Verdana"/>
          <w:spacing w:val="-6"/>
          <w:szCs w:val="20"/>
          <w:lang w:val="en-US"/>
        </w:rPr>
        <w:t xml:space="preserve">in </w:t>
      </w:r>
      <w:r w:rsidR="007B0DE4" w:rsidRPr="002433F3">
        <w:rPr>
          <w:rFonts w:eastAsia="Verdana" w:cs="Verdana"/>
          <w:spacing w:val="9"/>
          <w:szCs w:val="20"/>
          <w:lang w:val="en-US"/>
        </w:rPr>
        <w:t>Article</w:t>
      </w:r>
      <w:r w:rsidR="007B0DE4" w:rsidRPr="002433F3">
        <w:rPr>
          <w:rFonts w:eastAsia="Verdana" w:cs="Verdana"/>
          <w:spacing w:val="1"/>
          <w:szCs w:val="20"/>
          <w:lang w:val="en-US"/>
        </w:rPr>
        <w:t xml:space="preserve"> </w:t>
      </w:r>
      <w:r w:rsidR="007B0DE4" w:rsidRPr="002433F3">
        <w:rPr>
          <w:rFonts w:eastAsia="Verdana" w:cs="Verdana"/>
          <w:szCs w:val="20"/>
          <w:lang w:val="en-US"/>
        </w:rPr>
        <w:t>4</w:t>
      </w:r>
      <w:r w:rsidR="007B0DE4" w:rsidRPr="002433F3">
        <w:rPr>
          <w:rFonts w:eastAsia="Verdana" w:cs="Verdana"/>
          <w:spacing w:val="1"/>
          <w:szCs w:val="20"/>
          <w:lang w:val="en-US"/>
        </w:rPr>
        <w:t>6</w:t>
      </w:r>
      <w:r w:rsidR="007B0DE4" w:rsidRPr="002433F3">
        <w:rPr>
          <w:rFonts w:eastAsia="Verdana" w:cs="Verdana"/>
          <w:szCs w:val="20"/>
          <w:lang w:val="en-US"/>
        </w:rPr>
        <w:t xml:space="preserve">(2) </w:t>
      </w:r>
      <w:r w:rsidR="007B0DE4" w:rsidRPr="002433F3">
        <w:rPr>
          <w:rFonts w:eastAsia="Verdana" w:cs="Verdana"/>
          <w:spacing w:val="1"/>
          <w:szCs w:val="20"/>
          <w:lang w:val="en-US"/>
        </w:rPr>
        <w:t xml:space="preserve">of the </w:t>
      </w:r>
      <w:r w:rsidR="007B0DE4" w:rsidRPr="002433F3">
        <w:rPr>
          <w:rFonts w:eastAsia="Verdana" w:cs="Verdana"/>
          <w:spacing w:val="2"/>
          <w:szCs w:val="20"/>
          <w:lang w:val="en-US"/>
        </w:rPr>
        <w:t>Convention.</w:t>
      </w:r>
      <w:r w:rsidR="007B0DE4" w:rsidRPr="002433F3">
        <w:rPr>
          <w:rStyle w:val="Refdenotaalpie"/>
          <w:rFonts w:eastAsia="Verdana"/>
          <w:spacing w:val="3"/>
          <w:lang w:val="en-US"/>
        </w:rPr>
        <w:footnoteReference w:id="30"/>
      </w:r>
      <w:r w:rsidR="007B0DE4" w:rsidRPr="002433F3">
        <w:rPr>
          <w:rFonts w:eastAsia="Verdana" w:cs="Verdana"/>
          <w:szCs w:val="20"/>
          <w:lang w:val="en-US"/>
        </w:rPr>
        <w:t xml:space="preserve"> </w:t>
      </w:r>
      <w:r w:rsidR="002D3604" w:rsidRPr="002433F3">
        <w:rPr>
          <w:rFonts w:eastAsia="Verdana" w:cs="Verdana"/>
          <w:szCs w:val="20"/>
          <w:lang w:val="en-US"/>
        </w:rPr>
        <w:t>Furthermore</w:t>
      </w:r>
      <w:r w:rsidR="003847B6" w:rsidRPr="002433F3">
        <w:rPr>
          <w:rFonts w:eastAsia="Verdana" w:cs="Verdana"/>
          <w:szCs w:val="20"/>
          <w:lang w:val="en-US"/>
        </w:rPr>
        <w:t xml:space="preserve">, the fact that the analysis of compliance with the requirement to exhaust domestic remedies is carried out according to the situation at the time of deciding on the admissibility of the petition, does not affect the </w:t>
      </w:r>
      <w:r w:rsidR="003847B6" w:rsidRPr="002433F3">
        <w:rPr>
          <w:lang w:val="en-US"/>
        </w:rPr>
        <w:t>complementary</w:t>
      </w:r>
      <w:r w:rsidR="007B0DE4" w:rsidRPr="002433F3">
        <w:rPr>
          <w:lang w:val="en-US"/>
        </w:rPr>
        <w:t xml:space="preserve"> nature of the inter-American system. To the contrary, if any domestic remedy is pending, the St</w:t>
      </w:r>
      <w:r w:rsidR="00630DD9" w:rsidRPr="002433F3">
        <w:rPr>
          <w:lang w:val="en-US"/>
        </w:rPr>
        <w:t>ate has an</w:t>
      </w:r>
      <w:r w:rsidR="007B0DE4" w:rsidRPr="002433F3">
        <w:rPr>
          <w:lang w:val="en-US"/>
        </w:rPr>
        <w:t xml:space="preserve"> opportunity to resolve the </w:t>
      </w:r>
      <w:r w:rsidR="003847B6" w:rsidRPr="002433F3">
        <w:rPr>
          <w:lang w:val="en-US"/>
        </w:rPr>
        <w:t xml:space="preserve">alleged </w:t>
      </w:r>
      <w:r w:rsidR="007B0DE4" w:rsidRPr="002433F3">
        <w:rPr>
          <w:lang w:val="en-US"/>
        </w:rPr>
        <w:t>situation during the admissibility stage</w:t>
      </w:r>
      <w:r w:rsidR="007B0DE4" w:rsidRPr="002433F3">
        <w:rPr>
          <w:spacing w:val="-2"/>
          <w:lang w:val="en-US"/>
        </w:rPr>
        <w:t>.</w:t>
      </w:r>
      <w:r w:rsidR="007B0DE4" w:rsidRPr="002433F3">
        <w:rPr>
          <w:rStyle w:val="Refdenotaalpie"/>
          <w:spacing w:val="-2"/>
          <w:lang w:val="en-US"/>
        </w:rPr>
        <w:footnoteReference w:id="31"/>
      </w:r>
      <w:r w:rsidR="007B0DE4" w:rsidRPr="002433F3">
        <w:rPr>
          <w:spacing w:val="-2"/>
          <w:lang w:val="en-US"/>
        </w:rPr>
        <w:t xml:space="preserve"> </w:t>
      </w:r>
    </w:p>
    <w:p w14:paraId="6C4C6EE6" w14:textId="77777777" w:rsidR="007B0DE4" w:rsidRPr="002433F3" w:rsidRDefault="00630DD9" w:rsidP="007B0DE4">
      <w:pPr>
        <w:numPr>
          <w:ilvl w:val="0"/>
          <w:numId w:val="2"/>
        </w:numPr>
        <w:spacing w:before="120" w:after="120"/>
        <w:rPr>
          <w:lang w:val="en-US"/>
        </w:rPr>
      </w:pPr>
      <w:r w:rsidRPr="002433F3">
        <w:rPr>
          <w:lang w:val="en-US"/>
        </w:rPr>
        <w:t xml:space="preserve">As </w:t>
      </w:r>
      <w:r w:rsidR="007B0DE4" w:rsidRPr="002433F3">
        <w:rPr>
          <w:lang w:val="en-US"/>
        </w:rPr>
        <w:t xml:space="preserve">to second argument </w:t>
      </w:r>
      <w:r w:rsidRPr="002433F3">
        <w:rPr>
          <w:lang w:val="en-US"/>
        </w:rPr>
        <w:t xml:space="preserve">concerning </w:t>
      </w:r>
      <w:r w:rsidR="007B0DE4" w:rsidRPr="002433F3">
        <w:rPr>
          <w:lang w:val="en-US"/>
        </w:rPr>
        <w:t xml:space="preserve">the preliminary objection </w:t>
      </w:r>
      <w:r w:rsidR="002D3604" w:rsidRPr="002433F3">
        <w:rPr>
          <w:lang w:val="en-US"/>
        </w:rPr>
        <w:t xml:space="preserve">related </w:t>
      </w:r>
      <w:r w:rsidR="007B0DE4" w:rsidRPr="002433F3">
        <w:rPr>
          <w:lang w:val="en-US"/>
        </w:rPr>
        <w:t>to the exhaustion of domestic remedies, the State indicated that between 2008 and 2010, Colombia’s domestic legislation changed and</w:t>
      </w:r>
      <w:r w:rsidR="002D3604" w:rsidRPr="002433F3">
        <w:rPr>
          <w:lang w:val="en-US"/>
        </w:rPr>
        <w:t>,</w:t>
      </w:r>
      <w:r w:rsidR="007B0DE4" w:rsidRPr="002433F3">
        <w:rPr>
          <w:lang w:val="en-US"/>
        </w:rPr>
        <w:t xml:space="preserve"> as a result, Mr. Duque could </w:t>
      </w:r>
      <w:r w:rsidRPr="002433F3">
        <w:rPr>
          <w:lang w:val="en-US"/>
        </w:rPr>
        <w:t xml:space="preserve">have </w:t>
      </w:r>
      <w:r w:rsidR="007B0DE4" w:rsidRPr="002433F3">
        <w:rPr>
          <w:lang w:val="en-US"/>
        </w:rPr>
        <w:t>avail</w:t>
      </w:r>
      <w:r w:rsidRPr="002433F3">
        <w:rPr>
          <w:lang w:val="en-US"/>
        </w:rPr>
        <w:t>ed</w:t>
      </w:r>
      <w:r w:rsidR="007B0DE4" w:rsidRPr="002433F3">
        <w:rPr>
          <w:lang w:val="en-US"/>
        </w:rPr>
        <w:t xml:space="preserve"> himself of an administrative remedy </w:t>
      </w:r>
      <w:r w:rsidR="002D3604" w:rsidRPr="002433F3">
        <w:rPr>
          <w:lang w:val="en-US"/>
        </w:rPr>
        <w:t>in relation to COLFONDOS and a</w:t>
      </w:r>
      <w:r w:rsidR="007B0DE4" w:rsidRPr="002433F3">
        <w:rPr>
          <w:lang w:val="en-US"/>
        </w:rPr>
        <w:t xml:space="preserve"> judicial </w:t>
      </w:r>
      <w:r w:rsidR="002D3604" w:rsidRPr="002433F3">
        <w:rPr>
          <w:lang w:val="en-US"/>
        </w:rPr>
        <w:t xml:space="preserve">remedy </w:t>
      </w:r>
      <w:r w:rsidR="007B0DE4" w:rsidRPr="002433F3">
        <w:rPr>
          <w:lang w:val="en-US"/>
        </w:rPr>
        <w:t xml:space="preserve">to ensure the protection of the rights </w:t>
      </w:r>
      <w:r w:rsidR="002D3604" w:rsidRPr="002433F3">
        <w:rPr>
          <w:lang w:val="en-US"/>
        </w:rPr>
        <w:t xml:space="preserve">that he </w:t>
      </w:r>
      <w:r w:rsidR="007B0DE4" w:rsidRPr="002433F3">
        <w:rPr>
          <w:lang w:val="en-US"/>
        </w:rPr>
        <w:t xml:space="preserve">considered </w:t>
      </w:r>
      <w:r w:rsidR="002D3604" w:rsidRPr="002433F3">
        <w:rPr>
          <w:lang w:val="en-US"/>
        </w:rPr>
        <w:t xml:space="preserve">had been </w:t>
      </w:r>
      <w:r w:rsidR="007B0DE4" w:rsidRPr="002433F3">
        <w:rPr>
          <w:lang w:val="en-US"/>
        </w:rPr>
        <w:t xml:space="preserve">violated at the domestic level. </w:t>
      </w:r>
    </w:p>
    <w:p w14:paraId="4B475182" w14:textId="77777777" w:rsidR="007B0DE4" w:rsidRPr="002433F3" w:rsidRDefault="00456B68" w:rsidP="007B0DE4">
      <w:pPr>
        <w:numPr>
          <w:ilvl w:val="0"/>
          <w:numId w:val="2"/>
        </w:numPr>
        <w:spacing w:before="120" w:after="120"/>
        <w:rPr>
          <w:lang w:val="en-US"/>
        </w:rPr>
      </w:pPr>
      <w:r w:rsidRPr="002433F3">
        <w:rPr>
          <w:lang w:val="en-US"/>
        </w:rPr>
        <w:t xml:space="preserve">Consequently, </w:t>
      </w:r>
      <w:r w:rsidR="000523B7" w:rsidRPr="002433F3">
        <w:rPr>
          <w:lang w:val="en-US"/>
        </w:rPr>
        <w:t xml:space="preserve">pursuant to </w:t>
      </w:r>
      <w:r w:rsidR="00630DD9" w:rsidRPr="002433F3">
        <w:rPr>
          <w:lang w:val="en-US"/>
        </w:rPr>
        <w:t xml:space="preserve">its </w:t>
      </w:r>
      <w:r w:rsidR="007B0DE4" w:rsidRPr="002433F3">
        <w:rPr>
          <w:lang w:val="en-US"/>
        </w:rPr>
        <w:t>case law</w:t>
      </w:r>
      <w:r w:rsidR="00630DD9" w:rsidRPr="002433F3">
        <w:rPr>
          <w:lang w:val="en-US"/>
        </w:rPr>
        <w:t xml:space="preserve">, this </w:t>
      </w:r>
      <w:r w:rsidR="007B0DE4" w:rsidRPr="002433F3">
        <w:rPr>
          <w:lang w:val="en-US"/>
        </w:rPr>
        <w:t xml:space="preserve">Court </w:t>
      </w:r>
      <w:r w:rsidR="00630DD9" w:rsidRPr="002433F3">
        <w:rPr>
          <w:lang w:val="en-US"/>
        </w:rPr>
        <w:t xml:space="preserve">must determine </w:t>
      </w:r>
      <w:r w:rsidR="000523B7" w:rsidRPr="002433F3">
        <w:rPr>
          <w:lang w:val="en-US"/>
        </w:rPr>
        <w:t>whether</w:t>
      </w:r>
      <w:r w:rsidR="00630DD9" w:rsidRPr="002433F3">
        <w:rPr>
          <w:lang w:val="en-US"/>
        </w:rPr>
        <w:t>, prior to the issuance</w:t>
      </w:r>
      <w:r w:rsidR="007B0DE4" w:rsidRPr="002433F3">
        <w:rPr>
          <w:lang w:val="en-US"/>
        </w:rPr>
        <w:t xml:space="preserve"> of the Admissibility Report on November 2, 2011, the Commission had </w:t>
      </w:r>
      <w:r w:rsidR="000523B7" w:rsidRPr="002433F3">
        <w:rPr>
          <w:lang w:val="en-US"/>
        </w:rPr>
        <w:t>an opportunity to</w:t>
      </w:r>
      <w:r w:rsidR="007B0DE4" w:rsidRPr="002433F3">
        <w:rPr>
          <w:lang w:val="en-US"/>
        </w:rPr>
        <w:t xml:space="preserve"> take into account the recent case law developments in Colombia which, acc</w:t>
      </w:r>
      <w:r w:rsidR="000523B7" w:rsidRPr="002433F3">
        <w:rPr>
          <w:lang w:val="en-US"/>
        </w:rPr>
        <w:t xml:space="preserve">ording to the State, had </w:t>
      </w:r>
      <w:r w:rsidR="007B0DE4" w:rsidRPr="002433F3">
        <w:rPr>
          <w:lang w:val="en-US"/>
        </w:rPr>
        <w:t xml:space="preserve">created remedies that had not been exhausted by Mr. Duque. </w:t>
      </w:r>
    </w:p>
    <w:p w14:paraId="0A0ECE0F" w14:textId="77777777" w:rsidR="007B0DE4" w:rsidRPr="002433F3" w:rsidRDefault="007B0DE4" w:rsidP="007B0DE4">
      <w:pPr>
        <w:numPr>
          <w:ilvl w:val="0"/>
          <w:numId w:val="2"/>
        </w:numPr>
        <w:spacing w:before="120" w:after="120"/>
        <w:rPr>
          <w:lang w:val="en-US"/>
        </w:rPr>
      </w:pPr>
      <w:r w:rsidRPr="002433F3">
        <w:rPr>
          <w:lang w:val="en-US"/>
        </w:rPr>
        <w:t xml:space="preserve">With respect to the foregoing, the Court confirms </w:t>
      </w:r>
      <w:r w:rsidR="0003359C" w:rsidRPr="002433F3">
        <w:rPr>
          <w:lang w:val="en-US"/>
        </w:rPr>
        <w:t xml:space="preserve">that the State referred to the </w:t>
      </w:r>
      <w:r w:rsidRPr="002433F3">
        <w:rPr>
          <w:lang w:val="en-US"/>
        </w:rPr>
        <w:t xml:space="preserve">case law of the Constitutional Court of Colombia in several judgments and indicated </w:t>
      </w:r>
      <w:r w:rsidR="009049F4" w:rsidRPr="002433F3">
        <w:rPr>
          <w:lang w:val="en-US"/>
        </w:rPr>
        <w:t>the effects</w:t>
      </w:r>
      <w:r w:rsidRPr="002433F3">
        <w:rPr>
          <w:lang w:val="en-US"/>
        </w:rPr>
        <w:t xml:space="preserve"> these would have had </w:t>
      </w:r>
      <w:r w:rsidR="0003359C" w:rsidRPr="002433F3">
        <w:rPr>
          <w:lang w:val="en-US"/>
        </w:rPr>
        <w:t xml:space="preserve">on </w:t>
      </w:r>
      <w:r w:rsidRPr="002433F3">
        <w:rPr>
          <w:lang w:val="en-US"/>
        </w:rPr>
        <w:t xml:space="preserve">domestic regulations concerning access to a survivor’s pension for </w:t>
      </w:r>
      <w:r w:rsidR="001716FB" w:rsidRPr="002433F3">
        <w:rPr>
          <w:lang w:val="en-US"/>
        </w:rPr>
        <w:t>same-sex couples</w:t>
      </w:r>
      <w:r w:rsidRPr="002433F3">
        <w:rPr>
          <w:lang w:val="en-US"/>
        </w:rPr>
        <w:t>.</w:t>
      </w:r>
      <w:r w:rsidRPr="002433F3">
        <w:rPr>
          <w:rStyle w:val="Refdenotaalpie"/>
          <w:lang w:val="en-US"/>
        </w:rPr>
        <w:footnoteReference w:id="32"/>
      </w:r>
      <w:r w:rsidRPr="002433F3">
        <w:rPr>
          <w:lang w:val="en-US"/>
        </w:rPr>
        <w:t xml:space="preserve"> Likewise, the Court </w:t>
      </w:r>
      <w:r w:rsidR="000523B7" w:rsidRPr="002433F3">
        <w:rPr>
          <w:lang w:val="en-US"/>
        </w:rPr>
        <w:t xml:space="preserve">notes </w:t>
      </w:r>
      <w:r w:rsidR="00E66D46" w:rsidRPr="002433F3">
        <w:rPr>
          <w:lang w:val="en-US"/>
        </w:rPr>
        <w:t xml:space="preserve">that during the </w:t>
      </w:r>
      <w:r w:rsidRPr="002433F3">
        <w:rPr>
          <w:lang w:val="en-US"/>
        </w:rPr>
        <w:t>proceeding</w:t>
      </w:r>
      <w:r w:rsidR="000523B7" w:rsidRPr="002433F3">
        <w:rPr>
          <w:lang w:val="en-US"/>
        </w:rPr>
        <w:t>s</w:t>
      </w:r>
      <w:r w:rsidRPr="002433F3">
        <w:rPr>
          <w:lang w:val="en-US"/>
        </w:rPr>
        <w:t xml:space="preserve"> before the Co</w:t>
      </w:r>
      <w:r w:rsidR="000523B7" w:rsidRPr="002433F3">
        <w:rPr>
          <w:lang w:val="en-US"/>
        </w:rPr>
        <w:t>mmission, and prior to the issuance</w:t>
      </w:r>
      <w:r w:rsidR="00E66D46" w:rsidRPr="002433F3">
        <w:rPr>
          <w:lang w:val="en-US"/>
        </w:rPr>
        <w:t xml:space="preserve"> of the</w:t>
      </w:r>
      <w:r w:rsidRPr="002433F3">
        <w:rPr>
          <w:lang w:val="en-US"/>
        </w:rPr>
        <w:t xml:space="preserve"> Merits Report, the State</w:t>
      </w:r>
      <w:r w:rsidR="00E66D46" w:rsidRPr="002433F3">
        <w:rPr>
          <w:lang w:val="en-US"/>
        </w:rPr>
        <w:t>,</w:t>
      </w:r>
      <w:r w:rsidRPr="002433F3">
        <w:rPr>
          <w:lang w:val="en-US"/>
        </w:rPr>
        <w:t xml:space="preserve"> </w:t>
      </w:r>
      <w:r w:rsidR="00E66D46" w:rsidRPr="002433F3">
        <w:rPr>
          <w:lang w:val="en-US"/>
        </w:rPr>
        <w:t>in a brief dated</w:t>
      </w:r>
      <w:r w:rsidRPr="002433F3">
        <w:rPr>
          <w:lang w:val="en-US"/>
        </w:rPr>
        <w:t xml:space="preserve"> July 8, 2009, </w:t>
      </w:r>
      <w:r w:rsidR="00E66D46" w:rsidRPr="002433F3">
        <w:rPr>
          <w:lang w:val="en-US"/>
        </w:rPr>
        <w:t xml:space="preserve">notified the Commission of the </w:t>
      </w:r>
      <w:r w:rsidRPr="002433F3">
        <w:rPr>
          <w:lang w:val="en-US"/>
        </w:rPr>
        <w:t xml:space="preserve">case law developments up </w:t>
      </w:r>
      <w:r w:rsidR="001716FB" w:rsidRPr="002433F3">
        <w:rPr>
          <w:lang w:val="en-US"/>
        </w:rPr>
        <w:t xml:space="preserve">to </w:t>
      </w:r>
      <w:r w:rsidRPr="002433F3">
        <w:rPr>
          <w:lang w:val="en-US"/>
        </w:rPr>
        <w:t xml:space="preserve">that moment, </w:t>
      </w:r>
      <w:r w:rsidR="00E66D46" w:rsidRPr="002433F3">
        <w:rPr>
          <w:lang w:val="en-US"/>
        </w:rPr>
        <w:t>referring specifically</w:t>
      </w:r>
      <w:r w:rsidR="00496462" w:rsidRPr="002433F3">
        <w:rPr>
          <w:lang w:val="en-US"/>
        </w:rPr>
        <w:t xml:space="preserve"> to j</w:t>
      </w:r>
      <w:r w:rsidRPr="002433F3">
        <w:rPr>
          <w:lang w:val="en-US"/>
        </w:rPr>
        <w:t xml:space="preserve">udgments C-075 of 2007, C-811 of 2007, C-336 of 2008, and T-1241 of 2008. Furthermore, when it adopted the Admissibility Report, the Commission </w:t>
      </w:r>
      <w:r w:rsidR="005C6858" w:rsidRPr="002433F3">
        <w:rPr>
          <w:lang w:val="en-US"/>
        </w:rPr>
        <w:t xml:space="preserve">was aware </w:t>
      </w:r>
      <w:r w:rsidRPr="002433F3">
        <w:rPr>
          <w:lang w:val="en-US"/>
        </w:rPr>
        <w:t xml:space="preserve">of another Constitutional Court </w:t>
      </w:r>
      <w:r w:rsidR="00E66D46" w:rsidRPr="002433F3">
        <w:rPr>
          <w:lang w:val="en-US"/>
        </w:rPr>
        <w:t xml:space="preserve">decision </w:t>
      </w:r>
      <w:r w:rsidRPr="002433F3">
        <w:rPr>
          <w:lang w:val="en-US"/>
        </w:rPr>
        <w:t xml:space="preserve">concerning </w:t>
      </w:r>
      <w:r w:rsidR="00E66D46" w:rsidRPr="002433F3">
        <w:rPr>
          <w:lang w:val="en-US"/>
        </w:rPr>
        <w:t xml:space="preserve">the </w:t>
      </w:r>
      <w:r w:rsidRPr="002433F3">
        <w:rPr>
          <w:lang w:val="en-US"/>
        </w:rPr>
        <w:t>survivor’s pension</w:t>
      </w:r>
      <w:r w:rsidR="00496462" w:rsidRPr="002433F3">
        <w:rPr>
          <w:lang w:val="en-US"/>
        </w:rPr>
        <w:t xml:space="preserve"> for same-sex couples, namely, j</w:t>
      </w:r>
      <w:r w:rsidRPr="002433F3">
        <w:rPr>
          <w:lang w:val="en-US"/>
        </w:rPr>
        <w:t xml:space="preserve">udgment T-911 of 2009. </w:t>
      </w:r>
      <w:r w:rsidR="005C6858" w:rsidRPr="002433F3">
        <w:rPr>
          <w:lang w:val="en-US"/>
        </w:rPr>
        <w:t>I</w:t>
      </w:r>
      <w:r w:rsidRPr="002433F3">
        <w:rPr>
          <w:lang w:val="en-US"/>
        </w:rPr>
        <w:t xml:space="preserve">n that Report, the Commission </w:t>
      </w:r>
      <w:r w:rsidR="00E66D46" w:rsidRPr="002433F3">
        <w:rPr>
          <w:lang w:val="en-US"/>
        </w:rPr>
        <w:t xml:space="preserve">also </w:t>
      </w:r>
      <w:r w:rsidRPr="002433F3">
        <w:rPr>
          <w:lang w:val="en-US"/>
        </w:rPr>
        <w:t xml:space="preserve">referred to the </w:t>
      </w:r>
      <w:r w:rsidR="00E66D46" w:rsidRPr="002433F3">
        <w:rPr>
          <w:lang w:val="en-US"/>
        </w:rPr>
        <w:t xml:space="preserve">State’s </w:t>
      </w:r>
      <w:r w:rsidRPr="002433F3">
        <w:rPr>
          <w:lang w:val="en-US"/>
        </w:rPr>
        <w:t xml:space="preserve">argument </w:t>
      </w:r>
      <w:r w:rsidR="00740C9B" w:rsidRPr="002433F3">
        <w:rPr>
          <w:lang w:val="en-US"/>
        </w:rPr>
        <w:t xml:space="preserve">according to </w:t>
      </w:r>
      <w:r w:rsidRPr="002433F3">
        <w:rPr>
          <w:lang w:val="en-US"/>
        </w:rPr>
        <w:t>which, following the Constitutional Court</w:t>
      </w:r>
      <w:r w:rsidR="00E66D46" w:rsidRPr="002433F3">
        <w:rPr>
          <w:lang w:val="en-US"/>
        </w:rPr>
        <w:t>’s d</w:t>
      </w:r>
      <w:r w:rsidR="00D21B02" w:rsidRPr="002433F3">
        <w:rPr>
          <w:lang w:val="en-US"/>
        </w:rPr>
        <w:t>ecisions</w:t>
      </w:r>
      <w:r w:rsidR="00496462" w:rsidRPr="002433F3">
        <w:rPr>
          <w:lang w:val="en-US"/>
        </w:rPr>
        <w:t xml:space="preserve"> in j</w:t>
      </w:r>
      <w:r w:rsidR="00E66D46" w:rsidRPr="002433F3">
        <w:rPr>
          <w:lang w:val="en-US"/>
        </w:rPr>
        <w:t>udgments</w:t>
      </w:r>
      <w:r w:rsidR="00D21B02" w:rsidRPr="002433F3">
        <w:rPr>
          <w:lang w:val="en-US"/>
        </w:rPr>
        <w:t xml:space="preserve"> </w:t>
      </w:r>
      <w:r w:rsidRPr="002433F3">
        <w:rPr>
          <w:lang w:val="en-US"/>
        </w:rPr>
        <w:t>C-336 and T-1241,</w:t>
      </w:r>
      <w:r w:rsidR="00E66D46" w:rsidRPr="002433F3">
        <w:rPr>
          <w:lang w:val="en-US"/>
        </w:rPr>
        <w:t xml:space="preserve"> it </w:t>
      </w:r>
      <w:r w:rsidR="00740C9B" w:rsidRPr="002433F3">
        <w:rPr>
          <w:lang w:val="en-US"/>
        </w:rPr>
        <w:t xml:space="preserve">stated </w:t>
      </w:r>
      <w:r w:rsidR="00E66D46" w:rsidRPr="002433F3">
        <w:rPr>
          <w:lang w:val="en-US"/>
        </w:rPr>
        <w:t xml:space="preserve">that </w:t>
      </w:r>
      <w:r w:rsidRPr="002433F3">
        <w:rPr>
          <w:lang w:val="en-US"/>
        </w:rPr>
        <w:t>“</w:t>
      </w:r>
      <w:r w:rsidR="00D21B02" w:rsidRPr="002433F3">
        <w:rPr>
          <w:lang w:val="en-US"/>
        </w:rPr>
        <w:t xml:space="preserve">a change occurred </w:t>
      </w:r>
      <w:r w:rsidRPr="002433F3">
        <w:rPr>
          <w:lang w:val="en-US"/>
        </w:rPr>
        <w:t xml:space="preserve">in the legal </w:t>
      </w:r>
      <w:r w:rsidR="00D93217" w:rsidRPr="002433F3">
        <w:rPr>
          <w:lang w:val="en-US"/>
        </w:rPr>
        <w:t xml:space="preserve">provisions </w:t>
      </w:r>
      <w:r w:rsidRPr="002433F3">
        <w:rPr>
          <w:lang w:val="en-US"/>
        </w:rPr>
        <w:t xml:space="preserve">that would have </w:t>
      </w:r>
      <w:r w:rsidR="00C20FF8" w:rsidRPr="002433F3">
        <w:rPr>
          <w:lang w:val="en-US"/>
        </w:rPr>
        <w:t xml:space="preserve">permitted </w:t>
      </w:r>
      <w:r w:rsidRPr="002433F3">
        <w:rPr>
          <w:lang w:val="en-US"/>
        </w:rPr>
        <w:t>the alleged victim to claim a survivor’s pension</w:t>
      </w:r>
      <w:r w:rsidR="00DE7097" w:rsidRPr="002433F3">
        <w:rPr>
          <w:lang w:val="en-US"/>
        </w:rPr>
        <w:t>.</w:t>
      </w:r>
      <w:r w:rsidRPr="002433F3">
        <w:rPr>
          <w:lang w:val="en-US"/>
        </w:rPr>
        <w:t xml:space="preserve">” However, in the same Report, </w:t>
      </w:r>
      <w:r w:rsidR="00C20FF8" w:rsidRPr="002433F3">
        <w:rPr>
          <w:lang w:val="en-US"/>
        </w:rPr>
        <w:t xml:space="preserve">the Commission added </w:t>
      </w:r>
      <w:r w:rsidR="00496462" w:rsidRPr="002433F3">
        <w:rPr>
          <w:lang w:val="en-US"/>
        </w:rPr>
        <w:t>that j</w:t>
      </w:r>
      <w:r w:rsidRPr="002433F3">
        <w:rPr>
          <w:lang w:val="en-US"/>
        </w:rPr>
        <w:t xml:space="preserve">udgment T-911 of 2009 established that “there must be </w:t>
      </w:r>
      <w:r w:rsidR="00C20FF8" w:rsidRPr="002433F3">
        <w:rPr>
          <w:lang w:val="en-US"/>
        </w:rPr>
        <w:t xml:space="preserve">a sufficient showing, by a statement before a notary, of the will of the deceased to form a </w:t>
      </w:r>
      <w:r w:rsidR="00C20FF8" w:rsidRPr="002433F3">
        <w:rPr>
          <w:i/>
          <w:lang w:val="en-US"/>
        </w:rPr>
        <w:t>de facto</w:t>
      </w:r>
      <w:r w:rsidR="00C20FF8" w:rsidRPr="002433F3">
        <w:rPr>
          <w:lang w:val="en-US"/>
        </w:rPr>
        <w:t xml:space="preserve"> marital </w:t>
      </w:r>
      <w:r w:rsidR="00C20FF8" w:rsidRPr="002433F3">
        <w:rPr>
          <w:lang w:val="en-US"/>
        </w:rPr>
        <w:lastRenderedPageBreak/>
        <w:t>union with the person who subsequently claims the right to the survivor’s pension</w:t>
      </w:r>
      <w:r w:rsidRPr="002433F3">
        <w:rPr>
          <w:lang w:val="en-US"/>
        </w:rPr>
        <w:t xml:space="preserve">” </w:t>
      </w:r>
      <w:r w:rsidR="00C20FF8" w:rsidRPr="002433F3">
        <w:rPr>
          <w:lang w:val="en-US"/>
        </w:rPr>
        <w:t xml:space="preserve">and that </w:t>
      </w:r>
      <w:r w:rsidRPr="002433F3">
        <w:rPr>
          <w:lang w:val="en-US"/>
        </w:rPr>
        <w:t>“</w:t>
      </w:r>
      <w:r w:rsidR="00C20FF8" w:rsidRPr="002433F3">
        <w:rPr>
          <w:lang w:val="en-US"/>
        </w:rPr>
        <w:t>it is not possible to bring a claim for the derivative effects of Judgment C-336 of 2008 with respect to situations consolidated before it was handed down</w:t>
      </w:r>
      <w:r w:rsidRPr="002433F3">
        <w:rPr>
          <w:lang w:val="en-US"/>
        </w:rPr>
        <w:t xml:space="preserve">.” </w:t>
      </w:r>
      <w:r w:rsidR="00740C9B" w:rsidRPr="002433F3">
        <w:rPr>
          <w:lang w:val="en-US"/>
        </w:rPr>
        <w:t>Consequently</w:t>
      </w:r>
      <w:r w:rsidR="003A2FC7" w:rsidRPr="002433F3">
        <w:rPr>
          <w:lang w:val="en-US"/>
        </w:rPr>
        <w:t>, the</w:t>
      </w:r>
      <w:r w:rsidR="005C6858" w:rsidRPr="002433F3">
        <w:rPr>
          <w:lang w:val="en-US"/>
        </w:rPr>
        <w:t xml:space="preserve"> Commission </w:t>
      </w:r>
      <w:r w:rsidRPr="002433F3">
        <w:rPr>
          <w:lang w:val="en-US"/>
        </w:rPr>
        <w:t xml:space="preserve">concluded that Mr. Duque </w:t>
      </w:r>
      <w:r w:rsidR="003A2FC7" w:rsidRPr="002433F3">
        <w:rPr>
          <w:lang w:val="en-US"/>
        </w:rPr>
        <w:t xml:space="preserve">was unable to </w:t>
      </w:r>
      <w:r w:rsidRPr="002433F3">
        <w:rPr>
          <w:lang w:val="en-US"/>
        </w:rPr>
        <w:t>benefit from those case law changes</w:t>
      </w:r>
      <w:r w:rsidR="003A2FC7" w:rsidRPr="002433F3">
        <w:rPr>
          <w:lang w:val="en-US"/>
        </w:rPr>
        <w:t xml:space="preserve"> because his</w:t>
      </w:r>
      <w:r w:rsidRPr="002433F3">
        <w:rPr>
          <w:lang w:val="en-US"/>
        </w:rPr>
        <w:t xml:space="preserve"> partner died in 2001.</w:t>
      </w:r>
    </w:p>
    <w:p w14:paraId="7503C327" w14:textId="77777777" w:rsidR="007B0DE4" w:rsidRPr="002433F3" w:rsidRDefault="007B0DE4" w:rsidP="007B0DE4">
      <w:pPr>
        <w:numPr>
          <w:ilvl w:val="0"/>
          <w:numId w:val="2"/>
        </w:numPr>
        <w:spacing w:before="120" w:after="120"/>
        <w:rPr>
          <w:lang w:val="en-US"/>
        </w:rPr>
      </w:pPr>
      <w:r w:rsidRPr="002433F3">
        <w:rPr>
          <w:lang w:val="en-US"/>
        </w:rPr>
        <w:t xml:space="preserve">There is no record </w:t>
      </w:r>
      <w:r w:rsidR="003A2FC7" w:rsidRPr="002433F3">
        <w:rPr>
          <w:lang w:val="en-US"/>
        </w:rPr>
        <w:t xml:space="preserve">that </w:t>
      </w:r>
      <w:r w:rsidRPr="002433F3">
        <w:rPr>
          <w:lang w:val="en-US"/>
        </w:rPr>
        <w:t>the State forwarded up</w:t>
      </w:r>
      <w:r w:rsidR="003A2FC7" w:rsidRPr="002433F3">
        <w:rPr>
          <w:lang w:val="en-US"/>
        </w:rPr>
        <w:t xml:space="preserve">-to-date </w:t>
      </w:r>
      <w:r w:rsidRPr="002433F3">
        <w:rPr>
          <w:lang w:val="en-US"/>
        </w:rPr>
        <w:t xml:space="preserve">information to the Commission </w:t>
      </w:r>
      <w:r w:rsidR="003A2FC7" w:rsidRPr="002433F3">
        <w:rPr>
          <w:lang w:val="en-US"/>
        </w:rPr>
        <w:t xml:space="preserve">after that report and </w:t>
      </w:r>
      <w:r w:rsidRPr="002433F3">
        <w:rPr>
          <w:lang w:val="en-US"/>
        </w:rPr>
        <w:t xml:space="preserve">prior to </w:t>
      </w:r>
      <w:r w:rsidR="00A60B37" w:rsidRPr="002433F3">
        <w:rPr>
          <w:lang w:val="en-US"/>
        </w:rPr>
        <w:t>the issu</w:t>
      </w:r>
      <w:r w:rsidR="00A73E37" w:rsidRPr="002433F3">
        <w:rPr>
          <w:lang w:val="en-US"/>
        </w:rPr>
        <w:t xml:space="preserve">ance </w:t>
      </w:r>
      <w:r w:rsidR="00A60B37" w:rsidRPr="002433F3">
        <w:rPr>
          <w:lang w:val="en-US"/>
        </w:rPr>
        <w:t xml:space="preserve">of the </w:t>
      </w:r>
      <w:r w:rsidRPr="002433F3">
        <w:rPr>
          <w:lang w:val="en-US"/>
        </w:rPr>
        <w:t>Admissibili</w:t>
      </w:r>
      <w:r w:rsidR="003A2FC7" w:rsidRPr="002433F3">
        <w:rPr>
          <w:lang w:val="en-US"/>
        </w:rPr>
        <w:t xml:space="preserve">ty Report in November of 2011, </w:t>
      </w:r>
      <w:r w:rsidRPr="002433F3">
        <w:rPr>
          <w:lang w:val="en-US"/>
        </w:rPr>
        <w:t xml:space="preserve">or that </w:t>
      </w:r>
      <w:r w:rsidR="003A2FC7" w:rsidRPr="002433F3">
        <w:rPr>
          <w:lang w:val="en-US"/>
        </w:rPr>
        <w:t xml:space="preserve">the Commission had </w:t>
      </w:r>
      <w:r w:rsidR="00A73E37" w:rsidRPr="002433F3">
        <w:rPr>
          <w:lang w:val="en-US"/>
        </w:rPr>
        <w:t xml:space="preserve">any </w:t>
      </w:r>
      <w:r w:rsidR="003A2FC7" w:rsidRPr="002433F3">
        <w:rPr>
          <w:lang w:val="en-US"/>
        </w:rPr>
        <w:t>knowledge of th</w:t>
      </w:r>
      <w:r w:rsidRPr="002433F3">
        <w:rPr>
          <w:lang w:val="en-US"/>
        </w:rPr>
        <w:t>e Constitutional Court</w:t>
      </w:r>
      <w:r w:rsidR="008E2014" w:rsidRPr="002433F3">
        <w:rPr>
          <w:lang w:val="en-US"/>
        </w:rPr>
        <w:t>’s</w:t>
      </w:r>
      <w:r w:rsidRPr="002433F3">
        <w:rPr>
          <w:lang w:val="en-US"/>
        </w:rPr>
        <w:t xml:space="preserve"> </w:t>
      </w:r>
      <w:r w:rsidR="008E2014" w:rsidRPr="002433F3">
        <w:rPr>
          <w:lang w:val="en-US"/>
        </w:rPr>
        <w:t xml:space="preserve">decisions in </w:t>
      </w:r>
      <w:r w:rsidRPr="002433F3">
        <w:rPr>
          <w:lang w:val="en-US"/>
        </w:rPr>
        <w:t xml:space="preserve">2010 and 2011. </w:t>
      </w:r>
      <w:r w:rsidR="003A2FC7" w:rsidRPr="002433F3">
        <w:rPr>
          <w:lang w:val="en-US"/>
        </w:rPr>
        <w:t>Indeed</w:t>
      </w:r>
      <w:r w:rsidRPr="002433F3">
        <w:rPr>
          <w:lang w:val="en-US"/>
        </w:rPr>
        <w:t xml:space="preserve">, Admissibility Report N° </w:t>
      </w:r>
      <w:r w:rsidR="00A73E37" w:rsidRPr="002433F3">
        <w:rPr>
          <w:lang w:val="en-US"/>
        </w:rPr>
        <w:t>150/11 only refers to d</w:t>
      </w:r>
      <w:r w:rsidR="003A2FC7" w:rsidRPr="002433F3">
        <w:rPr>
          <w:lang w:val="en-US"/>
        </w:rPr>
        <w:t xml:space="preserve">ecisions issued </w:t>
      </w:r>
      <w:r w:rsidRPr="002433F3">
        <w:rPr>
          <w:lang w:val="en-US"/>
        </w:rPr>
        <w:t xml:space="preserve">prior to those years, information that the State itself emphasized when </w:t>
      </w:r>
      <w:r w:rsidR="003A2FC7" w:rsidRPr="002433F3">
        <w:rPr>
          <w:lang w:val="en-US"/>
        </w:rPr>
        <w:t xml:space="preserve">it pointed out </w:t>
      </w:r>
      <w:r w:rsidRPr="002433F3">
        <w:rPr>
          <w:lang w:val="en-US"/>
        </w:rPr>
        <w:t>that Judgment T-051 of 2010 “was brought to the attention of the [Commission] after the issuance of the Admissibility Report.”</w:t>
      </w:r>
      <w:r w:rsidRPr="002433F3">
        <w:rPr>
          <w:rStyle w:val="Refdenotaalpie"/>
          <w:lang w:val="en-US"/>
        </w:rPr>
        <w:footnoteReference w:id="33"/>
      </w:r>
      <w:r w:rsidRPr="002433F3">
        <w:rPr>
          <w:lang w:val="en-US"/>
        </w:rPr>
        <w:t xml:space="preserve"> Similarly, the State indicated that “prior to the Admissibility Report issued by the […] Commission, </w:t>
      </w:r>
      <w:r w:rsidR="001314D1" w:rsidRPr="002433F3">
        <w:rPr>
          <w:lang w:val="en-US"/>
        </w:rPr>
        <w:t xml:space="preserve">there was no </w:t>
      </w:r>
      <w:r w:rsidR="00496462" w:rsidRPr="002433F3">
        <w:rPr>
          <w:lang w:val="en-US"/>
        </w:rPr>
        <w:t xml:space="preserve">order </w:t>
      </w:r>
      <w:r w:rsidR="001314D1" w:rsidRPr="002433F3">
        <w:rPr>
          <w:lang w:val="en-US"/>
        </w:rPr>
        <w:t>requir</w:t>
      </w:r>
      <w:r w:rsidR="00496462" w:rsidRPr="002433F3">
        <w:rPr>
          <w:lang w:val="en-US"/>
        </w:rPr>
        <w:t xml:space="preserve">ing </w:t>
      </w:r>
      <w:r w:rsidR="004C3F2F" w:rsidRPr="002433F3">
        <w:rPr>
          <w:lang w:val="en-US"/>
        </w:rPr>
        <w:t xml:space="preserve">the State to </w:t>
      </w:r>
      <w:r w:rsidR="00496462" w:rsidRPr="002433F3">
        <w:rPr>
          <w:lang w:val="en-US"/>
        </w:rPr>
        <w:t>introduce j</w:t>
      </w:r>
      <w:r w:rsidRPr="002433F3">
        <w:rPr>
          <w:lang w:val="en-US"/>
        </w:rPr>
        <w:t xml:space="preserve">udgment T-051 of 2010 </w:t>
      </w:r>
      <w:r w:rsidR="004C3F2F" w:rsidRPr="002433F3">
        <w:rPr>
          <w:lang w:val="en-US"/>
        </w:rPr>
        <w:t>in</w:t>
      </w:r>
      <w:r w:rsidRPr="002433F3">
        <w:rPr>
          <w:lang w:val="en-US"/>
        </w:rPr>
        <w:t xml:space="preserve">to these international proceedings.” </w:t>
      </w:r>
    </w:p>
    <w:p w14:paraId="2C62A7BB" w14:textId="77777777" w:rsidR="007B0DE4" w:rsidRPr="002433F3" w:rsidRDefault="00F6762E" w:rsidP="007B0DE4">
      <w:pPr>
        <w:numPr>
          <w:ilvl w:val="0"/>
          <w:numId w:val="2"/>
        </w:numPr>
        <w:spacing w:before="120" w:after="120"/>
        <w:rPr>
          <w:lang w:val="en-US"/>
        </w:rPr>
      </w:pPr>
      <w:r w:rsidRPr="002433F3">
        <w:rPr>
          <w:lang w:val="en-US"/>
        </w:rPr>
        <w:t xml:space="preserve">In addition, </w:t>
      </w:r>
      <w:r w:rsidR="007B0DE4" w:rsidRPr="002433F3">
        <w:rPr>
          <w:lang w:val="en-US"/>
        </w:rPr>
        <w:t xml:space="preserve">in its </w:t>
      </w:r>
      <w:r w:rsidR="004C3F2F" w:rsidRPr="002433F3">
        <w:rPr>
          <w:lang w:val="en-US"/>
        </w:rPr>
        <w:t>answering brief to</w:t>
      </w:r>
      <w:r w:rsidR="007B0DE4" w:rsidRPr="002433F3">
        <w:rPr>
          <w:lang w:val="en-US"/>
        </w:rPr>
        <w:t xml:space="preserve"> </w:t>
      </w:r>
      <w:r w:rsidR="004C3F2F" w:rsidRPr="002433F3">
        <w:rPr>
          <w:lang w:val="en-US"/>
        </w:rPr>
        <w:t xml:space="preserve">the </w:t>
      </w:r>
      <w:r w:rsidR="007B0DE4" w:rsidRPr="002433F3">
        <w:rPr>
          <w:lang w:val="en-US"/>
        </w:rPr>
        <w:t>submi</w:t>
      </w:r>
      <w:r w:rsidR="004C3F2F" w:rsidRPr="002433F3">
        <w:rPr>
          <w:lang w:val="en-US"/>
        </w:rPr>
        <w:t xml:space="preserve">ssion of </w:t>
      </w:r>
      <w:r w:rsidR="007B0DE4" w:rsidRPr="002433F3">
        <w:rPr>
          <w:lang w:val="en-US"/>
        </w:rPr>
        <w:t xml:space="preserve">the case, the State </w:t>
      </w:r>
      <w:r w:rsidR="004C3F2F" w:rsidRPr="002433F3">
        <w:rPr>
          <w:lang w:val="en-US"/>
        </w:rPr>
        <w:t xml:space="preserve">pointed out </w:t>
      </w:r>
      <w:r w:rsidR="007B0DE4" w:rsidRPr="002433F3">
        <w:rPr>
          <w:lang w:val="en-US"/>
        </w:rPr>
        <w:t xml:space="preserve">that the case law developments </w:t>
      </w:r>
      <w:r w:rsidR="004C3F2F" w:rsidRPr="002433F3">
        <w:rPr>
          <w:lang w:val="en-US"/>
        </w:rPr>
        <w:t xml:space="preserve">stemming </w:t>
      </w:r>
      <w:r w:rsidRPr="002433F3">
        <w:rPr>
          <w:lang w:val="en-US"/>
        </w:rPr>
        <w:t>from j</w:t>
      </w:r>
      <w:r w:rsidR="007B0DE4" w:rsidRPr="002433F3">
        <w:rPr>
          <w:lang w:val="en-US"/>
        </w:rPr>
        <w:t>udgment C-336 of 2008</w:t>
      </w:r>
      <w:r w:rsidR="00A42F07" w:rsidRPr="002433F3">
        <w:rPr>
          <w:lang w:val="en-US"/>
        </w:rPr>
        <w:t xml:space="preserve"> which</w:t>
      </w:r>
      <w:r w:rsidR="007B0DE4" w:rsidRPr="002433F3">
        <w:rPr>
          <w:lang w:val="en-US"/>
        </w:rPr>
        <w:t>, it argued</w:t>
      </w:r>
      <w:r w:rsidR="00A42F07" w:rsidRPr="002433F3">
        <w:rPr>
          <w:lang w:val="en-US"/>
        </w:rPr>
        <w:t>,</w:t>
      </w:r>
      <w:r w:rsidR="007B0DE4" w:rsidRPr="002433F3">
        <w:rPr>
          <w:lang w:val="en-US"/>
        </w:rPr>
        <w:t xml:space="preserve"> were consolidated </w:t>
      </w:r>
      <w:r w:rsidR="00A42F07" w:rsidRPr="002433F3">
        <w:rPr>
          <w:lang w:val="en-US"/>
        </w:rPr>
        <w:t xml:space="preserve">in </w:t>
      </w:r>
      <w:r w:rsidRPr="002433F3">
        <w:rPr>
          <w:lang w:val="en-US"/>
        </w:rPr>
        <w:t>j</w:t>
      </w:r>
      <w:r w:rsidR="007B0DE4" w:rsidRPr="002433F3">
        <w:rPr>
          <w:lang w:val="en-US"/>
        </w:rPr>
        <w:t xml:space="preserve">udgment T-051 of 2010, </w:t>
      </w:r>
      <w:r w:rsidR="00A42F07" w:rsidRPr="002433F3">
        <w:rPr>
          <w:lang w:val="en-US"/>
        </w:rPr>
        <w:t xml:space="preserve">were subsequent to the </w:t>
      </w:r>
      <w:r w:rsidR="007B0DE4" w:rsidRPr="002433F3">
        <w:rPr>
          <w:lang w:val="en-US"/>
        </w:rPr>
        <w:t xml:space="preserve">facts </w:t>
      </w:r>
      <w:r w:rsidR="008E2014" w:rsidRPr="002433F3">
        <w:rPr>
          <w:lang w:val="en-US"/>
        </w:rPr>
        <w:t xml:space="preserve">of this case </w:t>
      </w:r>
      <w:r w:rsidR="007B0DE4" w:rsidRPr="002433F3">
        <w:rPr>
          <w:lang w:val="en-US"/>
        </w:rPr>
        <w:t xml:space="preserve">and </w:t>
      </w:r>
      <w:r w:rsidR="00A42F07" w:rsidRPr="002433F3">
        <w:rPr>
          <w:lang w:val="en-US"/>
        </w:rPr>
        <w:t xml:space="preserve">to the </w:t>
      </w:r>
      <w:r w:rsidR="00496462" w:rsidRPr="002433F3">
        <w:rPr>
          <w:lang w:val="en-US"/>
        </w:rPr>
        <w:t xml:space="preserve">filing </w:t>
      </w:r>
      <w:r w:rsidR="007B0DE4" w:rsidRPr="002433F3">
        <w:rPr>
          <w:lang w:val="en-US"/>
        </w:rPr>
        <w:t>of the petition. However, the</w:t>
      </w:r>
      <w:r w:rsidR="00A42F07" w:rsidRPr="002433F3">
        <w:rPr>
          <w:lang w:val="en-US"/>
        </w:rPr>
        <w:t xml:space="preserve">y </w:t>
      </w:r>
      <w:r w:rsidRPr="002433F3">
        <w:rPr>
          <w:lang w:val="en-US"/>
        </w:rPr>
        <w:t xml:space="preserve">took place </w:t>
      </w:r>
      <w:r w:rsidR="008E2014" w:rsidRPr="002433F3">
        <w:rPr>
          <w:lang w:val="en-US"/>
        </w:rPr>
        <w:t>prior to the issuance</w:t>
      </w:r>
      <w:r w:rsidR="007B0DE4" w:rsidRPr="002433F3">
        <w:rPr>
          <w:lang w:val="en-US"/>
        </w:rPr>
        <w:t xml:space="preserve"> of the Admissibility Report. </w:t>
      </w:r>
      <w:r w:rsidR="00A42F07" w:rsidRPr="002433F3">
        <w:rPr>
          <w:lang w:val="en-US"/>
        </w:rPr>
        <w:t xml:space="preserve">It also </w:t>
      </w:r>
      <w:r w:rsidRPr="002433F3">
        <w:rPr>
          <w:lang w:val="en-US"/>
        </w:rPr>
        <w:t xml:space="preserve">pointed out </w:t>
      </w:r>
      <w:r w:rsidR="007B0DE4" w:rsidRPr="002433F3">
        <w:rPr>
          <w:lang w:val="en-US"/>
        </w:rPr>
        <w:t xml:space="preserve">that “the </w:t>
      </w:r>
      <w:r w:rsidR="002F797B" w:rsidRPr="002433F3">
        <w:rPr>
          <w:lang w:val="en-US"/>
        </w:rPr>
        <w:t xml:space="preserve">principal </w:t>
      </w:r>
      <w:r w:rsidR="001314D1" w:rsidRPr="002433F3">
        <w:rPr>
          <w:lang w:val="en-US"/>
        </w:rPr>
        <w:t xml:space="preserve">wrongful </w:t>
      </w:r>
      <w:r w:rsidR="007B0DE4" w:rsidRPr="002433F3">
        <w:rPr>
          <w:lang w:val="en-US"/>
        </w:rPr>
        <w:t>act</w:t>
      </w:r>
      <w:r w:rsidR="00D1657C" w:rsidRPr="002433F3">
        <w:rPr>
          <w:lang w:val="en-US"/>
        </w:rPr>
        <w:t xml:space="preserve"> ceased with j</w:t>
      </w:r>
      <w:r w:rsidR="007B0DE4" w:rsidRPr="002433F3">
        <w:rPr>
          <w:lang w:val="en-US"/>
        </w:rPr>
        <w:t xml:space="preserve">udgment C-336 of 2008 of the Constitutional Court </w:t>
      </w:r>
      <w:r w:rsidR="00A42F07" w:rsidRPr="002433F3">
        <w:rPr>
          <w:lang w:val="en-US"/>
        </w:rPr>
        <w:t xml:space="preserve">and, </w:t>
      </w:r>
      <w:r w:rsidR="007B0DE4" w:rsidRPr="002433F3">
        <w:rPr>
          <w:lang w:val="en-US"/>
        </w:rPr>
        <w:t xml:space="preserve">although some effects of the internationally wrongful act persisted, </w:t>
      </w:r>
      <w:r w:rsidR="00D1657C" w:rsidRPr="002433F3">
        <w:rPr>
          <w:lang w:val="en-US"/>
        </w:rPr>
        <w:t>these also disappeared with j</w:t>
      </w:r>
      <w:r w:rsidR="007B0DE4" w:rsidRPr="002433F3">
        <w:rPr>
          <w:lang w:val="en-US"/>
        </w:rPr>
        <w:t>udgment T-051 of 2010</w:t>
      </w:r>
      <w:r w:rsidR="00A42F07" w:rsidRPr="002433F3">
        <w:rPr>
          <w:lang w:val="en-US"/>
        </w:rPr>
        <w:t>, which</w:t>
      </w:r>
      <w:r w:rsidR="007B0DE4" w:rsidRPr="002433F3">
        <w:rPr>
          <w:lang w:val="en-US"/>
        </w:rPr>
        <w:t xml:space="preserve"> consolidated the case law precedent</w:t>
      </w:r>
      <w:r w:rsidR="00A42F07" w:rsidRPr="002433F3">
        <w:rPr>
          <w:lang w:val="en-US"/>
        </w:rPr>
        <w:t>s</w:t>
      </w:r>
      <w:r w:rsidR="007B0DE4" w:rsidRPr="002433F3">
        <w:rPr>
          <w:lang w:val="en-US"/>
        </w:rPr>
        <w:t xml:space="preserve"> for the protection of </w:t>
      </w:r>
      <w:r w:rsidR="00A42F07" w:rsidRPr="002433F3">
        <w:rPr>
          <w:lang w:val="en-US"/>
        </w:rPr>
        <w:t xml:space="preserve">same-sex couples’ </w:t>
      </w:r>
      <w:r w:rsidR="007B0DE4" w:rsidRPr="002433F3">
        <w:rPr>
          <w:lang w:val="en-US"/>
        </w:rPr>
        <w:t xml:space="preserve">pension rights.” </w:t>
      </w:r>
      <w:r w:rsidR="00A42F07" w:rsidRPr="002433F3">
        <w:rPr>
          <w:lang w:val="en-US"/>
        </w:rPr>
        <w:t>Similarly</w:t>
      </w:r>
      <w:r w:rsidR="007B0DE4" w:rsidRPr="002433F3">
        <w:rPr>
          <w:lang w:val="en-US"/>
        </w:rPr>
        <w:t xml:space="preserve">, </w:t>
      </w:r>
      <w:r w:rsidR="00A42F07" w:rsidRPr="002433F3">
        <w:rPr>
          <w:lang w:val="en-US"/>
        </w:rPr>
        <w:t xml:space="preserve">it </w:t>
      </w:r>
      <w:r w:rsidR="007B0DE4" w:rsidRPr="002433F3">
        <w:rPr>
          <w:lang w:val="en-US"/>
        </w:rPr>
        <w:t>a</w:t>
      </w:r>
      <w:r w:rsidR="00A42F07" w:rsidRPr="002433F3">
        <w:rPr>
          <w:lang w:val="en-US"/>
        </w:rPr>
        <w:t xml:space="preserve">rgued </w:t>
      </w:r>
      <w:r w:rsidR="007B0DE4" w:rsidRPr="002433F3">
        <w:rPr>
          <w:lang w:val="en-US"/>
        </w:rPr>
        <w:t xml:space="preserve">that the effects of the </w:t>
      </w:r>
      <w:r w:rsidR="00A42F07" w:rsidRPr="002433F3">
        <w:rPr>
          <w:lang w:val="en-US"/>
        </w:rPr>
        <w:t xml:space="preserve">wrongful </w:t>
      </w:r>
      <w:r w:rsidR="007B0DE4" w:rsidRPr="002433F3">
        <w:rPr>
          <w:lang w:val="en-US"/>
        </w:rPr>
        <w:t xml:space="preserve">act were only fully </w:t>
      </w:r>
      <w:r w:rsidR="00496462" w:rsidRPr="002433F3">
        <w:rPr>
          <w:lang w:val="en-US"/>
        </w:rPr>
        <w:t xml:space="preserve">resolved </w:t>
      </w:r>
      <w:r w:rsidR="007B0DE4" w:rsidRPr="002433F3">
        <w:rPr>
          <w:lang w:val="en-US"/>
        </w:rPr>
        <w:t>after the issu</w:t>
      </w:r>
      <w:r w:rsidR="008E2014" w:rsidRPr="002433F3">
        <w:rPr>
          <w:lang w:val="en-US"/>
        </w:rPr>
        <w:t xml:space="preserve">ance </w:t>
      </w:r>
      <w:r w:rsidR="00D32328" w:rsidRPr="002433F3">
        <w:rPr>
          <w:lang w:val="en-US"/>
        </w:rPr>
        <w:t>of j</w:t>
      </w:r>
      <w:r w:rsidR="007B0DE4" w:rsidRPr="002433F3">
        <w:rPr>
          <w:lang w:val="en-US"/>
        </w:rPr>
        <w:t xml:space="preserve">udgment T-051 of 2010. </w:t>
      </w:r>
      <w:r w:rsidR="00FB5ED6" w:rsidRPr="002433F3">
        <w:rPr>
          <w:lang w:val="en-US"/>
        </w:rPr>
        <w:t>T</w:t>
      </w:r>
      <w:r w:rsidR="007B0DE4" w:rsidRPr="002433F3">
        <w:rPr>
          <w:lang w:val="en-US"/>
        </w:rPr>
        <w:t>he Commission confirmed that the State’s argument regarding failure to exhaust domestic remedies “focused</w:t>
      </w:r>
      <w:r w:rsidR="00A42F07" w:rsidRPr="002433F3">
        <w:rPr>
          <w:lang w:val="en-US"/>
        </w:rPr>
        <w:t xml:space="preserve"> on the fact that </w:t>
      </w:r>
      <w:r w:rsidR="00D32328" w:rsidRPr="002433F3">
        <w:rPr>
          <w:lang w:val="en-US"/>
        </w:rPr>
        <w:t>j</w:t>
      </w:r>
      <w:r w:rsidR="007B0DE4" w:rsidRPr="002433F3">
        <w:rPr>
          <w:lang w:val="en-US"/>
        </w:rPr>
        <w:t xml:space="preserve">udgment T-051 of 2010 </w:t>
      </w:r>
      <w:r w:rsidR="00D1657C" w:rsidRPr="002433F3">
        <w:rPr>
          <w:lang w:val="en-US"/>
        </w:rPr>
        <w:t xml:space="preserve">modified </w:t>
      </w:r>
      <w:r w:rsidR="007B0DE4" w:rsidRPr="002433F3">
        <w:rPr>
          <w:lang w:val="en-US"/>
        </w:rPr>
        <w:t xml:space="preserve">the </w:t>
      </w:r>
      <w:r w:rsidR="001314D1" w:rsidRPr="002433F3">
        <w:rPr>
          <w:lang w:val="en-US"/>
        </w:rPr>
        <w:t>legal provisions that prevented the</w:t>
      </w:r>
      <w:r w:rsidR="00D1657C" w:rsidRPr="002433F3">
        <w:rPr>
          <w:lang w:val="en-US"/>
        </w:rPr>
        <w:t xml:space="preserve"> application of j</w:t>
      </w:r>
      <w:r w:rsidR="007B0DE4" w:rsidRPr="002433F3">
        <w:rPr>
          <w:lang w:val="en-US"/>
        </w:rPr>
        <w:t xml:space="preserve">udgment C-336 of 2008 in cases where the </w:t>
      </w:r>
      <w:r w:rsidR="00FB5ED6" w:rsidRPr="002433F3">
        <w:rPr>
          <w:lang w:val="en-US"/>
        </w:rPr>
        <w:t xml:space="preserve">person’s </w:t>
      </w:r>
      <w:r w:rsidR="007B0DE4" w:rsidRPr="002433F3">
        <w:rPr>
          <w:lang w:val="en-US"/>
        </w:rPr>
        <w:t>death had occurred prior to that decision</w:t>
      </w:r>
      <w:r w:rsidR="00D32328" w:rsidRPr="002433F3">
        <w:rPr>
          <w:lang w:val="en-US"/>
        </w:rPr>
        <w:t xml:space="preserve"> and that required </w:t>
      </w:r>
      <w:r w:rsidR="002433F3" w:rsidRPr="002433F3">
        <w:rPr>
          <w:lang w:val="en-US"/>
        </w:rPr>
        <w:t>the sworn</w:t>
      </w:r>
      <w:r w:rsidR="007B0DE4" w:rsidRPr="002433F3">
        <w:rPr>
          <w:lang w:val="en-US"/>
        </w:rPr>
        <w:t xml:space="preserve"> statement of both parties as evidence of the homosexual union</w:t>
      </w:r>
      <w:r w:rsidR="00035A7A" w:rsidRPr="002433F3">
        <w:rPr>
          <w:lang w:val="en-US"/>
        </w:rPr>
        <w:t>.”</w:t>
      </w:r>
      <w:r w:rsidR="007B0DE4" w:rsidRPr="002433F3">
        <w:rPr>
          <w:lang w:val="en-US"/>
        </w:rPr>
        <w:t xml:space="preserve"> </w:t>
      </w:r>
      <w:r w:rsidR="00035A7A" w:rsidRPr="002433F3">
        <w:rPr>
          <w:lang w:val="en-US"/>
        </w:rPr>
        <w:t>H</w:t>
      </w:r>
      <w:r w:rsidR="007B0DE4" w:rsidRPr="002433F3">
        <w:rPr>
          <w:lang w:val="en-US"/>
        </w:rPr>
        <w:t xml:space="preserve">owever, </w:t>
      </w:r>
      <w:r w:rsidR="00D32328" w:rsidRPr="002433F3">
        <w:rPr>
          <w:lang w:val="en-US"/>
        </w:rPr>
        <w:t xml:space="preserve">considering </w:t>
      </w:r>
      <w:r w:rsidR="007B0DE4" w:rsidRPr="002433F3">
        <w:rPr>
          <w:lang w:val="en-US"/>
        </w:rPr>
        <w:t xml:space="preserve">that </w:t>
      </w:r>
      <w:r w:rsidR="002F797B" w:rsidRPr="002433F3">
        <w:rPr>
          <w:lang w:val="en-US"/>
        </w:rPr>
        <w:t xml:space="preserve">the </w:t>
      </w:r>
      <w:r w:rsidR="007B0DE4" w:rsidRPr="002433F3">
        <w:rPr>
          <w:lang w:val="en-US"/>
        </w:rPr>
        <w:t>State</w:t>
      </w:r>
      <w:r w:rsidR="002F797B" w:rsidRPr="002433F3">
        <w:rPr>
          <w:lang w:val="en-US"/>
        </w:rPr>
        <w:t>’s last brief</w:t>
      </w:r>
      <w:r w:rsidR="007B0DE4" w:rsidRPr="002433F3">
        <w:rPr>
          <w:lang w:val="en-US"/>
        </w:rPr>
        <w:t xml:space="preserve"> in the admissibility stage dates back to 2009, it is </w:t>
      </w:r>
      <w:r w:rsidR="002F797B" w:rsidRPr="002433F3">
        <w:rPr>
          <w:lang w:val="en-US"/>
        </w:rPr>
        <w:t xml:space="preserve">clear </w:t>
      </w:r>
      <w:r w:rsidR="007B0DE4" w:rsidRPr="002433F3">
        <w:rPr>
          <w:lang w:val="en-US"/>
        </w:rPr>
        <w:t xml:space="preserve">that the State </w:t>
      </w:r>
      <w:r w:rsidR="00035A7A" w:rsidRPr="002433F3">
        <w:rPr>
          <w:lang w:val="en-US"/>
        </w:rPr>
        <w:t xml:space="preserve">refrained from </w:t>
      </w:r>
      <w:r w:rsidR="002F797B" w:rsidRPr="002433F3">
        <w:rPr>
          <w:lang w:val="en-US"/>
        </w:rPr>
        <w:t>notify</w:t>
      </w:r>
      <w:r w:rsidR="00035A7A" w:rsidRPr="002433F3">
        <w:rPr>
          <w:lang w:val="en-US"/>
        </w:rPr>
        <w:t>ing</w:t>
      </w:r>
      <w:r w:rsidR="007B0DE4" w:rsidRPr="002433F3">
        <w:rPr>
          <w:lang w:val="en-US"/>
        </w:rPr>
        <w:t xml:space="preserve"> the Commission</w:t>
      </w:r>
      <w:r w:rsidR="00D32328" w:rsidRPr="002433F3">
        <w:rPr>
          <w:lang w:val="en-US"/>
        </w:rPr>
        <w:t xml:space="preserve"> of the issuance of judgment T-051 of 2010</w:t>
      </w:r>
      <w:r w:rsidR="007B0DE4" w:rsidRPr="002433F3">
        <w:rPr>
          <w:lang w:val="en-US"/>
        </w:rPr>
        <w:t xml:space="preserve"> at the appropriate procedural opportunity, despite ha</w:t>
      </w:r>
      <w:r w:rsidR="00D32328" w:rsidRPr="002433F3">
        <w:rPr>
          <w:lang w:val="en-US"/>
        </w:rPr>
        <w:t>ving had ample opportunity to do so</w:t>
      </w:r>
      <w:r w:rsidR="00035A7A" w:rsidRPr="002433F3">
        <w:rPr>
          <w:lang w:val="en-US"/>
        </w:rPr>
        <w:t>.</w:t>
      </w:r>
    </w:p>
    <w:p w14:paraId="5FC96E73" w14:textId="77777777" w:rsidR="007B0DE4" w:rsidRPr="002433F3" w:rsidRDefault="007B0DE4" w:rsidP="007B0DE4">
      <w:pPr>
        <w:numPr>
          <w:ilvl w:val="0"/>
          <w:numId w:val="2"/>
        </w:numPr>
        <w:spacing w:before="120" w:after="120"/>
        <w:rPr>
          <w:lang w:val="en-US"/>
        </w:rPr>
      </w:pPr>
      <w:r w:rsidRPr="002433F3">
        <w:rPr>
          <w:lang w:val="en-US"/>
        </w:rPr>
        <w:t xml:space="preserve">On this point, the </w:t>
      </w:r>
      <w:r w:rsidRPr="002433F3">
        <w:rPr>
          <w:rFonts w:eastAsia="Verdana" w:cs="Verdana"/>
          <w:szCs w:val="20"/>
          <w:lang w:val="en-US"/>
        </w:rPr>
        <w:t>Court</w:t>
      </w:r>
      <w:r w:rsidRPr="002433F3">
        <w:rPr>
          <w:rFonts w:eastAsia="Verdana" w:cs="Verdana"/>
          <w:spacing w:val="5"/>
          <w:szCs w:val="20"/>
          <w:lang w:val="en-US"/>
        </w:rPr>
        <w:t xml:space="preserve"> </w:t>
      </w:r>
      <w:r w:rsidRPr="002433F3">
        <w:rPr>
          <w:rFonts w:eastAsia="Verdana" w:cs="Verdana"/>
          <w:spacing w:val="-1"/>
          <w:szCs w:val="20"/>
          <w:lang w:val="en-US"/>
        </w:rPr>
        <w:t>reiterates</w:t>
      </w:r>
      <w:r w:rsidRPr="002433F3">
        <w:rPr>
          <w:rFonts w:eastAsia="Verdana" w:cs="Verdana"/>
          <w:spacing w:val="4"/>
          <w:szCs w:val="20"/>
          <w:lang w:val="en-US"/>
        </w:rPr>
        <w:t xml:space="preserve"> that </w:t>
      </w:r>
      <w:r w:rsidRPr="002433F3">
        <w:rPr>
          <w:lang w:val="en-US"/>
        </w:rPr>
        <w:t xml:space="preserve">it is not the task of the Court or the Commission to identify </w:t>
      </w:r>
      <w:r w:rsidRPr="002433F3">
        <w:rPr>
          <w:i/>
          <w:lang w:val="en-US"/>
        </w:rPr>
        <w:t>ex officio</w:t>
      </w:r>
      <w:r w:rsidRPr="002433F3">
        <w:rPr>
          <w:lang w:val="en-US"/>
        </w:rPr>
        <w:t xml:space="preserve"> which domestic remedies </w:t>
      </w:r>
      <w:r w:rsidR="0036684C" w:rsidRPr="002433F3">
        <w:rPr>
          <w:lang w:val="en-US"/>
        </w:rPr>
        <w:t>must be exhausted, or for</w:t>
      </w:r>
      <w:r w:rsidRPr="002433F3">
        <w:rPr>
          <w:lang w:val="en-US"/>
        </w:rPr>
        <w:t xml:space="preserve"> </w:t>
      </w:r>
      <w:r w:rsidRPr="002433F3">
        <w:rPr>
          <w:rFonts w:eastAsia="Verdana" w:cs="Verdana"/>
          <w:spacing w:val="3"/>
          <w:szCs w:val="20"/>
          <w:lang w:val="en-US"/>
        </w:rPr>
        <w:t>i</w:t>
      </w:r>
      <w:r w:rsidRPr="002433F3">
        <w:rPr>
          <w:rFonts w:eastAsia="Verdana" w:cs="Verdana"/>
          <w:spacing w:val="-1"/>
          <w:szCs w:val="20"/>
          <w:lang w:val="en-US"/>
        </w:rPr>
        <w:t>n</w:t>
      </w:r>
      <w:r w:rsidRPr="002433F3">
        <w:rPr>
          <w:rFonts w:eastAsia="Verdana" w:cs="Verdana"/>
          <w:spacing w:val="1"/>
          <w:szCs w:val="20"/>
          <w:lang w:val="en-US"/>
        </w:rPr>
        <w:t>t</w:t>
      </w:r>
      <w:r w:rsidRPr="002433F3">
        <w:rPr>
          <w:rFonts w:eastAsia="Verdana" w:cs="Verdana"/>
          <w:spacing w:val="-1"/>
          <w:szCs w:val="20"/>
          <w:lang w:val="en-US"/>
        </w:rPr>
        <w:t>er</w:t>
      </w:r>
      <w:r w:rsidRPr="002433F3">
        <w:rPr>
          <w:rFonts w:eastAsia="Verdana" w:cs="Verdana"/>
          <w:spacing w:val="1"/>
          <w:szCs w:val="20"/>
          <w:lang w:val="en-US"/>
        </w:rPr>
        <w:t>n</w:t>
      </w:r>
      <w:r w:rsidRPr="002433F3">
        <w:rPr>
          <w:rFonts w:eastAsia="Verdana" w:cs="Verdana"/>
          <w:szCs w:val="20"/>
          <w:lang w:val="en-US"/>
        </w:rPr>
        <w:t>ational</w:t>
      </w:r>
      <w:r w:rsidRPr="002433F3">
        <w:rPr>
          <w:rFonts w:eastAsia="Verdana" w:cs="Verdana"/>
          <w:spacing w:val="-15"/>
          <w:szCs w:val="20"/>
          <w:lang w:val="en-US"/>
        </w:rPr>
        <w:t xml:space="preserve"> bodies to </w:t>
      </w:r>
      <w:r w:rsidRPr="002433F3">
        <w:rPr>
          <w:lang w:val="en-US"/>
        </w:rPr>
        <w:t>correct the lack of precision in the State’s arguments</w:t>
      </w:r>
      <w:r w:rsidRPr="002433F3">
        <w:rPr>
          <w:rFonts w:eastAsia="Verdana" w:cs="Verdana"/>
          <w:spacing w:val="3"/>
          <w:szCs w:val="20"/>
          <w:lang w:val="en-US"/>
        </w:rPr>
        <w:t>.</w:t>
      </w:r>
      <w:r w:rsidRPr="002433F3">
        <w:rPr>
          <w:rStyle w:val="Refdenotaalpie"/>
          <w:rFonts w:eastAsia="Verdana"/>
          <w:spacing w:val="6"/>
          <w:lang w:val="en-US"/>
        </w:rPr>
        <w:footnoteReference w:id="34"/>
      </w:r>
      <w:r w:rsidR="0036684C" w:rsidRPr="002433F3">
        <w:rPr>
          <w:rFonts w:eastAsia="Verdana" w:cs="Verdana"/>
          <w:szCs w:val="20"/>
          <w:lang w:val="en-US"/>
        </w:rPr>
        <w:t xml:space="preserve"> Therefore, the </w:t>
      </w:r>
      <w:r w:rsidR="00496462" w:rsidRPr="002433F3">
        <w:rPr>
          <w:rFonts w:eastAsia="Verdana" w:cs="Verdana"/>
          <w:szCs w:val="20"/>
          <w:lang w:val="en-US"/>
        </w:rPr>
        <w:t xml:space="preserve">advances </w:t>
      </w:r>
      <w:r w:rsidR="0036684C" w:rsidRPr="002433F3">
        <w:rPr>
          <w:rFonts w:eastAsia="Verdana" w:cs="Verdana"/>
          <w:szCs w:val="20"/>
          <w:lang w:val="en-US"/>
        </w:rPr>
        <w:t xml:space="preserve">in </w:t>
      </w:r>
      <w:r w:rsidRPr="002433F3">
        <w:rPr>
          <w:rFonts w:eastAsia="Verdana" w:cs="Verdana"/>
          <w:szCs w:val="20"/>
          <w:lang w:val="en-US"/>
        </w:rPr>
        <w:t xml:space="preserve">domestic case law and </w:t>
      </w:r>
      <w:r w:rsidR="0036684C" w:rsidRPr="002433F3">
        <w:rPr>
          <w:rFonts w:eastAsia="Verdana" w:cs="Verdana"/>
          <w:szCs w:val="20"/>
          <w:lang w:val="en-US"/>
        </w:rPr>
        <w:t>their potential effects on Colombia’s</w:t>
      </w:r>
      <w:r w:rsidRPr="002433F3">
        <w:rPr>
          <w:rFonts w:eastAsia="Verdana" w:cs="Verdana"/>
          <w:szCs w:val="20"/>
          <w:lang w:val="en-US"/>
        </w:rPr>
        <w:t xml:space="preserve"> </w:t>
      </w:r>
      <w:r w:rsidR="0036684C" w:rsidRPr="002433F3">
        <w:rPr>
          <w:rFonts w:eastAsia="Verdana" w:cs="Verdana"/>
          <w:szCs w:val="20"/>
          <w:lang w:val="en-US"/>
        </w:rPr>
        <w:t xml:space="preserve">national </w:t>
      </w:r>
      <w:r w:rsidRPr="002433F3">
        <w:rPr>
          <w:rFonts w:eastAsia="Verdana" w:cs="Verdana"/>
          <w:szCs w:val="20"/>
          <w:lang w:val="en-US"/>
        </w:rPr>
        <w:t xml:space="preserve">legislation could only have been taken into account by the Commission </w:t>
      </w:r>
      <w:r w:rsidR="0033235E" w:rsidRPr="002433F3">
        <w:rPr>
          <w:rFonts w:eastAsia="Verdana" w:cs="Verdana"/>
          <w:szCs w:val="20"/>
          <w:lang w:val="en-US"/>
        </w:rPr>
        <w:t xml:space="preserve">if the </w:t>
      </w:r>
      <w:r w:rsidRPr="002433F3">
        <w:rPr>
          <w:rFonts w:eastAsia="Verdana" w:cs="Verdana"/>
          <w:szCs w:val="20"/>
          <w:lang w:val="en-US"/>
        </w:rPr>
        <w:t xml:space="preserve">parties </w:t>
      </w:r>
      <w:r w:rsidR="0033235E" w:rsidRPr="002433F3">
        <w:rPr>
          <w:rFonts w:eastAsia="Verdana" w:cs="Verdana"/>
          <w:szCs w:val="20"/>
          <w:lang w:val="en-US"/>
        </w:rPr>
        <w:t xml:space="preserve">had </w:t>
      </w:r>
      <w:r w:rsidRPr="002433F3">
        <w:rPr>
          <w:rFonts w:eastAsia="Verdana" w:cs="Verdana"/>
          <w:szCs w:val="20"/>
          <w:lang w:val="en-US"/>
        </w:rPr>
        <w:t>provided that information in the context of the proceeding</w:t>
      </w:r>
      <w:r w:rsidR="0033235E" w:rsidRPr="002433F3">
        <w:rPr>
          <w:rFonts w:eastAsia="Verdana" w:cs="Verdana"/>
          <w:szCs w:val="20"/>
          <w:lang w:val="en-US"/>
        </w:rPr>
        <w:t>s</w:t>
      </w:r>
      <w:r w:rsidRPr="002433F3">
        <w:rPr>
          <w:rFonts w:eastAsia="Verdana" w:cs="Verdana"/>
          <w:szCs w:val="20"/>
          <w:lang w:val="en-US"/>
        </w:rPr>
        <w:t xml:space="preserve">. Furthermore, there is no </w:t>
      </w:r>
      <w:r w:rsidR="00485504" w:rsidRPr="002433F3">
        <w:rPr>
          <w:rFonts w:eastAsia="Verdana" w:cs="Verdana"/>
          <w:szCs w:val="20"/>
          <w:lang w:val="en-US"/>
        </w:rPr>
        <w:t xml:space="preserve">record </w:t>
      </w:r>
      <w:r w:rsidRPr="002433F3">
        <w:rPr>
          <w:rFonts w:eastAsia="Verdana" w:cs="Verdana"/>
          <w:szCs w:val="20"/>
          <w:lang w:val="en-US"/>
        </w:rPr>
        <w:t>t</w:t>
      </w:r>
      <w:r w:rsidR="00496462" w:rsidRPr="002433F3">
        <w:rPr>
          <w:rFonts w:eastAsia="Verdana" w:cs="Verdana"/>
          <w:szCs w:val="20"/>
          <w:lang w:val="en-US"/>
        </w:rPr>
        <w:t>o show t</w:t>
      </w:r>
      <w:r w:rsidRPr="002433F3">
        <w:rPr>
          <w:rFonts w:eastAsia="Verdana" w:cs="Verdana"/>
          <w:szCs w:val="20"/>
          <w:lang w:val="en-US"/>
        </w:rPr>
        <w:t xml:space="preserve">hat the Commission </w:t>
      </w:r>
      <w:r w:rsidR="0033235E" w:rsidRPr="002433F3">
        <w:rPr>
          <w:rFonts w:eastAsia="Verdana" w:cs="Verdana"/>
          <w:szCs w:val="20"/>
          <w:lang w:val="en-US"/>
        </w:rPr>
        <w:t xml:space="preserve">was notified of </w:t>
      </w:r>
      <w:r w:rsidR="00485504" w:rsidRPr="002433F3">
        <w:rPr>
          <w:rFonts w:eastAsia="Verdana" w:cs="Verdana"/>
          <w:szCs w:val="20"/>
          <w:lang w:val="en-US"/>
        </w:rPr>
        <w:t>the</w:t>
      </w:r>
      <w:r w:rsidRPr="002433F3">
        <w:rPr>
          <w:rFonts w:eastAsia="Verdana" w:cs="Verdana"/>
          <w:szCs w:val="20"/>
          <w:lang w:val="en-US"/>
        </w:rPr>
        <w:t>se case law developments in the context of proce</w:t>
      </w:r>
      <w:r w:rsidR="0033235E" w:rsidRPr="002433F3">
        <w:rPr>
          <w:rFonts w:eastAsia="Verdana" w:cs="Verdana"/>
          <w:szCs w:val="20"/>
          <w:lang w:val="en-US"/>
        </w:rPr>
        <w:t xml:space="preserve">edings related to other cases, </w:t>
      </w:r>
      <w:r w:rsidRPr="002433F3">
        <w:rPr>
          <w:rFonts w:eastAsia="Verdana" w:cs="Verdana"/>
          <w:szCs w:val="20"/>
          <w:lang w:val="en-US"/>
        </w:rPr>
        <w:t xml:space="preserve">or in </w:t>
      </w:r>
      <w:r w:rsidR="00B64D81" w:rsidRPr="002433F3">
        <w:rPr>
          <w:rFonts w:eastAsia="Verdana" w:cs="Verdana"/>
          <w:szCs w:val="20"/>
          <w:lang w:val="en-US"/>
        </w:rPr>
        <w:t xml:space="preserve">relation to its functions to promote </w:t>
      </w:r>
      <w:r w:rsidRPr="002433F3">
        <w:rPr>
          <w:rFonts w:eastAsia="Verdana" w:cs="Verdana"/>
          <w:szCs w:val="20"/>
          <w:lang w:val="en-US"/>
        </w:rPr>
        <w:t xml:space="preserve">human rights. </w:t>
      </w:r>
    </w:p>
    <w:p w14:paraId="4D9F107C" w14:textId="77777777" w:rsidR="007B0DE4" w:rsidRPr="002433F3" w:rsidRDefault="007B0DE4" w:rsidP="007B0DE4">
      <w:pPr>
        <w:numPr>
          <w:ilvl w:val="0"/>
          <w:numId w:val="2"/>
        </w:numPr>
        <w:spacing w:before="120" w:after="120"/>
        <w:rPr>
          <w:lang w:val="en-US"/>
        </w:rPr>
      </w:pPr>
      <w:r w:rsidRPr="002433F3">
        <w:rPr>
          <w:lang w:val="en-US"/>
        </w:rPr>
        <w:t xml:space="preserve">With respect to the foregoing, the Court recalls that, </w:t>
      </w:r>
      <w:r w:rsidR="00EA4A72" w:rsidRPr="002433F3">
        <w:rPr>
          <w:lang w:val="en-US"/>
        </w:rPr>
        <w:t xml:space="preserve">pursuant to </w:t>
      </w:r>
      <w:r w:rsidRPr="002433F3">
        <w:rPr>
          <w:lang w:val="en-US"/>
        </w:rPr>
        <w:t xml:space="preserve">its case law, </w:t>
      </w:r>
      <w:r w:rsidRPr="002433F3">
        <w:rPr>
          <w:rFonts w:eastAsia="Verdana" w:cs="Verdana"/>
          <w:szCs w:val="20"/>
          <w:lang w:val="en-US"/>
        </w:rPr>
        <w:t xml:space="preserve">the Commission must analyze the </w:t>
      </w:r>
      <w:r w:rsidRPr="002433F3">
        <w:rPr>
          <w:spacing w:val="-2"/>
          <w:lang w:val="en-US"/>
        </w:rPr>
        <w:t xml:space="preserve">exhaustion of domestic remedies </w:t>
      </w:r>
      <w:r w:rsidR="00EA4A72" w:rsidRPr="002433F3">
        <w:rPr>
          <w:spacing w:val="-2"/>
          <w:lang w:val="en-US"/>
        </w:rPr>
        <w:t xml:space="preserve">when deciding </w:t>
      </w:r>
      <w:r w:rsidRPr="002433F3">
        <w:rPr>
          <w:spacing w:val="-2"/>
          <w:lang w:val="en-US"/>
        </w:rPr>
        <w:t>on the admissibility of the petition</w:t>
      </w:r>
      <w:r w:rsidR="00EA4A72" w:rsidRPr="002433F3">
        <w:rPr>
          <w:spacing w:val="-2"/>
          <w:lang w:val="en-US"/>
        </w:rPr>
        <w:t>,</w:t>
      </w:r>
      <w:r w:rsidRPr="002433F3">
        <w:rPr>
          <w:spacing w:val="-2"/>
          <w:lang w:val="en-US"/>
        </w:rPr>
        <w:t xml:space="preserve"> and not </w:t>
      </w:r>
      <w:r w:rsidR="00EA4A72" w:rsidRPr="002433F3">
        <w:rPr>
          <w:spacing w:val="-2"/>
          <w:lang w:val="en-US"/>
        </w:rPr>
        <w:t>when this is lodged</w:t>
      </w:r>
      <w:r w:rsidRPr="002433F3">
        <w:rPr>
          <w:spacing w:val="-2"/>
          <w:lang w:val="en-US"/>
        </w:rPr>
        <w:t>.</w:t>
      </w:r>
      <w:r w:rsidRPr="002433F3">
        <w:rPr>
          <w:rStyle w:val="Refdenotaalpie"/>
          <w:spacing w:val="-2"/>
          <w:lang w:val="en-US"/>
        </w:rPr>
        <w:footnoteReference w:id="35"/>
      </w:r>
      <w:r w:rsidRPr="002433F3">
        <w:rPr>
          <w:spacing w:val="-2"/>
          <w:lang w:val="en-US"/>
        </w:rPr>
        <w:t xml:space="preserve"> </w:t>
      </w:r>
      <w:r w:rsidR="00EE38C7" w:rsidRPr="002433F3">
        <w:rPr>
          <w:spacing w:val="-2"/>
          <w:lang w:val="en-US"/>
        </w:rPr>
        <w:t>Thus</w:t>
      </w:r>
      <w:r w:rsidRPr="002433F3">
        <w:rPr>
          <w:spacing w:val="-2"/>
          <w:lang w:val="en-US"/>
        </w:rPr>
        <w:t xml:space="preserve">, the Commission </w:t>
      </w:r>
      <w:r w:rsidR="002A2886" w:rsidRPr="002433F3">
        <w:rPr>
          <w:spacing w:val="-2"/>
          <w:lang w:val="en-US"/>
        </w:rPr>
        <w:t xml:space="preserve">must have </w:t>
      </w:r>
      <w:r w:rsidRPr="002433F3">
        <w:rPr>
          <w:spacing w:val="-2"/>
          <w:lang w:val="en-US"/>
        </w:rPr>
        <w:t xml:space="preserve">access to up-to-date, necessary and sufficient information to examine the </w:t>
      </w:r>
      <w:r w:rsidR="002A2886" w:rsidRPr="002433F3">
        <w:rPr>
          <w:spacing w:val="-2"/>
          <w:lang w:val="en-US"/>
        </w:rPr>
        <w:t xml:space="preserve">petition’s </w:t>
      </w:r>
      <w:r w:rsidRPr="002433F3">
        <w:rPr>
          <w:spacing w:val="-2"/>
          <w:lang w:val="en-US"/>
        </w:rPr>
        <w:t>admissibility</w:t>
      </w:r>
      <w:r w:rsidR="002A2886" w:rsidRPr="002433F3">
        <w:rPr>
          <w:spacing w:val="-2"/>
          <w:lang w:val="en-US"/>
        </w:rPr>
        <w:t xml:space="preserve">, and this </w:t>
      </w:r>
      <w:r w:rsidRPr="002433F3">
        <w:rPr>
          <w:spacing w:val="-2"/>
          <w:lang w:val="en-US"/>
        </w:rPr>
        <w:t xml:space="preserve">should be forwarded by the parties </w:t>
      </w:r>
      <w:r w:rsidR="002A2886" w:rsidRPr="002433F3">
        <w:rPr>
          <w:spacing w:val="-2"/>
          <w:lang w:val="en-US"/>
        </w:rPr>
        <w:t xml:space="preserve">involved in </w:t>
      </w:r>
      <w:r w:rsidRPr="002433F3">
        <w:rPr>
          <w:spacing w:val="-2"/>
          <w:lang w:val="en-US"/>
        </w:rPr>
        <w:t>the proceeding</w:t>
      </w:r>
      <w:r w:rsidR="002A2886" w:rsidRPr="002433F3">
        <w:rPr>
          <w:spacing w:val="-2"/>
          <w:lang w:val="en-US"/>
        </w:rPr>
        <w:t>s</w:t>
      </w:r>
      <w:r w:rsidRPr="002433F3">
        <w:rPr>
          <w:spacing w:val="-2"/>
          <w:lang w:val="en-US"/>
        </w:rPr>
        <w:t xml:space="preserve">. The Court finds that the judgments </w:t>
      </w:r>
      <w:r w:rsidR="00496462" w:rsidRPr="002433F3">
        <w:rPr>
          <w:spacing w:val="-2"/>
          <w:lang w:val="en-US"/>
        </w:rPr>
        <w:t xml:space="preserve">delivered by </w:t>
      </w:r>
      <w:r w:rsidRPr="002433F3">
        <w:rPr>
          <w:spacing w:val="-2"/>
          <w:lang w:val="en-US"/>
        </w:rPr>
        <w:t xml:space="preserve">the Constitutional Court after 2009, which, according to </w:t>
      </w:r>
      <w:r w:rsidRPr="002433F3">
        <w:rPr>
          <w:spacing w:val="-2"/>
          <w:lang w:val="en-US"/>
        </w:rPr>
        <w:lastRenderedPageBreak/>
        <w:t xml:space="preserve">the State, completely remedied “the internationally wrongful act” </w:t>
      </w:r>
      <w:r w:rsidR="002A2886" w:rsidRPr="002433F3">
        <w:rPr>
          <w:spacing w:val="-2"/>
          <w:lang w:val="en-US"/>
        </w:rPr>
        <w:t xml:space="preserve">committed </w:t>
      </w:r>
      <w:r w:rsidR="00496462" w:rsidRPr="002433F3">
        <w:rPr>
          <w:spacing w:val="-2"/>
          <w:lang w:val="en-US"/>
        </w:rPr>
        <w:t xml:space="preserve">against </w:t>
      </w:r>
      <w:r w:rsidRPr="002433F3">
        <w:rPr>
          <w:spacing w:val="-2"/>
          <w:lang w:val="en-US"/>
        </w:rPr>
        <w:t xml:space="preserve">Mr. Duque and provided him with remedies to </w:t>
      </w:r>
      <w:r w:rsidR="002A2886" w:rsidRPr="002433F3">
        <w:rPr>
          <w:spacing w:val="-2"/>
          <w:lang w:val="en-US"/>
        </w:rPr>
        <w:t>claim the survivor’s pension (</w:t>
      </w:r>
      <w:r w:rsidRPr="002433F3">
        <w:rPr>
          <w:spacing w:val="-2"/>
          <w:lang w:val="en-US"/>
        </w:rPr>
        <w:t>particular</w:t>
      </w:r>
      <w:r w:rsidR="002A2886" w:rsidRPr="002433F3">
        <w:rPr>
          <w:spacing w:val="-2"/>
          <w:lang w:val="en-US"/>
        </w:rPr>
        <w:t>ly</w:t>
      </w:r>
      <w:r w:rsidRPr="002433F3">
        <w:rPr>
          <w:spacing w:val="-2"/>
          <w:lang w:val="en-US"/>
        </w:rPr>
        <w:t xml:space="preserve"> </w:t>
      </w:r>
      <w:r w:rsidR="002A2886" w:rsidRPr="002433F3">
        <w:rPr>
          <w:spacing w:val="-2"/>
          <w:lang w:val="en-US"/>
        </w:rPr>
        <w:t>j</w:t>
      </w:r>
      <w:r w:rsidRPr="002433F3">
        <w:rPr>
          <w:spacing w:val="-2"/>
          <w:lang w:val="en-US"/>
        </w:rPr>
        <w:t xml:space="preserve">udgment T-051 of 2010), </w:t>
      </w:r>
      <w:r w:rsidR="002A2886" w:rsidRPr="002433F3">
        <w:rPr>
          <w:spacing w:val="-2"/>
          <w:lang w:val="en-US"/>
        </w:rPr>
        <w:t>were</w:t>
      </w:r>
      <w:r w:rsidRPr="002433F3">
        <w:rPr>
          <w:spacing w:val="-2"/>
          <w:lang w:val="en-US"/>
        </w:rPr>
        <w:t xml:space="preserve"> not known to the Commission at the time </w:t>
      </w:r>
      <w:r w:rsidR="002A2886" w:rsidRPr="002433F3">
        <w:rPr>
          <w:spacing w:val="-2"/>
          <w:lang w:val="en-US"/>
        </w:rPr>
        <w:t xml:space="preserve">it issued </w:t>
      </w:r>
      <w:r w:rsidRPr="002433F3">
        <w:rPr>
          <w:spacing w:val="-2"/>
          <w:lang w:val="en-US"/>
        </w:rPr>
        <w:t xml:space="preserve">Admissibility Report N° 150/11. </w:t>
      </w:r>
      <w:r w:rsidR="002A2886" w:rsidRPr="002433F3">
        <w:rPr>
          <w:spacing w:val="-2"/>
          <w:lang w:val="en-US"/>
        </w:rPr>
        <w:t>Furthermore</w:t>
      </w:r>
      <w:r w:rsidRPr="002433F3">
        <w:rPr>
          <w:spacing w:val="-2"/>
          <w:lang w:val="en-US"/>
        </w:rPr>
        <w:t xml:space="preserve">, </w:t>
      </w:r>
      <w:r w:rsidR="002A2886" w:rsidRPr="002433F3">
        <w:rPr>
          <w:spacing w:val="-2"/>
          <w:lang w:val="en-US"/>
        </w:rPr>
        <w:t>although the State notified the Commission of certain case law changes, it was not clear</w:t>
      </w:r>
      <w:r w:rsidR="00AB5369" w:rsidRPr="002433F3">
        <w:rPr>
          <w:spacing w:val="-2"/>
          <w:lang w:val="en-US"/>
        </w:rPr>
        <w:t>,</w:t>
      </w:r>
      <w:r w:rsidR="002A2886" w:rsidRPr="002433F3">
        <w:rPr>
          <w:spacing w:val="-2"/>
          <w:lang w:val="en-US"/>
        </w:rPr>
        <w:t xml:space="preserve"> </w:t>
      </w:r>
      <w:r w:rsidRPr="002433F3">
        <w:rPr>
          <w:spacing w:val="-2"/>
          <w:lang w:val="en-US"/>
        </w:rPr>
        <w:t>at that time</w:t>
      </w:r>
      <w:r w:rsidR="00AB5369" w:rsidRPr="002433F3">
        <w:rPr>
          <w:spacing w:val="-2"/>
          <w:lang w:val="en-US"/>
        </w:rPr>
        <w:t>,</w:t>
      </w:r>
      <w:r w:rsidRPr="002433F3">
        <w:rPr>
          <w:spacing w:val="-2"/>
          <w:lang w:val="en-US"/>
        </w:rPr>
        <w:t xml:space="preserve"> </w:t>
      </w:r>
      <w:r w:rsidR="002A2886" w:rsidRPr="002433F3">
        <w:rPr>
          <w:spacing w:val="-2"/>
          <w:lang w:val="en-US"/>
        </w:rPr>
        <w:t>whether j</w:t>
      </w:r>
      <w:r w:rsidR="002A2886" w:rsidRPr="002433F3">
        <w:rPr>
          <w:lang w:val="en-US"/>
        </w:rPr>
        <w:t xml:space="preserve">udgment C-336 of 2008 had </w:t>
      </w:r>
      <w:r w:rsidR="00AB5369" w:rsidRPr="002433F3">
        <w:rPr>
          <w:lang w:val="en-US"/>
        </w:rPr>
        <w:t xml:space="preserve">possible </w:t>
      </w:r>
      <w:r w:rsidR="002A2886" w:rsidRPr="002433F3">
        <w:rPr>
          <w:lang w:val="en-US"/>
        </w:rPr>
        <w:t xml:space="preserve">retroactive effects </w:t>
      </w:r>
      <w:r w:rsidR="00AB5369" w:rsidRPr="002433F3">
        <w:rPr>
          <w:lang w:val="en-US"/>
        </w:rPr>
        <w:t>or wh</w:t>
      </w:r>
      <w:r w:rsidR="00496462" w:rsidRPr="002433F3">
        <w:rPr>
          <w:lang w:val="en-US"/>
        </w:rPr>
        <w:t xml:space="preserve">ich </w:t>
      </w:r>
      <w:r w:rsidR="00AB5369" w:rsidRPr="002433F3">
        <w:rPr>
          <w:lang w:val="en-US"/>
        </w:rPr>
        <w:t xml:space="preserve">mechanism was </w:t>
      </w:r>
      <w:r w:rsidR="00496462" w:rsidRPr="002433F3">
        <w:rPr>
          <w:lang w:val="en-US"/>
        </w:rPr>
        <w:t xml:space="preserve">available for </w:t>
      </w:r>
      <w:r w:rsidR="00AB5369" w:rsidRPr="002433F3">
        <w:rPr>
          <w:lang w:val="en-US"/>
        </w:rPr>
        <w:t xml:space="preserve">proving </w:t>
      </w:r>
      <w:r w:rsidRPr="002433F3">
        <w:rPr>
          <w:i/>
          <w:lang w:val="en-US"/>
        </w:rPr>
        <w:t>de facto</w:t>
      </w:r>
      <w:r w:rsidRPr="002433F3">
        <w:rPr>
          <w:lang w:val="en-US"/>
        </w:rPr>
        <w:t xml:space="preserve"> marital union</w:t>
      </w:r>
      <w:r w:rsidR="00496462" w:rsidRPr="002433F3">
        <w:rPr>
          <w:lang w:val="en-US"/>
        </w:rPr>
        <w:t>s</w:t>
      </w:r>
      <w:r w:rsidRPr="002433F3">
        <w:rPr>
          <w:lang w:val="en-US"/>
        </w:rPr>
        <w:t xml:space="preserve"> for same-sex couples. </w:t>
      </w:r>
      <w:r w:rsidRPr="002433F3">
        <w:rPr>
          <w:spacing w:val="-2"/>
          <w:lang w:val="en-US"/>
        </w:rPr>
        <w:t xml:space="preserve">Consequently, the Commission did not have sufficient information that would have allowed it to analyze and eventually conclude that </w:t>
      </w:r>
      <w:r w:rsidR="00AB5369" w:rsidRPr="002433F3">
        <w:rPr>
          <w:spacing w:val="-2"/>
          <w:lang w:val="en-US"/>
        </w:rPr>
        <w:t xml:space="preserve">domestic remedies were still available to </w:t>
      </w:r>
      <w:r w:rsidRPr="002433F3">
        <w:rPr>
          <w:spacing w:val="-2"/>
          <w:lang w:val="en-US"/>
        </w:rPr>
        <w:t>Mr. Duque</w:t>
      </w:r>
      <w:r w:rsidR="00496462" w:rsidRPr="002433F3">
        <w:rPr>
          <w:spacing w:val="-2"/>
          <w:lang w:val="en-US"/>
        </w:rPr>
        <w:t>, which</w:t>
      </w:r>
      <w:r w:rsidRPr="002433F3">
        <w:rPr>
          <w:spacing w:val="-2"/>
          <w:lang w:val="en-US"/>
        </w:rPr>
        <w:t xml:space="preserve"> had not </w:t>
      </w:r>
      <w:r w:rsidR="00496462" w:rsidRPr="002433F3">
        <w:rPr>
          <w:spacing w:val="-2"/>
          <w:lang w:val="en-US"/>
        </w:rPr>
        <w:t xml:space="preserve">yet </w:t>
      </w:r>
      <w:r w:rsidRPr="002433F3">
        <w:rPr>
          <w:spacing w:val="-2"/>
          <w:lang w:val="en-US"/>
        </w:rPr>
        <w:t xml:space="preserve">been exhausted in the domestic courts with the possibility of </w:t>
      </w:r>
      <w:r w:rsidR="00496462" w:rsidRPr="002433F3">
        <w:rPr>
          <w:spacing w:val="-2"/>
          <w:lang w:val="en-US"/>
        </w:rPr>
        <w:t xml:space="preserve">obtaining </w:t>
      </w:r>
      <w:r w:rsidRPr="002433F3">
        <w:rPr>
          <w:spacing w:val="-2"/>
          <w:lang w:val="en-US"/>
        </w:rPr>
        <w:t xml:space="preserve">different results from those </w:t>
      </w:r>
      <w:r w:rsidR="00496462" w:rsidRPr="002433F3">
        <w:rPr>
          <w:spacing w:val="-2"/>
          <w:lang w:val="en-US"/>
        </w:rPr>
        <w:t xml:space="preserve">obtained in </w:t>
      </w:r>
      <w:r w:rsidRPr="002433F3">
        <w:rPr>
          <w:spacing w:val="-2"/>
          <w:lang w:val="en-US"/>
        </w:rPr>
        <w:t xml:space="preserve">2002. </w:t>
      </w:r>
      <w:r w:rsidR="00834D4A" w:rsidRPr="002433F3">
        <w:rPr>
          <w:spacing w:val="-2"/>
          <w:lang w:val="en-US"/>
        </w:rPr>
        <w:t xml:space="preserve">Also, </w:t>
      </w:r>
      <w:r w:rsidRPr="002433F3">
        <w:rPr>
          <w:spacing w:val="-2"/>
          <w:lang w:val="en-US"/>
        </w:rPr>
        <w:t xml:space="preserve">the </w:t>
      </w:r>
      <w:r w:rsidRPr="002433F3">
        <w:rPr>
          <w:lang w:val="en-US"/>
        </w:rPr>
        <w:t xml:space="preserve">State </w:t>
      </w:r>
      <w:r w:rsidR="00AB5369" w:rsidRPr="002433F3">
        <w:rPr>
          <w:lang w:val="en-US"/>
        </w:rPr>
        <w:t xml:space="preserve">did not </w:t>
      </w:r>
      <w:r w:rsidR="00834D4A" w:rsidRPr="002433F3">
        <w:rPr>
          <w:lang w:val="en-US"/>
        </w:rPr>
        <w:t xml:space="preserve">indicate </w:t>
      </w:r>
      <w:r w:rsidR="00AB5369" w:rsidRPr="002433F3">
        <w:rPr>
          <w:lang w:val="en-US"/>
        </w:rPr>
        <w:t xml:space="preserve">that </w:t>
      </w:r>
      <w:r w:rsidRPr="002433F3">
        <w:rPr>
          <w:lang w:val="en-US"/>
        </w:rPr>
        <w:t xml:space="preserve">remedies </w:t>
      </w:r>
      <w:r w:rsidR="00AB5369" w:rsidRPr="002433F3">
        <w:rPr>
          <w:lang w:val="en-US"/>
        </w:rPr>
        <w:t xml:space="preserve">were available that would </w:t>
      </w:r>
      <w:r w:rsidR="00834D4A" w:rsidRPr="002433F3">
        <w:rPr>
          <w:lang w:val="en-US"/>
        </w:rPr>
        <w:t xml:space="preserve">allow </w:t>
      </w:r>
      <w:r w:rsidRPr="002433F3">
        <w:rPr>
          <w:lang w:val="en-US"/>
        </w:rPr>
        <w:t>Mr. Duque</w:t>
      </w:r>
      <w:r w:rsidR="00834D4A" w:rsidRPr="002433F3">
        <w:rPr>
          <w:lang w:val="en-US"/>
        </w:rPr>
        <w:t xml:space="preserve"> to claim his</w:t>
      </w:r>
      <w:r w:rsidR="00AB5369" w:rsidRPr="002433F3">
        <w:rPr>
          <w:lang w:val="en-US"/>
        </w:rPr>
        <w:t xml:space="preserve"> pension rights</w:t>
      </w:r>
      <w:r w:rsidR="00834D4A" w:rsidRPr="002433F3">
        <w:rPr>
          <w:lang w:val="en-US"/>
        </w:rPr>
        <w:t xml:space="preserve"> retroactively</w:t>
      </w:r>
      <w:r w:rsidRPr="002433F3">
        <w:rPr>
          <w:lang w:val="en-US"/>
        </w:rPr>
        <w:t xml:space="preserve">, that is from 2002, a </w:t>
      </w:r>
      <w:r w:rsidR="00AB5369" w:rsidRPr="002433F3">
        <w:rPr>
          <w:lang w:val="en-US"/>
        </w:rPr>
        <w:t>matter that</w:t>
      </w:r>
      <w:r w:rsidR="00834D4A" w:rsidRPr="002433F3">
        <w:rPr>
          <w:lang w:val="en-US"/>
        </w:rPr>
        <w:t>, in any case,</w:t>
      </w:r>
      <w:r w:rsidR="00AB5369" w:rsidRPr="002433F3">
        <w:rPr>
          <w:lang w:val="en-US"/>
        </w:rPr>
        <w:t xml:space="preserve"> </w:t>
      </w:r>
      <w:r w:rsidRPr="002433F3">
        <w:rPr>
          <w:lang w:val="en-US"/>
        </w:rPr>
        <w:t>should be analyzed in the merits of this dispute.</w:t>
      </w:r>
    </w:p>
    <w:p w14:paraId="6A4855A9" w14:textId="77777777" w:rsidR="007B0DE4" w:rsidRPr="002433F3" w:rsidRDefault="007B0DE4" w:rsidP="007B0DE4">
      <w:pPr>
        <w:spacing w:before="240" w:after="240"/>
        <w:rPr>
          <w:i/>
          <w:lang w:val="en-US"/>
        </w:rPr>
      </w:pPr>
      <w:r w:rsidRPr="002433F3">
        <w:rPr>
          <w:i/>
          <w:lang w:val="en-US"/>
        </w:rPr>
        <w:t>c) Conclusion</w:t>
      </w:r>
    </w:p>
    <w:p w14:paraId="740B34D2" w14:textId="77777777" w:rsidR="007B0DE4" w:rsidRPr="002433F3" w:rsidRDefault="007B0DE4" w:rsidP="007B0DE4">
      <w:pPr>
        <w:numPr>
          <w:ilvl w:val="0"/>
          <w:numId w:val="2"/>
        </w:numPr>
        <w:spacing w:before="120" w:after="120"/>
        <w:rPr>
          <w:lang w:val="en-US"/>
        </w:rPr>
      </w:pPr>
      <w:r w:rsidRPr="002433F3">
        <w:rPr>
          <w:spacing w:val="-2"/>
          <w:lang w:val="en-US"/>
        </w:rPr>
        <w:t xml:space="preserve">Based on the </w:t>
      </w:r>
      <w:r w:rsidR="00496462" w:rsidRPr="002433F3">
        <w:rPr>
          <w:spacing w:val="-2"/>
          <w:lang w:val="en-US"/>
        </w:rPr>
        <w:t>above considerations, the</w:t>
      </w:r>
      <w:r w:rsidRPr="002433F3">
        <w:rPr>
          <w:spacing w:val="-2"/>
          <w:lang w:val="en-US"/>
        </w:rPr>
        <w:t xml:space="preserve"> Court </w:t>
      </w:r>
      <w:r w:rsidR="00516BE6" w:rsidRPr="002433F3">
        <w:rPr>
          <w:spacing w:val="-2"/>
          <w:lang w:val="en-US"/>
        </w:rPr>
        <w:t xml:space="preserve">deems </w:t>
      </w:r>
      <w:r w:rsidRPr="002433F3">
        <w:rPr>
          <w:spacing w:val="-2"/>
          <w:lang w:val="en-US"/>
        </w:rPr>
        <w:t xml:space="preserve">it unnecessary to depart from the </w:t>
      </w:r>
      <w:r w:rsidR="003648FE" w:rsidRPr="002433F3">
        <w:rPr>
          <w:spacing w:val="-2"/>
          <w:lang w:val="en-US"/>
        </w:rPr>
        <w:t xml:space="preserve">position </w:t>
      </w:r>
      <w:r w:rsidRPr="002433F3">
        <w:rPr>
          <w:spacing w:val="-2"/>
          <w:lang w:val="en-US"/>
        </w:rPr>
        <w:t>ex</w:t>
      </w:r>
      <w:r w:rsidR="00496462" w:rsidRPr="002433F3">
        <w:rPr>
          <w:spacing w:val="-2"/>
          <w:lang w:val="en-US"/>
        </w:rPr>
        <w:t>pressed by the Commission in its</w:t>
      </w:r>
      <w:r w:rsidRPr="002433F3">
        <w:rPr>
          <w:spacing w:val="-2"/>
          <w:lang w:val="en-US"/>
        </w:rPr>
        <w:t xml:space="preserve"> Admissibility Report issued in this case. Therefore, the Court rejects the preliminary objection.</w:t>
      </w:r>
    </w:p>
    <w:p w14:paraId="6CF642DD" w14:textId="77777777" w:rsidR="007B0DE4" w:rsidRPr="002433F3" w:rsidRDefault="007B0DE4" w:rsidP="007B0DE4">
      <w:pPr>
        <w:pStyle w:val="Ttulo2"/>
        <w:numPr>
          <w:ilvl w:val="3"/>
          <w:numId w:val="1"/>
        </w:numPr>
        <w:spacing w:before="280" w:after="280"/>
        <w:ind w:left="714" w:hanging="357"/>
        <w:rPr>
          <w:noProof w:val="0"/>
          <w:lang w:val="en-US"/>
        </w:rPr>
      </w:pPr>
      <w:bookmarkStart w:id="52" w:name="_Toc448482247"/>
      <w:r w:rsidRPr="002433F3">
        <w:rPr>
          <w:noProof w:val="0"/>
          <w:lang w:val="en-US"/>
        </w:rPr>
        <w:t>Fact</w:t>
      </w:r>
      <w:r w:rsidR="003648FE" w:rsidRPr="002433F3">
        <w:rPr>
          <w:noProof w:val="0"/>
          <w:lang w:val="en-US"/>
        </w:rPr>
        <w:t xml:space="preserve">ual basis for the </w:t>
      </w:r>
      <w:r w:rsidRPr="002433F3">
        <w:rPr>
          <w:noProof w:val="0"/>
          <w:lang w:val="en-US"/>
        </w:rPr>
        <w:t>alleged violation of Articles 4(1) and 5(1) in relation to Article 1(1) of the American Convention</w:t>
      </w:r>
      <w:bookmarkEnd w:id="52"/>
    </w:p>
    <w:p w14:paraId="3E700BC0" w14:textId="77777777" w:rsidR="007B0DE4" w:rsidRPr="002433F3" w:rsidRDefault="007B0DE4" w:rsidP="007B0DE4">
      <w:pPr>
        <w:pStyle w:val="PrrafodeSentencia0"/>
        <w:rPr>
          <w:rFonts w:eastAsia="Calibri" w:cs="TimesNewRomanPSMT"/>
          <w:noProof w:val="0"/>
          <w:lang w:val="en-US"/>
        </w:rPr>
      </w:pPr>
      <w:r w:rsidRPr="002433F3">
        <w:rPr>
          <w:noProof w:val="0"/>
          <w:lang w:val="en-US"/>
        </w:rPr>
        <w:t xml:space="preserve">The </w:t>
      </w:r>
      <w:r w:rsidRPr="002433F3">
        <w:rPr>
          <w:i/>
          <w:noProof w:val="0"/>
          <w:lang w:val="en-US"/>
        </w:rPr>
        <w:t>State</w:t>
      </w:r>
      <w:r w:rsidRPr="002433F3">
        <w:rPr>
          <w:noProof w:val="0"/>
          <w:lang w:val="en-US"/>
        </w:rPr>
        <w:t xml:space="preserve"> argued that the </w:t>
      </w:r>
      <w:r w:rsidRPr="002433F3">
        <w:rPr>
          <w:rFonts w:eastAsia="Calibri" w:cs="Arial"/>
          <w:noProof w:val="0"/>
          <w:lang w:val="en-US"/>
        </w:rPr>
        <w:t xml:space="preserve">representatives of the alleged victim </w:t>
      </w:r>
      <w:r w:rsidR="00516BE6" w:rsidRPr="002433F3">
        <w:rPr>
          <w:rFonts w:eastAsia="Calibri" w:cs="Arial"/>
          <w:noProof w:val="0"/>
          <w:lang w:val="en-US"/>
        </w:rPr>
        <w:t>did not provide</w:t>
      </w:r>
      <w:r w:rsidRPr="002433F3">
        <w:rPr>
          <w:rFonts w:eastAsia="Calibri" w:cs="Arial"/>
          <w:noProof w:val="0"/>
          <w:lang w:val="en-US"/>
        </w:rPr>
        <w:t xml:space="preserve"> evidence at any of the</w:t>
      </w:r>
      <w:r w:rsidRPr="002433F3">
        <w:rPr>
          <w:rFonts w:eastAsia="Calibri"/>
          <w:noProof w:val="0"/>
          <w:lang w:val="en-US"/>
        </w:rPr>
        <w:t xml:space="preserve"> stage of the proceedings to prove that Mr. Duque’s prescribed </w:t>
      </w:r>
      <w:r w:rsidR="00B26B23" w:rsidRPr="002433F3">
        <w:rPr>
          <w:rFonts w:eastAsia="Calibri"/>
          <w:noProof w:val="0"/>
          <w:lang w:val="en-US"/>
        </w:rPr>
        <w:t>antiretroviral</w:t>
      </w:r>
      <w:r w:rsidRPr="002433F3">
        <w:rPr>
          <w:rFonts w:eastAsia="Calibri"/>
          <w:noProof w:val="0"/>
          <w:lang w:val="en-US"/>
        </w:rPr>
        <w:t xml:space="preserve"> treatment</w:t>
      </w:r>
      <w:r w:rsidRPr="002433F3">
        <w:rPr>
          <w:rFonts w:eastAsia="Calibri"/>
          <w:bCs w:val="0"/>
          <w:noProof w:val="0"/>
          <w:lang w:val="en-US" w:eastAsia="x-none"/>
        </w:rPr>
        <w:t xml:space="preserve"> was suspended </w:t>
      </w:r>
      <w:r w:rsidR="00516BE6" w:rsidRPr="002433F3">
        <w:rPr>
          <w:rFonts w:eastAsia="Calibri"/>
          <w:bCs w:val="0"/>
          <w:noProof w:val="0"/>
          <w:lang w:val="en-US" w:eastAsia="x-none"/>
        </w:rPr>
        <w:t xml:space="preserve">owing to his </w:t>
      </w:r>
      <w:r w:rsidRPr="002433F3">
        <w:rPr>
          <w:rFonts w:eastAsia="Calibri"/>
          <w:bCs w:val="0"/>
          <w:noProof w:val="0"/>
          <w:lang w:val="en-US" w:eastAsia="x-none"/>
        </w:rPr>
        <w:t xml:space="preserve">lack of </w:t>
      </w:r>
      <w:r w:rsidR="00516BE6" w:rsidRPr="002433F3">
        <w:rPr>
          <w:rFonts w:eastAsia="Calibri"/>
          <w:bCs w:val="0"/>
          <w:noProof w:val="0"/>
          <w:lang w:val="en-US" w:eastAsia="x-none"/>
        </w:rPr>
        <w:t xml:space="preserve">financial </w:t>
      </w:r>
      <w:r w:rsidRPr="002433F3">
        <w:rPr>
          <w:rFonts w:eastAsia="Calibri"/>
          <w:bCs w:val="0"/>
          <w:noProof w:val="0"/>
          <w:lang w:val="en-US" w:eastAsia="x-none"/>
        </w:rPr>
        <w:t>resources.</w:t>
      </w:r>
      <w:r w:rsidRPr="002433F3">
        <w:rPr>
          <w:rStyle w:val="Refdenotaalpie"/>
          <w:rFonts w:eastAsia="Calibri"/>
          <w:noProof w:val="0"/>
          <w:lang w:val="en-US"/>
        </w:rPr>
        <w:footnoteReference w:id="36"/>
      </w:r>
      <w:r w:rsidRPr="002433F3">
        <w:rPr>
          <w:rFonts w:eastAsia="Calibri"/>
          <w:noProof w:val="0"/>
          <w:lang w:val="en-US"/>
        </w:rPr>
        <w:t xml:space="preserve"> </w:t>
      </w:r>
      <w:r w:rsidRPr="002433F3">
        <w:rPr>
          <w:noProof w:val="0"/>
          <w:lang w:val="en-US"/>
        </w:rPr>
        <w:t xml:space="preserve">The </w:t>
      </w:r>
      <w:r w:rsidRPr="002433F3">
        <w:rPr>
          <w:i/>
          <w:noProof w:val="0"/>
          <w:lang w:val="en-US"/>
        </w:rPr>
        <w:t>Commission</w:t>
      </w:r>
      <w:r w:rsidR="009E613D" w:rsidRPr="002433F3">
        <w:rPr>
          <w:noProof w:val="0"/>
          <w:lang w:val="en-US"/>
        </w:rPr>
        <w:t xml:space="preserve"> argued </w:t>
      </w:r>
      <w:r w:rsidRPr="002433F3">
        <w:rPr>
          <w:noProof w:val="0"/>
          <w:lang w:val="en-US"/>
        </w:rPr>
        <w:t>that the determinatio</w:t>
      </w:r>
      <w:r w:rsidR="003110AF" w:rsidRPr="002433F3">
        <w:rPr>
          <w:noProof w:val="0"/>
          <w:lang w:val="en-US"/>
        </w:rPr>
        <w:t xml:space="preserve">n of whether </w:t>
      </w:r>
      <w:r w:rsidR="009E613D" w:rsidRPr="002433F3">
        <w:rPr>
          <w:noProof w:val="0"/>
          <w:lang w:val="en-US"/>
        </w:rPr>
        <w:t xml:space="preserve">or not </w:t>
      </w:r>
      <w:r w:rsidR="003110AF" w:rsidRPr="002433F3">
        <w:rPr>
          <w:noProof w:val="0"/>
          <w:lang w:val="en-US"/>
        </w:rPr>
        <w:t>a fact alleged by one of the parties</w:t>
      </w:r>
      <w:r w:rsidRPr="002433F3">
        <w:rPr>
          <w:noProof w:val="0"/>
          <w:lang w:val="en-US"/>
        </w:rPr>
        <w:t xml:space="preserve"> </w:t>
      </w:r>
      <w:r w:rsidR="00131D08" w:rsidRPr="002433F3">
        <w:rPr>
          <w:noProof w:val="0"/>
          <w:lang w:val="en-US"/>
        </w:rPr>
        <w:t xml:space="preserve">has been </w:t>
      </w:r>
      <w:r w:rsidRPr="002433F3">
        <w:rPr>
          <w:noProof w:val="0"/>
          <w:lang w:val="en-US"/>
        </w:rPr>
        <w:t xml:space="preserve">proven </w:t>
      </w:r>
      <w:r w:rsidR="003110AF" w:rsidRPr="002433F3">
        <w:rPr>
          <w:noProof w:val="0"/>
          <w:lang w:val="en-US"/>
        </w:rPr>
        <w:t xml:space="preserve">forms part of the </w:t>
      </w:r>
      <w:r w:rsidRPr="002433F3">
        <w:rPr>
          <w:noProof w:val="0"/>
          <w:lang w:val="en-US"/>
        </w:rPr>
        <w:t xml:space="preserve">merits of the </w:t>
      </w:r>
      <w:r w:rsidR="00131D08" w:rsidRPr="002433F3">
        <w:rPr>
          <w:noProof w:val="0"/>
          <w:lang w:val="en-US"/>
        </w:rPr>
        <w:t>case</w:t>
      </w:r>
      <w:r w:rsidR="009E613D" w:rsidRPr="002433F3">
        <w:rPr>
          <w:noProof w:val="0"/>
          <w:lang w:val="en-US"/>
        </w:rPr>
        <w:t>,</w:t>
      </w:r>
      <w:r w:rsidR="00131D08" w:rsidRPr="002433F3">
        <w:rPr>
          <w:noProof w:val="0"/>
          <w:lang w:val="en-US"/>
        </w:rPr>
        <w:t xml:space="preserve"> </w:t>
      </w:r>
      <w:r w:rsidRPr="002433F3">
        <w:rPr>
          <w:noProof w:val="0"/>
          <w:lang w:val="en-US"/>
        </w:rPr>
        <w:t>and does not constitute grounds for i</w:t>
      </w:r>
      <w:r w:rsidRPr="002433F3">
        <w:rPr>
          <w:rFonts w:eastAsia="Calibri" w:cs="TimesNewRomanPSMT"/>
          <w:noProof w:val="0"/>
          <w:lang w:val="en-US"/>
        </w:rPr>
        <w:t>nadmissibility</w:t>
      </w:r>
      <w:r w:rsidRPr="002433F3">
        <w:rPr>
          <w:noProof w:val="0"/>
          <w:lang w:val="en-US"/>
        </w:rPr>
        <w:t xml:space="preserve"> under Article 47 of the American Convention.</w:t>
      </w:r>
      <w:r w:rsidRPr="002433F3">
        <w:rPr>
          <w:rStyle w:val="Refdenotaalpie"/>
          <w:noProof w:val="0"/>
          <w:lang w:val="en-US"/>
        </w:rPr>
        <w:footnoteReference w:id="37"/>
      </w:r>
      <w:r w:rsidRPr="002433F3">
        <w:rPr>
          <w:noProof w:val="0"/>
          <w:lang w:val="en-US"/>
        </w:rPr>
        <w:t xml:space="preserve"> The </w:t>
      </w:r>
      <w:r w:rsidRPr="002433F3">
        <w:rPr>
          <w:i/>
          <w:noProof w:val="0"/>
          <w:lang w:val="en-US"/>
        </w:rPr>
        <w:t>representatives</w:t>
      </w:r>
      <w:r w:rsidRPr="002433F3">
        <w:rPr>
          <w:noProof w:val="0"/>
          <w:lang w:val="en-US"/>
        </w:rPr>
        <w:t xml:space="preserve"> a</w:t>
      </w:r>
      <w:r w:rsidR="00A6232E" w:rsidRPr="002433F3">
        <w:rPr>
          <w:noProof w:val="0"/>
          <w:lang w:val="en-US"/>
        </w:rPr>
        <w:t xml:space="preserve">dded </w:t>
      </w:r>
      <w:r w:rsidRPr="002433F3">
        <w:rPr>
          <w:noProof w:val="0"/>
          <w:lang w:val="en-US"/>
        </w:rPr>
        <w:t xml:space="preserve">that the </w:t>
      </w:r>
      <w:r w:rsidRPr="002433F3">
        <w:rPr>
          <w:rFonts w:eastAsia="Calibri" w:cs="TimesNewRomanPSMT"/>
          <w:noProof w:val="0"/>
          <w:lang w:val="en-US"/>
        </w:rPr>
        <w:t>objection submitted is not admissible because the principle of procedural preclusion operates</w:t>
      </w:r>
      <w:r w:rsidR="003110AF" w:rsidRPr="002433F3">
        <w:rPr>
          <w:rFonts w:eastAsia="Calibri" w:cs="TimesNewRomanPSMT"/>
          <w:noProof w:val="0"/>
          <w:lang w:val="en-US"/>
        </w:rPr>
        <w:t xml:space="preserve">; thus, </w:t>
      </w:r>
      <w:r w:rsidRPr="002433F3">
        <w:rPr>
          <w:rFonts w:eastAsia="Calibri" w:cs="TimesNewRomanPSMT"/>
          <w:noProof w:val="0"/>
          <w:lang w:val="en-US"/>
        </w:rPr>
        <w:t>by not characteriz</w:t>
      </w:r>
      <w:r w:rsidR="00E1439D" w:rsidRPr="002433F3">
        <w:rPr>
          <w:rFonts w:eastAsia="Calibri" w:cs="TimesNewRomanPSMT"/>
          <w:noProof w:val="0"/>
          <w:lang w:val="en-US"/>
        </w:rPr>
        <w:t xml:space="preserve">ing the </w:t>
      </w:r>
      <w:r w:rsidRPr="002433F3">
        <w:rPr>
          <w:rFonts w:eastAsia="Calibri" w:cs="TimesNewRomanPSMT"/>
          <w:noProof w:val="0"/>
          <w:lang w:val="en-US"/>
        </w:rPr>
        <w:t xml:space="preserve">facts </w:t>
      </w:r>
      <w:r w:rsidR="00E1439D" w:rsidRPr="002433F3">
        <w:rPr>
          <w:rFonts w:eastAsia="Calibri" w:cs="TimesNewRomanPSMT"/>
          <w:noProof w:val="0"/>
          <w:lang w:val="en-US"/>
        </w:rPr>
        <w:t xml:space="preserve">as </w:t>
      </w:r>
      <w:r w:rsidR="00733623" w:rsidRPr="002433F3">
        <w:rPr>
          <w:rFonts w:eastAsia="Calibri" w:cs="TimesNewRomanPSMT"/>
          <w:noProof w:val="0"/>
          <w:lang w:val="en-US"/>
        </w:rPr>
        <w:t xml:space="preserve">“manifestly </w:t>
      </w:r>
      <w:r w:rsidR="00E1439D" w:rsidRPr="002433F3">
        <w:rPr>
          <w:rFonts w:eastAsia="Calibri" w:cs="TimesNewRomanPSMT"/>
          <w:noProof w:val="0"/>
          <w:lang w:val="en-US"/>
        </w:rPr>
        <w:t>unfounded</w:t>
      </w:r>
      <w:r w:rsidRPr="002433F3">
        <w:rPr>
          <w:rFonts w:eastAsia="Calibri" w:cs="TimesNewRomanPSMT"/>
          <w:noProof w:val="0"/>
          <w:lang w:val="en-US"/>
        </w:rPr>
        <w:t>”</w:t>
      </w:r>
      <w:r w:rsidR="00E1439D" w:rsidRPr="002433F3">
        <w:rPr>
          <w:rFonts w:eastAsia="Calibri" w:cs="TimesNewRomanPSMT"/>
          <w:noProof w:val="0"/>
          <w:lang w:val="en-US"/>
        </w:rPr>
        <w:t xml:space="preserve"> in the Admissibility Report,</w:t>
      </w:r>
      <w:r w:rsidRPr="002433F3">
        <w:rPr>
          <w:rFonts w:eastAsia="Calibri" w:cs="TimesNewRomanPSMT"/>
          <w:noProof w:val="0"/>
          <w:lang w:val="en-US"/>
        </w:rPr>
        <w:t xml:space="preserve"> </w:t>
      </w:r>
      <w:r w:rsidR="003110AF" w:rsidRPr="002433F3">
        <w:rPr>
          <w:rFonts w:eastAsia="Calibri" w:cs="TimesNewRomanPSMT"/>
          <w:noProof w:val="0"/>
          <w:lang w:val="en-US"/>
        </w:rPr>
        <w:t xml:space="preserve">the issue raised by </w:t>
      </w:r>
      <w:r w:rsidRPr="002433F3">
        <w:rPr>
          <w:rFonts w:eastAsia="Calibri" w:cs="TimesNewRomanPSMT"/>
          <w:noProof w:val="0"/>
          <w:lang w:val="en-US"/>
        </w:rPr>
        <w:t xml:space="preserve">the State </w:t>
      </w:r>
      <w:r w:rsidR="003110AF" w:rsidRPr="002433F3">
        <w:rPr>
          <w:rFonts w:eastAsia="Calibri" w:cs="TimesNewRomanPSMT"/>
          <w:noProof w:val="0"/>
          <w:lang w:val="en-US"/>
        </w:rPr>
        <w:t xml:space="preserve">regarding </w:t>
      </w:r>
      <w:r w:rsidRPr="002433F3">
        <w:rPr>
          <w:rFonts w:eastAsia="Calibri" w:cs="TimesNewRomanPSMT"/>
          <w:noProof w:val="0"/>
          <w:lang w:val="en-US"/>
        </w:rPr>
        <w:t>compliance with Article 47(c) of the Convention</w:t>
      </w:r>
      <w:r w:rsidR="003110AF" w:rsidRPr="002433F3">
        <w:rPr>
          <w:rFonts w:eastAsia="Calibri" w:cs="TimesNewRomanPSMT"/>
          <w:noProof w:val="0"/>
          <w:lang w:val="en-US"/>
        </w:rPr>
        <w:t xml:space="preserve"> was tacitly resolved. They </w:t>
      </w:r>
      <w:r w:rsidR="009E613D" w:rsidRPr="002433F3">
        <w:rPr>
          <w:rFonts w:eastAsia="Calibri" w:cs="TimesNewRomanPSMT"/>
          <w:noProof w:val="0"/>
          <w:lang w:val="en-US"/>
        </w:rPr>
        <w:t xml:space="preserve">further </w:t>
      </w:r>
      <w:r w:rsidRPr="002433F3">
        <w:rPr>
          <w:rFonts w:eastAsia="Calibri" w:cs="TimesNewRomanPSMT"/>
          <w:noProof w:val="0"/>
          <w:lang w:val="en-US"/>
        </w:rPr>
        <w:t>a</w:t>
      </w:r>
      <w:r w:rsidR="003110AF" w:rsidRPr="002433F3">
        <w:rPr>
          <w:rFonts w:eastAsia="Calibri" w:cs="TimesNewRomanPSMT"/>
          <w:noProof w:val="0"/>
          <w:lang w:val="en-US"/>
        </w:rPr>
        <w:t xml:space="preserve">rgued </w:t>
      </w:r>
      <w:r w:rsidRPr="002433F3">
        <w:rPr>
          <w:rFonts w:eastAsia="Calibri" w:cs="TimesNewRomanPSMT"/>
          <w:noProof w:val="0"/>
          <w:lang w:val="en-US"/>
        </w:rPr>
        <w:t>that this objection was not raised at the appropriate procedural moment, that is</w:t>
      </w:r>
      <w:r w:rsidR="003110AF" w:rsidRPr="002433F3">
        <w:rPr>
          <w:rFonts w:eastAsia="Calibri" w:cs="TimesNewRomanPSMT"/>
          <w:noProof w:val="0"/>
          <w:lang w:val="en-US"/>
        </w:rPr>
        <w:t>,</w:t>
      </w:r>
      <w:r w:rsidRPr="002433F3">
        <w:rPr>
          <w:rFonts w:eastAsia="Calibri" w:cs="TimesNewRomanPSMT"/>
          <w:noProof w:val="0"/>
          <w:lang w:val="en-US"/>
        </w:rPr>
        <w:t xml:space="preserve"> </w:t>
      </w:r>
      <w:r w:rsidR="003110AF" w:rsidRPr="002433F3">
        <w:rPr>
          <w:rFonts w:eastAsia="Calibri" w:cs="TimesNewRomanPSMT"/>
          <w:noProof w:val="0"/>
          <w:lang w:val="en-US"/>
        </w:rPr>
        <w:t xml:space="preserve">during </w:t>
      </w:r>
      <w:r w:rsidRPr="002433F3">
        <w:rPr>
          <w:rFonts w:eastAsia="Calibri" w:cs="TimesNewRomanPSMT"/>
          <w:noProof w:val="0"/>
          <w:lang w:val="en-US"/>
        </w:rPr>
        <w:t xml:space="preserve">the admissibility stage. </w:t>
      </w:r>
    </w:p>
    <w:p w14:paraId="6B7F9B24" w14:textId="77777777" w:rsidR="007B0DE4" w:rsidRPr="002433F3" w:rsidRDefault="007B0DE4" w:rsidP="007B0DE4">
      <w:pPr>
        <w:numPr>
          <w:ilvl w:val="0"/>
          <w:numId w:val="2"/>
        </w:numPr>
        <w:tabs>
          <w:tab w:val="left" w:pos="720"/>
          <w:tab w:val="left" w:pos="851"/>
        </w:tabs>
        <w:spacing w:before="120" w:after="120"/>
        <w:rPr>
          <w:lang w:val="en-US"/>
        </w:rPr>
      </w:pPr>
      <w:r w:rsidRPr="002433F3">
        <w:rPr>
          <w:rFonts w:eastAsia="Calibri" w:cs="TimesNewRomanPSMT"/>
          <w:szCs w:val="20"/>
          <w:lang w:val="en-US"/>
        </w:rPr>
        <w:t xml:space="preserve">The Court notes that </w:t>
      </w:r>
      <w:r w:rsidR="00376A3F" w:rsidRPr="002433F3">
        <w:rPr>
          <w:rFonts w:eastAsia="Calibri" w:cs="TimesNewRomanPSMT"/>
          <w:szCs w:val="20"/>
          <w:lang w:val="en-US"/>
        </w:rPr>
        <w:t xml:space="preserve">in its arguments </w:t>
      </w:r>
      <w:r w:rsidRPr="002433F3">
        <w:rPr>
          <w:rFonts w:eastAsia="Calibri" w:cs="TimesNewRomanPSMT"/>
          <w:szCs w:val="20"/>
          <w:lang w:val="en-US"/>
        </w:rPr>
        <w:t xml:space="preserve">the State </w:t>
      </w:r>
      <w:r w:rsidR="00376A3F" w:rsidRPr="002433F3">
        <w:rPr>
          <w:rFonts w:eastAsia="Calibri" w:cs="TimesNewRomanPSMT"/>
          <w:szCs w:val="20"/>
          <w:lang w:val="en-US"/>
        </w:rPr>
        <w:t xml:space="preserve">claimed </w:t>
      </w:r>
      <w:r w:rsidRPr="002433F3">
        <w:rPr>
          <w:rFonts w:eastAsia="Calibri" w:cs="TimesNewRomanPSMT"/>
          <w:szCs w:val="20"/>
          <w:lang w:val="en-US"/>
        </w:rPr>
        <w:t>that the represent</w:t>
      </w:r>
      <w:r w:rsidR="00F700F0" w:rsidRPr="002433F3">
        <w:rPr>
          <w:rFonts w:eastAsia="Calibri" w:cs="TimesNewRomanPSMT"/>
          <w:szCs w:val="20"/>
          <w:lang w:val="en-US"/>
        </w:rPr>
        <w:t>a</w:t>
      </w:r>
      <w:r w:rsidR="00376A3F" w:rsidRPr="002433F3">
        <w:rPr>
          <w:rFonts w:eastAsia="Calibri" w:cs="TimesNewRomanPSMT"/>
          <w:szCs w:val="20"/>
          <w:lang w:val="en-US"/>
        </w:rPr>
        <w:t>tives of the alleged victim did not provide</w:t>
      </w:r>
      <w:r w:rsidRPr="002433F3">
        <w:rPr>
          <w:rFonts w:eastAsia="Calibri" w:cs="TimesNewRomanPSMT"/>
          <w:szCs w:val="20"/>
          <w:lang w:val="en-US"/>
        </w:rPr>
        <w:t xml:space="preserve"> evidence </w:t>
      </w:r>
      <w:r w:rsidR="00B01307" w:rsidRPr="002433F3">
        <w:rPr>
          <w:rFonts w:eastAsia="Calibri" w:cs="TimesNewRomanPSMT"/>
          <w:szCs w:val="20"/>
          <w:lang w:val="en-US"/>
        </w:rPr>
        <w:t>to</w:t>
      </w:r>
      <w:r w:rsidRPr="002433F3">
        <w:rPr>
          <w:rFonts w:eastAsia="Calibri" w:cs="TimesNewRomanPSMT"/>
          <w:szCs w:val="20"/>
          <w:lang w:val="en-US"/>
        </w:rPr>
        <w:t xml:space="preserve"> prove that </w:t>
      </w:r>
      <w:r w:rsidR="00D731D9" w:rsidRPr="002433F3">
        <w:rPr>
          <w:rFonts w:eastAsia="Calibri" w:cs="TimesNewRomanPSMT"/>
          <w:szCs w:val="20"/>
          <w:lang w:val="en-US"/>
        </w:rPr>
        <w:t xml:space="preserve">Mr. Duque’s prescribed </w:t>
      </w:r>
      <w:r w:rsidR="00B26B23" w:rsidRPr="002433F3">
        <w:rPr>
          <w:rFonts w:eastAsia="Calibri" w:cs="TimesNewRomanPSMT"/>
          <w:szCs w:val="20"/>
          <w:lang w:val="en-US"/>
        </w:rPr>
        <w:t>antiretroviral</w:t>
      </w:r>
      <w:r w:rsidRPr="002433F3">
        <w:rPr>
          <w:rFonts w:eastAsia="Calibri" w:cs="TimesNewRomanPSMT"/>
          <w:szCs w:val="20"/>
          <w:lang w:val="en-US"/>
        </w:rPr>
        <w:t xml:space="preserve"> treatment was suspended</w:t>
      </w:r>
      <w:r w:rsidR="00D731D9" w:rsidRPr="002433F3">
        <w:rPr>
          <w:rFonts w:eastAsia="Calibri" w:cs="TimesNewRomanPSMT"/>
          <w:szCs w:val="20"/>
          <w:lang w:val="en-US"/>
        </w:rPr>
        <w:t xml:space="preserve"> owing to his lack of financial resources</w:t>
      </w:r>
      <w:r w:rsidRPr="002433F3">
        <w:rPr>
          <w:rFonts w:eastAsia="Calibri" w:cs="TimesNewRomanPSMT"/>
          <w:szCs w:val="20"/>
          <w:lang w:val="en-US"/>
        </w:rPr>
        <w:t xml:space="preserve">. This Court finds that the State’s argument </w:t>
      </w:r>
      <w:r w:rsidR="00376A3F" w:rsidRPr="002433F3">
        <w:rPr>
          <w:rFonts w:eastAsia="Calibri" w:cs="TimesNewRomanPSMT"/>
          <w:szCs w:val="20"/>
          <w:lang w:val="en-US"/>
        </w:rPr>
        <w:t>is related</w:t>
      </w:r>
      <w:r w:rsidR="00F700F0" w:rsidRPr="002433F3">
        <w:rPr>
          <w:rFonts w:eastAsia="Calibri" w:cs="TimesNewRomanPSMT"/>
          <w:szCs w:val="20"/>
          <w:lang w:val="en-US"/>
        </w:rPr>
        <w:t xml:space="preserve"> </w:t>
      </w:r>
      <w:r w:rsidRPr="002433F3">
        <w:rPr>
          <w:rFonts w:eastAsia="Calibri" w:cs="TimesNewRomanPSMT"/>
          <w:szCs w:val="20"/>
          <w:lang w:val="en-US"/>
        </w:rPr>
        <w:t>to the assessment of the means of evidence to determine the fact</w:t>
      </w:r>
      <w:r w:rsidR="00F700F0" w:rsidRPr="002433F3">
        <w:rPr>
          <w:rFonts w:eastAsia="Calibri" w:cs="TimesNewRomanPSMT"/>
          <w:szCs w:val="20"/>
          <w:lang w:val="en-US"/>
        </w:rPr>
        <w:t>ual basis for the</w:t>
      </w:r>
      <w:r w:rsidRPr="002433F3">
        <w:rPr>
          <w:rFonts w:eastAsia="Calibri" w:cs="TimesNewRomanPSMT"/>
          <w:szCs w:val="20"/>
          <w:lang w:val="en-US"/>
        </w:rPr>
        <w:t xml:space="preserve"> alleged violation of the right to p</w:t>
      </w:r>
      <w:r w:rsidR="00F700F0" w:rsidRPr="002433F3">
        <w:rPr>
          <w:rFonts w:eastAsia="Calibri" w:cs="TimesNewRomanPSMT"/>
          <w:szCs w:val="20"/>
          <w:lang w:val="en-US"/>
        </w:rPr>
        <w:t>ersonal integrity and the</w:t>
      </w:r>
      <w:r w:rsidRPr="002433F3">
        <w:rPr>
          <w:rFonts w:eastAsia="Calibri" w:cs="TimesNewRomanPSMT"/>
          <w:szCs w:val="20"/>
          <w:lang w:val="en-US"/>
        </w:rPr>
        <w:t xml:space="preserve"> right to life. Consequently, the State’s argument does not constitute a preliminary objection or </w:t>
      </w:r>
      <w:r w:rsidR="00D731D9" w:rsidRPr="002433F3">
        <w:rPr>
          <w:rFonts w:eastAsia="Calibri" w:cs="TimesNewRomanPSMT"/>
          <w:szCs w:val="20"/>
          <w:lang w:val="en-US"/>
        </w:rPr>
        <w:t xml:space="preserve">grounds for </w:t>
      </w:r>
      <w:r w:rsidRPr="002433F3">
        <w:rPr>
          <w:rFonts w:eastAsia="Calibri" w:cs="TimesNewRomanPSMT"/>
          <w:szCs w:val="20"/>
          <w:lang w:val="en-US"/>
        </w:rPr>
        <w:t xml:space="preserve">inadmissibility under </w:t>
      </w:r>
      <w:r w:rsidRPr="002433F3">
        <w:rPr>
          <w:lang w:val="en-US"/>
        </w:rPr>
        <w:t>Article 47 of the American Convention. N</w:t>
      </w:r>
      <w:r w:rsidR="00F700F0" w:rsidRPr="002433F3">
        <w:rPr>
          <w:lang w:val="en-US"/>
        </w:rPr>
        <w:t xml:space="preserve">evertheless, </w:t>
      </w:r>
      <w:r w:rsidRPr="002433F3">
        <w:rPr>
          <w:lang w:val="en-US"/>
        </w:rPr>
        <w:t xml:space="preserve">the Court will take into account the State’s arguments </w:t>
      </w:r>
      <w:r w:rsidR="0068020E" w:rsidRPr="002433F3">
        <w:rPr>
          <w:lang w:val="en-US"/>
        </w:rPr>
        <w:t xml:space="preserve">in determining </w:t>
      </w:r>
      <w:r w:rsidRPr="002433F3">
        <w:rPr>
          <w:lang w:val="en-US"/>
        </w:rPr>
        <w:t>the facts of the case in the section on the merits.</w:t>
      </w:r>
    </w:p>
    <w:p w14:paraId="196F9E7B" w14:textId="77777777" w:rsidR="007B0DE4" w:rsidRPr="002433F3" w:rsidRDefault="007B0DE4" w:rsidP="007B0DE4">
      <w:pPr>
        <w:pStyle w:val="Ttulo2"/>
        <w:numPr>
          <w:ilvl w:val="3"/>
          <w:numId w:val="1"/>
        </w:numPr>
        <w:spacing w:before="280" w:after="280"/>
        <w:ind w:left="714" w:hanging="357"/>
        <w:rPr>
          <w:noProof w:val="0"/>
          <w:lang w:val="en-US"/>
        </w:rPr>
      </w:pPr>
      <w:bookmarkStart w:id="53" w:name="_Toc448482248"/>
      <w:r w:rsidRPr="002433F3">
        <w:rPr>
          <w:noProof w:val="0"/>
          <w:lang w:val="en-US"/>
        </w:rPr>
        <w:lastRenderedPageBreak/>
        <w:t>Failure to exhaust domestic remedies re</w:t>
      </w:r>
      <w:r w:rsidR="00160E03" w:rsidRPr="002433F3">
        <w:rPr>
          <w:noProof w:val="0"/>
          <w:lang w:val="en-US"/>
        </w:rPr>
        <w:t xml:space="preserve">lated to </w:t>
      </w:r>
      <w:r w:rsidRPr="002433F3">
        <w:rPr>
          <w:noProof w:val="0"/>
          <w:lang w:val="en-US"/>
        </w:rPr>
        <w:t>the rights to life and personal integrity</w:t>
      </w:r>
      <w:bookmarkEnd w:id="53"/>
    </w:p>
    <w:p w14:paraId="6A1F8576" w14:textId="77777777" w:rsidR="007B0DE4" w:rsidRPr="002433F3" w:rsidRDefault="007B0DE4" w:rsidP="007B0DE4">
      <w:pPr>
        <w:pStyle w:val="Ttulo3"/>
        <w:spacing w:before="280" w:after="280"/>
        <w:ind w:left="1066"/>
        <w:rPr>
          <w:rFonts w:eastAsia="Calibri" w:cs="TimesNewRomanPSMT"/>
          <w:noProof w:val="0"/>
          <w:lang w:val="en-US"/>
        </w:rPr>
      </w:pPr>
      <w:bookmarkStart w:id="54" w:name="_Toc448482249"/>
      <w:r w:rsidRPr="002433F3">
        <w:rPr>
          <w:rFonts w:eastAsia="Calibri" w:cs="TimesNewRomanPSMT"/>
          <w:noProof w:val="0"/>
          <w:lang w:val="en-US"/>
        </w:rPr>
        <w:t xml:space="preserve">C.1. </w:t>
      </w:r>
      <w:r w:rsidRPr="002433F3">
        <w:rPr>
          <w:noProof w:val="0"/>
          <w:lang w:val="en-US"/>
        </w:rPr>
        <w:t>Arguments</w:t>
      </w:r>
      <w:r w:rsidRPr="002433F3">
        <w:rPr>
          <w:rFonts w:eastAsia="Calibri" w:cs="TimesNewRomanPSMT"/>
          <w:noProof w:val="0"/>
          <w:lang w:val="en-US"/>
        </w:rPr>
        <w:t xml:space="preserve"> of the State and observations of the Commission and </w:t>
      </w:r>
      <w:bookmarkEnd w:id="54"/>
      <w:r w:rsidRPr="002433F3">
        <w:rPr>
          <w:rFonts w:eastAsia="Calibri" w:cs="TimesNewRomanPSMT"/>
          <w:noProof w:val="0"/>
          <w:lang w:val="en-US"/>
        </w:rPr>
        <w:t>the representatives</w:t>
      </w:r>
    </w:p>
    <w:p w14:paraId="564FE339" w14:textId="77777777" w:rsidR="007B0DE4" w:rsidRPr="002433F3" w:rsidRDefault="007B0DE4" w:rsidP="007B0DE4">
      <w:pPr>
        <w:numPr>
          <w:ilvl w:val="0"/>
          <w:numId w:val="2"/>
        </w:numPr>
        <w:tabs>
          <w:tab w:val="left" w:pos="720"/>
          <w:tab w:val="left" w:pos="851"/>
        </w:tabs>
        <w:spacing w:before="120" w:after="120"/>
        <w:rPr>
          <w:sz w:val="16"/>
          <w:szCs w:val="16"/>
          <w:lang w:val="en-US"/>
        </w:rPr>
      </w:pPr>
      <w:r w:rsidRPr="002433F3">
        <w:rPr>
          <w:lang w:val="en-US"/>
        </w:rPr>
        <w:t xml:space="preserve">The </w:t>
      </w:r>
      <w:r w:rsidRPr="002433F3">
        <w:rPr>
          <w:i/>
          <w:lang w:val="en-US"/>
        </w:rPr>
        <w:t>State</w:t>
      </w:r>
      <w:r w:rsidRPr="002433F3">
        <w:rPr>
          <w:lang w:val="en-US"/>
        </w:rPr>
        <w:t xml:space="preserve"> argued that the </w:t>
      </w:r>
      <w:r w:rsidRPr="002433F3">
        <w:rPr>
          <w:i/>
          <w:lang w:val="en-US"/>
        </w:rPr>
        <w:t>tutela</w:t>
      </w:r>
      <w:r w:rsidRPr="002433F3">
        <w:rPr>
          <w:lang w:val="en-US"/>
        </w:rPr>
        <w:t xml:space="preserve"> action is an adequate and effective judicial mechanism </w:t>
      </w:r>
      <w:r w:rsidR="004F0BEB" w:rsidRPr="002433F3">
        <w:rPr>
          <w:lang w:val="en-US"/>
        </w:rPr>
        <w:t xml:space="preserve">for securing </w:t>
      </w:r>
      <w:r w:rsidRPr="002433F3">
        <w:rPr>
          <w:lang w:val="en-US"/>
        </w:rPr>
        <w:t xml:space="preserve">immediate </w:t>
      </w:r>
      <w:r w:rsidRPr="002433F3">
        <w:rPr>
          <w:rFonts w:eastAsia="Calibri" w:cs="TimesNewRomanPSMT"/>
          <w:szCs w:val="20"/>
          <w:lang w:val="en-US"/>
        </w:rPr>
        <w:t>protection</w:t>
      </w:r>
      <w:r w:rsidRPr="002433F3">
        <w:rPr>
          <w:lang w:val="en-US"/>
        </w:rPr>
        <w:t xml:space="preserve"> of the fundamental rights to health, personal integrity and life when these are threatened by the irregular provision of medical services. Therefore, Mr. Duque should have exhausted that remedy in relation to the alleged lack of continuity </w:t>
      </w:r>
      <w:r w:rsidR="00376A3F" w:rsidRPr="002433F3">
        <w:rPr>
          <w:lang w:val="en-US"/>
        </w:rPr>
        <w:t xml:space="preserve">of </w:t>
      </w:r>
      <w:r w:rsidRPr="002433F3">
        <w:rPr>
          <w:lang w:val="en-US"/>
        </w:rPr>
        <w:t xml:space="preserve">his </w:t>
      </w:r>
      <w:r w:rsidR="00B26B23" w:rsidRPr="002433F3">
        <w:rPr>
          <w:lang w:val="en-US"/>
        </w:rPr>
        <w:t>antiretroviral</w:t>
      </w:r>
      <w:r w:rsidRPr="002433F3">
        <w:rPr>
          <w:lang w:val="en-US"/>
        </w:rPr>
        <w:t xml:space="preserve"> treatment. Furthermore, it indicated that if Mr. Duque considered that </w:t>
      </w:r>
      <w:r w:rsidR="004F0BEB" w:rsidRPr="002433F3">
        <w:rPr>
          <w:lang w:val="en-US"/>
        </w:rPr>
        <w:t xml:space="preserve">he could not cover the </w:t>
      </w:r>
      <w:r w:rsidRPr="002433F3">
        <w:rPr>
          <w:lang w:val="en-US"/>
        </w:rPr>
        <w:t>c</w:t>
      </w:r>
      <w:r w:rsidR="00376A3F" w:rsidRPr="002433F3">
        <w:rPr>
          <w:lang w:val="en-US"/>
        </w:rPr>
        <w:t xml:space="preserve">osts </w:t>
      </w:r>
      <w:r w:rsidR="004F0BEB" w:rsidRPr="002433F3">
        <w:rPr>
          <w:lang w:val="en-US"/>
        </w:rPr>
        <w:t xml:space="preserve">of </w:t>
      </w:r>
      <w:r w:rsidRPr="002433F3">
        <w:rPr>
          <w:lang w:val="en-US"/>
        </w:rPr>
        <w:t xml:space="preserve">the </w:t>
      </w:r>
      <w:r w:rsidR="00B26B23" w:rsidRPr="002433F3">
        <w:rPr>
          <w:lang w:val="en-US"/>
        </w:rPr>
        <w:t>antiretroviral</w:t>
      </w:r>
      <w:r w:rsidRPr="002433F3">
        <w:rPr>
          <w:lang w:val="en-US"/>
        </w:rPr>
        <w:t xml:space="preserve"> treatment </w:t>
      </w:r>
      <w:r w:rsidR="004F0BEB" w:rsidRPr="002433F3">
        <w:rPr>
          <w:lang w:val="en-US"/>
        </w:rPr>
        <w:t xml:space="preserve">or that it </w:t>
      </w:r>
      <w:r w:rsidRPr="002433F3">
        <w:rPr>
          <w:lang w:val="en-US"/>
        </w:rPr>
        <w:t xml:space="preserve">was being </w:t>
      </w:r>
      <w:r w:rsidR="004F0BEB" w:rsidRPr="002433F3">
        <w:rPr>
          <w:lang w:val="en-US"/>
        </w:rPr>
        <w:t>suspended</w:t>
      </w:r>
      <w:r w:rsidRPr="002433F3">
        <w:rPr>
          <w:lang w:val="en-US"/>
        </w:rPr>
        <w:t xml:space="preserve">, </w:t>
      </w:r>
      <w:r w:rsidR="004F0BEB" w:rsidRPr="002433F3">
        <w:rPr>
          <w:lang w:val="en-US"/>
        </w:rPr>
        <w:t xml:space="preserve">he could have filed </w:t>
      </w:r>
      <w:r w:rsidRPr="002433F3">
        <w:rPr>
          <w:lang w:val="en-US"/>
        </w:rPr>
        <w:t xml:space="preserve">a </w:t>
      </w:r>
      <w:r w:rsidRPr="002433F3">
        <w:rPr>
          <w:i/>
          <w:lang w:val="en-US"/>
        </w:rPr>
        <w:t>tutela</w:t>
      </w:r>
      <w:r w:rsidR="004F0BEB" w:rsidRPr="002433F3">
        <w:rPr>
          <w:lang w:val="en-US"/>
        </w:rPr>
        <w:t xml:space="preserve"> action</w:t>
      </w:r>
      <w:r w:rsidRPr="002433F3">
        <w:rPr>
          <w:lang w:val="en-US"/>
        </w:rPr>
        <w:t xml:space="preserve"> </w:t>
      </w:r>
      <w:r w:rsidR="00376A3F" w:rsidRPr="002433F3">
        <w:rPr>
          <w:lang w:val="en-US"/>
        </w:rPr>
        <w:t>that was un</w:t>
      </w:r>
      <w:r w:rsidR="004F0BEB" w:rsidRPr="002433F3">
        <w:rPr>
          <w:lang w:val="en-US"/>
        </w:rPr>
        <w:t>connected with t</w:t>
      </w:r>
      <w:r w:rsidRPr="002433F3">
        <w:rPr>
          <w:lang w:val="en-US"/>
        </w:rPr>
        <w:t xml:space="preserve">he claim for the pension rights in question. </w:t>
      </w:r>
    </w:p>
    <w:p w14:paraId="51CCD600" w14:textId="77777777" w:rsidR="007B0DE4" w:rsidRPr="002433F3" w:rsidRDefault="007B0DE4" w:rsidP="007B0DE4">
      <w:pPr>
        <w:numPr>
          <w:ilvl w:val="0"/>
          <w:numId w:val="2"/>
        </w:numPr>
        <w:tabs>
          <w:tab w:val="left" w:pos="720"/>
          <w:tab w:val="left" w:pos="851"/>
        </w:tabs>
        <w:spacing w:before="120" w:after="120"/>
        <w:rPr>
          <w:sz w:val="16"/>
          <w:szCs w:val="16"/>
          <w:lang w:val="en-US"/>
        </w:rPr>
      </w:pPr>
      <w:r w:rsidRPr="002433F3">
        <w:rPr>
          <w:lang w:val="en-US"/>
        </w:rPr>
        <w:t xml:space="preserve">The </w:t>
      </w:r>
      <w:r w:rsidRPr="002433F3">
        <w:rPr>
          <w:i/>
          <w:lang w:val="en-US"/>
        </w:rPr>
        <w:t>Commission</w:t>
      </w:r>
      <w:r w:rsidRPr="002433F3">
        <w:rPr>
          <w:lang w:val="en-US"/>
        </w:rPr>
        <w:t xml:space="preserve"> </w:t>
      </w:r>
      <w:r w:rsidR="00A6156B" w:rsidRPr="002433F3">
        <w:rPr>
          <w:lang w:val="en-US"/>
        </w:rPr>
        <w:t xml:space="preserve">pointed out </w:t>
      </w:r>
      <w:r w:rsidRPr="002433F3">
        <w:rPr>
          <w:lang w:val="en-US"/>
        </w:rPr>
        <w:t>that the Colombian State had already had an opportunity to resolve the situation related to Mr. Duque’s health,</w:t>
      </w:r>
      <w:r w:rsidR="00A6156B" w:rsidRPr="002433F3">
        <w:rPr>
          <w:lang w:val="en-US"/>
        </w:rPr>
        <w:t xml:space="preserve"> given that this matter </w:t>
      </w:r>
      <w:r w:rsidRPr="002433F3">
        <w:rPr>
          <w:lang w:val="en-US"/>
        </w:rPr>
        <w:t>was expressly raised</w:t>
      </w:r>
      <w:r w:rsidR="00A6156B" w:rsidRPr="002433F3">
        <w:rPr>
          <w:lang w:val="en-US"/>
        </w:rPr>
        <w:t xml:space="preserve"> in </w:t>
      </w:r>
      <w:r w:rsidRPr="002433F3">
        <w:rPr>
          <w:lang w:val="en-US"/>
        </w:rPr>
        <w:t xml:space="preserve">the </w:t>
      </w:r>
      <w:r w:rsidRPr="002433F3">
        <w:rPr>
          <w:i/>
          <w:lang w:val="en-US"/>
        </w:rPr>
        <w:t>tutela</w:t>
      </w:r>
      <w:r w:rsidRPr="002433F3">
        <w:rPr>
          <w:lang w:val="en-US"/>
        </w:rPr>
        <w:t xml:space="preserve"> action</w:t>
      </w:r>
      <w:r w:rsidR="00376A3F" w:rsidRPr="002433F3">
        <w:rPr>
          <w:lang w:val="en-US"/>
        </w:rPr>
        <w:t>s</w:t>
      </w:r>
      <w:r w:rsidRPr="002433F3">
        <w:rPr>
          <w:lang w:val="en-US"/>
        </w:rPr>
        <w:t xml:space="preserve"> that w</w:t>
      </w:r>
      <w:r w:rsidR="00376A3F" w:rsidRPr="002433F3">
        <w:rPr>
          <w:lang w:val="en-US"/>
        </w:rPr>
        <w:t xml:space="preserve">ere </w:t>
      </w:r>
      <w:r w:rsidR="002F797B" w:rsidRPr="002433F3">
        <w:rPr>
          <w:lang w:val="en-US"/>
        </w:rPr>
        <w:t xml:space="preserve">dismissed </w:t>
      </w:r>
      <w:r w:rsidRPr="002433F3">
        <w:rPr>
          <w:lang w:val="en-US"/>
        </w:rPr>
        <w:t xml:space="preserve">by two courts and was not selected for review by the Constitutional Court of Colombia. </w:t>
      </w:r>
      <w:r w:rsidR="00A6156B" w:rsidRPr="002433F3">
        <w:rPr>
          <w:lang w:val="en-US"/>
        </w:rPr>
        <w:t>T</w:t>
      </w:r>
      <w:r w:rsidRPr="002433F3">
        <w:rPr>
          <w:lang w:val="en-US"/>
        </w:rPr>
        <w:t xml:space="preserve">he Commission </w:t>
      </w:r>
      <w:r w:rsidR="00A6156B" w:rsidRPr="002433F3">
        <w:rPr>
          <w:lang w:val="en-US"/>
        </w:rPr>
        <w:t xml:space="preserve">also </w:t>
      </w:r>
      <w:r w:rsidR="00810E67" w:rsidRPr="002433F3">
        <w:rPr>
          <w:lang w:val="en-US"/>
        </w:rPr>
        <w:t xml:space="preserve">emphasized </w:t>
      </w:r>
      <w:r w:rsidRPr="002433F3">
        <w:rPr>
          <w:lang w:val="en-US"/>
        </w:rPr>
        <w:t xml:space="preserve">that the </w:t>
      </w:r>
      <w:r w:rsidR="00A6156B" w:rsidRPr="002433F3">
        <w:rPr>
          <w:lang w:val="en-US"/>
        </w:rPr>
        <w:t xml:space="preserve">principal </w:t>
      </w:r>
      <w:r w:rsidR="00376A3F" w:rsidRPr="002433F3">
        <w:rPr>
          <w:lang w:val="en-US"/>
        </w:rPr>
        <w:t>violation in this case wa</w:t>
      </w:r>
      <w:r w:rsidRPr="002433F3">
        <w:rPr>
          <w:lang w:val="en-US"/>
        </w:rPr>
        <w:t>s the refusal to recognize Mr. Angel Duque</w:t>
      </w:r>
      <w:r w:rsidR="00810E67" w:rsidRPr="002433F3">
        <w:rPr>
          <w:lang w:val="en-US"/>
        </w:rPr>
        <w:t>’s pension rights</w:t>
      </w:r>
      <w:r w:rsidRPr="002433F3">
        <w:rPr>
          <w:lang w:val="en-US"/>
        </w:rPr>
        <w:t>. The circumstance</w:t>
      </w:r>
      <w:r w:rsidR="00810E67" w:rsidRPr="002433F3">
        <w:rPr>
          <w:lang w:val="en-US"/>
        </w:rPr>
        <w:t>s</w:t>
      </w:r>
      <w:r w:rsidRPr="002433F3">
        <w:rPr>
          <w:lang w:val="en-US"/>
        </w:rPr>
        <w:t xml:space="preserve"> to which </w:t>
      </w:r>
      <w:r w:rsidR="00376A3F" w:rsidRPr="002433F3">
        <w:rPr>
          <w:lang w:val="en-US"/>
        </w:rPr>
        <w:t xml:space="preserve">Mr. Duque </w:t>
      </w:r>
      <w:r w:rsidR="00810E67" w:rsidRPr="002433F3">
        <w:rPr>
          <w:lang w:val="en-US"/>
        </w:rPr>
        <w:t>could have been</w:t>
      </w:r>
      <w:r w:rsidRPr="002433F3">
        <w:rPr>
          <w:lang w:val="en-US"/>
        </w:rPr>
        <w:t xml:space="preserve"> exposed in relation to his medical treatment</w:t>
      </w:r>
      <w:r w:rsidR="00810E67" w:rsidRPr="002433F3">
        <w:rPr>
          <w:lang w:val="en-US"/>
        </w:rPr>
        <w:t xml:space="preserve"> are </w:t>
      </w:r>
      <w:r w:rsidRPr="002433F3">
        <w:rPr>
          <w:lang w:val="en-US"/>
        </w:rPr>
        <w:t xml:space="preserve">facts </w:t>
      </w:r>
      <w:r w:rsidR="008A3978" w:rsidRPr="002433F3">
        <w:rPr>
          <w:lang w:val="en-US"/>
        </w:rPr>
        <w:t xml:space="preserve">connected with </w:t>
      </w:r>
      <w:r w:rsidRPr="002433F3">
        <w:rPr>
          <w:lang w:val="en-US"/>
        </w:rPr>
        <w:t xml:space="preserve">the </w:t>
      </w:r>
      <w:r w:rsidR="00810E67" w:rsidRPr="002433F3">
        <w:rPr>
          <w:lang w:val="en-US"/>
        </w:rPr>
        <w:t xml:space="preserve">principal </w:t>
      </w:r>
      <w:r w:rsidRPr="002433F3">
        <w:rPr>
          <w:lang w:val="en-US"/>
        </w:rPr>
        <w:t xml:space="preserve">violation and, </w:t>
      </w:r>
      <w:r w:rsidR="00810E67" w:rsidRPr="002433F3">
        <w:rPr>
          <w:lang w:val="en-US"/>
        </w:rPr>
        <w:t>therefore</w:t>
      </w:r>
      <w:r w:rsidRPr="002433F3">
        <w:rPr>
          <w:lang w:val="en-US"/>
        </w:rPr>
        <w:t>, it is not the practice of the organs of the inter-American System</w:t>
      </w:r>
      <w:r w:rsidR="008A3978" w:rsidRPr="002433F3">
        <w:rPr>
          <w:lang w:val="en-US"/>
        </w:rPr>
        <w:t xml:space="preserve"> to disregard the </w:t>
      </w:r>
      <w:r w:rsidR="00E75ACA" w:rsidRPr="002433F3">
        <w:rPr>
          <w:lang w:val="en-GB"/>
        </w:rPr>
        <w:t xml:space="preserve">bounds of </w:t>
      </w:r>
      <w:r w:rsidR="008A3978" w:rsidRPr="002433F3">
        <w:rPr>
          <w:lang w:val="en-US"/>
        </w:rPr>
        <w:t>reasonab</w:t>
      </w:r>
      <w:r w:rsidR="00E75ACA" w:rsidRPr="002433F3">
        <w:rPr>
          <w:lang w:val="en-US"/>
        </w:rPr>
        <w:t xml:space="preserve">leness </w:t>
      </w:r>
      <w:r w:rsidR="008A3978" w:rsidRPr="002433F3">
        <w:rPr>
          <w:lang w:val="en-US"/>
        </w:rPr>
        <w:t>by</w:t>
      </w:r>
      <w:r w:rsidRPr="002433F3">
        <w:rPr>
          <w:lang w:val="en-US"/>
        </w:rPr>
        <w:t xml:space="preserve"> </w:t>
      </w:r>
      <w:r w:rsidR="008A3978" w:rsidRPr="002433F3">
        <w:rPr>
          <w:lang w:val="en-US"/>
        </w:rPr>
        <w:t>requiring</w:t>
      </w:r>
      <w:r w:rsidRPr="002433F3">
        <w:rPr>
          <w:lang w:val="en-US"/>
        </w:rPr>
        <w:t xml:space="preserve"> the exhaustion of domestic remedies</w:t>
      </w:r>
      <w:r w:rsidR="00E75ACA" w:rsidRPr="002433F3">
        <w:rPr>
          <w:lang w:val="en-US"/>
        </w:rPr>
        <w:t>,</w:t>
      </w:r>
      <w:r w:rsidRPr="002433F3">
        <w:rPr>
          <w:lang w:val="en-US"/>
        </w:rPr>
        <w:t xml:space="preserve"> separately and autonomously</w:t>
      </w:r>
      <w:r w:rsidR="00E75ACA" w:rsidRPr="002433F3">
        <w:rPr>
          <w:lang w:val="en-US"/>
        </w:rPr>
        <w:t>,</w:t>
      </w:r>
      <w:r w:rsidRPr="002433F3">
        <w:rPr>
          <w:lang w:val="en-US"/>
        </w:rPr>
        <w:t xml:space="preserve"> in relation to </w:t>
      </w:r>
      <w:r w:rsidR="00E75ACA" w:rsidRPr="002433F3">
        <w:rPr>
          <w:lang w:val="en-US"/>
        </w:rPr>
        <w:t xml:space="preserve">each of </w:t>
      </w:r>
      <w:r w:rsidRPr="002433F3">
        <w:rPr>
          <w:lang w:val="en-US"/>
        </w:rPr>
        <w:t xml:space="preserve">the effects derived from the </w:t>
      </w:r>
      <w:r w:rsidR="00E82946" w:rsidRPr="002433F3">
        <w:rPr>
          <w:lang w:val="en-US"/>
        </w:rPr>
        <w:t>princip</w:t>
      </w:r>
      <w:r w:rsidR="00E75ACA" w:rsidRPr="002433F3">
        <w:rPr>
          <w:lang w:val="en-US"/>
        </w:rPr>
        <w:t>al</w:t>
      </w:r>
      <w:r w:rsidR="00E82946" w:rsidRPr="002433F3">
        <w:rPr>
          <w:lang w:val="en-US"/>
        </w:rPr>
        <w:t xml:space="preserve"> </w:t>
      </w:r>
      <w:r w:rsidRPr="002433F3">
        <w:rPr>
          <w:lang w:val="en-US"/>
        </w:rPr>
        <w:t>violation.</w:t>
      </w:r>
    </w:p>
    <w:p w14:paraId="3A3AA51A" w14:textId="77777777" w:rsidR="007B0DE4" w:rsidRPr="002433F3" w:rsidRDefault="007B0DE4" w:rsidP="007B0DE4">
      <w:pPr>
        <w:numPr>
          <w:ilvl w:val="0"/>
          <w:numId w:val="2"/>
        </w:numPr>
        <w:spacing w:before="120" w:after="120"/>
        <w:rPr>
          <w:sz w:val="16"/>
          <w:szCs w:val="16"/>
          <w:lang w:val="en-US"/>
        </w:rPr>
      </w:pPr>
      <w:r w:rsidRPr="002433F3">
        <w:rPr>
          <w:lang w:val="en-US"/>
        </w:rPr>
        <w:t xml:space="preserve">The </w:t>
      </w:r>
      <w:r w:rsidRPr="002433F3">
        <w:rPr>
          <w:i/>
          <w:lang w:val="en-US"/>
        </w:rPr>
        <w:t>representatives</w:t>
      </w:r>
      <w:r w:rsidRPr="002433F3">
        <w:rPr>
          <w:lang w:val="en-US"/>
        </w:rPr>
        <w:t xml:space="preserve"> argued that the </w:t>
      </w:r>
      <w:r w:rsidR="008A3978" w:rsidRPr="002433F3">
        <w:rPr>
          <w:lang w:val="en-US"/>
        </w:rPr>
        <w:t xml:space="preserve">State’s </w:t>
      </w:r>
      <w:r w:rsidRPr="002433F3">
        <w:rPr>
          <w:lang w:val="en-US"/>
        </w:rPr>
        <w:t xml:space="preserve">fragmentation of </w:t>
      </w:r>
      <w:r w:rsidR="009413E4" w:rsidRPr="002433F3">
        <w:rPr>
          <w:lang w:val="en-US"/>
        </w:rPr>
        <w:t xml:space="preserve">the </w:t>
      </w:r>
      <w:r w:rsidRPr="002433F3">
        <w:rPr>
          <w:lang w:val="en-US"/>
        </w:rPr>
        <w:t xml:space="preserve">right to </w:t>
      </w:r>
      <w:r w:rsidR="00890C4C" w:rsidRPr="002433F3">
        <w:rPr>
          <w:lang w:val="en-US"/>
        </w:rPr>
        <w:t xml:space="preserve">a </w:t>
      </w:r>
      <w:r w:rsidR="009413E4" w:rsidRPr="002433F3">
        <w:rPr>
          <w:lang w:val="en-US"/>
        </w:rPr>
        <w:t xml:space="preserve">decent </w:t>
      </w:r>
      <w:r w:rsidRPr="002433F3">
        <w:rPr>
          <w:lang w:val="en-US"/>
        </w:rPr>
        <w:t>life and personal integrity</w:t>
      </w:r>
      <w:r w:rsidR="009413E4" w:rsidRPr="002433F3">
        <w:rPr>
          <w:lang w:val="en-US"/>
        </w:rPr>
        <w:t xml:space="preserve"> on the one hand</w:t>
      </w:r>
      <w:r w:rsidRPr="002433F3">
        <w:rPr>
          <w:lang w:val="en-US"/>
        </w:rPr>
        <w:t xml:space="preserve">, and access to an effective remedy to protect </w:t>
      </w:r>
      <w:r w:rsidR="00F20D53" w:rsidRPr="002433F3">
        <w:rPr>
          <w:lang w:val="en-US"/>
        </w:rPr>
        <w:t xml:space="preserve">Mr. Duque’s </w:t>
      </w:r>
      <w:r w:rsidRPr="002433F3">
        <w:rPr>
          <w:lang w:val="en-US"/>
        </w:rPr>
        <w:t xml:space="preserve">right to non-discrimination </w:t>
      </w:r>
      <w:r w:rsidR="0046718C" w:rsidRPr="002433F3">
        <w:rPr>
          <w:lang w:val="en-US"/>
        </w:rPr>
        <w:t xml:space="preserve">in the granting of </w:t>
      </w:r>
      <w:r w:rsidRPr="002433F3">
        <w:rPr>
          <w:lang w:val="en-US"/>
        </w:rPr>
        <w:t>a survivor’s pension</w:t>
      </w:r>
      <w:r w:rsidR="009413E4" w:rsidRPr="002433F3">
        <w:rPr>
          <w:lang w:val="en-US"/>
        </w:rPr>
        <w:t xml:space="preserve"> on the other</w:t>
      </w:r>
      <w:r w:rsidRPr="002433F3">
        <w:rPr>
          <w:lang w:val="en-US"/>
        </w:rPr>
        <w:t>, does not suggest that th</w:t>
      </w:r>
      <w:r w:rsidR="008A3978" w:rsidRPr="002433F3">
        <w:rPr>
          <w:lang w:val="en-US"/>
        </w:rPr>
        <w:t>e f</w:t>
      </w:r>
      <w:r w:rsidR="009413E4" w:rsidRPr="002433F3">
        <w:rPr>
          <w:lang w:val="en-US"/>
        </w:rPr>
        <w:t xml:space="preserve">ormer </w:t>
      </w:r>
      <w:r w:rsidR="008A3978" w:rsidRPr="002433F3">
        <w:rPr>
          <w:lang w:val="en-US"/>
        </w:rPr>
        <w:t xml:space="preserve">was put at risk by the </w:t>
      </w:r>
      <w:r w:rsidR="009413E4" w:rsidRPr="002433F3">
        <w:rPr>
          <w:lang w:val="en-US"/>
        </w:rPr>
        <w:t>change</w:t>
      </w:r>
      <w:r w:rsidR="00B31602" w:rsidRPr="002433F3">
        <w:rPr>
          <w:lang w:val="en-US"/>
        </w:rPr>
        <w:t>s</w:t>
      </w:r>
      <w:r w:rsidR="009413E4" w:rsidRPr="002433F3">
        <w:rPr>
          <w:lang w:val="en-US"/>
        </w:rPr>
        <w:t xml:space="preserve"> in the provision of care stemming </w:t>
      </w:r>
      <w:r w:rsidRPr="002433F3">
        <w:rPr>
          <w:lang w:val="en-US"/>
        </w:rPr>
        <w:t xml:space="preserve">from of </w:t>
      </w:r>
      <w:r w:rsidR="009413E4" w:rsidRPr="002433F3">
        <w:rPr>
          <w:lang w:val="en-US"/>
        </w:rPr>
        <w:t xml:space="preserve">a </w:t>
      </w:r>
      <w:r w:rsidRPr="002433F3">
        <w:rPr>
          <w:lang w:val="en-US"/>
        </w:rPr>
        <w:t>lack of financial re</w:t>
      </w:r>
      <w:r w:rsidR="009413E4" w:rsidRPr="002433F3">
        <w:rPr>
          <w:lang w:val="en-US"/>
        </w:rPr>
        <w:t xml:space="preserve">sources, owing to the refusal of the pension, </w:t>
      </w:r>
      <w:r w:rsidRPr="002433F3">
        <w:rPr>
          <w:lang w:val="en-US"/>
        </w:rPr>
        <w:t xml:space="preserve">while the effects of the </w:t>
      </w:r>
      <w:r w:rsidR="009413E4" w:rsidRPr="002433F3">
        <w:rPr>
          <w:lang w:val="en-US"/>
        </w:rPr>
        <w:t xml:space="preserve">latter </w:t>
      </w:r>
      <w:r w:rsidRPr="002433F3">
        <w:rPr>
          <w:lang w:val="en-US"/>
        </w:rPr>
        <w:t>w</w:t>
      </w:r>
      <w:r w:rsidR="00F20D53" w:rsidRPr="002433F3">
        <w:rPr>
          <w:lang w:val="en-US"/>
        </w:rPr>
        <w:t>ere</w:t>
      </w:r>
      <w:r w:rsidRPr="002433F3">
        <w:rPr>
          <w:lang w:val="en-US"/>
        </w:rPr>
        <w:t xml:space="preserve"> intrinsically derived from the </w:t>
      </w:r>
      <w:r w:rsidR="000D08A9" w:rsidRPr="002433F3">
        <w:rPr>
          <w:lang w:val="en-US"/>
        </w:rPr>
        <w:t xml:space="preserve">response </w:t>
      </w:r>
      <w:r w:rsidRPr="002433F3">
        <w:rPr>
          <w:lang w:val="en-US"/>
        </w:rPr>
        <w:t>of the pension fund and the j</w:t>
      </w:r>
      <w:r w:rsidR="00F20D53" w:rsidRPr="002433F3">
        <w:rPr>
          <w:lang w:val="en-US"/>
        </w:rPr>
        <w:t>udicial authorities. T</w:t>
      </w:r>
      <w:r w:rsidRPr="002433F3">
        <w:rPr>
          <w:lang w:val="en-US"/>
        </w:rPr>
        <w:t xml:space="preserve">he representatives </w:t>
      </w:r>
      <w:r w:rsidR="00B31602" w:rsidRPr="002433F3">
        <w:rPr>
          <w:lang w:val="en-US"/>
        </w:rPr>
        <w:t xml:space="preserve">further </w:t>
      </w:r>
      <w:r w:rsidRPr="002433F3">
        <w:rPr>
          <w:lang w:val="en-US"/>
        </w:rPr>
        <w:t xml:space="preserve">argued that the </w:t>
      </w:r>
      <w:r w:rsidRPr="002433F3">
        <w:rPr>
          <w:i/>
          <w:lang w:val="en-US"/>
        </w:rPr>
        <w:t>tutela</w:t>
      </w:r>
      <w:r w:rsidRPr="002433F3">
        <w:rPr>
          <w:lang w:val="en-US"/>
        </w:rPr>
        <w:t xml:space="preserve"> action in relation to </w:t>
      </w:r>
      <w:r w:rsidR="00B31602" w:rsidRPr="002433F3">
        <w:rPr>
          <w:lang w:val="en-US"/>
        </w:rPr>
        <w:t xml:space="preserve">Mr. Duque’s </w:t>
      </w:r>
      <w:r w:rsidRPr="002433F3">
        <w:rPr>
          <w:lang w:val="en-US"/>
        </w:rPr>
        <w:t>right to a d</w:t>
      </w:r>
      <w:r w:rsidR="00F20D53" w:rsidRPr="002433F3">
        <w:rPr>
          <w:lang w:val="en-US"/>
        </w:rPr>
        <w:t xml:space="preserve">ecent </w:t>
      </w:r>
      <w:r w:rsidRPr="002433F3">
        <w:rPr>
          <w:lang w:val="en-US"/>
        </w:rPr>
        <w:t>life was i</w:t>
      </w:r>
      <w:r w:rsidR="00B31602" w:rsidRPr="002433F3">
        <w:rPr>
          <w:lang w:val="en-US"/>
        </w:rPr>
        <w:t xml:space="preserve">nconsequential </w:t>
      </w:r>
      <w:r w:rsidRPr="002433F3">
        <w:rPr>
          <w:lang w:val="en-US"/>
        </w:rPr>
        <w:t>and ineffective because it granted him continu</w:t>
      </w:r>
      <w:r w:rsidR="00B31602" w:rsidRPr="002433F3">
        <w:rPr>
          <w:lang w:val="en-US"/>
        </w:rPr>
        <w:t xml:space="preserve">ed access to </w:t>
      </w:r>
      <w:r w:rsidR="00F20D53" w:rsidRPr="002433F3">
        <w:rPr>
          <w:lang w:val="en-US"/>
        </w:rPr>
        <w:t xml:space="preserve">health </w:t>
      </w:r>
      <w:r w:rsidRPr="002433F3">
        <w:rPr>
          <w:lang w:val="en-US"/>
        </w:rPr>
        <w:t>service</w:t>
      </w:r>
      <w:r w:rsidR="00F20D53" w:rsidRPr="002433F3">
        <w:rPr>
          <w:lang w:val="en-US"/>
        </w:rPr>
        <w:t>s</w:t>
      </w:r>
      <w:r w:rsidR="00B31602" w:rsidRPr="002433F3">
        <w:rPr>
          <w:lang w:val="en-US"/>
        </w:rPr>
        <w:t xml:space="preserve">, but not to the differentiated </w:t>
      </w:r>
      <w:r w:rsidRPr="002433F3">
        <w:rPr>
          <w:lang w:val="en-US"/>
        </w:rPr>
        <w:t>quality of the contribut</w:t>
      </w:r>
      <w:r w:rsidR="00B31602" w:rsidRPr="002433F3">
        <w:rPr>
          <w:lang w:val="en-US"/>
        </w:rPr>
        <w:t xml:space="preserve">ory </w:t>
      </w:r>
      <w:r w:rsidR="00632773" w:rsidRPr="002433F3">
        <w:rPr>
          <w:lang w:val="en-US"/>
        </w:rPr>
        <w:t>scheme</w:t>
      </w:r>
      <w:r w:rsidRPr="002433F3">
        <w:rPr>
          <w:lang w:val="en-US"/>
        </w:rPr>
        <w:t xml:space="preserve"> </w:t>
      </w:r>
      <w:r w:rsidRPr="002433F3">
        <w:rPr>
          <w:i/>
          <w:lang w:val="en-US"/>
        </w:rPr>
        <w:t>vis à vis</w:t>
      </w:r>
      <w:r w:rsidRPr="002433F3">
        <w:rPr>
          <w:lang w:val="en-US"/>
        </w:rPr>
        <w:t xml:space="preserve"> the subsidized scheme and the possibilities of increased survival.</w:t>
      </w:r>
    </w:p>
    <w:p w14:paraId="76DCADE2" w14:textId="77777777" w:rsidR="007B0DE4" w:rsidRPr="002433F3" w:rsidRDefault="007B0DE4" w:rsidP="007B0DE4">
      <w:pPr>
        <w:pStyle w:val="Ttulo3"/>
        <w:spacing w:before="280" w:after="280"/>
        <w:ind w:left="1066"/>
        <w:rPr>
          <w:rFonts w:eastAsia="Calibri" w:cs="TimesNewRomanPSMT"/>
          <w:noProof w:val="0"/>
          <w:lang w:val="en-US"/>
        </w:rPr>
      </w:pPr>
      <w:bookmarkStart w:id="55" w:name="_Toc448482250"/>
      <w:r w:rsidRPr="002433F3">
        <w:rPr>
          <w:rFonts w:eastAsia="Calibri" w:cs="TimesNewRomanPSMT"/>
          <w:noProof w:val="0"/>
          <w:lang w:val="en-US"/>
        </w:rPr>
        <w:t xml:space="preserve">C.2. </w:t>
      </w:r>
      <w:r w:rsidRPr="002433F3">
        <w:rPr>
          <w:noProof w:val="0"/>
          <w:lang w:val="en-US"/>
        </w:rPr>
        <w:t>Considerations</w:t>
      </w:r>
      <w:r w:rsidRPr="002433F3">
        <w:rPr>
          <w:rFonts w:eastAsia="Calibri" w:cs="TimesNewRomanPSMT"/>
          <w:noProof w:val="0"/>
          <w:lang w:val="en-US"/>
        </w:rPr>
        <w:t xml:space="preserve"> of the Court</w:t>
      </w:r>
      <w:bookmarkEnd w:id="55"/>
    </w:p>
    <w:p w14:paraId="0B07B655" w14:textId="77777777" w:rsidR="007B0DE4" w:rsidRPr="002433F3" w:rsidRDefault="007B0DE4" w:rsidP="007B0DE4">
      <w:pPr>
        <w:numPr>
          <w:ilvl w:val="0"/>
          <w:numId w:val="2"/>
        </w:numPr>
        <w:spacing w:before="120" w:after="120"/>
        <w:rPr>
          <w:lang w:val="en-US"/>
        </w:rPr>
      </w:pPr>
      <w:r w:rsidRPr="002433F3">
        <w:rPr>
          <w:lang w:val="en-US"/>
        </w:rPr>
        <w:t xml:space="preserve">The Court reiterates that, </w:t>
      </w:r>
      <w:r w:rsidR="00B31602" w:rsidRPr="002433F3">
        <w:rPr>
          <w:lang w:val="en-US"/>
        </w:rPr>
        <w:t xml:space="preserve">in order </w:t>
      </w:r>
      <w:r w:rsidRPr="002433F3">
        <w:rPr>
          <w:lang w:val="en-US"/>
        </w:rPr>
        <w:t xml:space="preserve">to determine the admissibility of a petition or communication </w:t>
      </w:r>
      <w:r w:rsidR="00F20D53" w:rsidRPr="002433F3">
        <w:rPr>
          <w:lang w:val="en-US"/>
        </w:rPr>
        <w:t xml:space="preserve">submitted to </w:t>
      </w:r>
      <w:r w:rsidRPr="002433F3">
        <w:rPr>
          <w:lang w:val="en-US"/>
        </w:rPr>
        <w:t xml:space="preserve">the Inter-American Commission, pursuant to Articles 44 or 45 of the Convention, it is necessary to have filed and exhausted the domestic </w:t>
      </w:r>
      <w:r w:rsidRPr="002433F3">
        <w:rPr>
          <w:rFonts w:eastAsia="Calibri" w:cs="TimesNewRomanPSMT"/>
          <w:szCs w:val="20"/>
          <w:lang w:val="en-US"/>
        </w:rPr>
        <w:t>remedies</w:t>
      </w:r>
      <w:r w:rsidRPr="002433F3">
        <w:rPr>
          <w:lang w:val="en-US"/>
        </w:rPr>
        <w:t xml:space="preserve"> according to generally accepted principles of international</w:t>
      </w:r>
      <w:r w:rsidR="00F20D53" w:rsidRPr="002433F3">
        <w:rPr>
          <w:lang w:val="en-US"/>
        </w:rPr>
        <w:t xml:space="preserve"> law, at</w:t>
      </w:r>
      <w:r w:rsidRPr="002433F3">
        <w:rPr>
          <w:lang w:val="en-US"/>
        </w:rPr>
        <w:t xml:space="preserve"> the appropriate procedural moment, that is, during the admissibility proceeding before the Commission (</w:t>
      </w:r>
      <w:r w:rsidRPr="002433F3">
        <w:rPr>
          <w:i/>
          <w:lang w:val="en-US"/>
        </w:rPr>
        <w:t>supra</w:t>
      </w:r>
      <w:r w:rsidRPr="002433F3">
        <w:rPr>
          <w:lang w:val="en-US"/>
        </w:rPr>
        <w:t xml:space="preserve"> para. 23). When alleging </w:t>
      </w:r>
      <w:r w:rsidRPr="002433F3">
        <w:rPr>
          <w:rFonts w:eastAsia="Verdana" w:cs="Verdana"/>
          <w:szCs w:val="20"/>
          <w:lang w:val="en-US"/>
        </w:rPr>
        <w:t>failure to exhaust domestic remedies</w:t>
      </w:r>
      <w:r w:rsidR="00F20D53" w:rsidRPr="002433F3">
        <w:rPr>
          <w:rFonts w:eastAsia="Verdana" w:cs="Verdana"/>
          <w:szCs w:val="20"/>
          <w:lang w:val="en-US"/>
        </w:rPr>
        <w:t>,</w:t>
      </w:r>
      <w:r w:rsidRPr="002433F3">
        <w:rPr>
          <w:rFonts w:eastAsia="Verdana" w:cs="Verdana"/>
          <w:szCs w:val="20"/>
          <w:lang w:val="en-US"/>
        </w:rPr>
        <w:t xml:space="preserve"> the </w:t>
      </w:r>
      <w:r w:rsidRPr="002433F3">
        <w:rPr>
          <w:rFonts w:eastAsia="Verdana" w:cs="Verdana"/>
          <w:spacing w:val="-1"/>
          <w:szCs w:val="20"/>
          <w:lang w:val="en-US"/>
        </w:rPr>
        <w:t>State</w:t>
      </w:r>
      <w:r w:rsidRPr="002433F3">
        <w:rPr>
          <w:rFonts w:eastAsia="Verdana" w:cs="Verdana"/>
          <w:spacing w:val="-2"/>
          <w:szCs w:val="20"/>
          <w:lang w:val="en-US"/>
        </w:rPr>
        <w:t xml:space="preserve"> must </w:t>
      </w:r>
      <w:r w:rsidRPr="002433F3">
        <w:rPr>
          <w:rFonts w:eastAsia="Verdana" w:cs="Verdana"/>
          <w:spacing w:val="1"/>
          <w:szCs w:val="20"/>
          <w:lang w:val="en-US"/>
        </w:rPr>
        <w:t>specify</w:t>
      </w:r>
      <w:r w:rsidRPr="002433F3">
        <w:rPr>
          <w:rFonts w:eastAsia="Verdana" w:cs="Verdana"/>
          <w:spacing w:val="-11"/>
          <w:szCs w:val="20"/>
          <w:lang w:val="en-US"/>
        </w:rPr>
        <w:t xml:space="preserve"> </w:t>
      </w:r>
      <w:r w:rsidR="00F20D53" w:rsidRPr="002433F3">
        <w:rPr>
          <w:rFonts w:eastAsia="Verdana" w:cs="Verdana"/>
          <w:spacing w:val="-11"/>
          <w:szCs w:val="20"/>
          <w:lang w:val="en-US"/>
        </w:rPr>
        <w:t xml:space="preserve">which </w:t>
      </w:r>
      <w:r w:rsidRPr="002433F3">
        <w:rPr>
          <w:rFonts w:eastAsia="Verdana" w:cs="Verdana"/>
          <w:spacing w:val="-11"/>
          <w:szCs w:val="20"/>
          <w:lang w:val="en-US"/>
        </w:rPr>
        <w:t>domestic remedies</w:t>
      </w:r>
      <w:r w:rsidRPr="002433F3">
        <w:rPr>
          <w:rFonts w:eastAsia="Verdana" w:cs="Verdana"/>
          <w:spacing w:val="-7"/>
          <w:szCs w:val="20"/>
          <w:lang w:val="en-US"/>
        </w:rPr>
        <w:t xml:space="preserve"> have not yet been </w:t>
      </w:r>
      <w:r w:rsidRPr="002433F3">
        <w:rPr>
          <w:rFonts w:eastAsia="Verdana" w:cs="Verdana"/>
          <w:szCs w:val="20"/>
          <w:lang w:val="en-US"/>
        </w:rPr>
        <w:t>exhausted,</w:t>
      </w:r>
      <w:r w:rsidRPr="002433F3">
        <w:rPr>
          <w:rFonts w:eastAsia="Verdana" w:cs="Verdana"/>
          <w:spacing w:val="-8"/>
          <w:szCs w:val="20"/>
          <w:lang w:val="en-US"/>
        </w:rPr>
        <w:t xml:space="preserve"> and </w:t>
      </w:r>
      <w:r w:rsidRPr="002433F3">
        <w:rPr>
          <w:rFonts w:eastAsia="Verdana" w:cs="Verdana"/>
          <w:spacing w:val="3"/>
          <w:szCs w:val="20"/>
          <w:lang w:val="en-US"/>
        </w:rPr>
        <w:t>demonstrate</w:t>
      </w:r>
      <w:r w:rsidRPr="002433F3">
        <w:rPr>
          <w:rFonts w:eastAsia="Verdana" w:cs="Verdana"/>
          <w:spacing w:val="-10"/>
          <w:szCs w:val="20"/>
          <w:lang w:val="en-US"/>
        </w:rPr>
        <w:t xml:space="preserve"> that these </w:t>
      </w:r>
      <w:r w:rsidRPr="002433F3">
        <w:rPr>
          <w:rFonts w:eastAsia="Verdana" w:cs="Verdana"/>
          <w:spacing w:val="1"/>
          <w:szCs w:val="20"/>
          <w:lang w:val="en-US"/>
        </w:rPr>
        <w:t>remedies</w:t>
      </w:r>
      <w:r w:rsidRPr="002433F3">
        <w:rPr>
          <w:rFonts w:eastAsia="Verdana" w:cs="Verdana"/>
          <w:spacing w:val="3"/>
          <w:szCs w:val="20"/>
          <w:lang w:val="en-US"/>
        </w:rPr>
        <w:t xml:space="preserve"> were available</w:t>
      </w:r>
      <w:r w:rsidR="00BC3961" w:rsidRPr="002433F3">
        <w:rPr>
          <w:rFonts w:eastAsia="Verdana" w:cs="Verdana"/>
          <w:spacing w:val="3"/>
          <w:szCs w:val="20"/>
          <w:lang w:val="en-US"/>
        </w:rPr>
        <w:t xml:space="preserve"> and were</w:t>
      </w:r>
      <w:r w:rsidRPr="002433F3">
        <w:rPr>
          <w:rFonts w:eastAsia="Verdana" w:cs="Verdana"/>
          <w:spacing w:val="3"/>
          <w:szCs w:val="20"/>
          <w:lang w:val="en-US"/>
        </w:rPr>
        <w:t xml:space="preserve"> </w:t>
      </w:r>
      <w:r w:rsidRPr="002433F3">
        <w:rPr>
          <w:rFonts w:eastAsia="Verdana" w:cs="Verdana"/>
          <w:szCs w:val="20"/>
          <w:lang w:val="en-US"/>
        </w:rPr>
        <w:t xml:space="preserve">adequate, </w:t>
      </w:r>
      <w:r w:rsidRPr="002433F3">
        <w:rPr>
          <w:rFonts w:eastAsia="Verdana" w:cs="Verdana"/>
          <w:spacing w:val="3"/>
          <w:szCs w:val="20"/>
          <w:lang w:val="en-US"/>
        </w:rPr>
        <w:t>appropriate</w:t>
      </w:r>
      <w:r w:rsidRPr="002433F3">
        <w:rPr>
          <w:rFonts w:eastAsia="Verdana" w:cs="Verdana"/>
          <w:spacing w:val="6"/>
          <w:szCs w:val="20"/>
          <w:lang w:val="en-US"/>
        </w:rPr>
        <w:t xml:space="preserve"> and </w:t>
      </w:r>
      <w:r w:rsidRPr="002433F3">
        <w:rPr>
          <w:rFonts w:eastAsia="Verdana" w:cs="Verdana"/>
          <w:spacing w:val="-1"/>
          <w:szCs w:val="20"/>
          <w:lang w:val="en-US"/>
        </w:rPr>
        <w:t>effective</w:t>
      </w:r>
      <w:r w:rsidRPr="002433F3">
        <w:rPr>
          <w:rFonts w:eastAsia="Verdana" w:cs="Verdana"/>
          <w:szCs w:val="20"/>
          <w:lang w:val="en-US"/>
        </w:rPr>
        <w:t>.</w:t>
      </w:r>
    </w:p>
    <w:p w14:paraId="41EA9ED7" w14:textId="77777777" w:rsidR="007B0DE4" w:rsidRPr="002433F3" w:rsidRDefault="00AD6679" w:rsidP="007B0DE4">
      <w:pPr>
        <w:numPr>
          <w:ilvl w:val="0"/>
          <w:numId w:val="2"/>
        </w:numPr>
        <w:spacing w:before="120" w:after="120"/>
        <w:rPr>
          <w:lang w:val="en-US"/>
        </w:rPr>
      </w:pPr>
      <w:r w:rsidRPr="002433F3">
        <w:rPr>
          <w:rFonts w:eastAsia="Verdana" w:cs="Verdana"/>
          <w:szCs w:val="20"/>
          <w:lang w:val="en-US"/>
        </w:rPr>
        <w:t>T</w:t>
      </w:r>
      <w:r w:rsidR="007B0DE4" w:rsidRPr="002433F3">
        <w:rPr>
          <w:rFonts w:eastAsia="Verdana" w:cs="Verdana"/>
          <w:szCs w:val="20"/>
          <w:lang w:val="en-US"/>
        </w:rPr>
        <w:t>he State considered that</w:t>
      </w:r>
      <w:r w:rsidRPr="002433F3">
        <w:rPr>
          <w:rFonts w:eastAsia="Verdana" w:cs="Verdana"/>
          <w:szCs w:val="20"/>
          <w:lang w:val="en-US"/>
        </w:rPr>
        <w:t>,</w:t>
      </w:r>
      <w:r w:rsidR="007B0DE4" w:rsidRPr="002433F3">
        <w:rPr>
          <w:rFonts w:eastAsia="Verdana" w:cs="Verdana"/>
          <w:szCs w:val="20"/>
          <w:lang w:val="en-US"/>
        </w:rPr>
        <w:t xml:space="preserve"> </w:t>
      </w:r>
      <w:r w:rsidRPr="002433F3">
        <w:rPr>
          <w:rFonts w:eastAsia="Verdana" w:cs="Verdana"/>
          <w:szCs w:val="20"/>
          <w:lang w:val="en-US"/>
        </w:rPr>
        <w:t xml:space="preserve">in this case, </w:t>
      </w:r>
      <w:r w:rsidR="007B0DE4" w:rsidRPr="002433F3">
        <w:rPr>
          <w:rFonts w:eastAsia="Verdana" w:cs="Verdana"/>
          <w:szCs w:val="20"/>
          <w:lang w:val="en-US"/>
        </w:rPr>
        <w:t xml:space="preserve">the petitioner did not exhaust the domestic remedies </w:t>
      </w:r>
      <w:r w:rsidR="00BC3961" w:rsidRPr="002433F3">
        <w:rPr>
          <w:rFonts w:eastAsia="Verdana" w:cs="Verdana"/>
          <w:szCs w:val="20"/>
          <w:lang w:val="en-US"/>
        </w:rPr>
        <w:t xml:space="preserve">in relation to </w:t>
      </w:r>
      <w:r w:rsidR="007B0DE4" w:rsidRPr="002433F3">
        <w:rPr>
          <w:rFonts w:eastAsia="Verdana" w:cs="Verdana"/>
          <w:szCs w:val="20"/>
          <w:lang w:val="en-US"/>
        </w:rPr>
        <w:t xml:space="preserve">the rights to life and personal integrity, namely, the </w:t>
      </w:r>
      <w:r w:rsidR="007B0DE4" w:rsidRPr="002433F3">
        <w:rPr>
          <w:rFonts w:eastAsia="Verdana" w:cs="Verdana"/>
          <w:i/>
          <w:szCs w:val="20"/>
          <w:lang w:val="en-US"/>
        </w:rPr>
        <w:t>tutela</w:t>
      </w:r>
      <w:r w:rsidR="007B0DE4" w:rsidRPr="002433F3">
        <w:rPr>
          <w:rFonts w:eastAsia="Verdana" w:cs="Verdana"/>
          <w:szCs w:val="20"/>
          <w:lang w:val="en-US"/>
        </w:rPr>
        <w:t xml:space="preserve"> action to obtain </w:t>
      </w:r>
      <w:r w:rsidR="007B0DE4" w:rsidRPr="002433F3">
        <w:rPr>
          <w:lang w:val="en-US"/>
        </w:rPr>
        <w:t xml:space="preserve">immediate </w:t>
      </w:r>
      <w:r w:rsidR="007B0DE4" w:rsidRPr="002433F3">
        <w:rPr>
          <w:rFonts w:eastAsia="Calibri" w:cs="TimesNewRomanPSMT"/>
          <w:szCs w:val="20"/>
          <w:lang w:val="en-US"/>
        </w:rPr>
        <w:t>protection</w:t>
      </w:r>
      <w:r w:rsidR="007B0DE4" w:rsidRPr="002433F3">
        <w:rPr>
          <w:lang w:val="en-US"/>
        </w:rPr>
        <w:t xml:space="preserve"> of his fundamental rights to health, personal </w:t>
      </w:r>
      <w:r w:rsidRPr="002433F3">
        <w:rPr>
          <w:lang w:val="en-US"/>
        </w:rPr>
        <w:t>integrity and life when these a</w:t>
      </w:r>
      <w:r w:rsidR="007B0DE4" w:rsidRPr="002433F3">
        <w:rPr>
          <w:lang w:val="en-US"/>
        </w:rPr>
        <w:t>re threatened owing to the irregular provision of medical services. For its part, the Commission argued that: a) the Colombian State had already had an opportunity to resolve Mr. Duqu</w:t>
      </w:r>
      <w:r w:rsidR="00BC3961" w:rsidRPr="002433F3">
        <w:rPr>
          <w:lang w:val="en-US"/>
        </w:rPr>
        <w:t>e’s health situation, since the</w:t>
      </w:r>
      <w:r w:rsidR="007B0DE4" w:rsidRPr="002433F3">
        <w:rPr>
          <w:lang w:val="en-US"/>
        </w:rPr>
        <w:t xml:space="preserve"> matter was raised </w:t>
      </w:r>
      <w:r w:rsidR="00BC3961" w:rsidRPr="002433F3">
        <w:rPr>
          <w:lang w:val="en-US"/>
        </w:rPr>
        <w:t xml:space="preserve">in </w:t>
      </w:r>
      <w:r w:rsidR="007B0DE4" w:rsidRPr="002433F3">
        <w:rPr>
          <w:lang w:val="en-US"/>
        </w:rPr>
        <w:t xml:space="preserve">the </w:t>
      </w:r>
      <w:r w:rsidR="007B0DE4" w:rsidRPr="002433F3">
        <w:rPr>
          <w:i/>
          <w:lang w:val="en-US"/>
        </w:rPr>
        <w:t>tutela</w:t>
      </w:r>
      <w:r w:rsidR="007B0DE4" w:rsidRPr="002433F3">
        <w:rPr>
          <w:lang w:val="en-US"/>
        </w:rPr>
        <w:t xml:space="preserve"> action</w:t>
      </w:r>
      <w:r w:rsidRPr="002433F3">
        <w:rPr>
          <w:lang w:val="en-US"/>
        </w:rPr>
        <w:t>s</w:t>
      </w:r>
      <w:r w:rsidR="007B0DE4" w:rsidRPr="002433F3">
        <w:rPr>
          <w:lang w:val="en-US"/>
        </w:rPr>
        <w:t xml:space="preserve"> that </w:t>
      </w:r>
      <w:r w:rsidRPr="002433F3">
        <w:rPr>
          <w:lang w:val="en-US"/>
        </w:rPr>
        <w:lastRenderedPageBreak/>
        <w:t>were</w:t>
      </w:r>
      <w:r w:rsidR="007B0DE4" w:rsidRPr="002433F3">
        <w:rPr>
          <w:lang w:val="en-US"/>
        </w:rPr>
        <w:t xml:space="preserve"> </w:t>
      </w:r>
      <w:r w:rsidR="00AA77B3" w:rsidRPr="002433F3">
        <w:rPr>
          <w:lang w:val="en-US"/>
        </w:rPr>
        <w:t xml:space="preserve">rejected by </w:t>
      </w:r>
      <w:r w:rsidR="007B0DE4" w:rsidRPr="002433F3">
        <w:rPr>
          <w:lang w:val="en-US"/>
        </w:rPr>
        <w:t xml:space="preserve">two courts, and b) the </w:t>
      </w:r>
      <w:r w:rsidR="00BC3961" w:rsidRPr="002433F3">
        <w:rPr>
          <w:lang w:val="en-US"/>
        </w:rPr>
        <w:t>principal violation in this</w:t>
      </w:r>
      <w:r w:rsidR="007B0DE4" w:rsidRPr="002433F3">
        <w:rPr>
          <w:lang w:val="en-US"/>
        </w:rPr>
        <w:t xml:space="preserve"> </w:t>
      </w:r>
      <w:r w:rsidR="00ED410A" w:rsidRPr="002433F3">
        <w:rPr>
          <w:lang w:val="en-US"/>
        </w:rPr>
        <w:t>case wa</w:t>
      </w:r>
      <w:r w:rsidR="007B0DE4" w:rsidRPr="002433F3">
        <w:rPr>
          <w:lang w:val="en-US"/>
        </w:rPr>
        <w:t xml:space="preserve">s the refusal to recognize Mr. Duque’s </w:t>
      </w:r>
      <w:r w:rsidRPr="002433F3">
        <w:rPr>
          <w:lang w:val="en-US"/>
        </w:rPr>
        <w:t xml:space="preserve">right to a </w:t>
      </w:r>
      <w:r w:rsidR="007B0DE4" w:rsidRPr="002433F3">
        <w:rPr>
          <w:lang w:val="en-US"/>
        </w:rPr>
        <w:t>pen</w:t>
      </w:r>
      <w:r w:rsidR="003C3E00" w:rsidRPr="002433F3">
        <w:rPr>
          <w:lang w:val="en-US"/>
        </w:rPr>
        <w:t xml:space="preserve">sion and </w:t>
      </w:r>
      <w:r w:rsidR="007B0DE4" w:rsidRPr="002433F3">
        <w:rPr>
          <w:lang w:val="en-US"/>
        </w:rPr>
        <w:t xml:space="preserve">the circumstances </w:t>
      </w:r>
      <w:r w:rsidRPr="002433F3">
        <w:rPr>
          <w:lang w:val="en-US"/>
        </w:rPr>
        <w:t xml:space="preserve">that could have affected </w:t>
      </w:r>
      <w:r w:rsidR="007B0DE4" w:rsidRPr="002433F3">
        <w:rPr>
          <w:lang w:val="en-US"/>
        </w:rPr>
        <w:t>h</w:t>
      </w:r>
      <w:r w:rsidR="00ED410A" w:rsidRPr="002433F3">
        <w:rPr>
          <w:lang w:val="en-US"/>
        </w:rPr>
        <w:t xml:space="preserve">is </w:t>
      </w:r>
      <w:r w:rsidR="007B0DE4" w:rsidRPr="002433F3">
        <w:rPr>
          <w:lang w:val="en-US"/>
        </w:rPr>
        <w:t>health treatment</w:t>
      </w:r>
      <w:r w:rsidR="00ED410A" w:rsidRPr="002433F3">
        <w:rPr>
          <w:lang w:val="en-US"/>
        </w:rPr>
        <w:t xml:space="preserve"> </w:t>
      </w:r>
      <w:r w:rsidR="007B0DE4" w:rsidRPr="002433F3">
        <w:rPr>
          <w:lang w:val="en-US"/>
        </w:rPr>
        <w:t>are facts connected to the main violation.</w:t>
      </w:r>
    </w:p>
    <w:p w14:paraId="60DC6E47" w14:textId="77777777" w:rsidR="007B0DE4" w:rsidRPr="002433F3" w:rsidRDefault="007B0DE4" w:rsidP="007B0DE4">
      <w:pPr>
        <w:numPr>
          <w:ilvl w:val="0"/>
          <w:numId w:val="2"/>
        </w:numPr>
        <w:spacing w:before="120" w:after="120"/>
        <w:rPr>
          <w:lang w:val="en-US"/>
        </w:rPr>
      </w:pPr>
      <w:r w:rsidRPr="002433F3">
        <w:rPr>
          <w:lang w:val="en-US"/>
        </w:rPr>
        <w:t xml:space="preserve">The Court notes that </w:t>
      </w:r>
      <w:r w:rsidR="003110AF" w:rsidRPr="002433F3">
        <w:rPr>
          <w:lang w:val="en-US"/>
        </w:rPr>
        <w:t xml:space="preserve">in </w:t>
      </w:r>
      <w:r w:rsidRPr="002433F3">
        <w:rPr>
          <w:lang w:val="en-US"/>
        </w:rPr>
        <w:t xml:space="preserve">the </w:t>
      </w:r>
      <w:r w:rsidRPr="002433F3">
        <w:rPr>
          <w:i/>
          <w:lang w:val="en-US"/>
        </w:rPr>
        <w:t>tutela</w:t>
      </w:r>
      <w:r w:rsidRPr="002433F3">
        <w:rPr>
          <w:lang w:val="en-US"/>
        </w:rPr>
        <w:t xml:space="preserve"> action </w:t>
      </w:r>
      <w:r w:rsidR="003110AF" w:rsidRPr="002433F3">
        <w:rPr>
          <w:lang w:val="en-US"/>
        </w:rPr>
        <w:t xml:space="preserve">filed </w:t>
      </w:r>
      <w:r w:rsidRPr="002433F3">
        <w:rPr>
          <w:lang w:val="en-US"/>
        </w:rPr>
        <w:t xml:space="preserve">on April 26, 2002, </w:t>
      </w:r>
      <w:r w:rsidR="003110AF" w:rsidRPr="002433F3">
        <w:rPr>
          <w:lang w:val="en-US"/>
        </w:rPr>
        <w:t xml:space="preserve">Mr. Duque </w:t>
      </w:r>
      <w:r w:rsidR="00AD6679" w:rsidRPr="002433F3">
        <w:rPr>
          <w:lang w:val="en-US"/>
        </w:rPr>
        <w:t xml:space="preserve">requested </w:t>
      </w:r>
      <w:r w:rsidRPr="002433F3">
        <w:rPr>
          <w:lang w:val="en-US"/>
        </w:rPr>
        <w:t>that a competent judge examine th</w:t>
      </w:r>
      <w:r w:rsidR="003110AF" w:rsidRPr="002433F3">
        <w:rPr>
          <w:lang w:val="en-US"/>
        </w:rPr>
        <w:t xml:space="preserve">e matter and </w:t>
      </w:r>
      <w:r w:rsidRPr="002433F3">
        <w:rPr>
          <w:lang w:val="en-US"/>
        </w:rPr>
        <w:t>“order the general manager of COLFONDOS</w:t>
      </w:r>
      <w:r w:rsidR="00AD6679" w:rsidRPr="002433F3">
        <w:rPr>
          <w:lang w:val="en-US"/>
        </w:rPr>
        <w:t>,</w:t>
      </w:r>
      <w:r w:rsidRPr="002433F3">
        <w:rPr>
          <w:lang w:val="en-US"/>
        </w:rPr>
        <w:t xml:space="preserve"> and/or </w:t>
      </w:r>
      <w:r w:rsidR="003C3E00" w:rsidRPr="002433F3">
        <w:rPr>
          <w:lang w:val="en-US"/>
        </w:rPr>
        <w:t xml:space="preserve">the </w:t>
      </w:r>
      <w:r w:rsidR="003110AF" w:rsidRPr="002433F3">
        <w:rPr>
          <w:lang w:val="en-US"/>
        </w:rPr>
        <w:t xml:space="preserve">person responsible, to recognize </w:t>
      </w:r>
      <w:r w:rsidRPr="002433F3">
        <w:rPr>
          <w:lang w:val="en-US"/>
        </w:rPr>
        <w:t xml:space="preserve">and pay the </w:t>
      </w:r>
      <w:r w:rsidR="003110AF" w:rsidRPr="002433F3">
        <w:rPr>
          <w:lang w:val="en-US"/>
        </w:rPr>
        <w:t>su</w:t>
      </w:r>
      <w:r w:rsidR="005778A7" w:rsidRPr="002433F3">
        <w:rPr>
          <w:lang w:val="en-US"/>
        </w:rPr>
        <w:t xml:space="preserve">rvivor’s </w:t>
      </w:r>
      <w:r w:rsidRPr="002433F3">
        <w:rPr>
          <w:lang w:val="en-US"/>
        </w:rPr>
        <w:t xml:space="preserve">pension </w:t>
      </w:r>
      <w:r w:rsidR="005778A7" w:rsidRPr="002433F3">
        <w:rPr>
          <w:lang w:val="en-US"/>
        </w:rPr>
        <w:t xml:space="preserve">to </w:t>
      </w:r>
      <w:r w:rsidRPr="002433F3">
        <w:rPr>
          <w:lang w:val="en-US"/>
        </w:rPr>
        <w:t xml:space="preserve">Mr. Ángel Alberto Duque as </w:t>
      </w:r>
      <w:r w:rsidR="003C3E00" w:rsidRPr="002433F3">
        <w:rPr>
          <w:lang w:val="en-US"/>
        </w:rPr>
        <w:t xml:space="preserve">the </w:t>
      </w:r>
      <w:r w:rsidRPr="002433F3">
        <w:rPr>
          <w:lang w:val="en-US"/>
        </w:rPr>
        <w:t>substitute of his partner [</w:t>
      </w:r>
      <w:r w:rsidR="00DA1CFE" w:rsidRPr="002433F3">
        <w:rPr>
          <w:lang w:val="en-US"/>
        </w:rPr>
        <w:t>JOJG</w:t>
      </w:r>
      <w:r w:rsidRPr="002433F3">
        <w:rPr>
          <w:lang w:val="en-US"/>
        </w:rPr>
        <w:t xml:space="preserve">]. </w:t>
      </w:r>
      <w:r w:rsidR="005778A7" w:rsidRPr="002433F3">
        <w:rPr>
          <w:lang w:val="en-US"/>
        </w:rPr>
        <w:t xml:space="preserve">He argued that recognition of </w:t>
      </w:r>
      <w:r w:rsidR="00AD6679" w:rsidRPr="002433F3">
        <w:rPr>
          <w:lang w:val="en-US"/>
        </w:rPr>
        <w:t xml:space="preserve">his right to a </w:t>
      </w:r>
      <w:r w:rsidR="005778A7" w:rsidRPr="002433F3">
        <w:rPr>
          <w:lang w:val="en-US"/>
        </w:rPr>
        <w:t xml:space="preserve">survivor’s pension would </w:t>
      </w:r>
      <w:r w:rsidR="00AD6679" w:rsidRPr="002433F3">
        <w:rPr>
          <w:lang w:val="en-US"/>
        </w:rPr>
        <w:t xml:space="preserve">ensure </w:t>
      </w:r>
      <w:r w:rsidR="003C3E00" w:rsidRPr="002433F3">
        <w:rPr>
          <w:lang w:val="en-US"/>
        </w:rPr>
        <w:t>his</w:t>
      </w:r>
      <w:r w:rsidR="005778A7" w:rsidRPr="002433F3">
        <w:rPr>
          <w:lang w:val="en-US"/>
        </w:rPr>
        <w:t xml:space="preserve"> access to the social security health services he </w:t>
      </w:r>
      <w:r w:rsidR="003C3E00" w:rsidRPr="002433F3">
        <w:rPr>
          <w:lang w:val="en-US"/>
        </w:rPr>
        <w:t>needed</w:t>
      </w:r>
      <w:r w:rsidR="005778A7" w:rsidRPr="002433F3">
        <w:rPr>
          <w:lang w:val="en-US"/>
        </w:rPr>
        <w:t xml:space="preserve">, since according to the certificate of the attending physician “if the petitioner’s </w:t>
      </w:r>
      <w:r w:rsidR="00B26B23" w:rsidRPr="002433F3">
        <w:rPr>
          <w:lang w:val="en-US"/>
        </w:rPr>
        <w:t>antiretroviral</w:t>
      </w:r>
      <w:r w:rsidR="005778A7" w:rsidRPr="002433F3">
        <w:rPr>
          <w:lang w:val="en-US"/>
        </w:rPr>
        <w:t xml:space="preserve"> treatment </w:t>
      </w:r>
      <w:r w:rsidR="003C3E00" w:rsidRPr="002433F3">
        <w:rPr>
          <w:lang w:val="en-US"/>
        </w:rPr>
        <w:t xml:space="preserve">is </w:t>
      </w:r>
      <w:r w:rsidR="005778A7" w:rsidRPr="002433F3">
        <w:rPr>
          <w:lang w:val="en-US"/>
        </w:rPr>
        <w:t>stopped he will die.</w:t>
      </w:r>
      <w:r w:rsidRPr="002433F3">
        <w:rPr>
          <w:lang w:val="en-US"/>
        </w:rPr>
        <w:t>”</w:t>
      </w:r>
      <w:r w:rsidRPr="002433F3">
        <w:rPr>
          <w:rStyle w:val="Refdenotaalpie"/>
          <w:lang w:val="en-US"/>
        </w:rPr>
        <w:footnoteReference w:id="38"/>
      </w:r>
      <w:r w:rsidRPr="002433F3">
        <w:rPr>
          <w:lang w:val="en-US"/>
        </w:rPr>
        <w:t xml:space="preserve"> (</w:t>
      </w:r>
      <w:r w:rsidRPr="002433F3">
        <w:rPr>
          <w:i/>
          <w:lang w:val="en-US"/>
        </w:rPr>
        <w:t>supra</w:t>
      </w:r>
      <w:r w:rsidRPr="002433F3">
        <w:rPr>
          <w:lang w:val="en-US"/>
        </w:rPr>
        <w:t xml:space="preserve"> para. </w:t>
      </w:r>
      <w:r w:rsidR="001F09E3" w:rsidRPr="002433F3">
        <w:rPr>
          <w:lang w:val="en-US"/>
        </w:rPr>
        <w:t>27</w:t>
      </w:r>
      <w:r w:rsidRPr="002433F3">
        <w:rPr>
          <w:lang w:val="en-US"/>
        </w:rPr>
        <w:t>).</w:t>
      </w:r>
    </w:p>
    <w:p w14:paraId="037F8146" w14:textId="77777777" w:rsidR="007B0DE4" w:rsidRPr="002433F3" w:rsidRDefault="007B0DE4" w:rsidP="007B0DE4">
      <w:pPr>
        <w:numPr>
          <w:ilvl w:val="0"/>
          <w:numId w:val="2"/>
        </w:numPr>
        <w:spacing w:before="120" w:after="120"/>
        <w:rPr>
          <w:lang w:val="en-US"/>
        </w:rPr>
      </w:pPr>
      <w:r w:rsidRPr="002433F3">
        <w:rPr>
          <w:lang w:val="en-US"/>
        </w:rPr>
        <w:t>For its part, the Tenth Municipal Civil Court of Bogotá</w:t>
      </w:r>
      <w:r w:rsidR="001F09E3" w:rsidRPr="002433F3">
        <w:rPr>
          <w:lang w:val="en-US"/>
        </w:rPr>
        <w:t>, which</w:t>
      </w:r>
      <w:r w:rsidRPr="002433F3">
        <w:rPr>
          <w:lang w:val="en-US"/>
        </w:rPr>
        <w:t xml:space="preserve"> rejected the </w:t>
      </w:r>
      <w:r w:rsidRPr="002433F3">
        <w:rPr>
          <w:i/>
          <w:lang w:val="en-US"/>
        </w:rPr>
        <w:t>tutela</w:t>
      </w:r>
      <w:r w:rsidRPr="002433F3">
        <w:rPr>
          <w:lang w:val="en-US"/>
        </w:rPr>
        <w:t xml:space="preserve"> action filed on June 5, 2002, stated th</w:t>
      </w:r>
      <w:r w:rsidR="001F09E3" w:rsidRPr="002433F3">
        <w:rPr>
          <w:lang w:val="en-US"/>
        </w:rPr>
        <w:t xml:space="preserve">e following regarding </w:t>
      </w:r>
      <w:r w:rsidRPr="002433F3">
        <w:rPr>
          <w:lang w:val="en-US"/>
        </w:rPr>
        <w:t xml:space="preserve">Mr. Duque’s right to health: “the petition seeking </w:t>
      </w:r>
      <w:r w:rsidRPr="002433F3">
        <w:rPr>
          <w:i/>
          <w:lang w:val="en-US"/>
        </w:rPr>
        <w:t>amparo</w:t>
      </w:r>
      <w:r w:rsidRPr="002433F3">
        <w:rPr>
          <w:lang w:val="en-US"/>
        </w:rPr>
        <w:t xml:space="preserve"> relief will be denied, but not without advising the petitioner that if it is also his intention to obtain some type of social security health service, he can apply to the public health institutions created by the State for the purpose of protecting persons who do not have any financial resources; a case in point w</w:t>
      </w:r>
      <w:r w:rsidR="00AD6679" w:rsidRPr="002433F3">
        <w:rPr>
          <w:lang w:val="en-US"/>
        </w:rPr>
        <w:t xml:space="preserve">ould be the program offered by </w:t>
      </w:r>
      <w:r w:rsidRPr="002433F3">
        <w:rPr>
          <w:lang w:val="en-US"/>
        </w:rPr>
        <w:t>SISBEN.”</w:t>
      </w:r>
      <w:r w:rsidRPr="002433F3">
        <w:rPr>
          <w:rStyle w:val="Refdenotaalpie"/>
          <w:lang w:val="en-US"/>
        </w:rPr>
        <w:footnoteReference w:id="39"/>
      </w:r>
    </w:p>
    <w:p w14:paraId="4D8F07FC" w14:textId="77777777" w:rsidR="007B0DE4" w:rsidRPr="002433F3" w:rsidRDefault="007B0DE4" w:rsidP="007B0DE4">
      <w:pPr>
        <w:numPr>
          <w:ilvl w:val="0"/>
          <w:numId w:val="2"/>
        </w:numPr>
        <w:spacing w:before="120" w:after="120"/>
        <w:rPr>
          <w:lang w:val="en-US"/>
        </w:rPr>
      </w:pPr>
      <w:r w:rsidRPr="002433F3">
        <w:rPr>
          <w:lang w:val="en-US"/>
        </w:rPr>
        <w:t xml:space="preserve">In </w:t>
      </w:r>
      <w:r w:rsidR="000C12FC" w:rsidRPr="002433F3">
        <w:rPr>
          <w:lang w:val="en-US"/>
        </w:rPr>
        <w:t xml:space="preserve">the </w:t>
      </w:r>
      <w:r w:rsidR="00632773" w:rsidRPr="002433F3">
        <w:rPr>
          <w:lang w:val="en-US"/>
        </w:rPr>
        <w:t xml:space="preserve">instant case it has not been </w:t>
      </w:r>
      <w:r w:rsidR="002C6BDF" w:rsidRPr="002433F3">
        <w:rPr>
          <w:lang w:val="en-US"/>
        </w:rPr>
        <w:t xml:space="preserve">demonstrated </w:t>
      </w:r>
      <w:r w:rsidRPr="002433F3">
        <w:rPr>
          <w:lang w:val="en-US"/>
        </w:rPr>
        <w:t>that the State denied health treatment to the alleged victim as a fact separate from the reco</w:t>
      </w:r>
      <w:r w:rsidR="00632773" w:rsidRPr="002433F3">
        <w:rPr>
          <w:lang w:val="en-US"/>
        </w:rPr>
        <w:t>gnition of a survivor’s pension</w:t>
      </w:r>
      <w:r w:rsidR="000C12FC" w:rsidRPr="002433F3">
        <w:rPr>
          <w:lang w:val="en-US"/>
        </w:rPr>
        <w:t>, in which case</w:t>
      </w:r>
      <w:r w:rsidRPr="002433F3">
        <w:rPr>
          <w:lang w:val="en-US"/>
        </w:rPr>
        <w:t xml:space="preserve">, given the different nature of the claims, it would have been necessary for Mr. Duque to exhaust the domestic remedies related to lack of health care. </w:t>
      </w:r>
      <w:r w:rsidR="0088475E" w:rsidRPr="002433F3">
        <w:rPr>
          <w:lang w:val="en-US"/>
        </w:rPr>
        <w:t>However</w:t>
      </w:r>
      <w:r w:rsidR="00632773" w:rsidRPr="002433F3">
        <w:rPr>
          <w:lang w:val="en-US"/>
        </w:rPr>
        <w:t xml:space="preserve">, </w:t>
      </w:r>
      <w:r w:rsidRPr="002433F3">
        <w:rPr>
          <w:lang w:val="en-US"/>
        </w:rPr>
        <w:t>the representatives</w:t>
      </w:r>
      <w:r w:rsidR="000C12FC" w:rsidRPr="002433F3">
        <w:rPr>
          <w:lang w:val="en-US"/>
        </w:rPr>
        <w:t>’ arguments</w:t>
      </w:r>
      <w:r w:rsidRPr="002433F3">
        <w:rPr>
          <w:lang w:val="en-US"/>
        </w:rPr>
        <w:t xml:space="preserve"> refer to the supposed effects on Mr. Duque’s personal integrity stemming from</w:t>
      </w:r>
      <w:r w:rsidR="0088475E" w:rsidRPr="002433F3">
        <w:rPr>
          <w:lang w:val="en-US"/>
        </w:rPr>
        <w:t xml:space="preserve"> an alleged lack of access to the</w:t>
      </w:r>
      <w:r w:rsidRPr="002433F3">
        <w:rPr>
          <w:lang w:val="en-US"/>
        </w:rPr>
        <w:t xml:space="preserve"> contributions-based health s</w:t>
      </w:r>
      <w:r w:rsidR="000C12FC" w:rsidRPr="002433F3">
        <w:rPr>
          <w:lang w:val="en-US"/>
        </w:rPr>
        <w:t xml:space="preserve">cheme </w:t>
      </w:r>
      <w:r w:rsidR="0088475E" w:rsidRPr="002433F3">
        <w:rPr>
          <w:lang w:val="en-US"/>
        </w:rPr>
        <w:t xml:space="preserve">as a result of not being </w:t>
      </w:r>
      <w:r w:rsidRPr="002433F3">
        <w:rPr>
          <w:lang w:val="en-US"/>
        </w:rPr>
        <w:t>granted the su</w:t>
      </w:r>
      <w:r w:rsidR="0088475E" w:rsidRPr="002433F3">
        <w:rPr>
          <w:lang w:val="en-US"/>
        </w:rPr>
        <w:t xml:space="preserve">rvivor’s </w:t>
      </w:r>
      <w:r w:rsidRPr="002433F3">
        <w:rPr>
          <w:lang w:val="en-US"/>
        </w:rPr>
        <w:t xml:space="preserve">pension. In </w:t>
      </w:r>
      <w:r w:rsidR="0088475E" w:rsidRPr="002433F3">
        <w:rPr>
          <w:lang w:val="en-US"/>
        </w:rPr>
        <w:t xml:space="preserve">that </w:t>
      </w:r>
      <w:r w:rsidR="000C12FC" w:rsidRPr="002433F3">
        <w:rPr>
          <w:lang w:val="en-US"/>
        </w:rPr>
        <w:t>regard</w:t>
      </w:r>
      <w:r w:rsidR="0088475E" w:rsidRPr="002433F3">
        <w:rPr>
          <w:lang w:val="en-US"/>
        </w:rPr>
        <w:t>, the representatives -</w:t>
      </w:r>
      <w:r w:rsidRPr="002433F3">
        <w:rPr>
          <w:lang w:val="en-US"/>
        </w:rPr>
        <w:t xml:space="preserve"> who do not dispute that Mr. Duque could access th</w:t>
      </w:r>
      <w:r w:rsidR="002C6BDF" w:rsidRPr="002433F3">
        <w:rPr>
          <w:lang w:val="en-US"/>
        </w:rPr>
        <w:t>e subsidized</w:t>
      </w:r>
      <w:r w:rsidR="0088475E" w:rsidRPr="002433F3">
        <w:rPr>
          <w:lang w:val="en-US"/>
        </w:rPr>
        <w:t xml:space="preserve"> health</w:t>
      </w:r>
      <w:r w:rsidR="002C6BDF" w:rsidRPr="002433F3">
        <w:rPr>
          <w:lang w:val="en-US"/>
        </w:rPr>
        <w:t>care</w:t>
      </w:r>
      <w:r w:rsidR="0088475E" w:rsidRPr="002433F3">
        <w:rPr>
          <w:lang w:val="en-US"/>
        </w:rPr>
        <w:t xml:space="preserve"> </w:t>
      </w:r>
      <w:r w:rsidR="000C12FC" w:rsidRPr="002433F3">
        <w:rPr>
          <w:lang w:val="en-US"/>
        </w:rPr>
        <w:t xml:space="preserve">regime </w:t>
      </w:r>
      <w:r w:rsidR="0088475E" w:rsidRPr="002433F3">
        <w:rPr>
          <w:lang w:val="en-US"/>
        </w:rPr>
        <w:t>-</w:t>
      </w:r>
      <w:r w:rsidR="002C6BDF" w:rsidRPr="002433F3">
        <w:rPr>
          <w:lang w:val="en-US"/>
        </w:rPr>
        <w:t xml:space="preserve"> argue that this</w:t>
      </w:r>
      <w:r w:rsidRPr="002433F3">
        <w:rPr>
          <w:lang w:val="en-US"/>
        </w:rPr>
        <w:t xml:space="preserve"> did not </w:t>
      </w:r>
      <w:r w:rsidR="00632773" w:rsidRPr="002433F3">
        <w:rPr>
          <w:lang w:val="en-US"/>
        </w:rPr>
        <w:t xml:space="preserve">allow him to obtain </w:t>
      </w:r>
      <w:r w:rsidRPr="002433F3">
        <w:rPr>
          <w:lang w:val="en-US"/>
        </w:rPr>
        <w:t>treatment equivalent to the one he had received under the contribution</w:t>
      </w:r>
      <w:r w:rsidR="002C6BDF" w:rsidRPr="002433F3">
        <w:rPr>
          <w:lang w:val="en-US"/>
        </w:rPr>
        <w:t>s</w:t>
      </w:r>
      <w:r w:rsidRPr="002433F3">
        <w:rPr>
          <w:lang w:val="en-US"/>
        </w:rPr>
        <w:t xml:space="preserve">-based </w:t>
      </w:r>
      <w:r w:rsidR="000C12FC" w:rsidRPr="002433F3">
        <w:rPr>
          <w:lang w:val="en-US"/>
        </w:rPr>
        <w:t xml:space="preserve">regime; </w:t>
      </w:r>
      <w:r w:rsidR="008C3F12" w:rsidRPr="002433F3">
        <w:rPr>
          <w:lang w:val="en-US"/>
        </w:rPr>
        <w:t xml:space="preserve">a situation which, </w:t>
      </w:r>
      <w:r w:rsidR="002C6BDF" w:rsidRPr="002433F3">
        <w:rPr>
          <w:lang w:val="en-US"/>
        </w:rPr>
        <w:t>they allege</w:t>
      </w:r>
      <w:r w:rsidR="000C12FC" w:rsidRPr="002433F3">
        <w:rPr>
          <w:lang w:val="en-US"/>
        </w:rPr>
        <w:t>,</w:t>
      </w:r>
      <w:r w:rsidR="002C6BDF" w:rsidRPr="002433F3">
        <w:rPr>
          <w:lang w:val="en-US"/>
        </w:rPr>
        <w:t xml:space="preserve"> would </w:t>
      </w:r>
      <w:r w:rsidRPr="002433F3">
        <w:rPr>
          <w:lang w:val="en-US"/>
        </w:rPr>
        <w:t xml:space="preserve">have </w:t>
      </w:r>
      <w:r w:rsidR="002C6BDF" w:rsidRPr="002433F3">
        <w:rPr>
          <w:lang w:val="en-US"/>
        </w:rPr>
        <w:t xml:space="preserve">put his </w:t>
      </w:r>
      <w:r w:rsidRPr="002433F3">
        <w:rPr>
          <w:lang w:val="en-US"/>
        </w:rPr>
        <w:t>life and integrity</w:t>
      </w:r>
      <w:r w:rsidR="002C6BDF" w:rsidRPr="002433F3">
        <w:rPr>
          <w:lang w:val="en-US"/>
        </w:rPr>
        <w:t xml:space="preserve"> at risk</w:t>
      </w:r>
      <w:r w:rsidRPr="002433F3">
        <w:rPr>
          <w:lang w:val="en-US"/>
        </w:rPr>
        <w:t xml:space="preserve">. </w:t>
      </w:r>
    </w:p>
    <w:p w14:paraId="0332392D" w14:textId="77777777" w:rsidR="007B0DE4" w:rsidRPr="002433F3" w:rsidRDefault="007B0DE4" w:rsidP="007B0DE4">
      <w:pPr>
        <w:numPr>
          <w:ilvl w:val="0"/>
          <w:numId w:val="2"/>
        </w:numPr>
        <w:spacing w:before="120" w:after="120"/>
        <w:rPr>
          <w:lang w:val="en-US"/>
        </w:rPr>
      </w:pPr>
      <w:r w:rsidRPr="002433F3">
        <w:rPr>
          <w:lang w:val="en-US"/>
        </w:rPr>
        <w:t xml:space="preserve">The Court </w:t>
      </w:r>
      <w:r w:rsidR="0088475E" w:rsidRPr="002433F3">
        <w:rPr>
          <w:lang w:val="en-US"/>
        </w:rPr>
        <w:t xml:space="preserve">notes </w:t>
      </w:r>
      <w:r w:rsidRPr="002433F3">
        <w:rPr>
          <w:lang w:val="en-US"/>
        </w:rPr>
        <w:t xml:space="preserve">that the violation of the right to health alleged in the </w:t>
      </w:r>
      <w:r w:rsidRPr="002433F3">
        <w:rPr>
          <w:i/>
          <w:lang w:val="en-US"/>
        </w:rPr>
        <w:t>tutela</w:t>
      </w:r>
      <w:r w:rsidR="0088475E" w:rsidRPr="002433F3">
        <w:rPr>
          <w:lang w:val="en-US"/>
        </w:rPr>
        <w:t xml:space="preserve"> action filed by Mr. Duque</w:t>
      </w:r>
      <w:r w:rsidRPr="002433F3">
        <w:rPr>
          <w:lang w:val="en-US"/>
        </w:rPr>
        <w:t xml:space="preserve"> was closely connec</w:t>
      </w:r>
      <w:r w:rsidR="002C6BDF" w:rsidRPr="002433F3">
        <w:rPr>
          <w:lang w:val="en-US"/>
        </w:rPr>
        <w:t>ted with the claim for</w:t>
      </w:r>
      <w:r w:rsidRPr="002433F3">
        <w:rPr>
          <w:lang w:val="en-US"/>
        </w:rPr>
        <w:t xml:space="preserve"> access </w:t>
      </w:r>
      <w:r w:rsidR="002C6BDF" w:rsidRPr="002433F3">
        <w:rPr>
          <w:lang w:val="en-US"/>
        </w:rPr>
        <w:t xml:space="preserve">to </w:t>
      </w:r>
      <w:r w:rsidRPr="002433F3">
        <w:rPr>
          <w:lang w:val="en-US"/>
        </w:rPr>
        <w:t xml:space="preserve">a </w:t>
      </w:r>
      <w:r w:rsidR="00632773" w:rsidRPr="002433F3">
        <w:rPr>
          <w:lang w:val="en-US"/>
        </w:rPr>
        <w:t>s</w:t>
      </w:r>
      <w:r w:rsidR="0088475E" w:rsidRPr="002433F3">
        <w:rPr>
          <w:lang w:val="en-US"/>
        </w:rPr>
        <w:t xml:space="preserve">pecific </w:t>
      </w:r>
      <w:r w:rsidR="002C6BDF" w:rsidRPr="002433F3">
        <w:rPr>
          <w:lang w:val="en-US"/>
        </w:rPr>
        <w:t xml:space="preserve">healthcare </w:t>
      </w:r>
      <w:r w:rsidR="0088475E" w:rsidRPr="002433F3">
        <w:rPr>
          <w:lang w:val="en-US"/>
        </w:rPr>
        <w:t>system</w:t>
      </w:r>
      <w:r w:rsidRPr="002433F3">
        <w:rPr>
          <w:lang w:val="en-US"/>
        </w:rPr>
        <w:t xml:space="preserve">, </w:t>
      </w:r>
      <w:r w:rsidR="002C6BDF" w:rsidRPr="002433F3">
        <w:rPr>
          <w:lang w:val="en-US"/>
        </w:rPr>
        <w:t xml:space="preserve">namely, </w:t>
      </w:r>
      <w:r w:rsidR="0088475E" w:rsidRPr="002433F3">
        <w:rPr>
          <w:lang w:val="en-US"/>
        </w:rPr>
        <w:t xml:space="preserve">the </w:t>
      </w:r>
      <w:r w:rsidRPr="002433F3">
        <w:rPr>
          <w:lang w:val="en-US"/>
        </w:rPr>
        <w:t>contribut</w:t>
      </w:r>
      <w:r w:rsidR="008C3F12" w:rsidRPr="002433F3">
        <w:rPr>
          <w:lang w:val="en-US"/>
        </w:rPr>
        <w:t xml:space="preserve">ory </w:t>
      </w:r>
      <w:r w:rsidR="00632773" w:rsidRPr="002433F3">
        <w:rPr>
          <w:lang w:val="en-US"/>
        </w:rPr>
        <w:t>s</w:t>
      </w:r>
      <w:r w:rsidR="005B45C5" w:rsidRPr="002433F3">
        <w:rPr>
          <w:lang w:val="en-US"/>
        </w:rPr>
        <w:t xml:space="preserve">ystem </w:t>
      </w:r>
      <w:r w:rsidRPr="002433F3">
        <w:rPr>
          <w:lang w:val="en-US"/>
        </w:rPr>
        <w:t xml:space="preserve">which, in principle, the alleged victim could only access as a </w:t>
      </w:r>
      <w:r w:rsidR="005B45C5" w:rsidRPr="002433F3">
        <w:rPr>
          <w:lang w:val="en-US"/>
        </w:rPr>
        <w:t xml:space="preserve">recognized </w:t>
      </w:r>
      <w:r w:rsidRPr="002433F3">
        <w:rPr>
          <w:lang w:val="en-US"/>
        </w:rPr>
        <w:t>beneficiary of the survivor’s pension. From that</w:t>
      </w:r>
      <w:r w:rsidR="0088475E" w:rsidRPr="002433F3">
        <w:rPr>
          <w:lang w:val="en-US"/>
        </w:rPr>
        <w:t xml:space="preserve"> perspective, it is reasonable </w:t>
      </w:r>
      <w:r w:rsidRPr="002433F3">
        <w:rPr>
          <w:lang w:val="en-US"/>
        </w:rPr>
        <w:t xml:space="preserve">to infer that the domestic remedies </w:t>
      </w:r>
      <w:r w:rsidR="001F082B" w:rsidRPr="002433F3">
        <w:rPr>
          <w:lang w:val="en-US"/>
        </w:rPr>
        <w:t xml:space="preserve">had been </w:t>
      </w:r>
      <w:r w:rsidRPr="002433F3">
        <w:rPr>
          <w:lang w:val="en-US"/>
        </w:rPr>
        <w:t xml:space="preserve">exhausted through the filing of the </w:t>
      </w:r>
      <w:r w:rsidRPr="002433F3">
        <w:rPr>
          <w:i/>
          <w:lang w:val="en-US"/>
        </w:rPr>
        <w:t>tutela</w:t>
      </w:r>
      <w:r w:rsidRPr="002433F3">
        <w:rPr>
          <w:lang w:val="en-US"/>
        </w:rPr>
        <w:t xml:space="preserve"> action, </w:t>
      </w:r>
      <w:r w:rsidR="001F082B" w:rsidRPr="002433F3">
        <w:rPr>
          <w:lang w:val="en-US"/>
        </w:rPr>
        <w:t>notwithstanding the State’s a</w:t>
      </w:r>
      <w:r w:rsidR="008C3F12" w:rsidRPr="002433F3">
        <w:rPr>
          <w:lang w:val="en-US"/>
        </w:rPr>
        <w:t xml:space="preserve">rguments </w:t>
      </w:r>
      <w:r w:rsidRPr="002433F3">
        <w:rPr>
          <w:lang w:val="en-US"/>
        </w:rPr>
        <w:t xml:space="preserve">that Mr. Duque </w:t>
      </w:r>
      <w:r w:rsidR="001F082B" w:rsidRPr="002433F3">
        <w:rPr>
          <w:lang w:val="en-US"/>
        </w:rPr>
        <w:t xml:space="preserve">could have availed himself of </w:t>
      </w:r>
      <w:r w:rsidRPr="002433F3">
        <w:rPr>
          <w:lang w:val="en-US"/>
        </w:rPr>
        <w:t xml:space="preserve">specific judicial remedies that </w:t>
      </w:r>
      <w:r w:rsidR="001F082B" w:rsidRPr="002433F3">
        <w:rPr>
          <w:lang w:val="en-US"/>
        </w:rPr>
        <w:t xml:space="preserve">had not been </w:t>
      </w:r>
      <w:r w:rsidRPr="002433F3">
        <w:rPr>
          <w:lang w:val="en-US"/>
        </w:rPr>
        <w:t>exhausted in relation to specific violations of the right to health.</w:t>
      </w:r>
    </w:p>
    <w:p w14:paraId="38C812AB" w14:textId="77777777" w:rsidR="007B0DE4" w:rsidRPr="002433F3" w:rsidRDefault="007B0DE4" w:rsidP="007B0DE4">
      <w:pPr>
        <w:numPr>
          <w:ilvl w:val="0"/>
          <w:numId w:val="2"/>
        </w:numPr>
        <w:spacing w:before="120" w:after="120"/>
        <w:rPr>
          <w:lang w:val="en-US"/>
        </w:rPr>
      </w:pPr>
      <w:r w:rsidRPr="002433F3">
        <w:rPr>
          <w:lang w:val="en-US"/>
        </w:rPr>
        <w:t xml:space="preserve">Consequently, </w:t>
      </w:r>
      <w:r w:rsidR="001F082B" w:rsidRPr="002433F3">
        <w:rPr>
          <w:lang w:val="en-US"/>
        </w:rPr>
        <w:t xml:space="preserve">this Court finds that, </w:t>
      </w:r>
      <w:r w:rsidR="00E7643C" w:rsidRPr="002433F3">
        <w:rPr>
          <w:lang w:val="en-US"/>
        </w:rPr>
        <w:t xml:space="preserve">because </w:t>
      </w:r>
      <w:r w:rsidR="001F082B" w:rsidRPr="002433F3">
        <w:rPr>
          <w:lang w:val="en-US"/>
        </w:rPr>
        <w:t xml:space="preserve">the representatives have linked the </w:t>
      </w:r>
      <w:r w:rsidRPr="002433F3">
        <w:rPr>
          <w:lang w:val="en-US"/>
        </w:rPr>
        <w:t>alleged violation of the rights to life and personal integrity to Mr. Duque’s inability to acce</w:t>
      </w:r>
      <w:r w:rsidR="001F082B" w:rsidRPr="002433F3">
        <w:rPr>
          <w:lang w:val="en-US"/>
        </w:rPr>
        <w:t xml:space="preserve">ss the </w:t>
      </w:r>
      <w:r w:rsidRPr="002433F3">
        <w:rPr>
          <w:lang w:val="en-US"/>
        </w:rPr>
        <w:t>contribution</w:t>
      </w:r>
      <w:r w:rsidR="001F082B" w:rsidRPr="002433F3">
        <w:rPr>
          <w:lang w:val="en-US"/>
        </w:rPr>
        <w:t>s</w:t>
      </w:r>
      <w:r w:rsidRPr="002433F3">
        <w:rPr>
          <w:lang w:val="en-US"/>
        </w:rPr>
        <w:t xml:space="preserve">-based </w:t>
      </w:r>
      <w:r w:rsidR="00E9132D" w:rsidRPr="002433F3">
        <w:rPr>
          <w:lang w:val="en-US"/>
        </w:rPr>
        <w:t>health</w:t>
      </w:r>
      <w:r w:rsidR="00E7643C" w:rsidRPr="002433F3">
        <w:rPr>
          <w:lang w:val="en-US"/>
        </w:rPr>
        <w:t>care</w:t>
      </w:r>
      <w:r w:rsidR="00E9132D" w:rsidRPr="002433F3">
        <w:rPr>
          <w:lang w:val="en-US"/>
        </w:rPr>
        <w:t xml:space="preserve"> system </w:t>
      </w:r>
      <w:r w:rsidR="001F082B" w:rsidRPr="002433F3">
        <w:rPr>
          <w:lang w:val="en-US"/>
        </w:rPr>
        <w:t xml:space="preserve">because </w:t>
      </w:r>
      <w:r w:rsidRPr="002433F3">
        <w:rPr>
          <w:lang w:val="en-US"/>
        </w:rPr>
        <w:t xml:space="preserve">he was not a beneficiary of a </w:t>
      </w:r>
      <w:r w:rsidR="001F082B" w:rsidRPr="002433F3">
        <w:rPr>
          <w:lang w:val="en-US"/>
        </w:rPr>
        <w:t xml:space="preserve">survivor’s </w:t>
      </w:r>
      <w:r w:rsidRPr="002433F3">
        <w:rPr>
          <w:lang w:val="en-US"/>
        </w:rPr>
        <w:t xml:space="preserve">pension, </w:t>
      </w:r>
      <w:r w:rsidR="001F082B" w:rsidRPr="002433F3">
        <w:rPr>
          <w:lang w:val="en-US"/>
        </w:rPr>
        <w:t xml:space="preserve">the </w:t>
      </w:r>
      <w:r w:rsidRPr="002433F3">
        <w:rPr>
          <w:lang w:val="en-US"/>
        </w:rPr>
        <w:t>arguments of failure to exhaust d</w:t>
      </w:r>
      <w:r w:rsidR="001F082B" w:rsidRPr="002433F3">
        <w:rPr>
          <w:lang w:val="en-US"/>
        </w:rPr>
        <w:t xml:space="preserve">omestic remedies regarding the rights to life </w:t>
      </w:r>
      <w:r w:rsidRPr="002433F3">
        <w:rPr>
          <w:lang w:val="en-US"/>
        </w:rPr>
        <w:t xml:space="preserve">and personal integrity are subsumed in the arguments of failure to exhaust domestic remedies </w:t>
      </w:r>
      <w:r w:rsidR="001F082B" w:rsidRPr="002433F3">
        <w:rPr>
          <w:lang w:val="en-US"/>
        </w:rPr>
        <w:t xml:space="preserve">in relation to </w:t>
      </w:r>
      <w:r w:rsidR="00E9132D" w:rsidRPr="002433F3">
        <w:rPr>
          <w:lang w:val="en-US"/>
        </w:rPr>
        <w:t xml:space="preserve">the </w:t>
      </w:r>
      <w:r w:rsidR="001F082B" w:rsidRPr="002433F3">
        <w:rPr>
          <w:lang w:val="en-US"/>
        </w:rPr>
        <w:t xml:space="preserve">possibility of </w:t>
      </w:r>
      <w:r w:rsidR="00E9132D" w:rsidRPr="002433F3">
        <w:rPr>
          <w:lang w:val="en-US"/>
        </w:rPr>
        <w:t xml:space="preserve">claiming </w:t>
      </w:r>
      <w:r w:rsidR="001F082B" w:rsidRPr="002433F3">
        <w:rPr>
          <w:lang w:val="en-US"/>
        </w:rPr>
        <w:t xml:space="preserve">the pension. Therefore, </w:t>
      </w:r>
      <w:r w:rsidR="00757CA2" w:rsidRPr="002433F3">
        <w:rPr>
          <w:lang w:val="en-US"/>
        </w:rPr>
        <w:t xml:space="preserve">the Court refers to </w:t>
      </w:r>
      <w:r w:rsidRPr="002433F3">
        <w:rPr>
          <w:lang w:val="en-US"/>
        </w:rPr>
        <w:t xml:space="preserve">the considerations set forth in paragraphs 23 to 43, and dismisses </w:t>
      </w:r>
      <w:r w:rsidRPr="002433F3">
        <w:rPr>
          <w:spacing w:val="-2"/>
          <w:lang w:val="en-US"/>
        </w:rPr>
        <w:t xml:space="preserve">this preliminary objection. </w:t>
      </w:r>
    </w:p>
    <w:p w14:paraId="6E81011D" w14:textId="77777777" w:rsidR="007B0DE4" w:rsidRPr="002433F3" w:rsidRDefault="007B0DE4" w:rsidP="007B0DE4">
      <w:pPr>
        <w:pStyle w:val="Ttulo1"/>
        <w:spacing w:before="460" w:after="460"/>
        <w:rPr>
          <w:caps w:val="0"/>
          <w:noProof w:val="0"/>
          <w:lang w:val="en-US"/>
        </w:rPr>
      </w:pPr>
      <w:bookmarkStart w:id="56" w:name="_Toc448482251"/>
      <w:r w:rsidRPr="002433F3">
        <w:rPr>
          <w:caps w:val="0"/>
          <w:noProof w:val="0"/>
          <w:lang w:val="en-US"/>
        </w:rPr>
        <w:lastRenderedPageBreak/>
        <w:t>V</w:t>
      </w:r>
      <w:r w:rsidRPr="002433F3">
        <w:rPr>
          <w:noProof w:val="0"/>
          <w:lang w:val="en-US"/>
        </w:rPr>
        <w:br/>
      </w:r>
      <w:r w:rsidRPr="002433F3">
        <w:rPr>
          <w:caps w:val="0"/>
          <w:noProof w:val="0"/>
          <w:lang w:val="en-US"/>
        </w:rPr>
        <w:t>PRIOR CONSIDERATIONS</w:t>
      </w:r>
      <w:r w:rsidRPr="002433F3">
        <w:rPr>
          <w:noProof w:val="0"/>
          <w:lang w:val="en-US"/>
        </w:rPr>
        <w:t xml:space="preserve"> </w:t>
      </w:r>
      <w:bookmarkEnd w:id="56"/>
    </w:p>
    <w:p w14:paraId="6614A1F4" w14:textId="77777777" w:rsidR="007B0DE4" w:rsidRPr="002433F3" w:rsidRDefault="00E9132D" w:rsidP="007B0DE4">
      <w:pPr>
        <w:numPr>
          <w:ilvl w:val="0"/>
          <w:numId w:val="2"/>
        </w:numPr>
        <w:tabs>
          <w:tab w:val="left" w:pos="567"/>
          <w:tab w:val="left" w:pos="720"/>
          <w:tab w:val="left" w:pos="1134"/>
          <w:tab w:val="num" w:pos="1427"/>
          <w:tab w:val="num" w:pos="6042"/>
        </w:tabs>
        <w:autoSpaceDE w:val="0"/>
        <w:autoSpaceDN w:val="0"/>
        <w:adjustRightInd w:val="0"/>
        <w:spacing w:before="120"/>
        <w:ind w:right="-90"/>
        <w:rPr>
          <w:lang w:val="en-US"/>
        </w:rPr>
      </w:pPr>
      <w:r w:rsidRPr="002433F3">
        <w:rPr>
          <w:lang w:val="en-US"/>
        </w:rPr>
        <w:t>D</w:t>
      </w:r>
      <w:r w:rsidR="007B0DE4" w:rsidRPr="002433F3">
        <w:rPr>
          <w:lang w:val="en-US"/>
        </w:rPr>
        <w:t>uring the proce</w:t>
      </w:r>
      <w:r w:rsidR="00757CA2" w:rsidRPr="002433F3">
        <w:rPr>
          <w:lang w:val="en-US"/>
        </w:rPr>
        <w:t xml:space="preserve">edings in this </w:t>
      </w:r>
      <w:r w:rsidR="007B0DE4" w:rsidRPr="002433F3">
        <w:rPr>
          <w:lang w:val="en-US"/>
        </w:rPr>
        <w:t xml:space="preserve">case, the </w:t>
      </w:r>
      <w:r w:rsidR="007B0DE4" w:rsidRPr="002433F3">
        <w:rPr>
          <w:i/>
          <w:lang w:val="en-US"/>
        </w:rPr>
        <w:t>State</w:t>
      </w:r>
      <w:r w:rsidR="007B0DE4" w:rsidRPr="002433F3">
        <w:rPr>
          <w:lang w:val="en-US"/>
        </w:rPr>
        <w:t xml:space="preserve"> </w:t>
      </w:r>
      <w:r w:rsidRPr="002433F3">
        <w:rPr>
          <w:lang w:val="en-US"/>
        </w:rPr>
        <w:t xml:space="preserve">on several occasions </w:t>
      </w:r>
      <w:r w:rsidR="008A3978" w:rsidRPr="002433F3">
        <w:rPr>
          <w:lang w:val="en-US"/>
        </w:rPr>
        <w:t xml:space="preserve">acknowledged </w:t>
      </w:r>
      <w:r w:rsidR="007B0DE4" w:rsidRPr="002433F3">
        <w:rPr>
          <w:lang w:val="en-US"/>
        </w:rPr>
        <w:t>the existence of a “</w:t>
      </w:r>
      <w:r w:rsidR="00757CA2" w:rsidRPr="002433F3">
        <w:rPr>
          <w:lang w:val="en-US"/>
        </w:rPr>
        <w:t xml:space="preserve">continuous </w:t>
      </w:r>
      <w:r w:rsidR="007B0DE4" w:rsidRPr="002433F3">
        <w:rPr>
          <w:lang w:val="en-US"/>
        </w:rPr>
        <w:t xml:space="preserve">internationally wrongful </w:t>
      </w:r>
      <w:r w:rsidR="00757CA2" w:rsidRPr="002433F3">
        <w:rPr>
          <w:lang w:val="en-US"/>
        </w:rPr>
        <w:t xml:space="preserve">act </w:t>
      </w:r>
      <w:r w:rsidR="007B0DE4" w:rsidRPr="002433F3">
        <w:rPr>
          <w:lang w:val="en-US"/>
        </w:rPr>
        <w:t xml:space="preserve">during at least part of the </w:t>
      </w:r>
      <w:r w:rsidR="00757CA2" w:rsidRPr="002433F3">
        <w:rPr>
          <w:lang w:val="en-US"/>
        </w:rPr>
        <w:t xml:space="preserve">time when </w:t>
      </w:r>
      <w:r w:rsidR="007B0DE4" w:rsidRPr="002433F3">
        <w:rPr>
          <w:lang w:val="en-US"/>
        </w:rPr>
        <w:t xml:space="preserve">the </w:t>
      </w:r>
      <w:r w:rsidR="00757CA2" w:rsidRPr="002433F3">
        <w:rPr>
          <w:lang w:val="en-US"/>
        </w:rPr>
        <w:t xml:space="preserve">legal provisions </w:t>
      </w:r>
      <w:r w:rsidR="00E7643C" w:rsidRPr="002433F3">
        <w:rPr>
          <w:lang w:val="en-US"/>
        </w:rPr>
        <w:t xml:space="preserve">applied </w:t>
      </w:r>
      <w:r w:rsidR="00757CA2" w:rsidRPr="002433F3">
        <w:rPr>
          <w:lang w:val="en-US"/>
        </w:rPr>
        <w:t>in Colombia</w:t>
      </w:r>
      <w:r w:rsidR="007B0DE4" w:rsidRPr="002433F3">
        <w:rPr>
          <w:lang w:val="en-US"/>
        </w:rPr>
        <w:t xml:space="preserve"> did not </w:t>
      </w:r>
      <w:r w:rsidRPr="002433F3">
        <w:rPr>
          <w:lang w:val="en-US"/>
        </w:rPr>
        <w:t>recognize the right of same-sex couple</w:t>
      </w:r>
      <w:r w:rsidR="00E7643C" w:rsidRPr="002433F3">
        <w:rPr>
          <w:lang w:val="en-US"/>
        </w:rPr>
        <w:t>s</w:t>
      </w:r>
      <w:r w:rsidRPr="002433F3">
        <w:rPr>
          <w:lang w:val="en-US"/>
        </w:rPr>
        <w:t xml:space="preserve"> to claim a survivor’s pension</w:t>
      </w:r>
      <w:r w:rsidR="00757CA2" w:rsidRPr="002433F3">
        <w:rPr>
          <w:lang w:val="en-US"/>
        </w:rPr>
        <w:t>.</w:t>
      </w:r>
      <w:r w:rsidR="007B0DE4" w:rsidRPr="002433F3">
        <w:rPr>
          <w:lang w:val="en-US"/>
        </w:rPr>
        <w:t>” The State added that “this internationally wrongful act that exis</w:t>
      </w:r>
      <w:r w:rsidR="00E7643C" w:rsidRPr="002433F3">
        <w:rPr>
          <w:lang w:val="en-US"/>
        </w:rPr>
        <w:t xml:space="preserve">ted in </w:t>
      </w:r>
      <w:r w:rsidR="007B0DE4" w:rsidRPr="002433F3">
        <w:rPr>
          <w:lang w:val="en-US"/>
        </w:rPr>
        <w:t xml:space="preserve">Colombia, </w:t>
      </w:r>
      <w:r w:rsidRPr="002433F3">
        <w:rPr>
          <w:lang w:val="en-US"/>
        </w:rPr>
        <w:t>does</w:t>
      </w:r>
      <w:r w:rsidR="00757CA2" w:rsidRPr="002433F3">
        <w:rPr>
          <w:lang w:val="en-US"/>
        </w:rPr>
        <w:t xml:space="preserve"> </w:t>
      </w:r>
      <w:r w:rsidR="007B0DE4" w:rsidRPr="002433F3">
        <w:rPr>
          <w:lang w:val="en-US"/>
        </w:rPr>
        <w:t>no</w:t>
      </w:r>
      <w:r w:rsidR="00733623" w:rsidRPr="002433F3">
        <w:rPr>
          <w:lang w:val="en-US"/>
        </w:rPr>
        <w:t>t</w:t>
      </w:r>
      <w:r w:rsidR="007B0DE4" w:rsidRPr="002433F3">
        <w:rPr>
          <w:lang w:val="en-US"/>
        </w:rPr>
        <w:t xml:space="preserve"> immediately activate the </w:t>
      </w:r>
      <w:r w:rsidR="00757CA2" w:rsidRPr="002433F3">
        <w:rPr>
          <w:lang w:val="en-US"/>
        </w:rPr>
        <w:t xml:space="preserve">enforceability </w:t>
      </w:r>
      <w:r w:rsidR="007B0DE4" w:rsidRPr="002433F3">
        <w:rPr>
          <w:lang w:val="en-US"/>
        </w:rPr>
        <w:t xml:space="preserve">of that internationally wrongful act </w:t>
      </w:r>
      <w:r w:rsidR="00733623" w:rsidRPr="002433F3">
        <w:rPr>
          <w:lang w:val="en-US"/>
        </w:rPr>
        <w:t>before [the</w:t>
      </w:r>
      <w:r w:rsidR="007B0DE4" w:rsidRPr="002433F3">
        <w:rPr>
          <w:lang w:val="en-US"/>
        </w:rPr>
        <w:t>] Court</w:t>
      </w:r>
      <w:r w:rsidR="00733623" w:rsidRPr="002433F3">
        <w:rPr>
          <w:lang w:val="en-US"/>
        </w:rPr>
        <w:t>.”</w:t>
      </w:r>
      <w:r w:rsidR="007B0DE4" w:rsidRPr="002433F3">
        <w:rPr>
          <w:lang w:val="en-US"/>
        </w:rPr>
        <w:t xml:space="preserve"> </w:t>
      </w:r>
      <w:r w:rsidR="00733623" w:rsidRPr="002433F3">
        <w:rPr>
          <w:lang w:val="en-US"/>
        </w:rPr>
        <w:t xml:space="preserve">As to </w:t>
      </w:r>
      <w:r w:rsidR="007B0DE4" w:rsidRPr="002433F3">
        <w:rPr>
          <w:lang w:val="en-US"/>
        </w:rPr>
        <w:t xml:space="preserve">the moment </w:t>
      </w:r>
      <w:r w:rsidR="00733623" w:rsidRPr="002433F3">
        <w:rPr>
          <w:lang w:val="en-US"/>
        </w:rPr>
        <w:t xml:space="preserve">when </w:t>
      </w:r>
      <w:r w:rsidRPr="002433F3">
        <w:rPr>
          <w:lang w:val="en-US"/>
        </w:rPr>
        <w:t>the</w:t>
      </w:r>
      <w:r w:rsidR="007B0DE4" w:rsidRPr="002433F3">
        <w:rPr>
          <w:lang w:val="en-US"/>
        </w:rPr>
        <w:t xml:space="preserve"> internationally wrongful act</w:t>
      </w:r>
      <w:r w:rsidR="00733623" w:rsidRPr="002433F3">
        <w:rPr>
          <w:lang w:val="en-US"/>
        </w:rPr>
        <w:t xml:space="preserve"> began</w:t>
      </w:r>
      <w:r w:rsidR="007B0DE4" w:rsidRPr="002433F3">
        <w:rPr>
          <w:lang w:val="en-US"/>
        </w:rPr>
        <w:t xml:space="preserve">, the State did not refer to a date, </w:t>
      </w:r>
      <w:r w:rsidRPr="002433F3">
        <w:rPr>
          <w:lang w:val="en-US"/>
        </w:rPr>
        <w:t xml:space="preserve">but considered </w:t>
      </w:r>
      <w:r w:rsidR="007B0DE4" w:rsidRPr="002433F3">
        <w:rPr>
          <w:lang w:val="en-US"/>
        </w:rPr>
        <w:t xml:space="preserve">that it was not “necessary </w:t>
      </w:r>
      <w:r w:rsidR="002461B2" w:rsidRPr="002433F3">
        <w:rPr>
          <w:lang w:val="en-US"/>
        </w:rPr>
        <w:t xml:space="preserve">to </w:t>
      </w:r>
      <w:r w:rsidR="007B0DE4" w:rsidRPr="002433F3">
        <w:rPr>
          <w:lang w:val="en-US"/>
        </w:rPr>
        <w:t xml:space="preserve">determine that moment </w:t>
      </w:r>
      <w:r w:rsidR="002461B2" w:rsidRPr="002433F3">
        <w:rPr>
          <w:lang w:val="en-US"/>
        </w:rPr>
        <w:t xml:space="preserve">for the purposes of analyzing </w:t>
      </w:r>
      <w:r w:rsidR="007B0DE4" w:rsidRPr="002433F3">
        <w:rPr>
          <w:lang w:val="en-US"/>
        </w:rPr>
        <w:t xml:space="preserve">international responsibility in the present case” and that the “relevant point is </w:t>
      </w:r>
      <w:r w:rsidR="002461B2" w:rsidRPr="002433F3">
        <w:rPr>
          <w:lang w:val="en-US"/>
        </w:rPr>
        <w:t xml:space="preserve">to </w:t>
      </w:r>
      <w:r w:rsidR="007B0DE4" w:rsidRPr="002433F3">
        <w:rPr>
          <w:lang w:val="en-US"/>
        </w:rPr>
        <w:t xml:space="preserve">analyze whether (a) the internationally wrongful act ceased, (b) when the internationally wrongful act ceased and (c) how this cessation </w:t>
      </w:r>
      <w:r w:rsidR="002461B2" w:rsidRPr="002433F3">
        <w:rPr>
          <w:lang w:val="en-US"/>
        </w:rPr>
        <w:t>would influence</w:t>
      </w:r>
      <w:r w:rsidR="007B0DE4" w:rsidRPr="002433F3">
        <w:rPr>
          <w:lang w:val="en-US"/>
        </w:rPr>
        <w:t xml:space="preserve"> the ruling of the [Court].”</w:t>
      </w:r>
    </w:p>
    <w:p w14:paraId="4096078D" w14:textId="77777777" w:rsidR="007B0DE4" w:rsidRPr="002433F3" w:rsidRDefault="007B0DE4" w:rsidP="007B0DE4">
      <w:pPr>
        <w:numPr>
          <w:ilvl w:val="0"/>
          <w:numId w:val="2"/>
        </w:numPr>
        <w:tabs>
          <w:tab w:val="left" w:pos="567"/>
          <w:tab w:val="left" w:pos="720"/>
          <w:tab w:val="left" w:pos="1134"/>
          <w:tab w:val="num" w:pos="1427"/>
          <w:tab w:val="num" w:pos="6042"/>
        </w:tabs>
        <w:autoSpaceDE w:val="0"/>
        <w:autoSpaceDN w:val="0"/>
        <w:adjustRightInd w:val="0"/>
        <w:spacing w:before="120"/>
        <w:ind w:right="-90"/>
        <w:rPr>
          <w:lang w:val="en-US"/>
        </w:rPr>
      </w:pPr>
      <w:r w:rsidRPr="002433F3">
        <w:rPr>
          <w:lang w:val="en-US"/>
        </w:rPr>
        <w:t xml:space="preserve">The </w:t>
      </w:r>
      <w:r w:rsidRPr="002433F3">
        <w:rPr>
          <w:i/>
          <w:lang w:val="en-US"/>
        </w:rPr>
        <w:t>State</w:t>
      </w:r>
      <w:r w:rsidRPr="002433F3">
        <w:rPr>
          <w:lang w:val="en-US"/>
        </w:rPr>
        <w:t xml:space="preserve"> </w:t>
      </w:r>
      <w:r w:rsidR="002461B2" w:rsidRPr="002433F3">
        <w:rPr>
          <w:lang w:val="en-US"/>
        </w:rPr>
        <w:t xml:space="preserve">also </w:t>
      </w:r>
      <w:r w:rsidRPr="002433F3">
        <w:rPr>
          <w:lang w:val="en-US"/>
        </w:rPr>
        <w:t>indicated that “long before the case was submitted to the […] Court</w:t>
      </w:r>
      <w:r w:rsidR="00E9132D" w:rsidRPr="002433F3">
        <w:rPr>
          <w:lang w:val="en-US"/>
        </w:rPr>
        <w:t>,</w:t>
      </w:r>
      <w:r w:rsidRPr="002433F3">
        <w:rPr>
          <w:lang w:val="en-US"/>
        </w:rPr>
        <w:t xml:space="preserve"> and even before the Admissibility Report was issued by the […] Commission, the principal internationally wrongful act </w:t>
      </w:r>
      <w:r w:rsidR="00E7643C" w:rsidRPr="002433F3">
        <w:rPr>
          <w:lang w:val="en-US"/>
        </w:rPr>
        <w:t xml:space="preserve">had </w:t>
      </w:r>
      <w:r w:rsidRPr="002433F3">
        <w:rPr>
          <w:lang w:val="en-US"/>
        </w:rPr>
        <w:t xml:space="preserve">ceased [given that] the </w:t>
      </w:r>
      <w:r w:rsidR="002461B2" w:rsidRPr="002433F3">
        <w:rPr>
          <w:lang w:val="en-US"/>
        </w:rPr>
        <w:t xml:space="preserve">case law of the </w:t>
      </w:r>
      <w:r w:rsidRPr="002433F3">
        <w:rPr>
          <w:lang w:val="en-US"/>
        </w:rPr>
        <w:t>Constitutional Court</w:t>
      </w:r>
      <w:r w:rsidR="002461B2" w:rsidRPr="002433F3">
        <w:rPr>
          <w:lang w:val="en-US"/>
        </w:rPr>
        <w:t>,</w:t>
      </w:r>
      <w:r w:rsidRPr="002433F3">
        <w:rPr>
          <w:lang w:val="en-US"/>
        </w:rPr>
        <w:t xml:space="preserve"> </w:t>
      </w:r>
      <w:r w:rsidR="00E7643C" w:rsidRPr="002433F3">
        <w:rPr>
          <w:lang w:val="en-US"/>
        </w:rPr>
        <w:t>specifically j</w:t>
      </w:r>
      <w:r w:rsidRPr="002433F3">
        <w:rPr>
          <w:lang w:val="en-US"/>
        </w:rPr>
        <w:t>udgment C-336 of 2008</w:t>
      </w:r>
      <w:r w:rsidR="002461B2" w:rsidRPr="002433F3">
        <w:rPr>
          <w:lang w:val="en-US"/>
        </w:rPr>
        <w:t>,</w:t>
      </w:r>
      <w:r w:rsidRPr="002433F3">
        <w:rPr>
          <w:lang w:val="en-US"/>
        </w:rPr>
        <w:t xml:space="preserve"> </w:t>
      </w:r>
      <w:r w:rsidR="00E9132D" w:rsidRPr="002433F3">
        <w:rPr>
          <w:lang w:val="en-US"/>
        </w:rPr>
        <w:t xml:space="preserve">modified </w:t>
      </w:r>
      <w:r w:rsidRPr="002433F3">
        <w:rPr>
          <w:lang w:val="en-US"/>
        </w:rPr>
        <w:t xml:space="preserve">the </w:t>
      </w:r>
      <w:r w:rsidR="002461B2" w:rsidRPr="002433F3">
        <w:rPr>
          <w:lang w:val="en-US"/>
        </w:rPr>
        <w:t xml:space="preserve">provisions </w:t>
      </w:r>
      <w:r w:rsidRPr="002433F3">
        <w:rPr>
          <w:lang w:val="en-US"/>
        </w:rPr>
        <w:t xml:space="preserve">that were </w:t>
      </w:r>
      <w:r w:rsidR="002461B2" w:rsidRPr="002433F3">
        <w:rPr>
          <w:lang w:val="en-US"/>
        </w:rPr>
        <w:t xml:space="preserve">causing </w:t>
      </w:r>
      <w:r w:rsidRPr="002433F3">
        <w:rPr>
          <w:lang w:val="en-US"/>
        </w:rPr>
        <w:t>the internationally wrongful act</w:t>
      </w:r>
      <w:r w:rsidR="002461B2" w:rsidRPr="002433F3">
        <w:rPr>
          <w:lang w:val="en-US"/>
        </w:rPr>
        <w:t>.” On this</w:t>
      </w:r>
      <w:r w:rsidRPr="002433F3">
        <w:rPr>
          <w:lang w:val="en-US"/>
        </w:rPr>
        <w:t xml:space="preserve"> point, the State </w:t>
      </w:r>
      <w:r w:rsidR="002461B2" w:rsidRPr="002433F3">
        <w:rPr>
          <w:lang w:val="en-US"/>
        </w:rPr>
        <w:t xml:space="preserve">emphasized </w:t>
      </w:r>
      <w:r w:rsidRPr="002433F3">
        <w:rPr>
          <w:lang w:val="en-US"/>
        </w:rPr>
        <w:t xml:space="preserve">that “the internationally wrongful act in this case was </w:t>
      </w:r>
      <w:r w:rsidR="002461B2" w:rsidRPr="002433F3">
        <w:rPr>
          <w:lang w:val="en-US"/>
        </w:rPr>
        <w:t xml:space="preserve">cause[d] </w:t>
      </w:r>
      <w:r w:rsidRPr="002433F3">
        <w:rPr>
          <w:lang w:val="en-US"/>
        </w:rPr>
        <w:t xml:space="preserve">by the effects of </w:t>
      </w:r>
      <w:r w:rsidR="002461B2" w:rsidRPr="002433F3">
        <w:rPr>
          <w:lang w:val="en-US"/>
        </w:rPr>
        <w:t xml:space="preserve">certain provisions, </w:t>
      </w:r>
      <w:r w:rsidR="00E9132D" w:rsidRPr="002433F3">
        <w:rPr>
          <w:lang w:val="en-US"/>
        </w:rPr>
        <w:t>and not by the actions of the j</w:t>
      </w:r>
      <w:r w:rsidRPr="002433F3">
        <w:rPr>
          <w:lang w:val="en-US"/>
        </w:rPr>
        <w:t>udg</w:t>
      </w:r>
      <w:r w:rsidR="002461B2" w:rsidRPr="002433F3">
        <w:rPr>
          <w:lang w:val="en-US"/>
        </w:rPr>
        <w:t>es that applied them</w:t>
      </w:r>
      <w:r w:rsidRPr="002433F3">
        <w:rPr>
          <w:lang w:val="en-US"/>
        </w:rPr>
        <w:t xml:space="preserve">.” </w:t>
      </w:r>
    </w:p>
    <w:p w14:paraId="56AC7401" w14:textId="77777777" w:rsidR="007B0DE4" w:rsidRPr="002433F3" w:rsidRDefault="002461B2" w:rsidP="007B0DE4">
      <w:pPr>
        <w:numPr>
          <w:ilvl w:val="0"/>
          <w:numId w:val="2"/>
        </w:numPr>
        <w:tabs>
          <w:tab w:val="left" w:pos="567"/>
          <w:tab w:val="left" w:pos="720"/>
          <w:tab w:val="left" w:pos="1134"/>
          <w:tab w:val="num" w:pos="1427"/>
          <w:tab w:val="num" w:pos="6042"/>
        </w:tabs>
        <w:autoSpaceDE w:val="0"/>
        <w:autoSpaceDN w:val="0"/>
        <w:adjustRightInd w:val="0"/>
        <w:spacing w:before="120"/>
        <w:ind w:right="-90"/>
        <w:rPr>
          <w:lang w:val="en-US"/>
        </w:rPr>
      </w:pPr>
      <w:r w:rsidRPr="002433F3">
        <w:rPr>
          <w:lang w:val="en-US"/>
        </w:rPr>
        <w:t xml:space="preserve">Furthermore, the State </w:t>
      </w:r>
      <w:r w:rsidR="00522B4F" w:rsidRPr="002433F3">
        <w:rPr>
          <w:lang w:val="en-US"/>
        </w:rPr>
        <w:t xml:space="preserve">recognized </w:t>
      </w:r>
      <w:r w:rsidR="007B0DE4" w:rsidRPr="002433F3">
        <w:rPr>
          <w:lang w:val="en-US"/>
        </w:rPr>
        <w:t xml:space="preserve">that </w:t>
      </w:r>
      <w:r w:rsidRPr="002433F3">
        <w:rPr>
          <w:lang w:val="en-US"/>
        </w:rPr>
        <w:t>“</w:t>
      </w:r>
      <w:r w:rsidR="001F69E7" w:rsidRPr="002433F3">
        <w:rPr>
          <w:lang w:val="en-US"/>
        </w:rPr>
        <w:t>the</w:t>
      </w:r>
      <w:r w:rsidR="007B0DE4" w:rsidRPr="002433F3">
        <w:rPr>
          <w:lang w:val="en-US"/>
        </w:rPr>
        <w:t xml:space="preserve"> effect</w:t>
      </w:r>
      <w:r w:rsidR="001F69E7" w:rsidRPr="002433F3">
        <w:rPr>
          <w:lang w:val="en-US"/>
        </w:rPr>
        <w:t>s</w:t>
      </w:r>
      <w:r w:rsidR="007B0DE4" w:rsidRPr="002433F3">
        <w:rPr>
          <w:lang w:val="en-US"/>
        </w:rPr>
        <w:t xml:space="preserve"> continued after the cessation of the </w:t>
      </w:r>
      <w:r w:rsidR="001F69E7" w:rsidRPr="002433F3">
        <w:rPr>
          <w:lang w:val="en-US"/>
        </w:rPr>
        <w:t xml:space="preserve">wrongful </w:t>
      </w:r>
      <w:r w:rsidR="00257CC3" w:rsidRPr="002433F3">
        <w:rPr>
          <w:lang w:val="en-US"/>
        </w:rPr>
        <w:t>act [through j</w:t>
      </w:r>
      <w:r w:rsidR="007B0DE4" w:rsidRPr="002433F3">
        <w:rPr>
          <w:lang w:val="en-US"/>
        </w:rPr>
        <w:t>udgment C-336 of 2008], in</w:t>
      </w:r>
      <w:r w:rsidR="001F69E7" w:rsidRPr="002433F3">
        <w:rPr>
          <w:lang w:val="en-US"/>
        </w:rPr>
        <w:t xml:space="preserve"> relation to </w:t>
      </w:r>
      <w:r w:rsidR="007B0DE4" w:rsidRPr="002433F3">
        <w:rPr>
          <w:lang w:val="en-US"/>
        </w:rPr>
        <w:t xml:space="preserve">two </w:t>
      </w:r>
      <w:r w:rsidR="001F69E7" w:rsidRPr="002433F3">
        <w:rPr>
          <w:lang w:val="en-US"/>
        </w:rPr>
        <w:t xml:space="preserve">matters </w:t>
      </w:r>
      <w:r w:rsidR="007B0DE4" w:rsidRPr="002433F3">
        <w:rPr>
          <w:lang w:val="en-US"/>
        </w:rPr>
        <w:t xml:space="preserve">that were not </w:t>
      </w:r>
      <w:r w:rsidR="00257CC3" w:rsidRPr="002433F3">
        <w:rPr>
          <w:lang w:val="en-US"/>
        </w:rPr>
        <w:t xml:space="preserve">made clear </w:t>
      </w:r>
      <w:r w:rsidR="007B0DE4" w:rsidRPr="002433F3">
        <w:rPr>
          <w:lang w:val="en-US"/>
        </w:rPr>
        <w:t xml:space="preserve">in the judgment. First, </w:t>
      </w:r>
      <w:r w:rsidR="00F34AC5" w:rsidRPr="002433F3">
        <w:rPr>
          <w:lang w:val="en-US"/>
        </w:rPr>
        <w:t xml:space="preserve">it did not </w:t>
      </w:r>
      <w:r w:rsidR="00522B4F" w:rsidRPr="002433F3">
        <w:rPr>
          <w:lang w:val="en-US"/>
        </w:rPr>
        <w:t>specif</w:t>
      </w:r>
      <w:r w:rsidR="00F34AC5" w:rsidRPr="002433F3">
        <w:rPr>
          <w:lang w:val="en-US"/>
        </w:rPr>
        <w:t>y</w:t>
      </w:r>
      <w:r w:rsidR="00522B4F" w:rsidRPr="002433F3">
        <w:rPr>
          <w:lang w:val="en-US"/>
        </w:rPr>
        <w:t xml:space="preserve"> what </w:t>
      </w:r>
      <w:r w:rsidR="007B0DE4" w:rsidRPr="002433F3">
        <w:rPr>
          <w:lang w:val="en-US"/>
        </w:rPr>
        <w:t>th</w:t>
      </w:r>
      <w:r w:rsidR="00A3631C" w:rsidRPr="002433F3">
        <w:rPr>
          <w:lang w:val="en-US"/>
        </w:rPr>
        <w:t>os</w:t>
      </w:r>
      <w:r w:rsidR="00F34AC5" w:rsidRPr="002433F3">
        <w:rPr>
          <w:lang w:val="en-US"/>
        </w:rPr>
        <w:t>e</w:t>
      </w:r>
      <w:r w:rsidR="007B0DE4" w:rsidRPr="002433F3">
        <w:rPr>
          <w:lang w:val="en-US"/>
        </w:rPr>
        <w:t xml:space="preserve"> effects </w:t>
      </w:r>
      <w:r w:rsidR="00522B4F" w:rsidRPr="002433F3">
        <w:rPr>
          <w:lang w:val="en-US"/>
        </w:rPr>
        <w:t xml:space="preserve">were </w:t>
      </w:r>
      <w:r w:rsidR="007B0DE4" w:rsidRPr="002433F3">
        <w:rPr>
          <w:lang w:val="en-US"/>
        </w:rPr>
        <w:t>at t</w:t>
      </w:r>
      <w:r w:rsidR="00A3631C" w:rsidRPr="002433F3">
        <w:rPr>
          <w:lang w:val="en-US"/>
        </w:rPr>
        <w:t xml:space="preserve">he time </w:t>
      </w:r>
      <w:r w:rsidR="00F34AC5" w:rsidRPr="002433F3">
        <w:rPr>
          <w:lang w:val="en-US"/>
        </w:rPr>
        <w:t xml:space="preserve">of the judgment </w:t>
      </w:r>
      <w:r w:rsidR="00A3631C" w:rsidRPr="002433F3">
        <w:rPr>
          <w:lang w:val="en-US"/>
        </w:rPr>
        <w:t xml:space="preserve">and </w:t>
      </w:r>
      <w:r w:rsidR="007B0DE4" w:rsidRPr="002433F3">
        <w:rPr>
          <w:lang w:val="en-US"/>
        </w:rPr>
        <w:t>second</w:t>
      </w:r>
      <w:r w:rsidR="00A3631C" w:rsidRPr="002433F3">
        <w:rPr>
          <w:lang w:val="en-US"/>
        </w:rPr>
        <w:t>,</w:t>
      </w:r>
      <w:r w:rsidR="007B0DE4" w:rsidRPr="002433F3">
        <w:rPr>
          <w:lang w:val="en-US"/>
        </w:rPr>
        <w:t xml:space="preserve"> </w:t>
      </w:r>
      <w:r w:rsidR="00F34AC5" w:rsidRPr="002433F3">
        <w:rPr>
          <w:lang w:val="en-US"/>
        </w:rPr>
        <w:t xml:space="preserve">it did not specify which </w:t>
      </w:r>
      <w:r w:rsidR="007B0DE4" w:rsidRPr="002433F3">
        <w:rPr>
          <w:lang w:val="en-US"/>
        </w:rPr>
        <w:t xml:space="preserve">means of evidence were available to same-sex couples </w:t>
      </w:r>
      <w:r w:rsidR="00522B4F" w:rsidRPr="002433F3">
        <w:rPr>
          <w:lang w:val="en-US"/>
        </w:rPr>
        <w:t xml:space="preserve">to prove their union </w:t>
      </w:r>
      <w:r w:rsidR="007B0DE4" w:rsidRPr="002433F3">
        <w:rPr>
          <w:lang w:val="en-US"/>
        </w:rPr>
        <w:t xml:space="preserve">for the purposes of </w:t>
      </w:r>
      <w:r w:rsidR="00522B4F" w:rsidRPr="002433F3">
        <w:rPr>
          <w:lang w:val="en-US"/>
        </w:rPr>
        <w:t xml:space="preserve">claiming </w:t>
      </w:r>
      <w:r w:rsidR="007B0DE4" w:rsidRPr="002433F3">
        <w:rPr>
          <w:lang w:val="en-US"/>
        </w:rPr>
        <w:t xml:space="preserve">the pension.” However, </w:t>
      </w:r>
      <w:r w:rsidR="00A3631C" w:rsidRPr="002433F3">
        <w:rPr>
          <w:lang w:val="en-US"/>
        </w:rPr>
        <w:t xml:space="preserve">the State </w:t>
      </w:r>
      <w:r w:rsidR="007B0DE4" w:rsidRPr="002433F3">
        <w:rPr>
          <w:lang w:val="en-US"/>
        </w:rPr>
        <w:t>added that those effects “disappeared w</w:t>
      </w:r>
      <w:r w:rsidR="00A3631C" w:rsidRPr="002433F3">
        <w:rPr>
          <w:lang w:val="en-US"/>
        </w:rPr>
        <w:t xml:space="preserve">ith </w:t>
      </w:r>
      <w:r w:rsidR="007B0DE4" w:rsidRPr="002433F3">
        <w:rPr>
          <w:lang w:val="en-US"/>
        </w:rPr>
        <w:t xml:space="preserve">the </w:t>
      </w:r>
      <w:r w:rsidR="00A3631C" w:rsidRPr="002433F3">
        <w:rPr>
          <w:lang w:val="en-US"/>
        </w:rPr>
        <w:t xml:space="preserve">Constitutional Court’s </w:t>
      </w:r>
      <w:r w:rsidR="007B0DE4" w:rsidRPr="002433F3">
        <w:rPr>
          <w:lang w:val="en-US"/>
        </w:rPr>
        <w:t>subsequent binding case law</w:t>
      </w:r>
      <w:r w:rsidR="00A3631C" w:rsidRPr="002433F3">
        <w:rPr>
          <w:lang w:val="en-US"/>
        </w:rPr>
        <w:t>, which</w:t>
      </w:r>
      <w:r w:rsidR="007B0DE4" w:rsidRPr="002433F3">
        <w:rPr>
          <w:lang w:val="en-US"/>
        </w:rPr>
        <w:t xml:space="preserve"> was finally consolidated in 2010” </w:t>
      </w:r>
      <w:r w:rsidR="00A3631C" w:rsidRPr="002433F3">
        <w:rPr>
          <w:lang w:val="en-US"/>
        </w:rPr>
        <w:t>since “</w:t>
      </w:r>
      <w:r w:rsidR="007B0DE4" w:rsidRPr="002433F3">
        <w:rPr>
          <w:lang w:val="en-US"/>
        </w:rPr>
        <w:t>the aforementioned points</w:t>
      </w:r>
      <w:r w:rsidR="00A3631C" w:rsidRPr="002433F3">
        <w:rPr>
          <w:lang w:val="en-US"/>
        </w:rPr>
        <w:t xml:space="preserve"> were clarified in </w:t>
      </w:r>
      <w:r w:rsidR="00F34AC5" w:rsidRPr="002433F3">
        <w:rPr>
          <w:lang w:val="en-US"/>
        </w:rPr>
        <w:t>j</w:t>
      </w:r>
      <w:r w:rsidR="00A3631C" w:rsidRPr="002433F3">
        <w:rPr>
          <w:lang w:val="en-US"/>
        </w:rPr>
        <w:t>udgment T051 of 2010</w:t>
      </w:r>
      <w:r w:rsidR="007B0DE4" w:rsidRPr="002433F3">
        <w:rPr>
          <w:lang w:val="en-US"/>
        </w:rPr>
        <w:t>.”</w:t>
      </w:r>
    </w:p>
    <w:p w14:paraId="30EB24A7" w14:textId="77777777" w:rsidR="007B0DE4" w:rsidRPr="002433F3" w:rsidRDefault="007B0DE4" w:rsidP="007B0DE4">
      <w:pPr>
        <w:numPr>
          <w:ilvl w:val="0"/>
          <w:numId w:val="2"/>
        </w:numPr>
        <w:tabs>
          <w:tab w:val="left" w:pos="567"/>
          <w:tab w:val="left" w:pos="720"/>
          <w:tab w:val="left" w:pos="1134"/>
          <w:tab w:val="num" w:pos="1427"/>
          <w:tab w:val="num" w:pos="6042"/>
        </w:tabs>
        <w:autoSpaceDE w:val="0"/>
        <w:autoSpaceDN w:val="0"/>
        <w:adjustRightInd w:val="0"/>
        <w:spacing w:before="120"/>
        <w:ind w:right="-90"/>
        <w:rPr>
          <w:rFonts w:eastAsia="Verdana" w:cs="Verdana"/>
          <w:szCs w:val="20"/>
          <w:lang w:val="en-US"/>
        </w:rPr>
      </w:pPr>
      <w:r w:rsidRPr="002433F3">
        <w:rPr>
          <w:rFonts w:eastAsia="Times New Roman"/>
          <w:szCs w:val="20"/>
          <w:lang w:val="en-US"/>
        </w:rPr>
        <w:t>To summarize, the State: a) recognized th</w:t>
      </w:r>
      <w:r w:rsidR="003517C0" w:rsidRPr="002433F3">
        <w:rPr>
          <w:rFonts w:eastAsia="Times New Roman"/>
          <w:szCs w:val="20"/>
          <w:lang w:val="en-US"/>
        </w:rPr>
        <w:t xml:space="preserve">at </w:t>
      </w:r>
      <w:r w:rsidR="00A3631C" w:rsidRPr="002433F3">
        <w:rPr>
          <w:rFonts w:eastAsia="Times New Roman"/>
          <w:szCs w:val="20"/>
          <w:lang w:val="en-US"/>
        </w:rPr>
        <w:t>a continuous</w:t>
      </w:r>
      <w:r w:rsidRPr="002433F3">
        <w:rPr>
          <w:rFonts w:eastAsia="Times New Roman"/>
          <w:szCs w:val="20"/>
          <w:lang w:val="en-US"/>
        </w:rPr>
        <w:t xml:space="preserve"> internationally wrongful act</w:t>
      </w:r>
      <w:r w:rsidR="003517C0" w:rsidRPr="002433F3">
        <w:rPr>
          <w:rFonts w:eastAsia="Times New Roman"/>
          <w:szCs w:val="20"/>
          <w:lang w:val="en-US"/>
        </w:rPr>
        <w:t xml:space="preserve"> had existed</w:t>
      </w:r>
      <w:r w:rsidRPr="002433F3">
        <w:rPr>
          <w:rFonts w:eastAsia="Times New Roman"/>
          <w:szCs w:val="20"/>
          <w:lang w:val="en-US"/>
        </w:rPr>
        <w:t xml:space="preserve">, </w:t>
      </w:r>
      <w:r w:rsidR="00A3631C" w:rsidRPr="002433F3">
        <w:rPr>
          <w:rFonts w:eastAsia="Times New Roman"/>
          <w:szCs w:val="20"/>
          <w:lang w:val="en-US"/>
        </w:rPr>
        <w:t xml:space="preserve">given that the </w:t>
      </w:r>
      <w:r w:rsidRPr="002433F3">
        <w:rPr>
          <w:rFonts w:eastAsia="Times New Roman"/>
          <w:szCs w:val="20"/>
          <w:lang w:val="en-US"/>
        </w:rPr>
        <w:t>domestic l</w:t>
      </w:r>
      <w:r w:rsidR="00522B4F" w:rsidRPr="002433F3">
        <w:rPr>
          <w:rFonts w:eastAsia="Times New Roman"/>
          <w:szCs w:val="20"/>
          <w:lang w:val="en-US"/>
        </w:rPr>
        <w:t xml:space="preserve">aws </w:t>
      </w:r>
      <w:r w:rsidRPr="002433F3">
        <w:rPr>
          <w:rFonts w:eastAsia="Times New Roman"/>
          <w:szCs w:val="20"/>
          <w:lang w:val="en-US"/>
        </w:rPr>
        <w:t xml:space="preserve">in </w:t>
      </w:r>
      <w:r w:rsidR="00522B4F" w:rsidRPr="002433F3">
        <w:rPr>
          <w:rFonts w:eastAsia="Times New Roman"/>
          <w:szCs w:val="20"/>
          <w:lang w:val="en-US"/>
        </w:rPr>
        <w:t xml:space="preserve">force </w:t>
      </w:r>
      <w:r w:rsidRPr="002433F3">
        <w:rPr>
          <w:rFonts w:eastAsia="Times New Roman"/>
          <w:szCs w:val="20"/>
          <w:lang w:val="en-US"/>
        </w:rPr>
        <w:t xml:space="preserve">in </w:t>
      </w:r>
      <w:r w:rsidR="00A3631C" w:rsidRPr="002433F3">
        <w:rPr>
          <w:rFonts w:eastAsia="Times New Roman"/>
          <w:szCs w:val="20"/>
          <w:lang w:val="en-US"/>
        </w:rPr>
        <w:t>Colombia in 2002</w:t>
      </w:r>
      <w:r w:rsidRPr="002433F3">
        <w:rPr>
          <w:lang w:val="en-US"/>
        </w:rPr>
        <w:t xml:space="preserve"> did not recognize the pension rights of same-sex couples. A</w:t>
      </w:r>
      <w:r w:rsidR="00A3631C" w:rsidRPr="002433F3">
        <w:rPr>
          <w:lang w:val="en-US"/>
        </w:rPr>
        <w:t xml:space="preserve">s </w:t>
      </w:r>
      <w:r w:rsidR="003517C0" w:rsidRPr="002433F3">
        <w:rPr>
          <w:lang w:val="en-US"/>
        </w:rPr>
        <w:t xml:space="preserve">stated by </w:t>
      </w:r>
      <w:r w:rsidRPr="002433F3">
        <w:rPr>
          <w:lang w:val="en-US"/>
        </w:rPr>
        <w:t xml:space="preserve">the Constitutional Court </w:t>
      </w:r>
      <w:r w:rsidR="00A3631C" w:rsidRPr="002433F3">
        <w:rPr>
          <w:lang w:val="en-US"/>
        </w:rPr>
        <w:t xml:space="preserve">of Colombia </w:t>
      </w:r>
      <w:r w:rsidR="00522B4F" w:rsidRPr="002433F3">
        <w:rPr>
          <w:lang w:val="en-US"/>
        </w:rPr>
        <w:t>in j</w:t>
      </w:r>
      <w:r w:rsidRPr="002433F3">
        <w:rPr>
          <w:lang w:val="en-US"/>
        </w:rPr>
        <w:t xml:space="preserve">udgment C-336 of 2008, “there </w:t>
      </w:r>
      <w:r w:rsidR="00592250" w:rsidRPr="002433F3">
        <w:rPr>
          <w:lang w:val="en-US"/>
        </w:rPr>
        <w:t xml:space="preserve">appears to be </w:t>
      </w:r>
      <w:r w:rsidRPr="002433F3">
        <w:rPr>
          <w:rFonts w:eastAsia="Verdana" w:cs="Verdana"/>
          <w:szCs w:val="20"/>
          <w:lang w:val="en-US"/>
        </w:rPr>
        <w:t xml:space="preserve">no justification to </w:t>
      </w:r>
      <w:r w:rsidR="00592250" w:rsidRPr="002433F3">
        <w:rPr>
          <w:rFonts w:eastAsia="Verdana" w:cs="Verdana"/>
          <w:szCs w:val="20"/>
          <w:lang w:val="en-US"/>
        </w:rPr>
        <w:t xml:space="preserve">authorize </w:t>
      </w:r>
      <w:r w:rsidRPr="002433F3">
        <w:rPr>
          <w:rFonts w:eastAsia="Verdana" w:cs="Verdana"/>
          <w:szCs w:val="20"/>
          <w:lang w:val="en-US"/>
        </w:rPr>
        <w:t xml:space="preserve">discriminatory treatment </w:t>
      </w:r>
      <w:r w:rsidR="00592250" w:rsidRPr="002433F3">
        <w:rPr>
          <w:rFonts w:eastAsia="Verdana" w:cs="Verdana"/>
          <w:szCs w:val="20"/>
          <w:lang w:val="en-US"/>
        </w:rPr>
        <w:t xml:space="preserve">whereby </w:t>
      </w:r>
      <w:r w:rsidRPr="002433F3">
        <w:rPr>
          <w:rFonts w:eastAsia="Verdana" w:cs="Verdana"/>
          <w:szCs w:val="20"/>
          <w:lang w:val="en-US"/>
        </w:rPr>
        <w:t xml:space="preserve">persons </w:t>
      </w:r>
      <w:r w:rsidR="00592250" w:rsidRPr="002433F3">
        <w:rPr>
          <w:rFonts w:eastAsia="Verdana" w:cs="Verdana"/>
          <w:szCs w:val="20"/>
          <w:lang w:val="en-US"/>
        </w:rPr>
        <w:t xml:space="preserve">who are </w:t>
      </w:r>
      <w:r w:rsidR="0025010E" w:rsidRPr="002433F3">
        <w:rPr>
          <w:rFonts w:eastAsia="Verdana" w:cs="Verdana"/>
          <w:szCs w:val="20"/>
          <w:lang w:val="en-US"/>
        </w:rPr>
        <w:t xml:space="preserve">in </w:t>
      </w:r>
      <w:r w:rsidRPr="002433F3">
        <w:rPr>
          <w:rFonts w:eastAsia="Verdana" w:cs="Verdana"/>
          <w:szCs w:val="20"/>
          <w:lang w:val="en-US"/>
        </w:rPr>
        <w:t xml:space="preserve">homosexual </w:t>
      </w:r>
      <w:r w:rsidR="003517C0" w:rsidRPr="002433F3">
        <w:rPr>
          <w:rFonts w:eastAsia="Verdana" w:cs="Verdana"/>
          <w:szCs w:val="20"/>
          <w:lang w:val="en-US"/>
        </w:rPr>
        <w:t xml:space="preserve">relationships </w:t>
      </w:r>
      <w:r w:rsidR="00592250" w:rsidRPr="002433F3">
        <w:rPr>
          <w:rFonts w:eastAsia="Verdana" w:cs="Verdana"/>
          <w:szCs w:val="20"/>
          <w:lang w:val="en-US"/>
        </w:rPr>
        <w:t>c</w:t>
      </w:r>
      <w:r w:rsidR="00065BFD" w:rsidRPr="002433F3">
        <w:rPr>
          <w:rFonts w:eastAsia="Verdana" w:cs="Verdana"/>
          <w:szCs w:val="20"/>
          <w:lang w:val="en-US"/>
        </w:rPr>
        <w:t xml:space="preserve">ould not </w:t>
      </w:r>
      <w:r w:rsidR="00592250" w:rsidRPr="002433F3">
        <w:rPr>
          <w:rFonts w:eastAsia="Verdana" w:cs="Verdana"/>
          <w:szCs w:val="20"/>
          <w:lang w:val="en-US"/>
        </w:rPr>
        <w:t xml:space="preserve">have access to </w:t>
      </w:r>
      <w:r w:rsidR="00065BFD" w:rsidRPr="002433F3">
        <w:rPr>
          <w:rFonts w:eastAsia="Verdana" w:cs="Verdana"/>
          <w:szCs w:val="20"/>
          <w:lang w:val="en-US"/>
        </w:rPr>
        <w:t>survivor</w:t>
      </w:r>
      <w:r w:rsidRPr="002433F3">
        <w:rPr>
          <w:rFonts w:eastAsia="Verdana" w:cs="Verdana"/>
          <w:szCs w:val="20"/>
          <w:lang w:val="en-US"/>
        </w:rPr>
        <w:t>s</w:t>
      </w:r>
      <w:r w:rsidR="00065BFD" w:rsidRPr="002433F3">
        <w:rPr>
          <w:rFonts w:eastAsia="Verdana" w:cs="Verdana"/>
          <w:szCs w:val="20"/>
          <w:lang w:val="en-US"/>
        </w:rPr>
        <w:t>’</w:t>
      </w:r>
      <w:r w:rsidRPr="002433F3">
        <w:rPr>
          <w:rFonts w:eastAsia="Verdana" w:cs="Verdana"/>
          <w:szCs w:val="20"/>
          <w:lang w:val="en-US"/>
        </w:rPr>
        <w:t xml:space="preserve"> pensions </w:t>
      </w:r>
      <w:r w:rsidR="00592250" w:rsidRPr="002433F3">
        <w:rPr>
          <w:rFonts w:eastAsia="Verdana" w:cs="Verdana"/>
          <w:szCs w:val="20"/>
          <w:lang w:val="en-US"/>
        </w:rPr>
        <w:t xml:space="preserve">under the same conditions applied </w:t>
      </w:r>
      <w:r w:rsidR="00065BFD" w:rsidRPr="002433F3">
        <w:rPr>
          <w:rFonts w:eastAsia="Verdana" w:cs="Verdana"/>
          <w:szCs w:val="20"/>
          <w:lang w:val="en-US"/>
        </w:rPr>
        <w:t xml:space="preserve">to </w:t>
      </w:r>
      <w:r w:rsidRPr="002433F3">
        <w:rPr>
          <w:rFonts w:eastAsia="Verdana" w:cs="Verdana"/>
          <w:szCs w:val="20"/>
          <w:lang w:val="en-US"/>
        </w:rPr>
        <w:t xml:space="preserve">heterosexual </w:t>
      </w:r>
      <w:r w:rsidR="00592250" w:rsidRPr="002433F3">
        <w:rPr>
          <w:rFonts w:eastAsia="Verdana" w:cs="Verdana"/>
          <w:szCs w:val="20"/>
          <w:lang w:val="en-US"/>
        </w:rPr>
        <w:t>couples</w:t>
      </w:r>
      <w:r w:rsidR="00065BFD" w:rsidRPr="002433F3">
        <w:rPr>
          <w:rFonts w:eastAsia="Verdana" w:cs="Verdana"/>
          <w:szCs w:val="20"/>
          <w:lang w:val="en-US"/>
        </w:rPr>
        <w:t>;</w:t>
      </w:r>
      <w:r w:rsidRPr="002433F3">
        <w:rPr>
          <w:rFonts w:eastAsia="Verdana" w:cs="Verdana"/>
          <w:szCs w:val="20"/>
          <w:lang w:val="en-US"/>
        </w:rPr>
        <w:t>”</w:t>
      </w:r>
      <w:r w:rsidRPr="002433F3">
        <w:rPr>
          <w:rStyle w:val="Refdenotaalpie"/>
          <w:rFonts w:eastAsia="Verdana"/>
          <w:lang w:val="en-US"/>
        </w:rPr>
        <w:footnoteReference w:id="40"/>
      </w:r>
      <w:r w:rsidRPr="002433F3">
        <w:rPr>
          <w:lang w:val="en-US"/>
        </w:rPr>
        <w:t xml:space="preserve"> b) indicated that the </w:t>
      </w:r>
      <w:r w:rsidR="00592250" w:rsidRPr="002433F3">
        <w:rPr>
          <w:lang w:val="en-US"/>
        </w:rPr>
        <w:t xml:space="preserve">internationally wrongful </w:t>
      </w:r>
      <w:r w:rsidR="00522B4F" w:rsidRPr="002433F3">
        <w:rPr>
          <w:lang w:val="en-US"/>
        </w:rPr>
        <w:t>act had ceased with j</w:t>
      </w:r>
      <w:r w:rsidRPr="002433F3">
        <w:rPr>
          <w:lang w:val="en-US"/>
        </w:rPr>
        <w:t>udgment C-336</w:t>
      </w:r>
      <w:r w:rsidR="003517C0" w:rsidRPr="002433F3">
        <w:rPr>
          <w:lang w:val="en-US"/>
        </w:rPr>
        <w:t>,</w:t>
      </w:r>
      <w:r w:rsidRPr="002433F3">
        <w:rPr>
          <w:lang w:val="en-US"/>
        </w:rPr>
        <w:t xml:space="preserve"> </w:t>
      </w:r>
      <w:r w:rsidR="00522B4F" w:rsidRPr="002433F3">
        <w:rPr>
          <w:lang w:val="en-US"/>
        </w:rPr>
        <w:t xml:space="preserve">which </w:t>
      </w:r>
      <w:r w:rsidR="00592250" w:rsidRPr="002433F3">
        <w:rPr>
          <w:lang w:val="en-US"/>
        </w:rPr>
        <w:t xml:space="preserve">amended the provisions </w:t>
      </w:r>
      <w:r w:rsidRPr="002433F3">
        <w:rPr>
          <w:lang w:val="en-US"/>
        </w:rPr>
        <w:t xml:space="preserve">that were </w:t>
      </w:r>
      <w:r w:rsidR="00592250" w:rsidRPr="002433F3">
        <w:rPr>
          <w:lang w:val="en-US"/>
        </w:rPr>
        <w:t xml:space="preserve">causing </w:t>
      </w:r>
      <w:r w:rsidR="00522B4F" w:rsidRPr="002433F3">
        <w:rPr>
          <w:lang w:val="en-US"/>
        </w:rPr>
        <w:t xml:space="preserve">that </w:t>
      </w:r>
      <w:r w:rsidR="00065BFD" w:rsidRPr="002433F3">
        <w:rPr>
          <w:lang w:val="en-US"/>
        </w:rPr>
        <w:t xml:space="preserve">wrongful </w:t>
      </w:r>
      <w:r w:rsidR="00522B4F" w:rsidRPr="002433F3">
        <w:rPr>
          <w:lang w:val="en-US"/>
        </w:rPr>
        <w:t>act</w:t>
      </w:r>
      <w:r w:rsidR="003517C0" w:rsidRPr="002433F3">
        <w:rPr>
          <w:lang w:val="en-US"/>
        </w:rPr>
        <w:t>,</w:t>
      </w:r>
      <w:r w:rsidR="00592250" w:rsidRPr="002433F3">
        <w:rPr>
          <w:lang w:val="en-US"/>
        </w:rPr>
        <w:t xml:space="preserve"> and recognized the right of </w:t>
      </w:r>
      <w:r w:rsidRPr="002433F3">
        <w:rPr>
          <w:lang w:val="en-US"/>
        </w:rPr>
        <w:t>same-sex couple</w:t>
      </w:r>
      <w:r w:rsidR="00522B4F" w:rsidRPr="002433F3">
        <w:rPr>
          <w:lang w:val="en-US"/>
        </w:rPr>
        <w:t>s</w:t>
      </w:r>
      <w:r w:rsidRPr="002433F3">
        <w:rPr>
          <w:lang w:val="en-US"/>
        </w:rPr>
        <w:t xml:space="preserve"> to claim a survivor’s pension under the same conditions as </w:t>
      </w:r>
      <w:r w:rsidR="003517C0" w:rsidRPr="002433F3">
        <w:rPr>
          <w:lang w:val="en-US"/>
        </w:rPr>
        <w:t>heterosexual couples</w:t>
      </w:r>
      <w:r w:rsidRPr="002433F3">
        <w:rPr>
          <w:lang w:val="en-US"/>
        </w:rPr>
        <w:t>, and c) affirmed that the effects of the internationally wrongful act had been re</w:t>
      </w:r>
      <w:r w:rsidR="00522B4F" w:rsidRPr="002433F3">
        <w:rPr>
          <w:lang w:val="en-US"/>
        </w:rPr>
        <w:t xml:space="preserve">ctified </w:t>
      </w:r>
      <w:r w:rsidR="003517C0" w:rsidRPr="002433F3">
        <w:rPr>
          <w:lang w:val="en-US"/>
        </w:rPr>
        <w:t xml:space="preserve">through the </w:t>
      </w:r>
      <w:r w:rsidR="00065BFD" w:rsidRPr="002433F3">
        <w:rPr>
          <w:lang w:val="en-US"/>
        </w:rPr>
        <w:t xml:space="preserve">provision </w:t>
      </w:r>
      <w:r w:rsidR="003517C0" w:rsidRPr="002433F3">
        <w:rPr>
          <w:lang w:val="en-US"/>
        </w:rPr>
        <w:t xml:space="preserve">of </w:t>
      </w:r>
      <w:r w:rsidRPr="002433F3">
        <w:rPr>
          <w:lang w:val="en-US"/>
        </w:rPr>
        <w:t xml:space="preserve">an adequate and effective remedy </w:t>
      </w:r>
      <w:r w:rsidR="00065BFD" w:rsidRPr="002433F3">
        <w:rPr>
          <w:lang w:val="en-US"/>
        </w:rPr>
        <w:t xml:space="preserve">to guarantee recognition of the </w:t>
      </w:r>
      <w:r w:rsidR="00522B4F" w:rsidRPr="002433F3">
        <w:rPr>
          <w:lang w:val="en-US"/>
        </w:rPr>
        <w:t xml:space="preserve">pension rights of </w:t>
      </w:r>
      <w:r w:rsidRPr="002433F3">
        <w:rPr>
          <w:lang w:val="en-US"/>
        </w:rPr>
        <w:t>same-sex couples.</w:t>
      </w:r>
      <w:r w:rsidRPr="002433F3">
        <w:rPr>
          <w:rFonts w:eastAsia="Verdana" w:cs="Verdana"/>
          <w:szCs w:val="20"/>
          <w:lang w:val="en-US"/>
        </w:rPr>
        <w:t xml:space="preserve"> </w:t>
      </w:r>
    </w:p>
    <w:p w14:paraId="47E9EFC9" w14:textId="77777777" w:rsidR="007B0DE4" w:rsidRPr="002433F3" w:rsidRDefault="007B0DE4" w:rsidP="007B0DE4">
      <w:pPr>
        <w:numPr>
          <w:ilvl w:val="0"/>
          <w:numId w:val="2"/>
        </w:numPr>
        <w:tabs>
          <w:tab w:val="left" w:pos="567"/>
          <w:tab w:val="left" w:pos="720"/>
          <w:tab w:val="left" w:pos="1134"/>
          <w:tab w:val="num" w:pos="1427"/>
          <w:tab w:val="num" w:pos="6042"/>
        </w:tabs>
        <w:autoSpaceDE w:val="0"/>
        <w:autoSpaceDN w:val="0"/>
        <w:adjustRightInd w:val="0"/>
        <w:spacing w:before="120"/>
        <w:ind w:right="-90"/>
        <w:rPr>
          <w:rFonts w:eastAsia="Verdana" w:cs="Verdana"/>
          <w:szCs w:val="20"/>
          <w:lang w:val="en-US"/>
        </w:rPr>
      </w:pPr>
      <w:r w:rsidRPr="002433F3">
        <w:rPr>
          <w:rFonts w:eastAsia="Verdana" w:cs="Verdana"/>
          <w:szCs w:val="20"/>
          <w:lang w:val="en-US"/>
        </w:rPr>
        <w:t>This Court recalls that</w:t>
      </w:r>
      <w:r w:rsidR="003517C0" w:rsidRPr="002433F3">
        <w:rPr>
          <w:rFonts w:eastAsia="Verdana" w:cs="Verdana"/>
          <w:szCs w:val="20"/>
          <w:lang w:val="en-US"/>
        </w:rPr>
        <w:t xml:space="preserve"> </w:t>
      </w:r>
      <w:r w:rsidRPr="002433F3">
        <w:rPr>
          <w:rFonts w:eastAsia="Verdana" w:cs="Verdana"/>
          <w:spacing w:val="2"/>
          <w:szCs w:val="20"/>
          <w:lang w:val="en-US"/>
        </w:rPr>
        <w:t>Article 62 of its Rules</w:t>
      </w:r>
      <w:r w:rsidR="008A546D" w:rsidRPr="002433F3">
        <w:rPr>
          <w:rFonts w:eastAsia="Verdana" w:cs="Verdana"/>
          <w:spacing w:val="2"/>
          <w:szCs w:val="20"/>
          <w:lang w:val="en-US"/>
        </w:rPr>
        <w:t xml:space="preserve"> establishes that</w:t>
      </w:r>
      <w:r w:rsidRPr="002433F3">
        <w:rPr>
          <w:rFonts w:eastAsia="Verdana" w:cs="Verdana"/>
          <w:spacing w:val="2"/>
          <w:szCs w:val="20"/>
          <w:lang w:val="en-US"/>
        </w:rPr>
        <w:t xml:space="preserve"> “</w:t>
      </w:r>
      <w:r w:rsidR="003517C0" w:rsidRPr="002433F3">
        <w:rPr>
          <w:lang w:val="en-US"/>
        </w:rPr>
        <w:t>i</w:t>
      </w:r>
      <w:r w:rsidRPr="002433F3">
        <w:rPr>
          <w:lang w:val="en-US"/>
        </w:rPr>
        <w:t>f the respondent informs the Court of its acceptance of the facts or its total or partial acquiescence to the claims stated in the presentation of the case</w:t>
      </w:r>
      <w:r w:rsidR="00065BFD" w:rsidRPr="002433F3">
        <w:rPr>
          <w:lang w:val="en-US"/>
        </w:rPr>
        <w:t>,</w:t>
      </w:r>
      <w:r w:rsidRPr="002433F3">
        <w:rPr>
          <w:lang w:val="en-US"/>
        </w:rPr>
        <w:t xml:space="preserve"> or the brief submitted by the alleged victims or their representatives, the Court shall decide, having heard the opinions of all those participating in the proceedings and at the appropriate procedural moment, whether to accept that acquiescence, and shall rule upon its juridical effects</w:t>
      </w:r>
      <w:r w:rsidRPr="002433F3">
        <w:rPr>
          <w:rFonts w:eastAsia="Verdana" w:cs="Verdana"/>
          <w:spacing w:val="2"/>
          <w:szCs w:val="20"/>
          <w:lang w:val="en-US"/>
        </w:rPr>
        <w:t xml:space="preserve">.” </w:t>
      </w:r>
    </w:p>
    <w:p w14:paraId="74A0D90B" w14:textId="77777777" w:rsidR="007B0DE4" w:rsidRPr="002433F3" w:rsidRDefault="007B0DE4" w:rsidP="007B0DE4">
      <w:pPr>
        <w:numPr>
          <w:ilvl w:val="0"/>
          <w:numId w:val="2"/>
        </w:numPr>
        <w:tabs>
          <w:tab w:val="left" w:pos="567"/>
          <w:tab w:val="left" w:pos="720"/>
          <w:tab w:val="left" w:pos="1134"/>
          <w:tab w:val="num" w:pos="1427"/>
          <w:tab w:val="num" w:pos="6042"/>
        </w:tabs>
        <w:autoSpaceDE w:val="0"/>
        <w:autoSpaceDN w:val="0"/>
        <w:adjustRightInd w:val="0"/>
        <w:spacing w:before="120"/>
        <w:ind w:right="-90"/>
        <w:rPr>
          <w:rFonts w:eastAsia="Verdana" w:cs="Verdana"/>
          <w:szCs w:val="20"/>
          <w:lang w:val="en-US"/>
        </w:rPr>
      </w:pPr>
      <w:r w:rsidRPr="002433F3">
        <w:rPr>
          <w:rFonts w:eastAsia="Verdana" w:cs="Verdana"/>
          <w:szCs w:val="20"/>
          <w:lang w:val="en-US"/>
        </w:rPr>
        <w:lastRenderedPageBreak/>
        <w:t>In this</w:t>
      </w:r>
      <w:r w:rsidR="00673D9A" w:rsidRPr="002433F3">
        <w:rPr>
          <w:rFonts w:eastAsia="Verdana" w:cs="Verdana"/>
          <w:szCs w:val="20"/>
          <w:lang w:val="en-US"/>
        </w:rPr>
        <w:t xml:space="preserve"> case, the Court </w:t>
      </w:r>
      <w:r w:rsidR="00065BFD" w:rsidRPr="002433F3">
        <w:rPr>
          <w:rFonts w:eastAsia="Verdana" w:cs="Verdana"/>
          <w:szCs w:val="20"/>
          <w:lang w:val="en-US"/>
        </w:rPr>
        <w:t xml:space="preserve">finds </w:t>
      </w:r>
      <w:r w:rsidR="00673D9A" w:rsidRPr="002433F3">
        <w:rPr>
          <w:rFonts w:eastAsia="Verdana" w:cs="Verdana"/>
          <w:szCs w:val="20"/>
          <w:lang w:val="en-US"/>
        </w:rPr>
        <w:t xml:space="preserve">that the </w:t>
      </w:r>
      <w:r w:rsidRPr="002433F3">
        <w:rPr>
          <w:rFonts w:eastAsia="Verdana" w:cs="Verdana"/>
          <w:szCs w:val="20"/>
          <w:lang w:val="en-US"/>
        </w:rPr>
        <w:t xml:space="preserve">State’s </w:t>
      </w:r>
      <w:r w:rsidR="00065BFD" w:rsidRPr="002433F3">
        <w:rPr>
          <w:rFonts w:eastAsia="Verdana" w:cs="Verdana"/>
          <w:szCs w:val="20"/>
          <w:lang w:val="en-US"/>
        </w:rPr>
        <w:t xml:space="preserve">acknowledgment </w:t>
      </w:r>
      <w:r w:rsidR="00673D9A" w:rsidRPr="002433F3">
        <w:rPr>
          <w:rFonts w:eastAsia="Verdana" w:cs="Verdana"/>
          <w:szCs w:val="20"/>
          <w:lang w:val="en-US"/>
        </w:rPr>
        <w:t xml:space="preserve">of </w:t>
      </w:r>
      <w:r w:rsidRPr="002433F3">
        <w:rPr>
          <w:rFonts w:eastAsia="Verdana" w:cs="Verdana"/>
          <w:szCs w:val="20"/>
          <w:lang w:val="en-US"/>
        </w:rPr>
        <w:t xml:space="preserve">an internationally wrongful act </w:t>
      </w:r>
      <w:r w:rsidR="00673D9A" w:rsidRPr="002433F3">
        <w:rPr>
          <w:rFonts w:eastAsia="Verdana" w:cs="Verdana"/>
          <w:szCs w:val="20"/>
          <w:lang w:val="en-US"/>
        </w:rPr>
        <w:t xml:space="preserve">is not synonymous with </w:t>
      </w:r>
      <w:r w:rsidRPr="002433F3">
        <w:rPr>
          <w:rFonts w:eastAsia="Verdana" w:cs="Verdana"/>
          <w:szCs w:val="20"/>
          <w:lang w:val="en-US"/>
        </w:rPr>
        <w:t xml:space="preserve">an acknowledgment of international responsibility for the violation of a right protected </w:t>
      </w:r>
      <w:r w:rsidR="00173A5F" w:rsidRPr="002433F3">
        <w:rPr>
          <w:rFonts w:eastAsia="Verdana" w:cs="Verdana"/>
          <w:szCs w:val="20"/>
          <w:lang w:val="en-US"/>
        </w:rPr>
        <w:t xml:space="preserve">under the Convention. </w:t>
      </w:r>
      <w:r w:rsidR="004B2A00" w:rsidRPr="002433F3">
        <w:rPr>
          <w:rFonts w:eastAsia="Verdana" w:cs="Verdana"/>
          <w:szCs w:val="20"/>
          <w:lang w:val="en-US"/>
        </w:rPr>
        <w:t>T</w:t>
      </w:r>
      <w:r w:rsidRPr="002433F3">
        <w:rPr>
          <w:rFonts w:eastAsia="Verdana" w:cs="Verdana"/>
          <w:szCs w:val="20"/>
          <w:lang w:val="en-US"/>
        </w:rPr>
        <w:t>he State</w:t>
      </w:r>
      <w:r w:rsidR="00673D9A" w:rsidRPr="002433F3">
        <w:rPr>
          <w:rFonts w:eastAsia="Verdana" w:cs="Verdana"/>
          <w:szCs w:val="20"/>
          <w:lang w:val="en-US"/>
        </w:rPr>
        <w:t xml:space="preserve"> argues</w:t>
      </w:r>
      <w:r w:rsidR="004B2A00" w:rsidRPr="002433F3">
        <w:rPr>
          <w:rFonts w:eastAsia="Verdana" w:cs="Verdana"/>
          <w:szCs w:val="20"/>
          <w:lang w:val="en-US"/>
        </w:rPr>
        <w:t>, to the contrary,</w:t>
      </w:r>
      <w:r w:rsidR="00673D9A" w:rsidRPr="002433F3">
        <w:rPr>
          <w:rFonts w:eastAsia="Verdana" w:cs="Verdana"/>
          <w:szCs w:val="20"/>
          <w:lang w:val="en-US"/>
        </w:rPr>
        <w:t xml:space="preserve"> that </w:t>
      </w:r>
      <w:r w:rsidR="00FD1520" w:rsidRPr="002433F3">
        <w:rPr>
          <w:rFonts w:eastAsia="Verdana" w:cs="Verdana"/>
          <w:szCs w:val="20"/>
          <w:lang w:val="en-US"/>
        </w:rPr>
        <w:t>it cannot be held responsible</w:t>
      </w:r>
      <w:r w:rsidRPr="002433F3">
        <w:rPr>
          <w:rFonts w:eastAsia="Verdana" w:cs="Verdana"/>
          <w:szCs w:val="20"/>
          <w:lang w:val="en-US"/>
        </w:rPr>
        <w:t xml:space="preserve"> for the vi</w:t>
      </w:r>
      <w:r w:rsidR="00173A5F" w:rsidRPr="002433F3">
        <w:rPr>
          <w:rFonts w:eastAsia="Verdana" w:cs="Verdana"/>
          <w:szCs w:val="20"/>
          <w:lang w:val="en-US"/>
        </w:rPr>
        <w:t>olation of the right to equal protection</w:t>
      </w:r>
      <w:r w:rsidRPr="002433F3">
        <w:rPr>
          <w:rFonts w:eastAsia="Verdana" w:cs="Verdana"/>
          <w:szCs w:val="20"/>
          <w:lang w:val="en-US"/>
        </w:rPr>
        <w:t xml:space="preserve"> before the law </w:t>
      </w:r>
      <w:r w:rsidR="00673D9A" w:rsidRPr="002433F3">
        <w:rPr>
          <w:rFonts w:eastAsia="Verdana" w:cs="Verdana"/>
          <w:szCs w:val="20"/>
          <w:lang w:val="en-US"/>
        </w:rPr>
        <w:t xml:space="preserve">because </w:t>
      </w:r>
      <w:r w:rsidRPr="002433F3">
        <w:rPr>
          <w:rFonts w:eastAsia="Verdana" w:cs="Verdana"/>
          <w:szCs w:val="20"/>
          <w:lang w:val="en-US"/>
        </w:rPr>
        <w:t xml:space="preserve">Colombian domestic law was </w:t>
      </w:r>
      <w:r w:rsidR="00673D9A" w:rsidRPr="002433F3">
        <w:rPr>
          <w:rFonts w:eastAsia="Verdana" w:cs="Verdana"/>
          <w:szCs w:val="20"/>
          <w:lang w:val="en-US"/>
        </w:rPr>
        <w:t xml:space="preserve">modified </w:t>
      </w:r>
      <w:r w:rsidR="00FD1520" w:rsidRPr="002433F3">
        <w:rPr>
          <w:rFonts w:eastAsia="Verdana" w:cs="Verdana"/>
          <w:szCs w:val="20"/>
          <w:lang w:val="en-US"/>
        </w:rPr>
        <w:t>and its effects repaired, thereby rectifying t</w:t>
      </w:r>
      <w:r w:rsidRPr="002433F3">
        <w:rPr>
          <w:rFonts w:eastAsia="Verdana" w:cs="Verdana"/>
          <w:szCs w:val="20"/>
          <w:lang w:val="en-US"/>
        </w:rPr>
        <w:t>he internationally wrongful act</w:t>
      </w:r>
      <w:r w:rsidR="00FD1520" w:rsidRPr="002433F3">
        <w:rPr>
          <w:rFonts w:eastAsia="Verdana" w:cs="Verdana"/>
          <w:szCs w:val="20"/>
          <w:lang w:val="en-US"/>
        </w:rPr>
        <w:t xml:space="preserve"> and, </w:t>
      </w:r>
      <w:r w:rsidR="004B2A00" w:rsidRPr="002433F3">
        <w:rPr>
          <w:rFonts w:eastAsia="Verdana" w:cs="Verdana"/>
          <w:szCs w:val="20"/>
          <w:lang w:val="en-US"/>
        </w:rPr>
        <w:t xml:space="preserve">pursuant to </w:t>
      </w:r>
      <w:r w:rsidRPr="002433F3">
        <w:rPr>
          <w:rFonts w:eastAsia="Verdana" w:cs="Verdana"/>
          <w:szCs w:val="20"/>
          <w:lang w:val="en-US"/>
        </w:rPr>
        <w:t xml:space="preserve">the principle of subsidiarity, </w:t>
      </w:r>
      <w:r w:rsidR="00FD1520" w:rsidRPr="002433F3">
        <w:rPr>
          <w:rFonts w:eastAsia="Verdana" w:cs="Verdana"/>
          <w:szCs w:val="20"/>
          <w:lang w:val="en-US"/>
        </w:rPr>
        <w:t xml:space="preserve">preventing the </w:t>
      </w:r>
      <w:r w:rsidRPr="002433F3">
        <w:rPr>
          <w:rFonts w:eastAsia="Verdana" w:cs="Verdana"/>
          <w:szCs w:val="20"/>
          <w:lang w:val="en-US"/>
        </w:rPr>
        <w:t xml:space="preserve">Court </w:t>
      </w:r>
      <w:r w:rsidR="00FD1520" w:rsidRPr="002433F3">
        <w:rPr>
          <w:rFonts w:eastAsia="Verdana" w:cs="Verdana"/>
          <w:szCs w:val="20"/>
          <w:lang w:val="en-US"/>
        </w:rPr>
        <w:t xml:space="preserve">from examining a </w:t>
      </w:r>
      <w:r w:rsidRPr="002433F3">
        <w:rPr>
          <w:rFonts w:eastAsia="Verdana" w:cs="Verdana"/>
          <w:szCs w:val="20"/>
          <w:lang w:val="en-US"/>
        </w:rPr>
        <w:t>violation of the Convention.</w:t>
      </w:r>
    </w:p>
    <w:p w14:paraId="59B371D5" w14:textId="77777777" w:rsidR="007B0DE4" w:rsidRPr="002433F3" w:rsidRDefault="007B0DE4" w:rsidP="007B0DE4">
      <w:pPr>
        <w:numPr>
          <w:ilvl w:val="0"/>
          <w:numId w:val="2"/>
        </w:numPr>
        <w:tabs>
          <w:tab w:val="left" w:pos="567"/>
          <w:tab w:val="left" w:pos="720"/>
          <w:tab w:val="left" w:pos="1134"/>
          <w:tab w:val="num" w:pos="1427"/>
          <w:tab w:val="num" w:pos="6042"/>
        </w:tabs>
        <w:autoSpaceDE w:val="0"/>
        <w:autoSpaceDN w:val="0"/>
        <w:adjustRightInd w:val="0"/>
        <w:spacing w:before="120"/>
        <w:ind w:right="-90"/>
        <w:rPr>
          <w:rFonts w:eastAsia="Verdana" w:cs="Verdana"/>
          <w:szCs w:val="20"/>
          <w:lang w:val="en-US"/>
        </w:rPr>
      </w:pPr>
      <w:r w:rsidRPr="002433F3">
        <w:rPr>
          <w:rFonts w:eastAsia="Verdana" w:cs="Verdana"/>
          <w:szCs w:val="20"/>
          <w:lang w:val="en-US"/>
        </w:rPr>
        <w:t xml:space="preserve">Consequently, the Court concludes that the State’s acquiescence is not equivalent to an acknowledgement of international of responsibility, in the terms established in Article 62 of its Rules, nor does it include reparation for the </w:t>
      </w:r>
      <w:r w:rsidR="00173A5F" w:rsidRPr="002433F3">
        <w:rPr>
          <w:rFonts w:eastAsia="Verdana" w:cs="Verdana"/>
          <w:szCs w:val="20"/>
          <w:lang w:val="en-US"/>
        </w:rPr>
        <w:t>afore</w:t>
      </w:r>
      <w:r w:rsidRPr="002433F3">
        <w:rPr>
          <w:rFonts w:eastAsia="Verdana" w:cs="Verdana"/>
          <w:szCs w:val="20"/>
          <w:lang w:val="en-US"/>
        </w:rPr>
        <w:t xml:space="preserve">mentioned unlawful act. Nevertheless, this Court considers that the State’s argument </w:t>
      </w:r>
      <w:r w:rsidR="004B2A00" w:rsidRPr="002433F3">
        <w:rPr>
          <w:rFonts w:eastAsia="Verdana" w:cs="Verdana"/>
          <w:szCs w:val="20"/>
          <w:lang w:val="en-US"/>
        </w:rPr>
        <w:t xml:space="preserve">does </w:t>
      </w:r>
      <w:r w:rsidR="00CA440D" w:rsidRPr="002433F3">
        <w:rPr>
          <w:rFonts w:eastAsia="Verdana" w:cs="Verdana"/>
          <w:szCs w:val="20"/>
          <w:lang w:val="en-US"/>
        </w:rPr>
        <w:t xml:space="preserve">produce </w:t>
      </w:r>
      <w:r w:rsidRPr="002433F3">
        <w:rPr>
          <w:rFonts w:eastAsia="Verdana" w:cs="Verdana"/>
          <w:szCs w:val="20"/>
          <w:lang w:val="en-US"/>
        </w:rPr>
        <w:t>legal effects</w:t>
      </w:r>
      <w:r w:rsidR="00173A5F" w:rsidRPr="002433F3">
        <w:rPr>
          <w:rFonts w:eastAsia="Verdana" w:cs="Verdana"/>
          <w:szCs w:val="20"/>
          <w:lang w:val="en-US"/>
        </w:rPr>
        <w:t>,</w:t>
      </w:r>
      <w:r w:rsidRPr="002433F3">
        <w:rPr>
          <w:rFonts w:eastAsia="Verdana" w:cs="Verdana"/>
          <w:szCs w:val="20"/>
          <w:lang w:val="en-US"/>
        </w:rPr>
        <w:t xml:space="preserve"> both in the context of the alleged violation of Article 24 of the American Convention and eventual reparations.  </w:t>
      </w:r>
    </w:p>
    <w:p w14:paraId="5422D584" w14:textId="77777777" w:rsidR="007B0DE4" w:rsidRPr="002433F3" w:rsidRDefault="007B0DE4" w:rsidP="007B0DE4">
      <w:pPr>
        <w:pStyle w:val="Ttulo1"/>
        <w:spacing w:before="460" w:after="460"/>
        <w:rPr>
          <w:noProof w:val="0"/>
          <w:lang w:val="en-US"/>
        </w:rPr>
      </w:pPr>
      <w:bookmarkStart w:id="57" w:name="_Toc448482252"/>
      <w:r w:rsidRPr="002433F3">
        <w:rPr>
          <w:caps w:val="0"/>
          <w:noProof w:val="0"/>
          <w:lang w:val="en-US"/>
        </w:rPr>
        <w:t>VI</w:t>
      </w:r>
      <w:bookmarkStart w:id="58" w:name="_Toc315133577"/>
      <w:bookmarkStart w:id="59" w:name="_Toc316919762"/>
      <w:bookmarkStart w:id="60" w:name="_Toc329703867"/>
      <w:bookmarkStart w:id="61" w:name="_Toc336638904"/>
      <w:bookmarkStart w:id="62" w:name="_Toc359314424"/>
      <w:bookmarkStart w:id="63" w:name="_Toc361671574"/>
      <w:bookmarkStart w:id="64" w:name="_Toc361671994"/>
      <w:bookmarkStart w:id="65" w:name="_Toc361732791"/>
      <w:bookmarkStart w:id="66" w:name="_Toc361732834"/>
      <w:bookmarkStart w:id="67" w:name="_Toc362456865"/>
      <w:bookmarkStart w:id="68" w:name="_Toc365021394"/>
      <w:bookmarkStart w:id="69" w:name="_Toc369076780"/>
      <w:bookmarkStart w:id="70" w:name="_Toc369989372"/>
      <w:bookmarkStart w:id="71" w:name="_Toc369989459"/>
      <w:bookmarkStart w:id="72" w:name="_Toc369989740"/>
      <w:bookmarkEnd w:id="37"/>
      <w:bookmarkEnd w:id="38"/>
      <w:bookmarkEnd w:id="39"/>
      <w:bookmarkEnd w:id="40"/>
      <w:bookmarkEnd w:id="41"/>
      <w:bookmarkEnd w:id="42"/>
      <w:bookmarkEnd w:id="43"/>
      <w:bookmarkEnd w:id="44"/>
      <w:bookmarkEnd w:id="45"/>
      <w:bookmarkEnd w:id="46"/>
      <w:r w:rsidRPr="002433F3">
        <w:rPr>
          <w:noProof w:val="0"/>
          <w:lang w:val="en-US"/>
        </w:rPr>
        <w:br/>
      </w:r>
      <w:r w:rsidRPr="002433F3">
        <w:rPr>
          <w:caps w:val="0"/>
          <w:noProof w:val="0"/>
          <w:lang w:val="en-US"/>
        </w:rPr>
        <w:t>EVIDENCE</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5765FA53" w14:textId="77777777" w:rsidR="007B0DE4" w:rsidRPr="002433F3" w:rsidRDefault="007B0DE4" w:rsidP="007B0DE4">
      <w:pPr>
        <w:pStyle w:val="Ttulo2"/>
        <w:numPr>
          <w:ilvl w:val="0"/>
          <w:numId w:val="10"/>
        </w:numPr>
        <w:spacing w:before="280" w:after="280"/>
        <w:ind w:left="709" w:hanging="357"/>
        <w:rPr>
          <w:noProof w:val="0"/>
          <w:lang w:val="en-US"/>
        </w:rPr>
      </w:pPr>
      <w:bookmarkStart w:id="73" w:name="_Toc359314425"/>
      <w:bookmarkStart w:id="74" w:name="_Toc361671575"/>
      <w:bookmarkStart w:id="75" w:name="_Toc361671995"/>
      <w:bookmarkStart w:id="76" w:name="_Toc361732792"/>
      <w:bookmarkStart w:id="77" w:name="_Toc361732835"/>
      <w:bookmarkStart w:id="78" w:name="_Toc362456866"/>
      <w:bookmarkStart w:id="79" w:name="_Toc365021395"/>
      <w:bookmarkStart w:id="80" w:name="_Toc369076781"/>
      <w:bookmarkStart w:id="81" w:name="_Toc369989373"/>
      <w:bookmarkStart w:id="82" w:name="_Toc369989460"/>
      <w:bookmarkStart w:id="83" w:name="_Toc369989741"/>
      <w:bookmarkStart w:id="84" w:name="_Toc448482253"/>
      <w:r w:rsidRPr="002433F3">
        <w:rPr>
          <w:noProof w:val="0"/>
          <w:lang w:val="en-US"/>
        </w:rPr>
        <w:t xml:space="preserve">Documentary, testimonial and expert evidence </w:t>
      </w:r>
      <w:bookmarkStart w:id="85" w:name="_Ref305145673"/>
      <w:bookmarkEnd w:id="73"/>
      <w:bookmarkEnd w:id="74"/>
      <w:bookmarkEnd w:id="75"/>
      <w:bookmarkEnd w:id="76"/>
      <w:bookmarkEnd w:id="77"/>
      <w:bookmarkEnd w:id="78"/>
      <w:bookmarkEnd w:id="79"/>
      <w:bookmarkEnd w:id="80"/>
      <w:bookmarkEnd w:id="81"/>
      <w:bookmarkEnd w:id="82"/>
      <w:bookmarkEnd w:id="83"/>
      <w:bookmarkEnd w:id="84"/>
    </w:p>
    <w:p w14:paraId="7E412607" w14:textId="77777777" w:rsidR="007B0DE4" w:rsidRPr="002433F3" w:rsidRDefault="007B0DE4" w:rsidP="007B0DE4">
      <w:pPr>
        <w:numPr>
          <w:ilvl w:val="0"/>
          <w:numId w:val="2"/>
        </w:numPr>
        <w:tabs>
          <w:tab w:val="left" w:pos="567"/>
          <w:tab w:val="left" w:pos="720"/>
          <w:tab w:val="left" w:pos="1134"/>
          <w:tab w:val="num" w:pos="1427"/>
          <w:tab w:val="num" w:pos="6042"/>
        </w:tabs>
        <w:autoSpaceDE w:val="0"/>
        <w:autoSpaceDN w:val="0"/>
        <w:adjustRightInd w:val="0"/>
        <w:spacing w:before="120"/>
        <w:ind w:right="-90"/>
        <w:rPr>
          <w:rStyle w:val="Estilo1Car"/>
          <w:b/>
          <w:bCs/>
          <w:i w:val="0"/>
          <w:noProof w:val="0"/>
          <w:lang w:val="en-US"/>
        </w:rPr>
      </w:pPr>
      <w:r w:rsidRPr="002433F3">
        <w:rPr>
          <w:rStyle w:val="Estilo1Car"/>
          <w:i w:val="0"/>
          <w:noProof w:val="0"/>
          <w:lang w:val="en-US"/>
        </w:rPr>
        <w:t>The Court received various documents presented as evidence by the Commission, the representatives and the State, together with their main briefs. The Court also received the s</w:t>
      </w:r>
      <w:r w:rsidR="00CA440D" w:rsidRPr="002433F3">
        <w:rPr>
          <w:rStyle w:val="Estilo1Car"/>
          <w:i w:val="0"/>
          <w:noProof w:val="0"/>
          <w:lang w:val="en-US"/>
        </w:rPr>
        <w:t>worn s</w:t>
      </w:r>
      <w:r w:rsidRPr="002433F3">
        <w:rPr>
          <w:rStyle w:val="Estilo1Car"/>
          <w:i w:val="0"/>
          <w:noProof w:val="0"/>
          <w:lang w:val="en-US"/>
        </w:rPr>
        <w:t xml:space="preserve">tatements </w:t>
      </w:r>
      <w:r w:rsidR="00CA440D" w:rsidRPr="002433F3">
        <w:rPr>
          <w:rStyle w:val="Estilo1Car"/>
          <w:i w:val="0"/>
          <w:noProof w:val="0"/>
          <w:lang w:val="en-US"/>
        </w:rPr>
        <w:t xml:space="preserve">(affidavits) </w:t>
      </w:r>
      <w:r w:rsidR="00A54086" w:rsidRPr="002433F3">
        <w:rPr>
          <w:rStyle w:val="Estilo1Car"/>
          <w:i w:val="0"/>
          <w:noProof w:val="0"/>
          <w:lang w:val="en-US"/>
        </w:rPr>
        <w:t xml:space="preserve">of </w:t>
      </w:r>
      <w:r w:rsidRPr="002433F3">
        <w:rPr>
          <w:rStyle w:val="Estilo1Car"/>
          <w:i w:val="0"/>
          <w:noProof w:val="0"/>
          <w:lang w:val="en-US"/>
        </w:rPr>
        <w:t xml:space="preserve">one </w:t>
      </w:r>
      <w:bookmarkEnd w:id="85"/>
      <w:r w:rsidRPr="002433F3">
        <w:rPr>
          <w:rStyle w:val="Estilo1Car"/>
          <w:i w:val="0"/>
          <w:noProof w:val="0"/>
          <w:lang w:val="en-US"/>
        </w:rPr>
        <w:t>witness</w:t>
      </w:r>
      <w:r w:rsidRPr="002433F3">
        <w:rPr>
          <w:rStyle w:val="Refdenotaalpie"/>
          <w:lang w:val="en-US"/>
        </w:rPr>
        <w:footnoteReference w:id="41"/>
      </w:r>
      <w:r w:rsidRPr="002433F3">
        <w:rPr>
          <w:rStyle w:val="Estilo1Car"/>
          <w:i w:val="0"/>
          <w:noProof w:val="0"/>
          <w:lang w:val="en-US"/>
        </w:rPr>
        <w:t xml:space="preserve"> and six expert witnesses</w:t>
      </w:r>
      <w:r w:rsidR="00CA440D" w:rsidRPr="002433F3">
        <w:rPr>
          <w:rStyle w:val="Estilo1Car"/>
          <w:i w:val="0"/>
          <w:noProof w:val="0"/>
          <w:lang w:val="en-US"/>
        </w:rPr>
        <w:t>.</w:t>
      </w:r>
      <w:r w:rsidRPr="002433F3">
        <w:rPr>
          <w:rStyle w:val="Refdenotaalpie"/>
          <w:lang w:val="en-US"/>
        </w:rPr>
        <w:footnoteReference w:id="42"/>
      </w:r>
      <w:r w:rsidR="00CA440D" w:rsidRPr="002433F3">
        <w:rPr>
          <w:rFonts w:eastAsia="Verdana" w:cs="Verdana"/>
          <w:szCs w:val="20"/>
          <w:lang w:val="en-US"/>
        </w:rPr>
        <w:t xml:space="preserve"> </w:t>
      </w:r>
      <w:r w:rsidRPr="002433F3">
        <w:rPr>
          <w:rStyle w:val="Estilo1Car"/>
          <w:i w:val="0"/>
          <w:noProof w:val="0"/>
          <w:lang w:val="en-US"/>
        </w:rPr>
        <w:t xml:space="preserve">As to the evidence given during the public hearing, the Court heard the statements of the alleged victim Ángel Alberto Duque, of the witness Juan Manuel Trujillo Sánchez, and of the expert witnesses René Urueña, Rodrigo Uprimny Yepes and Macarena Sáez. </w:t>
      </w:r>
    </w:p>
    <w:p w14:paraId="245CDF9E" w14:textId="77777777" w:rsidR="007B0DE4" w:rsidRPr="002433F3" w:rsidRDefault="007B0DE4" w:rsidP="007B0DE4">
      <w:pPr>
        <w:pStyle w:val="Ttulo2"/>
        <w:numPr>
          <w:ilvl w:val="0"/>
          <w:numId w:val="10"/>
        </w:numPr>
        <w:spacing w:before="280" w:after="280"/>
        <w:ind w:left="709" w:hanging="357"/>
        <w:rPr>
          <w:noProof w:val="0"/>
          <w:lang w:val="en-US"/>
        </w:rPr>
      </w:pPr>
      <w:bookmarkStart w:id="86" w:name="_Toc359314426"/>
      <w:bookmarkStart w:id="87" w:name="_Toc361671576"/>
      <w:bookmarkStart w:id="88" w:name="_Toc361671996"/>
      <w:bookmarkStart w:id="89" w:name="_Toc361732793"/>
      <w:bookmarkStart w:id="90" w:name="_Toc361732836"/>
      <w:bookmarkStart w:id="91" w:name="_Toc362456867"/>
      <w:bookmarkStart w:id="92" w:name="_Toc365021396"/>
      <w:bookmarkStart w:id="93" w:name="_Toc448482254"/>
      <w:bookmarkStart w:id="94" w:name="_Toc369076782"/>
      <w:bookmarkStart w:id="95" w:name="_Toc369989374"/>
      <w:bookmarkStart w:id="96" w:name="_Toc369989461"/>
      <w:bookmarkStart w:id="97" w:name="_Toc369989742"/>
      <w:r w:rsidRPr="002433F3">
        <w:rPr>
          <w:noProof w:val="0"/>
          <w:lang w:val="en-US"/>
        </w:rPr>
        <w:t>Admission of the evidence</w:t>
      </w:r>
      <w:bookmarkEnd w:id="86"/>
      <w:bookmarkEnd w:id="87"/>
      <w:bookmarkEnd w:id="88"/>
      <w:bookmarkEnd w:id="89"/>
      <w:bookmarkEnd w:id="90"/>
      <w:bookmarkEnd w:id="91"/>
      <w:bookmarkEnd w:id="92"/>
      <w:bookmarkEnd w:id="93"/>
      <w:r w:rsidRPr="002433F3">
        <w:rPr>
          <w:noProof w:val="0"/>
          <w:lang w:val="en-US"/>
        </w:rPr>
        <w:t xml:space="preserve"> </w:t>
      </w:r>
      <w:bookmarkEnd w:id="94"/>
      <w:bookmarkEnd w:id="95"/>
      <w:bookmarkEnd w:id="96"/>
      <w:bookmarkEnd w:id="97"/>
    </w:p>
    <w:p w14:paraId="19FB7AA8" w14:textId="77777777" w:rsidR="007B0DE4" w:rsidRPr="002433F3" w:rsidRDefault="007B0DE4" w:rsidP="007B0DE4">
      <w:pPr>
        <w:numPr>
          <w:ilvl w:val="0"/>
          <w:numId w:val="2"/>
        </w:numPr>
        <w:spacing w:before="120" w:after="120"/>
        <w:rPr>
          <w:lang w:val="en-US"/>
        </w:rPr>
      </w:pPr>
      <w:r w:rsidRPr="002433F3">
        <w:rPr>
          <w:lang w:val="en-US"/>
        </w:rPr>
        <w:t xml:space="preserve">The Court admits </w:t>
      </w:r>
      <w:r w:rsidRPr="002433F3">
        <w:rPr>
          <w:szCs w:val="20"/>
          <w:lang w:val="en-US"/>
        </w:rPr>
        <w:t xml:space="preserve">those documents presented </w:t>
      </w:r>
      <w:r w:rsidR="00A91083" w:rsidRPr="002433F3">
        <w:rPr>
          <w:szCs w:val="20"/>
          <w:lang w:val="en-US"/>
        </w:rPr>
        <w:t xml:space="preserve">as evidence </w:t>
      </w:r>
      <w:r w:rsidRPr="002433F3">
        <w:rPr>
          <w:szCs w:val="20"/>
          <w:lang w:val="en-US"/>
        </w:rPr>
        <w:t>by the parties and by the Commission at the proper procedural opportunity</w:t>
      </w:r>
      <w:r w:rsidRPr="002433F3">
        <w:rPr>
          <w:lang w:val="en-US"/>
        </w:rPr>
        <w:t xml:space="preserve">, the admissibility of which was </w:t>
      </w:r>
      <w:r w:rsidRPr="002433F3">
        <w:rPr>
          <w:rFonts w:eastAsia="Times New Roman"/>
          <w:szCs w:val="20"/>
          <w:lang w:val="en-US"/>
        </w:rPr>
        <w:t>not challenged or disputed</w:t>
      </w:r>
      <w:r w:rsidRPr="002433F3">
        <w:rPr>
          <w:lang w:val="en-US"/>
        </w:rPr>
        <w:t>.</w:t>
      </w:r>
      <w:r w:rsidRPr="002433F3">
        <w:rPr>
          <w:rStyle w:val="Refdenotaalpie"/>
          <w:lang w:val="en-US"/>
        </w:rPr>
        <w:footnoteReference w:id="43"/>
      </w:r>
      <w:r w:rsidRPr="002433F3">
        <w:rPr>
          <w:lang w:val="en-US"/>
        </w:rPr>
        <w:t xml:space="preserve"> With re</w:t>
      </w:r>
      <w:r w:rsidR="005C0408" w:rsidRPr="002433F3">
        <w:rPr>
          <w:lang w:val="en-US"/>
        </w:rPr>
        <w:t xml:space="preserve">gard </w:t>
      </w:r>
      <w:r w:rsidRPr="002433F3">
        <w:rPr>
          <w:lang w:val="en-US"/>
        </w:rPr>
        <w:t xml:space="preserve">to certain documents indicated by means of electronic links, the Court has established that, if a party or the Commission provides at least the </w:t>
      </w:r>
      <w:r w:rsidRPr="002433F3">
        <w:rPr>
          <w:rFonts w:eastAsia="Times New Roman"/>
          <w:szCs w:val="20"/>
          <w:lang w:val="en-US"/>
        </w:rPr>
        <w:t>direct electronic link to the document mentioned as evidence and it is possible to access it</w:t>
      </w:r>
      <w:r w:rsidRPr="002433F3">
        <w:rPr>
          <w:lang w:val="en-US"/>
        </w:rPr>
        <w:t>, neither the legal certainty nor the procedural balance is impaired, since it can be immediately traced by the Court, by the other party or by the Commission.</w:t>
      </w:r>
      <w:r w:rsidRPr="002433F3">
        <w:rPr>
          <w:rStyle w:val="Refdenotaalpie"/>
          <w:lang w:val="en-US"/>
        </w:rPr>
        <w:footnoteReference w:id="44"/>
      </w:r>
      <w:r w:rsidRPr="002433F3">
        <w:rPr>
          <w:lang w:val="en-US"/>
        </w:rPr>
        <w:t xml:space="preserve"> In this case, </w:t>
      </w:r>
      <w:r w:rsidR="00A91083" w:rsidRPr="002433F3">
        <w:rPr>
          <w:lang w:val="en-US"/>
        </w:rPr>
        <w:t xml:space="preserve">neither </w:t>
      </w:r>
      <w:r w:rsidRPr="002433F3">
        <w:rPr>
          <w:lang w:val="en-US"/>
        </w:rPr>
        <w:t xml:space="preserve">the parties </w:t>
      </w:r>
      <w:r w:rsidR="00A91083" w:rsidRPr="002433F3">
        <w:rPr>
          <w:lang w:val="en-US"/>
        </w:rPr>
        <w:t>n</w:t>
      </w:r>
      <w:r w:rsidRPr="002433F3">
        <w:rPr>
          <w:lang w:val="en-US"/>
        </w:rPr>
        <w:t xml:space="preserve">or the Commission </w:t>
      </w:r>
      <w:r w:rsidR="005210EB" w:rsidRPr="002433F3">
        <w:rPr>
          <w:lang w:val="en-US"/>
        </w:rPr>
        <w:t xml:space="preserve">made any observations or </w:t>
      </w:r>
      <w:r w:rsidR="00A91083" w:rsidRPr="002433F3">
        <w:rPr>
          <w:lang w:val="en-US"/>
        </w:rPr>
        <w:t>raised any</w:t>
      </w:r>
      <w:r w:rsidR="005210EB" w:rsidRPr="002433F3">
        <w:rPr>
          <w:lang w:val="en-US"/>
        </w:rPr>
        <w:t xml:space="preserve"> objection </w:t>
      </w:r>
      <w:r w:rsidRPr="002433F3">
        <w:rPr>
          <w:lang w:val="en-US"/>
        </w:rPr>
        <w:t>regarding the admissibility of s</w:t>
      </w:r>
      <w:r w:rsidR="005C0408" w:rsidRPr="002433F3">
        <w:rPr>
          <w:lang w:val="en-US"/>
        </w:rPr>
        <w:t xml:space="preserve">uch </w:t>
      </w:r>
      <w:r w:rsidRPr="002433F3">
        <w:rPr>
          <w:lang w:val="en-US"/>
        </w:rPr>
        <w:t>documents.</w:t>
      </w:r>
    </w:p>
    <w:p w14:paraId="5F9D32BB" w14:textId="77777777" w:rsidR="007B0DE4" w:rsidRPr="002433F3" w:rsidRDefault="002D653D" w:rsidP="007B0DE4">
      <w:pPr>
        <w:numPr>
          <w:ilvl w:val="0"/>
          <w:numId w:val="2"/>
        </w:numPr>
        <w:spacing w:before="120" w:after="120"/>
        <w:rPr>
          <w:lang w:val="en-US"/>
        </w:rPr>
      </w:pPr>
      <w:r w:rsidRPr="002433F3">
        <w:rPr>
          <w:lang w:val="en-US"/>
        </w:rPr>
        <w:lastRenderedPageBreak/>
        <w:t>T</w:t>
      </w:r>
      <w:r w:rsidR="007B0DE4" w:rsidRPr="002433F3">
        <w:rPr>
          <w:lang w:val="en-US"/>
        </w:rPr>
        <w:t xml:space="preserve">he Court </w:t>
      </w:r>
      <w:r w:rsidRPr="002433F3">
        <w:rPr>
          <w:lang w:val="en-US"/>
        </w:rPr>
        <w:t xml:space="preserve">also deems </w:t>
      </w:r>
      <w:r w:rsidR="007B0DE4" w:rsidRPr="002433F3">
        <w:rPr>
          <w:lang w:val="en-US"/>
        </w:rPr>
        <w:t xml:space="preserve">it pertinent to admit the statements </w:t>
      </w:r>
      <w:r w:rsidR="007B0DE4" w:rsidRPr="002433F3">
        <w:rPr>
          <w:rFonts w:eastAsia="Times New Roman"/>
          <w:szCs w:val="20"/>
          <w:lang w:val="en-US"/>
        </w:rPr>
        <w:t xml:space="preserve">received at the public hearing and those rendered through affidavits, insofar as these are in keeping with the object </w:t>
      </w:r>
      <w:r w:rsidR="00B0560D" w:rsidRPr="002433F3">
        <w:rPr>
          <w:rFonts w:eastAsia="Times New Roman"/>
          <w:szCs w:val="20"/>
          <w:lang w:val="en-US"/>
        </w:rPr>
        <w:t xml:space="preserve">and purpose of this case, as </w:t>
      </w:r>
      <w:r w:rsidR="007B0DE4" w:rsidRPr="002433F3">
        <w:rPr>
          <w:rFonts w:eastAsia="Times New Roman"/>
          <w:szCs w:val="20"/>
          <w:lang w:val="en-US"/>
        </w:rPr>
        <w:t>defined</w:t>
      </w:r>
      <w:r w:rsidR="007B0DE4" w:rsidRPr="002433F3">
        <w:rPr>
          <w:lang w:val="en-US"/>
        </w:rPr>
        <w:t xml:space="preserve"> in the Order that required them</w:t>
      </w:r>
      <w:r w:rsidR="00B0560D" w:rsidRPr="002433F3">
        <w:rPr>
          <w:lang w:val="en-US"/>
        </w:rPr>
        <w:t>.</w:t>
      </w:r>
      <w:r w:rsidR="007B0DE4" w:rsidRPr="002433F3">
        <w:rPr>
          <w:rStyle w:val="Refdenotaalpie"/>
          <w:lang w:val="en-US"/>
        </w:rPr>
        <w:footnoteReference w:id="45"/>
      </w:r>
      <w:r w:rsidR="007B0DE4" w:rsidRPr="002433F3">
        <w:rPr>
          <w:lang w:val="en-US"/>
        </w:rPr>
        <w:t xml:space="preserve"> </w:t>
      </w:r>
    </w:p>
    <w:p w14:paraId="2CB01683" w14:textId="77777777" w:rsidR="007B0DE4" w:rsidRPr="002433F3" w:rsidRDefault="007B0DE4" w:rsidP="007B0DE4">
      <w:pPr>
        <w:pStyle w:val="Ttulo2"/>
        <w:numPr>
          <w:ilvl w:val="0"/>
          <w:numId w:val="10"/>
        </w:numPr>
        <w:spacing w:before="280" w:after="280"/>
        <w:ind w:left="709" w:hanging="357"/>
        <w:rPr>
          <w:noProof w:val="0"/>
          <w:lang w:val="en-US"/>
        </w:rPr>
      </w:pPr>
      <w:bookmarkStart w:id="98" w:name="_Toc448482255"/>
      <w:r w:rsidRPr="002433F3">
        <w:rPr>
          <w:noProof w:val="0"/>
          <w:lang w:val="en-US"/>
        </w:rPr>
        <w:t>Assessment of the evidence</w:t>
      </w:r>
      <w:bookmarkEnd w:id="98"/>
    </w:p>
    <w:p w14:paraId="7A5C6C9D" w14:textId="77777777" w:rsidR="007B0DE4" w:rsidRPr="002433F3" w:rsidRDefault="007B0DE4" w:rsidP="007B0DE4">
      <w:pPr>
        <w:numPr>
          <w:ilvl w:val="0"/>
          <w:numId w:val="2"/>
        </w:numPr>
        <w:spacing w:before="120" w:after="120"/>
        <w:rPr>
          <w:lang w:val="en-US"/>
        </w:rPr>
      </w:pPr>
      <w:r w:rsidRPr="002433F3">
        <w:rPr>
          <w:szCs w:val="20"/>
          <w:lang w:val="en-US"/>
        </w:rPr>
        <w:t xml:space="preserve">Based on the provisions of </w:t>
      </w:r>
      <w:r w:rsidR="00B0560D" w:rsidRPr="002433F3">
        <w:rPr>
          <w:szCs w:val="20"/>
          <w:lang w:val="en-US"/>
        </w:rPr>
        <w:t>Articles 46, 47, 48, 50, 51, 52 and</w:t>
      </w:r>
      <w:r w:rsidRPr="002433F3">
        <w:rPr>
          <w:szCs w:val="20"/>
          <w:lang w:val="en-US"/>
        </w:rPr>
        <w:t xml:space="preserve"> 57 of the Rules, a</w:t>
      </w:r>
      <w:r w:rsidR="00224A69" w:rsidRPr="002433F3">
        <w:rPr>
          <w:szCs w:val="20"/>
          <w:lang w:val="en-US"/>
        </w:rPr>
        <w:t xml:space="preserve">s well as </w:t>
      </w:r>
      <w:r w:rsidRPr="002433F3">
        <w:rPr>
          <w:szCs w:val="20"/>
          <w:lang w:val="en-US"/>
        </w:rPr>
        <w:t>on</w:t>
      </w:r>
      <w:r w:rsidRPr="002433F3">
        <w:rPr>
          <w:rFonts w:cs="Verdana"/>
          <w:szCs w:val="20"/>
          <w:lang w:val="en-US" w:eastAsia="es-MX"/>
        </w:rPr>
        <w:t xml:space="preserve"> its constant case law concerning evidence and its assessment</w:t>
      </w:r>
      <w:r w:rsidRPr="002433F3">
        <w:rPr>
          <w:szCs w:val="20"/>
          <w:lang w:val="en-US"/>
        </w:rPr>
        <w:t xml:space="preserve">, the Court </w:t>
      </w:r>
      <w:r w:rsidRPr="002433F3">
        <w:rPr>
          <w:rFonts w:cs="Verdana"/>
          <w:szCs w:val="20"/>
          <w:lang w:val="en-US" w:eastAsia="es-MX"/>
        </w:rPr>
        <w:t xml:space="preserve">will </w:t>
      </w:r>
      <w:r w:rsidR="002D653D" w:rsidRPr="002433F3">
        <w:rPr>
          <w:rFonts w:cs="Verdana"/>
          <w:szCs w:val="20"/>
          <w:lang w:val="en-US" w:eastAsia="es-MX"/>
        </w:rPr>
        <w:t xml:space="preserve">now </w:t>
      </w:r>
      <w:r w:rsidRPr="002433F3">
        <w:rPr>
          <w:rFonts w:cs="Verdana"/>
          <w:szCs w:val="20"/>
          <w:lang w:val="en-US" w:eastAsia="es-MX"/>
        </w:rPr>
        <w:t>examine and assess the documentary evidence forwarded by</w:t>
      </w:r>
      <w:r w:rsidR="002D653D" w:rsidRPr="002433F3">
        <w:rPr>
          <w:rFonts w:cs="Verdana"/>
          <w:szCs w:val="20"/>
          <w:lang w:val="en-US" w:eastAsia="es-MX"/>
        </w:rPr>
        <w:t xml:space="preserve"> the parties and the Commission</w:t>
      </w:r>
      <w:r w:rsidRPr="002433F3">
        <w:rPr>
          <w:szCs w:val="20"/>
          <w:lang w:val="en-US"/>
        </w:rPr>
        <w:t xml:space="preserve"> at the proper procedural moments, together with the statements and </w:t>
      </w:r>
      <w:r w:rsidRPr="002433F3">
        <w:rPr>
          <w:rFonts w:cs="Verdana"/>
          <w:szCs w:val="20"/>
          <w:lang w:val="en-US" w:eastAsia="es-MX"/>
        </w:rPr>
        <w:t>expert opinions</w:t>
      </w:r>
      <w:r w:rsidRPr="002433F3">
        <w:rPr>
          <w:rFonts w:cs="Verdana"/>
          <w:szCs w:val="20"/>
          <w:lang w:val="en-US"/>
        </w:rPr>
        <w:t xml:space="preserve"> rendered by affidavit and during the public hearing. </w:t>
      </w:r>
      <w:r w:rsidRPr="002433F3">
        <w:rPr>
          <w:lang w:val="en-US"/>
        </w:rPr>
        <w:t>To this end, it will abide by the principles of sound judicial discretion within the corresponding legal framework, taking into account the body of evidence and the arguments submitted</w:t>
      </w:r>
      <w:r w:rsidRPr="002433F3">
        <w:rPr>
          <w:rFonts w:cs="Verdana"/>
          <w:szCs w:val="20"/>
          <w:lang w:val="en-US" w:eastAsia="es-MX"/>
        </w:rPr>
        <w:t xml:space="preserve"> in this case</w:t>
      </w:r>
      <w:r w:rsidRPr="002433F3">
        <w:rPr>
          <w:rFonts w:cs="Verdana"/>
          <w:szCs w:val="20"/>
          <w:lang w:val="en-US"/>
        </w:rPr>
        <w:t>.</w:t>
      </w:r>
      <w:r w:rsidRPr="002433F3">
        <w:rPr>
          <w:rFonts w:cs="Verdana"/>
          <w:szCs w:val="20"/>
          <w:vertAlign w:val="superscript"/>
          <w:lang w:val="en-US"/>
        </w:rPr>
        <w:footnoteReference w:id="46"/>
      </w:r>
      <w:r w:rsidRPr="002433F3">
        <w:rPr>
          <w:rFonts w:cs="Verdana"/>
          <w:szCs w:val="20"/>
          <w:lang w:val="en-US"/>
        </w:rPr>
        <w:t xml:space="preserve"> </w:t>
      </w:r>
    </w:p>
    <w:p w14:paraId="46BFB8BF" w14:textId="77777777" w:rsidR="007B0DE4" w:rsidRPr="002433F3" w:rsidRDefault="007B0DE4" w:rsidP="007B0DE4">
      <w:pPr>
        <w:pStyle w:val="Ttulo1"/>
        <w:spacing w:before="460" w:after="460"/>
        <w:rPr>
          <w:noProof w:val="0"/>
          <w:lang w:val="en-US"/>
        </w:rPr>
      </w:pPr>
      <w:bookmarkStart w:id="99" w:name="_Toc448482256"/>
      <w:r w:rsidRPr="002433F3">
        <w:rPr>
          <w:noProof w:val="0"/>
          <w:lang w:val="en-US"/>
        </w:rPr>
        <w:t>VII</w:t>
      </w:r>
      <w:r w:rsidRPr="002433F3">
        <w:rPr>
          <w:noProof w:val="0"/>
          <w:lang w:val="en-US"/>
        </w:rPr>
        <w:br/>
      </w:r>
      <w:r w:rsidRPr="002433F3">
        <w:rPr>
          <w:caps w:val="0"/>
          <w:noProof w:val="0"/>
          <w:lang w:val="en-US"/>
        </w:rPr>
        <w:t>FACTS</w:t>
      </w:r>
      <w:bookmarkEnd w:id="99"/>
    </w:p>
    <w:p w14:paraId="441F5F03" w14:textId="77777777" w:rsidR="007B0DE4" w:rsidRPr="002433F3" w:rsidRDefault="007B0DE4" w:rsidP="007B0DE4">
      <w:pPr>
        <w:numPr>
          <w:ilvl w:val="0"/>
          <w:numId w:val="2"/>
        </w:numPr>
        <w:spacing w:before="120" w:after="120"/>
        <w:rPr>
          <w:lang w:val="en-US"/>
        </w:rPr>
      </w:pPr>
      <w:bookmarkStart w:id="100" w:name="_Toc383161743"/>
      <w:r w:rsidRPr="002433F3">
        <w:rPr>
          <w:rFonts w:cs="Tahoma"/>
          <w:szCs w:val="20"/>
          <w:lang w:val="en-US"/>
        </w:rPr>
        <w:t xml:space="preserve">In this chapter </w:t>
      </w:r>
      <w:r w:rsidR="00F87683" w:rsidRPr="002433F3">
        <w:rPr>
          <w:rFonts w:cs="Tahoma"/>
          <w:szCs w:val="20"/>
          <w:lang w:val="en-US"/>
        </w:rPr>
        <w:t xml:space="preserve">the </w:t>
      </w:r>
      <w:r w:rsidR="00224A69" w:rsidRPr="002433F3">
        <w:rPr>
          <w:rFonts w:cs="Tahoma"/>
          <w:szCs w:val="20"/>
          <w:lang w:val="en-US"/>
        </w:rPr>
        <w:t xml:space="preserve">Court will examine the </w:t>
      </w:r>
      <w:r w:rsidR="00F87683" w:rsidRPr="002433F3">
        <w:rPr>
          <w:rFonts w:cs="Tahoma"/>
          <w:szCs w:val="20"/>
          <w:lang w:val="en-US"/>
        </w:rPr>
        <w:t>main facts of the</w:t>
      </w:r>
      <w:r w:rsidRPr="002433F3">
        <w:rPr>
          <w:rFonts w:cs="Tahoma"/>
          <w:szCs w:val="20"/>
          <w:lang w:val="en-US"/>
        </w:rPr>
        <w:t xml:space="preserve"> case in the following order: a) </w:t>
      </w:r>
      <w:r w:rsidR="00224A69" w:rsidRPr="002433F3">
        <w:rPr>
          <w:rFonts w:cs="Tahoma"/>
          <w:szCs w:val="20"/>
          <w:lang w:val="en-US"/>
        </w:rPr>
        <w:t xml:space="preserve">the </w:t>
      </w:r>
      <w:r w:rsidRPr="002433F3">
        <w:rPr>
          <w:rFonts w:cs="Tahoma"/>
          <w:szCs w:val="20"/>
          <w:lang w:val="en-US"/>
        </w:rPr>
        <w:t xml:space="preserve">situation of Ángel Alberto Duque and his </w:t>
      </w:r>
      <w:r w:rsidR="00F87683" w:rsidRPr="002433F3">
        <w:rPr>
          <w:rFonts w:cs="Tahoma"/>
          <w:szCs w:val="20"/>
          <w:lang w:val="en-US"/>
        </w:rPr>
        <w:t xml:space="preserve">request </w:t>
      </w:r>
      <w:r w:rsidRPr="002433F3">
        <w:rPr>
          <w:rFonts w:cs="Tahoma"/>
          <w:szCs w:val="20"/>
          <w:lang w:val="en-US"/>
        </w:rPr>
        <w:t xml:space="preserve">to COLFONDOS </w:t>
      </w:r>
      <w:r w:rsidR="00F87683" w:rsidRPr="002433F3">
        <w:rPr>
          <w:rFonts w:cs="Tahoma"/>
          <w:szCs w:val="20"/>
          <w:lang w:val="en-US"/>
        </w:rPr>
        <w:t xml:space="preserve">regarding </w:t>
      </w:r>
      <w:r w:rsidRPr="002433F3">
        <w:rPr>
          <w:rFonts w:cs="Tahoma"/>
          <w:szCs w:val="20"/>
          <w:lang w:val="en-US"/>
        </w:rPr>
        <w:t xml:space="preserve">the survivor’s pension of his partner; b) </w:t>
      </w:r>
      <w:r w:rsidR="00F87683" w:rsidRPr="002433F3">
        <w:rPr>
          <w:rFonts w:cs="Tahoma"/>
          <w:szCs w:val="20"/>
          <w:lang w:val="en-US"/>
        </w:rPr>
        <w:t xml:space="preserve">the </w:t>
      </w:r>
      <w:r w:rsidRPr="002433F3">
        <w:rPr>
          <w:rFonts w:cs="Tahoma"/>
          <w:szCs w:val="20"/>
          <w:lang w:val="en-US"/>
        </w:rPr>
        <w:t xml:space="preserve">legal framework of the Colombian social security system; c) </w:t>
      </w:r>
      <w:r w:rsidRPr="002433F3">
        <w:rPr>
          <w:rFonts w:cs="Tahoma"/>
          <w:i/>
          <w:szCs w:val="20"/>
          <w:lang w:val="en-US"/>
        </w:rPr>
        <w:t>tutela</w:t>
      </w:r>
      <w:r w:rsidRPr="002433F3">
        <w:rPr>
          <w:rFonts w:cs="Tahoma"/>
          <w:szCs w:val="20"/>
          <w:lang w:val="en-US"/>
        </w:rPr>
        <w:t xml:space="preserve"> actions filed to request recognition of the survivor’s pension, and d) subsequent </w:t>
      </w:r>
      <w:r w:rsidR="00F87683" w:rsidRPr="002433F3">
        <w:rPr>
          <w:rFonts w:cs="Tahoma"/>
          <w:szCs w:val="20"/>
          <w:lang w:val="en-US"/>
        </w:rPr>
        <w:t xml:space="preserve">case law </w:t>
      </w:r>
      <w:r w:rsidRPr="002433F3">
        <w:rPr>
          <w:rFonts w:cs="Tahoma"/>
          <w:szCs w:val="20"/>
          <w:lang w:val="en-US"/>
        </w:rPr>
        <w:t xml:space="preserve">of the Constitutional Court of Colombia. </w:t>
      </w:r>
    </w:p>
    <w:p w14:paraId="028CD7F3" w14:textId="77777777" w:rsidR="007B0DE4" w:rsidRPr="002433F3" w:rsidRDefault="007B0DE4" w:rsidP="007B0DE4">
      <w:pPr>
        <w:pStyle w:val="Ttulo2"/>
        <w:keepLines w:val="0"/>
        <w:numPr>
          <w:ilvl w:val="0"/>
          <w:numId w:val="8"/>
        </w:numPr>
        <w:spacing w:before="280" w:after="280"/>
        <w:ind w:left="714" w:hanging="357"/>
        <w:rPr>
          <w:rFonts w:cs="Tahoma"/>
          <w:noProof w:val="0"/>
          <w:lang w:val="en-US"/>
        </w:rPr>
      </w:pPr>
      <w:bookmarkStart w:id="101" w:name="_Toc448482257"/>
      <w:r w:rsidRPr="002433F3">
        <w:rPr>
          <w:rFonts w:cs="Tahoma"/>
          <w:noProof w:val="0"/>
          <w:lang w:val="en-US"/>
        </w:rPr>
        <w:t xml:space="preserve">Situation of Ángel Alberto Duque and his </w:t>
      </w:r>
      <w:r w:rsidR="00F87683" w:rsidRPr="002433F3">
        <w:rPr>
          <w:rFonts w:cs="Tahoma"/>
          <w:noProof w:val="0"/>
          <w:lang w:val="en-US"/>
        </w:rPr>
        <w:t xml:space="preserve">request </w:t>
      </w:r>
      <w:r w:rsidRPr="002433F3">
        <w:rPr>
          <w:rFonts w:cs="Tahoma"/>
          <w:noProof w:val="0"/>
          <w:lang w:val="en-US"/>
        </w:rPr>
        <w:t xml:space="preserve">to COLFONDOS regarding the survivor’s pension of his partner </w:t>
      </w:r>
      <w:bookmarkEnd w:id="101"/>
    </w:p>
    <w:p w14:paraId="7045414B" w14:textId="77777777" w:rsidR="007B0DE4" w:rsidRPr="002433F3" w:rsidRDefault="00954225" w:rsidP="007B0DE4">
      <w:pPr>
        <w:numPr>
          <w:ilvl w:val="0"/>
          <w:numId w:val="2"/>
        </w:numPr>
        <w:spacing w:before="120" w:after="120"/>
        <w:rPr>
          <w:lang w:val="en-US"/>
        </w:rPr>
      </w:pPr>
      <w:r w:rsidRPr="002433F3">
        <w:rPr>
          <w:lang w:val="en-US"/>
        </w:rPr>
        <w:t>T</w:t>
      </w:r>
      <w:r w:rsidR="007B0DE4" w:rsidRPr="002433F3">
        <w:rPr>
          <w:lang w:val="en-US"/>
        </w:rPr>
        <w:t xml:space="preserve">he State </w:t>
      </w:r>
      <w:r w:rsidRPr="002433F3">
        <w:rPr>
          <w:lang w:val="en-US"/>
        </w:rPr>
        <w:t xml:space="preserve">does not dispute the fact </w:t>
      </w:r>
      <w:r w:rsidR="007B0DE4" w:rsidRPr="002433F3">
        <w:rPr>
          <w:lang w:val="en-US"/>
        </w:rPr>
        <w:t xml:space="preserve">that Mr. Ángel Alberto Duque and Mr. </w:t>
      </w:r>
      <w:r w:rsidR="00FE2202" w:rsidRPr="002433F3">
        <w:rPr>
          <w:lang w:val="en-US"/>
        </w:rPr>
        <w:t>JOJG</w:t>
      </w:r>
      <w:r w:rsidR="007B0DE4" w:rsidRPr="002433F3">
        <w:rPr>
          <w:lang w:val="en-US"/>
        </w:rPr>
        <w:t xml:space="preserve"> </w:t>
      </w:r>
      <w:r w:rsidR="00FE2202" w:rsidRPr="002433F3">
        <w:rPr>
          <w:lang w:val="en-US"/>
        </w:rPr>
        <w:t xml:space="preserve">cohabited </w:t>
      </w:r>
      <w:r w:rsidR="007B0DE4" w:rsidRPr="002433F3">
        <w:rPr>
          <w:lang w:val="en-US"/>
        </w:rPr>
        <w:t>as a coupl</w:t>
      </w:r>
      <w:r w:rsidR="005D0459" w:rsidRPr="002433F3">
        <w:rPr>
          <w:lang w:val="en-US"/>
        </w:rPr>
        <w:t>e until September 15, 2001, the</w:t>
      </w:r>
      <w:r w:rsidR="007B0DE4" w:rsidRPr="002433F3">
        <w:rPr>
          <w:lang w:val="en-US"/>
        </w:rPr>
        <w:t xml:space="preserve"> date on which </w:t>
      </w:r>
      <w:r w:rsidR="00FE2202" w:rsidRPr="002433F3">
        <w:rPr>
          <w:lang w:val="en-US"/>
        </w:rPr>
        <w:t>JOJG</w:t>
      </w:r>
      <w:r w:rsidR="007B0DE4" w:rsidRPr="002433F3">
        <w:rPr>
          <w:lang w:val="en-US"/>
        </w:rPr>
        <w:t xml:space="preserve"> di</w:t>
      </w:r>
      <w:r w:rsidR="00362696" w:rsidRPr="002433F3">
        <w:rPr>
          <w:lang w:val="en-US"/>
        </w:rPr>
        <w:t>ed as the</w:t>
      </w:r>
      <w:r w:rsidR="007B0DE4" w:rsidRPr="002433F3">
        <w:rPr>
          <w:lang w:val="en-US"/>
        </w:rPr>
        <w:t xml:space="preserve"> </w:t>
      </w:r>
      <w:r w:rsidR="005D0459" w:rsidRPr="002433F3">
        <w:rPr>
          <w:lang w:val="en-US"/>
        </w:rPr>
        <w:t xml:space="preserve">result of </w:t>
      </w:r>
      <w:r w:rsidR="007B0DE4" w:rsidRPr="002433F3">
        <w:rPr>
          <w:lang w:val="en-US"/>
        </w:rPr>
        <w:t>Acquired Immunodeficiency Syndrome (AIDS).</w:t>
      </w:r>
      <w:r w:rsidR="007B0DE4" w:rsidRPr="002433F3">
        <w:rPr>
          <w:rStyle w:val="Refdenotaalpie"/>
          <w:lang w:val="en-US"/>
        </w:rPr>
        <w:footnoteReference w:id="47"/>
      </w:r>
      <w:r w:rsidR="007B0DE4" w:rsidRPr="002433F3">
        <w:rPr>
          <w:lang w:val="en-US"/>
        </w:rPr>
        <w:t xml:space="preserve"> </w:t>
      </w:r>
    </w:p>
    <w:p w14:paraId="2BE6C70C" w14:textId="77777777" w:rsidR="007B0DE4" w:rsidRPr="002433F3" w:rsidRDefault="007B0DE4" w:rsidP="007B0DE4">
      <w:pPr>
        <w:numPr>
          <w:ilvl w:val="0"/>
          <w:numId w:val="2"/>
        </w:numPr>
        <w:spacing w:before="120" w:after="120"/>
        <w:rPr>
          <w:lang w:val="en-US"/>
        </w:rPr>
      </w:pPr>
      <w:r w:rsidRPr="002433F3">
        <w:rPr>
          <w:rFonts w:cs="Calibri"/>
          <w:lang w:val="en-US"/>
        </w:rPr>
        <w:t xml:space="preserve">On August 4, 1997, Mr. Duque enrolled in the ETS-HIV/AIDS Program after being </w:t>
      </w:r>
      <w:r w:rsidR="008624EB" w:rsidRPr="002433F3">
        <w:rPr>
          <w:rFonts w:cs="Calibri"/>
          <w:lang w:val="en-US"/>
        </w:rPr>
        <w:t>diagnosed with HIV C3 infection. From then on he began to receive</w:t>
      </w:r>
      <w:r w:rsidRPr="002433F3">
        <w:rPr>
          <w:rFonts w:cs="Calibri"/>
          <w:lang w:val="en-US"/>
        </w:rPr>
        <w:t xml:space="preserve"> </w:t>
      </w:r>
      <w:r w:rsidR="00B26B23" w:rsidRPr="002433F3">
        <w:rPr>
          <w:rFonts w:cs="Calibri"/>
          <w:lang w:val="en-US"/>
        </w:rPr>
        <w:t>antiretroviral</w:t>
      </w:r>
      <w:r w:rsidR="008624EB" w:rsidRPr="002433F3">
        <w:rPr>
          <w:rFonts w:cs="Calibri"/>
          <w:lang w:val="en-US"/>
        </w:rPr>
        <w:t xml:space="preserve"> treatment with </w:t>
      </w:r>
      <w:r w:rsidR="008624EB" w:rsidRPr="002433F3">
        <w:rPr>
          <w:rFonts w:cs="Calibri"/>
          <w:sz w:val="16"/>
          <w:szCs w:val="16"/>
          <w:lang w:val="en-US"/>
        </w:rPr>
        <w:t>AZT-3CT</w:t>
      </w:r>
      <w:r w:rsidRPr="002433F3">
        <w:rPr>
          <w:rFonts w:cs="Calibri"/>
          <w:sz w:val="16"/>
          <w:szCs w:val="16"/>
          <w:lang w:val="en-US"/>
        </w:rPr>
        <w:t>-</w:t>
      </w:r>
      <w:r w:rsidR="008624EB" w:rsidRPr="002433F3">
        <w:rPr>
          <w:rFonts w:cs="Calibri"/>
          <w:sz w:val="16"/>
          <w:szCs w:val="16"/>
          <w:lang w:val="en-US"/>
        </w:rPr>
        <w:t>IDV</w:t>
      </w:r>
      <w:r w:rsidRPr="002433F3">
        <w:rPr>
          <w:rFonts w:cs="Calibri"/>
          <w:sz w:val="16"/>
          <w:szCs w:val="16"/>
          <w:lang w:val="en-US"/>
        </w:rPr>
        <w:t>-</w:t>
      </w:r>
      <w:r w:rsidR="008624EB" w:rsidRPr="002433F3">
        <w:rPr>
          <w:rFonts w:cs="Calibri"/>
          <w:sz w:val="16"/>
          <w:szCs w:val="16"/>
          <w:lang w:val="en-US"/>
        </w:rPr>
        <w:t>RTV</w:t>
      </w:r>
      <w:r w:rsidR="009C0718" w:rsidRPr="002433F3">
        <w:rPr>
          <w:rFonts w:cs="Calibri"/>
          <w:lang w:val="en-US"/>
        </w:rPr>
        <w:t xml:space="preserve"> (800/100mg), which c</w:t>
      </w:r>
      <w:r w:rsidRPr="002433F3">
        <w:rPr>
          <w:rFonts w:cs="Calibri"/>
          <w:lang w:val="en-US"/>
        </w:rPr>
        <w:t xml:space="preserve">ould not be suspended, </w:t>
      </w:r>
      <w:r w:rsidR="008624EB" w:rsidRPr="002433F3">
        <w:rPr>
          <w:rFonts w:cs="Calibri"/>
          <w:lang w:val="en-US"/>
        </w:rPr>
        <w:t xml:space="preserve">as </w:t>
      </w:r>
      <w:r w:rsidRPr="002433F3">
        <w:rPr>
          <w:rFonts w:cs="Calibri"/>
          <w:lang w:val="en-US"/>
        </w:rPr>
        <w:t>this could imply a risk of death.</w:t>
      </w:r>
      <w:r w:rsidRPr="002433F3">
        <w:rPr>
          <w:rStyle w:val="Refdenotaalpie"/>
          <w:lang w:val="en-US"/>
        </w:rPr>
        <w:footnoteReference w:id="48"/>
      </w:r>
      <w:r w:rsidRPr="002433F3">
        <w:rPr>
          <w:rFonts w:cs="Calibri"/>
          <w:lang w:val="en-US"/>
        </w:rPr>
        <w:t xml:space="preserve"> </w:t>
      </w:r>
    </w:p>
    <w:p w14:paraId="4F6ED806" w14:textId="77777777" w:rsidR="007B0DE4" w:rsidRPr="002433F3" w:rsidRDefault="007B0DE4" w:rsidP="007B0DE4">
      <w:pPr>
        <w:numPr>
          <w:ilvl w:val="0"/>
          <w:numId w:val="2"/>
        </w:numPr>
        <w:spacing w:before="120" w:after="120"/>
        <w:rPr>
          <w:rFonts w:cs="Tahoma"/>
          <w:lang w:val="en-US"/>
        </w:rPr>
      </w:pPr>
      <w:r w:rsidRPr="002433F3">
        <w:rPr>
          <w:lang w:val="en-US"/>
        </w:rPr>
        <w:t xml:space="preserve">Mr. </w:t>
      </w:r>
      <w:r w:rsidR="00FE2202" w:rsidRPr="002433F3">
        <w:rPr>
          <w:lang w:val="en-US"/>
        </w:rPr>
        <w:t>JOJG</w:t>
      </w:r>
      <w:r w:rsidRPr="002433F3">
        <w:rPr>
          <w:lang w:val="en-US"/>
        </w:rPr>
        <w:t xml:space="preserve"> was </w:t>
      </w:r>
      <w:r w:rsidR="00224A69" w:rsidRPr="002433F3">
        <w:rPr>
          <w:lang w:val="en-US"/>
        </w:rPr>
        <w:t xml:space="preserve">affiliated to </w:t>
      </w:r>
      <w:r w:rsidRPr="002433F3">
        <w:rPr>
          <w:lang w:val="en-US"/>
        </w:rPr>
        <w:t xml:space="preserve">the </w:t>
      </w:r>
      <w:r w:rsidRPr="002433F3">
        <w:rPr>
          <w:i/>
          <w:lang w:val="en-US"/>
        </w:rPr>
        <w:t xml:space="preserve">Compañía Colombiana Administradora de Fondos de </w:t>
      </w:r>
      <w:r w:rsidRPr="002433F3">
        <w:rPr>
          <w:rFonts w:cs="Tahoma"/>
          <w:i/>
          <w:szCs w:val="20"/>
          <w:lang w:val="en-US"/>
        </w:rPr>
        <w:t>Pensiones</w:t>
      </w:r>
      <w:r w:rsidRPr="002433F3">
        <w:rPr>
          <w:i/>
          <w:lang w:val="en-US"/>
        </w:rPr>
        <w:t xml:space="preserve"> y Cesantías </w:t>
      </w:r>
      <w:r w:rsidRPr="002433F3">
        <w:rPr>
          <w:lang w:val="en-US"/>
        </w:rPr>
        <w:t>(COLFONDOS S.A.).</w:t>
      </w:r>
      <w:r w:rsidRPr="002433F3">
        <w:rPr>
          <w:rStyle w:val="Refdenotaalpie"/>
          <w:lang w:val="en-US"/>
        </w:rPr>
        <w:footnoteReference w:id="49"/>
      </w:r>
      <w:r w:rsidRPr="002433F3">
        <w:rPr>
          <w:lang w:val="en-US"/>
        </w:rPr>
        <w:t xml:space="preserve"> After </w:t>
      </w:r>
      <w:r w:rsidR="00576401" w:rsidRPr="002433F3">
        <w:rPr>
          <w:lang w:val="en-US"/>
        </w:rPr>
        <w:t xml:space="preserve">his </w:t>
      </w:r>
      <w:r w:rsidRPr="002433F3">
        <w:rPr>
          <w:lang w:val="en-US"/>
        </w:rPr>
        <w:t xml:space="preserve">death on March 19, 2002, Mr. Duque sent a letter to COLFONDOS requesting information on the requirements that he had to meet </w:t>
      </w:r>
      <w:r w:rsidRPr="002433F3">
        <w:rPr>
          <w:lang w:val="en-US"/>
        </w:rPr>
        <w:lastRenderedPageBreak/>
        <w:t>to apply for his partner’s survivor’s pension.</w:t>
      </w:r>
      <w:r w:rsidRPr="002433F3">
        <w:rPr>
          <w:rStyle w:val="Refdenotaalpie"/>
          <w:lang w:val="en-US"/>
        </w:rPr>
        <w:footnoteReference w:id="50"/>
      </w:r>
      <w:r w:rsidRPr="002433F3">
        <w:rPr>
          <w:lang w:val="en-US"/>
        </w:rPr>
        <w:t xml:space="preserve"> On April 3, 2002, COLFONDOS </w:t>
      </w:r>
      <w:r w:rsidR="009C0718" w:rsidRPr="002433F3">
        <w:rPr>
          <w:lang w:val="en-US"/>
        </w:rPr>
        <w:t>replied to Mr. Duque’s inquiry and</w:t>
      </w:r>
      <w:r w:rsidRPr="002433F3">
        <w:rPr>
          <w:lang w:val="en-US"/>
        </w:rPr>
        <w:t xml:space="preserve"> advis</w:t>
      </w:r>
      <w:r w:rsidR="009C0718" w:rsidRPr="002433F3">
        <w:rPr>
          <w:lang w:val="en-US"/>
        </w:rPr>
        <w:t xml:space="preserve">ed </w:t>
      </w:r>
      <w:r w:rsidRPr="002433F3">
        <w:rPr>
          <w:lang w:val="en-US"/>
        </w:rPr>
        <w:t>him that, under existing legislation, he did not qualify as a beneficiary of a survivor’s pension.</w:t>
      </w:r>
      <w:r w:rsidRPr="002433F3">
        <w:rPr>
          <w:rStyle w:val="Refdenotaalpie"/>
          <w:lang w:val="en-US"/>
        </w:rPr>
        <w:footnoteReference w:id="51"/>
      </w:r>
      <w:r w:rsidRPr="002433F3">
        <w:rPr>
          <w:lang w:val="en-US"/>
        </w:rPr>
        <w:t xml:space="preserve"> </w:t>
      </w:r>
      <w:r w:rsidR="009C0718" w:rsidRPr="002433F3">
        <w:rPr>
          <w:lang w:val="en-US"/>
        </w:rPr>
        <w:t>In particular</w:t>
      </w:r>
      <w:r w:rsidRPr="002433F3">
        <w:rPr>
          <w:lang w:val="en-US"/>
        </w:rPr>
        <w:t>, COLFONDOS stated the following:</w:t>
      </w:r>
      <w:r w:rsidRPr="002433F3">
        <w:rPr>
          <w:rStyle w:val="Refdenotaalpie"/>
          <w:lang w:val="en-US"/>
        </w:rPr>
        <w:footnoteReference w:id="52"/>
      </w:r>
    </w:p>
    <w:p w14:paraId="6A622EA7" w14:textId="77777777" w:rsidR="007B0DE4" w:rsidRPr="002433F3" w:rsidRDefault="007B0DE4" w:rsidP="007B0DE4">
      <w:pPr>
        <w:spacing w:before="120" w:after="120"/>
        <w:ind w:right="856"/>
        <w:rPr>
          <w:rFonts w:cs="Calibri"/>
          <w:sz w:val="18"/>
          <w:szCs w:val="18"/>
          <w:lang w:val="en-US"/>
        </w:rPr>
      </w:pPr>
      <w:r w:rsidRPr="002433F3">
        <w:rPr>
          <w:rFonts w:cs="Calibri"/>
          <w:sz w:val="18"/>
          <w:szCs w:val="18"/>
          <w:lang w:val="en-US"/>
        </w:rPr>
        <w:t>Colombia’s social security</w:t>
      </w:r>
      <w:r w:rsidR="00362696" w:rsidRPr="002433F3">
        <w:rPr>
          <w:rFonts w:cs="Calibri"/>
          <w:sz w:val="18"/>
          <w:szCs w:val="18"/>
          <w:lang w:val="en-US"/>
        </w:rPr>
        <w:t xml:space="preserve"> laws</w:t>
      </w:r>
      <w:r w:rsidRPr="002433F3">
        <w:rPr>
          <w:rFonts w:cs="Calibri"/>
          <w:sz w:val="18"/>
          <w:szCs w:val="18"/>
          <w:lang w:val="en-US"/>
        </w:rPr>
        <w:t xml:space="preserve">, specifically Article 74 of Law 100 of 1993, provide that the beneficiaries of a survivor’s pension are the </w:t>
      </w:r>
      <w:r w:rsidR="00362696" w:rsidRPr="002433F3">
        <w:rPr>
          <w:rFonts w:cs="Calibri"/>
          <w:sz w:val="18"/>
          <w:szCs w:val="18"/>
          <w:lang w:val="en-US"/>
        </w:rPr>
        <w:t xml:space="preserve">surviving </w:t>
      </w:r>
      <w:r w:rsidRPr="002433F3">
        <w:rPr>
          <w:rFonts w:cs="Calibri"/>
          <w:sz w:val="18"/>
          <w:szCs w:val="18"/>
          <w:lang w:val="en-US"/>
        </w:rPr>
        <w:t>spouse or permanent companion or partner. However, the law establishes that beneficiary status applies to the union between a man and a woman; currently the law contains no provision for a union between two persons of the same sex.</w:t>
      </w:r>
    </w:p>
    <w:p w14:paraId="53A499A7" w14:textId="77777777" w:rsidR="007B0DE4" w:rsidRPr="002433F3" w:rsidRDefault="007B0DE4" w:rsidP="007B0DE4">
      <w:pPr>
        <w:pStyle w:val="Ttulo2"/>
        <w:keepLines w:val="0"/>
        <w:numPr>
          <w:ilvl w:val="0"/>
          <w:numId w:val="8"/>
        </w:numPr>
        <w:spacing w:before="280" w:after="280"/>
        <w:ind w:left="714" w:hanging="357"/>
        <w:rPr>
          <w:rFonts w:cs="Tahoma"/>
          <w:noProof w:val="0"/>
          <w:lang w:val="en-US"/>
        </w:rPr>
      </w:pPr>
      <w:bookmarkStart w:id="102" w:name="_Toc448482258"/>
      <w:r w:rsidRPr="002433F3">
        <w:rPr>
          <w:rFonts w:cs="Tahoma"/>
          <w:noProof w:val="0"/>
          <w:lang w:val="en-US"/>
        </w:rPr>
        <w:t xml:space="preserve">Legal framework of Colombia’s social security system </w:t>
      </w:r>
      <w:bookmarkEnd w:id="102"/>
    </w:p>
    <w:p w14:paraId="6CA78577" w14:textId="77777777" w:rsidR="007B0DE4" w:rsidRPr="002433F3" w:rsidRDefault="007B0DE4" w:rsidP="007B0DE4">
      <w:pPr>
        <w:numPr>
          <w:ilvl w:val="0"/>
          <w:numId w:val="2"/>
        </w:numPr>
        <w:spacing w:before="120" w:after="120"/>
        <w:rPr>
          <w:rFonts w:cs="Tahoma"/>
          <w:lang w:val="en-US"/>
        </w:rPr>
      </w:pPr>
      <w:r w:rsidRPr="002433F3">
        <w:rPr>
          <w:lang w:val="en-US"/>
        </w:rPr>
        <w:t xml:space="preserve">Law 100 of December 23, 1993, created the comprehensive social security system, </w:t>
      </w:r>
      <w:r w:rsidR="009C0718" w:rsidRPr="002433F3">
        <w:rPr>
          <w:lang w:val="en-US"/>
        </w:rPr>
        <w:t xml:space="preserve">defined </w:t>
      </w:r>
      <w:r w:rsidRPr="002433F3">
        <w:rPr>
          <w:lang w:val="en-US"/>
        </w:rPr>
        <w:t xml:space="preserve">as “the body of institutions, norms and procedures that the individual and the community have available to enjoy </w:t>
      </w:r>
      <w:r w:rsidR="00362696" w:rsidRPr="002433F3">
        <w:rPr>
          <w:lang w:val="en-US"/>
        </w:rPr>
        <w:t xml:space="preserve">a </w:t>
      </w:r>
      <w:r w:rsidRPr="002433F3">
        <w:rPr>
          <w:lang w:val="en-US"/>
        </w:rPr>
        <w:t xml:space="preserve">quality life […], to provide comprehensive coverage for contingencies, especially those detrimental to the health and financial situation of the citizens of Colombia, the </w:t>
      </w:r>
      <w:r w:rsidR="00B276C4" w:rsidRPr="002433F3">
        <w:rPr>
          <w:lang w:val="en-US"/>
        </w:rPr>
        <w:t xml:space="preserve">goal </w:t>
      </w:r>
      <w:r w:rsidRPr="002433F3">
        <w:rPr>
          <w:lang w:val="en-US"/>
        </w:rPr>
        <w:t>being to achieve individual well-being and community integration.”</w:t>
      </w:r>
      <w:r w:rsidRPr="002433F3">
        <w:rPr>
          <w:rStyle w:val="Refdenotaalpie"/>
          <w:lang w:val="en-US"/>
        </w:rPr>
        <w:footnoteReference w:id="53"/>
      </w:r>
      <w:r w:rsidRPr="002433F3">
        <w:rPr>
          <w:lang w:val="en-US"/>
        </w:rPr>
        <w:t xml:space="preserve"> Article 10 of this law </w:t>
      </w:r>
      <w:r w:rsidR="009C0718" w:rsidRPr="002433F3">
        <w:rPr>
          <w:lang w:val="en-US"/>
        </w:rPr>
        <w:t xml:space="preserve">stipulates </w:t>
      </w:r>
      <w:r w:rsidRPr="002433F3">
        <w:rPr>
          <w:lang w:val="en-US"/>
        </w:rPr>
        <w:t xml:space="preserve">that </w:t>
      </w:r>
      <w:r w:rsidR="009C0718" w:rsidRPr="002433F3">
        <w:rPr>
          <w:lang w:val="en-US"/>
        </w:rPr>
        <w:t xml:space="preserve">the purpose </w:t>
      </w:r>
      <w:r w:rsidRPr="002433F3">
        <w:rPr>
          <w:lang w:val="en-US"/>
        </w:rPr>
        <w:t>of the general pension system “</w:t>
      </w:r>
      <w:r w:rsidR="00B276C4" w:rsidRPr="002433F3">
        <w:rPr>
          <w:lang w:val="en-US"/>
        </w:rPr>
        <w:t xml:space="preserve">is </w:t>
      </w:r>
      <w:r w:rsidRPr="002433F3">
        <w:rPr>
          <w:lang w:val="en-US"/>
        </w:rPr>
        <w:t xml:space="preserve">to guarantee that the public is protected against </w:t>
      </w:r>
      <w:r w:rsidR="009C0718" w:rsidRPr="002433F3">
        <w:rPr>
          <w:lang w:val="en-US"/>
        </w:rPr>
        <w:t xml:space="preserve">the </w:t>
      </w:r>
      <w:r w:rsidRPr="002433F3">
        <w:rPr>
          <w:lang w:val="en-US"/>
        </w:rPr>
        <w:t xml:space="preserve">contingencies </w:t>
      </w:r>
      <w:r w:rsidR="009C0718" w:rsidRPr="002433F3">
        <w:rPr>
          <w:lang w:val="en-US"/>
        </w:rPr>
        <w:t xml:space="preserve">associated with </w:t>
      </w:r>
      <w:r w:rsidRPr="002433F3">
        <w:rPr>
          <w:lang w:val="en-US"/>
        </w:rPr>
        <w:t>old age, disability and death.”</w:t>
      </w:r>
      <w:r w:rsidRPr="002433F3">
        <w:rPr>
          <w:rStyle w:val="Refdenotaalpie"/>
          <w:lang w:val="en-US"/>
        </w:rPr>
        <w:footnoteReference w:id="54"/>
      </w:r>
      <w:r w:rsidRPr="002433F3">
        <w:rPr>
          <w:lang w:val="en-US"/>
        </w:rPr>
        <w:t xml:space="preserve"> </w:t>
      </w:r>
      <w:r w:rsidR="009C0718" w:rsidRPr="002433F3">
        <w:rPr>
          <w:lang w:val="en-US"/>
        </w:rPr>
        <w:t xml:space="preserve">For its part, </w:t>
      </w:r>
      <w:r w:rsidRPr="002433F3">
        <w:rPr>
          <w:lang w:val="en-US"/>
        </w:rPr>
        <w:t>Article 15 of th</w:t>
      </w:r>
      <w:r w:rsidR="009C0718" w:rsidRPr="002433F3">
        <w:rPr>
          <w:lang w:val="en-US"/>
        </w:rPr>
        <w:t>e same</w:t>
      </w:r>
      <w:r w:rsidR="00B276C4" w:rsidRPr="002433F3">
        <w:rPr>
          <w:lang w:val="en-US"/>
        </w:rPr>
        <w:t xml:space="preserve"> </w:t>
      </w:r>
      <w:r w:rsidRPr="002433F3">
        <w:rPr>
          <w:lang w:val="en-US"/>
        </w:rPr>
        <w:t>law provides that enrolment in the pension system is mandatory for persons with an employment contract.</w:t>
      </w:r>
      <w:r w:rsidRPr="002433F3">
        <w:rPr>
          <w:rStyle w:val="Refdenotaalpie"/>
          <w:lang w:val="en-US"/>
        </w:rPr>
        <w:footnoteReference w:id="55"/>
      </w:r>
    </w:p>
    <w:p w14:paraId="71B81259" w14:textId="77777777" w:rsidR="007B0DE4" w:rsidRPr="002433F3" w:rsidRDefault="000C540D" w:rsidP="007B0DE4">
      <w:pPr>
        <w:numPr>
          <w:ilvl w:val="0"/>
          <w:numId w:val="2"/>
        </w:numPr>
        <w:spacing w:before="120" w:after="120"/>
        <w:rPr>
          <w:lang w:val="en-US"/>
        </w:rPr>
      </w:pPr>
      <w:r w:rsidRPr="002433F3">
        <w:rPr>
          <w:lang w:val="en-US"/>
        </w:rPr>
        <w:t>Likewise</w:t>
      </w:r>
      <w:r w:rsidR="007B0DE4" w:rsidRPr="002433F3">
        <w:rPr>
          <w:lang w:val="en-US"/>
        </w:rPr>
        <w:t>, Article 47 of th</w:t>
      </w:r>
      <w:r w:rsidR="009C0718" w:rsidRPr="002433F3">
        <w:rPr>
          <w:lang w:val="en-US"/>
        </w:rPr>
        <w:t xml:space="preserve">is </w:t>
      </w:r>
      <w:r w:rsidR="007B0DE4" w:rsidRPr="002433F3">
        <w:rPr>
          <w:lang w:val="en-US"/>
        </w:rPr>
        <w:t xml:space="preserve">law, as drafted at the time of the </w:t>
      </w:r>
      <w:r w:rsidRPr="002433F3">
        <w:rPr>
          <w:lang w:val="en-US"/>
        </w:rPr>
        <w:t>events in this case, established</w:t>
      </w:r>
      <w:r w:rsidR="009C0718" w:rsidRPr="002433F3">
        <w:rPr>
          <w:lang w:val="en-US"/>
        </w:rPr>
        <w:t xml:space="preserve"> that the</w:t>
      </w:r>
      <w:r w:rsidR="007B0DE4" w:rsidRPr="002433F3">
        <w:rPr>
          <w:lang w:val="en-US"/>
        </w:rPr>
        <w:t xml:space="preserve"> following </w:t>
      </w:r>
      <w:r w:rsidR="009C0718" w:rsidRPr="002433F3">
        <w:rPr>
          <w:lang w:val="en-US"/>
        </w:rPr>
        <w:t xml:space="preserve">persons qualified </w:t>
      </w:r>
      <w:r w:rsidR="007B0DE4" w:rsidRPr="002433F3">
        <w:rPr>
          <w:lang w:val="en-US"/>
        </w:rPr>
        <w:t>a</w:t>
      </w:r>
      <w:r w:rsidR="009C0718" w:rsidRPr="002433F3">
        <w:rPr>
          <w:lang w:val="en-US"/>
        </w:rPr>
        <w:t>s beneficiaries of the survivor’</w:t>
      </w:r>
      <w:r w:rsidR="007B0DE4" w:rsidRPr="002433F3">
        <w:rPr>
          <w:lang w:val="en-US"/>
        </w:rPr>
        <w:t>s pensions: “For life, the surviving spouse or permanent partner.”</w:t>
      </w:r>
      <w:r w:rsidR="007B0DE4" w:rsidRPr="002433F3">
        <w:rPr>
          <w:rStyle w:val="Refdenotaalpie"/>
          <w:lang w:val="en-US"/>
        </w:rPr>
        <w:footnoteReference w:id="56"/>
      </w:r>
      <w:r w:rsidR="007B0DE4" w:rsidRPr="002433F3">
        <w:rPr>
          <w:lang w:val="en-US"/>
        </w:rPr>
        <w:t xml:space="preserve"> Meanwhile, Article 74 in force at that time stated that:</w:t>
      </w:r>
      <w:r w:rsidR="007B0DE4" w:rsidRPr="002433F3">
        <w:rPr>
          <w:rStyle w:val="Refdenotaalpie"/>
          <w:lang w:val="en-US"/>
        </w:rPr>
        <w:footnoteReference w:id="57"/>
      </w:r>
    </w:p>
    <w:p w14:paraId="3DA4E4BB" w14:textId="77777777" w:rsidR="007B0DE4" w:rsidRPr="002433F3" w:rsidRDefault="007B0DE4" w:rsidP="007B0DE4">
      <w:pPr>
        <w:spacing w:before="120" w:after="120"/>
        <w:ind w:right="856"/>
        <w:rPr>
          <w:rFonts w:cs="Calibri"/>
          <w:sz w:val="18"/>
          <w:szCs w:val="18"/>
          <w:lang w:val="en-US"/>
        </w:rPr>
      </w:pPr>
      <w:r w:rsidRPr="002433F3">
        <w:rPr>
          <w:sz w:val="18"/>
          <w:szCs w:val="18"/>
          <w:lang w:val="en-US"/>
        </w:rPr>
        <w:t xml:space="preserve">In the event that the survivor’s pension is triggered by the death of the pensioner, the surviving spouse or permanent partner must prove that he or she was living in marital union with the predecessor in title, at least from the time that the latter met the requirements to qualify for an old-age or disability pension until the time of his or her death, and has cohabited with the deceased for at least two </w:t>
      </w:r>
      <w:r w:rsidR="00670B39" w:rsidRPr="002433F3">
        <w:rPr>
          <w:sz w:val="18"/>
          <w:szCs w:val="18"/>
          <w:lang w:val="en-US"/>
        </w:rPr>
        <w:t xml:space="preserve">(2) </w:t>
      </w:r>
      <w:r w:rsidRPr="002433F3">
        <w:rPr>
          <w:sz w:val="18"/>
          <w:szCs w:val="18"/>
          <w:lang w:val="en-US"/>
        </w:rPr>
        <w:t>continuous</w:t>
      </w:r>
      <w:r w:rsidRPr="002433F3">
        <w:rPr>
          <w:szCs w:val="20"/>
          <w:lang w:val="en-US"/>
        </w:rPr>
        <w:t xml:space="preserve"> </w:t>
      </w:r>
      <w:r w:rsidRPr="002433F3">
        <w:rPr>
          <w:sz w:val="18"/>
          <w:szCs w:val="18"/>
          <w:lang w:val="en-US"/>
        </w:rPr>
        <w:t xml:space="preserve">years prior to his or her death, unless </w:t>
      </w:r>
      <w:r w:rsidR="00670B39" w:rsidRPr="002433F3">
        <w:rPr>
          <w:sz w:val="18"/>
          <w:szCs w:val="18"/>
          <w:lang w:val="en-US"/>
        </w:rPr>
        <w:t>[</w:t>
      </w:r>
      <w:r w:rsidRPr="002433F3">
        <w:rPr>
          <w:sz w:val="18"/>
          <w:szCs w:val="18"/>
          <w:lang w:val="en-US"/>
        </w:rPr>
        <w:t>the surviving spouse or permanent partner</w:t>
      </w:r>
      <w:r w:rsidR="00670B39" w:rsidRPr="002433F3">
        <w:rPr>
          <w:sz w:val="18"/>
          <w:szCs w:val="18"/>
          <w:lang w:val="en-US"/>
        </w:rPr>
        <w:t>]</w:t>
      </w:r>
      <w:r w:rsidRPr="002433F3">
        <w:rPr>
          <w:sz w:val="18"/>
          <w:szCs w:val="18"/>
          <w:lang w:val="en-US"/>
        </w:rPr>
        <w:t xml:space="preserve"> has had one or more children </w:t>
      </w:r>
      <w:r w:rsidR="00670B39" w:rsidRPr="002433F3">
        <w:rPr>
          <w:sz w:val="18"/>
          <w:szCs w:val="18"/>
          <w:lang w:val="en-US"/>
        </w:rPr>
        <w:t xml:space="preserve">with </w:t>
      </w:r>
      <w:r w:rsidRPr="002433F3">
        <w:rPr>
          <w:sz w:val="18"/>
          <w:szCs w:val="18"/>
          <w:lang w:val="en-US"/>
        </w:rPr>
        <w:t xml:space="preserve">the deceased pensioner </w:t>
      </w:r>
      <w:r w:rsidRPr="002433F3">
        <w:rPr>
          <w:rFonts w:cs="Calibri"/>
          <w:sz w:val="18"/>
          <w:szCs w:val="18"/>
          <w:lang w:val="en-US"/>
        </w:rPr>
        <w:t>[…]</w:t>
      </w:r>
    </w:p>
    <w:p w14:paraId="79E7B245" w14:textId="77777777" w:rsidR="007B0DE4" w:rsidRPr="002433F3" w:rsidRDefault="00B31223" w:rsidP="007B0DE4">
      <w:pPr>
        <w:numPr>
          <w:ilvl w:val="0"/>
          <w:numId w:val="2"/>
        </w:numPr>
        <w:spacing w:before="120" w:after="120"/>
        <w:ind w:right="4"/>
        <w:rPr>
          <w:rFonts w:cs="Calibri"/>
          <w:sz w:val="18"/>
          <w:szCs w:val="18"/>
          <w:lang w:val="en-US"/>
        </w:rPr>
      </w:pPr>
      <w:r w:rsidRPr="002433F3">
        <w:rPr>
          <w:lang w:val="en-US"/>
        </w:rPr>
        <w:t>Furthermore</w:t>
      </w:r>
      <w:r w:rsidR="007B0DE4" w:rsidRPr="002433F3">
        <w:rPr>
          <w:lang w:val="en-US"/>
        </w:rPr>
        <w:t xml:space="preserve">, Article 1 of Law 54 of December 28, 1990, which regulates </w:t>
      </w:r>
      <w:r w:rsidR="007B0DE4" w:rsidRPr="002433F3">
        <w:rPr>
          <w:i/>
          <w:lang w:val="en-US"/>
        </w:rPr>
        <w:t>de facto</w:t>
      </w:r>
      <w:r w:rsidR="007B0DE4" w:rsidRPr="002433F3">
        <w:rPr>
          <w:lang w:val="en-US"/>
        </w:rPr>
        <w:t xml:space="preserve"> marital unions and the property </w:t>
      </w:r>
      <w:r w:rsidR="00E40559" w:rsidRPr="002433F3">
        <w:rPr>
          <w:lang w:val="en-US"/>
        </w:rPr>
        <w:t xml:space="preserve">regime </w:t>
      </w:r>
      <w:r w:rsidR="007B0DE4" w:rsidRPr="002433F3">
        <w:rPr>
          <w:lang w:val="en-US"/>
        </w:rPr>
        <w:t xml:space="preserve">between permanent partners, defines </w:t>
      </w:r>
      <w:r w:rsidR="007B0DE4" w:rsidRPr="002433F3">
        <w:rPr>
          <w:i/>
          <w:lang w:val="en-US"/>
        </w:rPr>
        <w:t>de facto</w:t>
      </w:r>
      <w:r w:rsidR="007B0DE4" w:rsidRPr="002433F3">
        <w:rPr>
          <w:lang w:val="en-US"/>
        </w:rPr>
        <w:t xml:space="preserve"> marital union as: “</w:t>
      </w:r>
      <w:r w:rsidR="00E40559" w:rsidRPr="002433F3">
        <w:rPr>
          <w:lang w:val="en-GB"/>
        </w:rPr>
        <w:t>[</w:t>
      </w:r>
      <w:r w:rsidR="007B0DE4" w:rsidRPr="002433F3">
        <w:rPr>
          <w:szCs w:val="20"/>
          <w:lang w:val="en-US"/>
        </w:rPr>
        <w:t>t</w:t>
      </w:r>
      <w:r w:rsidR="00E40559" w:rsidRPr="002433F3">
        <w:rPr>
          <w:szCs w:val="20"/>
          <w:lang w:val="en-US"/>
        </w:rPr>
        <w:t>]</w:t>
      </w:r>
      <w:r w:rsidR="007B0DE4" w:rsidRPr="002433F3">
        <w:rPr>
          <w:szCs w:val="20"/>
          <w:lang w:val="en-US"/>
        </w:rPr>
        <w:t xml:space="preserve">he union between a man and a woman who, without being married, enter into a permanent and exclusive community. Also, </w:t>
      </w:r>
      <w:r w:rsidR="00E40559" w:rsidRPr="002433F3">
        <w:rPr>
          <w:szCs w:val="20"/>
          <w:lang w:val="en-US"/>
        </w:rPr>
        <w:t xml:space="preserve">and </w:t>
      </w:r>
      <w:r w:rsidR="007B0DE4" w:rsidRPr="002433F3">
        <w:rPr>
          <w:szCs w:val="20"/>
          <w:lang w:val="en-US"/>
        </w:rPr>
        <w:t xml:space="preserve">for all civil </w:t>
      </w:r>
      <w:r w:rsidR="00E40559" w:rsidRPr="002433F3">
        <w:rPr>
          <w:szCs w:val="20"/>
          <w:lang w:val="en-US"/>
        </w:rPr>
        <w:t>purposes</w:t>
      </w:r>
      <w:r w:rsidR="007B0DE4" w:rsidRPr="002433F3">
        <w:rPr>
          <w:szCs w:val="20"/>
          <w:lang w:val="en-US"/>
        </w:rPr>
        <w:t xml:space="preserve">, a partner or permanent </w:t>
      </w:r>
      <w:r w:rsidR="007B0DE4" w:rsidRPr="002433F3">
        <w:rPr>
          <w:szCs w:val="20"/>
          <w:lang w:val="en-US"/>
        </w:rPr>
        <w:lastRenderedPageBreak/>
        <w:t xml:space="preserve">partner shall be understood to be the man or woman who </w:t>
      </w:r>
      <w:r w:rsidR="00670B39" w:rsidRPr="002433F3">
        <w:rPr>
          <w:szCs w:val="20"/>
          <w:lang w:val="en-US"/>
        </w:rPr>
        <w:t xml:space="preserve">forms part </w:t>
      </w:r>
      <w:r w:rsidR="007B0DE4" w:rsidRPr="002433F3">
        <w:rPr>
          <w:szCs w:val="20"/>
          <w:lang w:val="en-US"/>
        </w:rPr>
        <w:t xml:space="preserve">of the </w:t>
      </w:r>
      <w:r w:rsidR="007B0DE4" w:rsidRPr="002433F3">
        <w:rPr>
          <w:i/>
          <w:iCs/>
          <w:szCs w:val="20"/>
          <w:lang w:val="en-US"/>
        </w:rPr>
        <w:t xml:space="preserve">de facto </w:t>
      </w:r>
      <w:r w:rsidR="007B0DE4" w:rsidRPr="002433F3">
        <w:rPr>
          <w:szCs w:val="20"/>
          <w:lang w:val="en-US"/>
        </w:rPr>
        <w:t>marital union</w:t>
      </w:r>
      <w:r w:rsidR="007B0DE4" w:rsidRPr="002433F3">
        <w:rPr>
          <w:lang w:val="en-US"/>
        </w:rPr>
        <w:t>.”</w:t>
      </w:r>
      <w:r w:rsidR="007B0DE4" w:rsidRPr="002433F3">
        <w:rPr>
          <w:rStyle w:val="Refdenotaalpie"/>
          <w:lang w:val="en-US"/>
        </w:rPr>
        <w:footnoteReference w:id="58"/>
      </w:r>
      <w:r w:rsidR="007B0DE4" w:rsidRPr="002433F3">
        <w:rPr>
          <w:rFonts w:cs="Calibri"/>
          <w:sz w:val="18"/>
          <w:szCs w:val="18"/>
          <w:lang w:val="en-US"/>
        </w:rPr>
        <w:t xml:space="preserve"> </w:t>
      </w:r>
    </w:p>
    <w:p w14:paraId="48AF0730" w14:textId="77777777" w:rsidR="007B0DE4" w:rsidRPr="002433F3" w:rsidRDefault="007B0DE4" w:rsidP="007B0DE4">
      <w:pPr>
        <w:numPr>
          <w:ilvl w:val="0"/>
          <w:numId w:val="2"/>
        </w:numPr>
        <w:spacing w:before="120" w:after="120"/>
        <w:rPr>
          <w:lang w:val="en-US"/>
        </w:rPr>
      </w:pPr>
      <w:r w:rsidRPr="002433F3">
        <w:rPr>
          <w:lang w:val="en-US"/>
        </w:rPr>
        <w:t>Similarly, Decree 1889 of August 3, 1994, which regulates Law 100 of 1993, establishes the following in Articles 10 and 11:</w:t>
      </w:r>
      <w:r w:rsidRPr="002433F3">
        <w:rPr>
          <w:rStyle w:val="Refdenotaalpie"/>
          <w:lang w:val="en-US"/>
        </w:rPr>
        <w:footnoteReference w:id="59"/>
      </w:r>
      <w:r w:rsidRPr="002433F3">
        <w:rPr>
          <w:lang w:val="en-US"/>
        </w:rPr>
        <w:t xml:space="preserve"> </w:t>
      </w:r>
    </w:p>
    <w:p w14:paraId="7DB39BAB" w14:textId="77777777" w:rsidR="00133CEE" w:rsidRPr="002433F3" w:rsidRDefault="007B0DE4" w:rsidP="00990D4C">
      <w:pPr>
        <w:autoSpaceDE w:val="0"/>
        <w:autoSpaceDN w:val="0"/>
        <w:adjustRightInd w:val="0"/>
        <w:jc w:val="left"/>
        <w:rPr>
          <w:rFonts w:eastAsiaTheme="minorHAnsi" w:cs="Calibri"/>
          <w:sz w:val="18"/>
          <w:szCs w:val="18"/>
          <w:lang w:val="en-US"/>
        </w:rPr>
      </w:pPr>
      <w:r w:rsidRPr="002433F3">
        <w:rPr>
          <w:rFonts w:cs="Calibri"/>
          <w:sz w:val="18"/>
          <w:szCs w:val="18"/>
        </w:rPr>
        <w:t xml:space="preserve">Article 10. Permanent </w:t>
      </w:r>
      <w:r w:rsidRPr="002433F3">
        <w:rPr>
          <w:rFonts w:cs="Calibri"/>
          <w:sz w:val="18"/>
          <w:szCs w:val="18"/>
          <w:lang w:val="en-US"/>
        </w:rPr>
        <w:t xml:space="preserve">Partner. </w:t>
      </w:r>
      <w:r w:rsidR="008529D6" w:rsidRPr="002433F3">
        <w:rPr>
          <w:lang w:val="en-US"/>
        </w:rPr>
        <w:t>“</w:t>
      </w:r>
      <w:r w:rsidR="008529D6" w:rsidRPr="002433F3">
        <w:rPr>
          <w:sz w:val="18"/>
          <w:szCs w:val="18"/>
          <w:lang w:val="en-US"/>
        </w:rPr>
        <w:t xml:space="preserve">For the purposes of the survivor’s pension of the </w:t>
      </w:r>
      <w:r w:rsidR="00861FED" w:rsidRPr="002433F3">
        <w:rPr>
          <w:sz w:val="18"/>
          <w:szCs w:val="18"/>
          <w:lang w:val="en-US"/>
        </w:rPr>
        <w:t>affiliate</w:t>
      </w:r>
      <w:r w:rsidR="00990D4C" w:rsidRPr="002433F3">
        <w:rPr>
          <w:rFonts w:ascii="Calibri" w:eastAsiaTheme="minorHAnsi" w:hAnsi="Calibri" w:cs="Calibri"/>
          <w:szCs w:val="20"/>
          <w:lang w:val="en-US"/>
        </w:rPr>
        <w:t xml:space="preserve">, </w:t>
      </w:r>
      <w:r w:rsidRPr="002433F3">
        <w:rPr>
          <w:rFonts w:ascii="Calibri" w:eastAsiaTheme="minorHAnsi" w:hAnsi="Calibri" w:cs="Calibri"/>
          <w:szCs w:val="20"/>
          <w:lang w:val="en-US"/>
        </w:rPr>
        <w:t xml:space="preserve">permanent partner shall </w:t>
      </w:r>
      <w:r w:rsidR="008529D6" w:rsidRPr="002433F3">
        <w:rPr>
          <w:rFonts w:ascii="Calibri" w:eastAsiaTheme="minorHAnsi" w:hAnsi="Calibri" w:cs="Calibri"/>
          <w:szCs w:val="20"/>
          <w:lang w:val="en-US"/>
        </w:rPr>
        <w:t xml:space="preserve">refer to </w:t>
      </w:r>
      <w:r w:rsidRPr="002433F3">
        <w:rPr>
          <w:rFonts w:ascii="Calibri" w:eastAsiaTheme="minorHAnsi" w:hAnsi="Calibri" w:cs="Calibri"/>
          <w:szCs w:val="20"/>
          <w:lang w:val="en-US"/>
        </w:rPr>
        <w:t>the last person</w:t>
      </w:r>
      <w:r w:rsidR="00990D4C" w:rsidRPr="002433F3">
        <w:rPr>
          <w:rFonts w:ascii="Calibri" w:eastAsiaTheme="minorHAnsi" w:hAnsi="Calibri" w:cs="Calibri"/>
          <w:szCs w:val="20"/>
          <w:lang w:val="en-US"/>
        </w:rPr>
        <w:t xml:space="preserve">, of a sex different from that of the predecessor in title, who has </w:t>
      </w:r>
      <w:r w:rsidRPr="002433F3">
        <w:rPr>
          <w:rFonts w:ascii="Calibri" w:eastAsiaTheme="minorHAnsi" w:hAnsi="Calibri" w:cs="Calibri"/>
          <w:szCs w:val="20"/>
          <w:lang w:val="en-US"/>
        </w:rPr>
        <w:t>lived in marital union with him or her for a period of no less than two (2) years</w:t>
      </w:r>
      <w:r w:rsidRPr="002433F3">
        <w:rPr>
          <w:rFonts w:eastAsiaTheme="minorHAnsi" w:cs="Calibri"/>
          <w:sz w:val="18"/>
          <w:szCs w:val="18"/>
          <w:lang w:val="en-US"/>
        </w:rPr>
        <w:t xml:space="preserve">. </w:t>
      </w:r>
    </w:p>
    <w:p w14:paraId="6E67EA27" w14:textId="77777777" w:rsidR="00133CEE" w:rsidRPr="002433F3" w:rsidRDefault="00133CEE" w:rsidP="00990D4C">
      <w:pPr>
        <w:autoSpaceDE w:val="0"/>
        <w:autoSpaceDN w:val="0"/>
        <w:adjustRightInd w:val="0"/>
        <w:jc w:val="left"/>
        <w:rPr>
          <w:rFonts w:eastAsiaTheme="minorHAnsi" w:cs="Calibri"/>
          <w:sz w:val="18"/>
          <w:szCs w:val="18"/>
          <w:lang w:val="en-US"/>
        </w:rPr>
      </w:pPr>
    </w:p>
    <w:p w14:paraId="238EBDE6" w14:textId="77777777" w:rsidR="007B0DE4" w:rsidRPr="002433F3" w:rsidRDefault="007B0DE4" w:rsidP="00990D4C">
      <w:pPr>
        <w:autoSpaceDE w:val="0"/>
        <w:autoSpaceDN w:val="0"/>
        <w:adjustRightInd w:val="0"/>
        <w:jc w:val="left"/>
        <w:rPr>
          <w:rFonts w:ascii="Arial" w:eastAsiaTheme="minorHAnsi" w:hAnsi="Arial" w:cs="Arial"/>
          <w:szCs w:val="20"/>
          <w:lang w:val="en-US"/>
        </w:rPr>
      </w:pPr>
      <w:r w:rsidRPr="002433F3">
        <w:rPr>
          <w:rFonts w:eastAsiaTheme="minorHAnsi" w:cs="Calibri"/>
          <w:sz w:val="18"/>
          <w:szCs w:val="18"/>
          <w:lang w:val="en-US"/>
        </w:rPr>
        <w:t xml:space="preserve">This </w:t>
      </w:r>
      <w:r w:rsidR="00133CEE" w:rsidRPr="002433F3">
        <w:rPr>
          <w:rFonts w:eastAsiaTheme="minorHAnsi" w:cs="Calibri"/>
          <w:sz w:val="18"/>
          <w:szCs w:val="18"/>
          <w:lang w:val="en-US"/>
        </w:rPr>
        <w:t xml:space="preserve">shall apply </w:t>
      </w:r>
      <w:r w:rsidRPr="002433F3">
        <w:rPr>
          <w:rFonts w:eastAsiaTheme="minorHAnsi" w:cs="Calibri"/>
          <w:sz w:val="18"/>
          <w:szCs w:val="18"/>
          <w:lang w:val="en-US"/>
        </w:rPr>
        <w:t>to a pensioner who satisfies the requirement</w:t>
      </w:r>
      <w:r w:rsidR="00861FED" w:rsidRPr="002433F3">
        <w:rPr>
          <w:rFonts w:eastAsiaTheme="minorHAnsi" w:cs="Calibri"/>
          <w:sz w:val="18"/>
          <w:szCs w:val="18"/>
          <w:lang w:val="en-US"/>
        </w:rPr>
        <w:t>s set forth in paragraph a) of A</w:t>
      </w:r>
      <w:r w:rsidRPr="002433F3">
        <w:rPr>
          <w:rFonts w:eastAsiaTheme="minorHAnsi" w:cs="Calibri"/>
          <w:sz w:val="18"/>
          <w:szCs w:val="18"/>
          <w:lang w:val="en-US"/>
        </w:rPr>
        <w:t>rticles 47 and 74 of Law 100 of 1993.</w:t>
      </w:r>
    </w:p>
    <w:p w14:paraId="3617F167" w14:textId="77777777" w:rsidR="007B0DE4" w:rsidRPr="002433F3" w:rsidRDefault="007B0DE4" w:rsidP="007B0DE4">
      <w:pPr>
        <w:spacing w:before="120" w:after="120"/>
        <w:ind w:right="856"/>
        <w:rPr>
          <w:rFonts w:cs="Calibri"/>
          <w:sz w:val="18"/>
          <w:szCs w:val="18"/>
          <w:lang w:val="en-US"/>
        </w:rPr>
      </w:pPr>
    </w:p>
    <w:p w14:paraId="4F94D5E2" w14:textId="77777777" w:rsidR="007B0DE4" w:rsidRPr="002433F3" w:rsidRDefault="007B0DE4" w:rsidP="007B0DE4">
      <w:pPr>
        <w:spacing w:before="120" w:after="120"/>
        <w:ind w:right="856"/>
        <w:rPr>
          <w:rFonts w:cs="Calibri"/>
          <w:sz w:val="18"/>
          <w:szCs w:val="18"/>
          <w:lang w:val="en-US"/>
        </w:rPr>
      </w:pPr>
      <w:r w:rsidRPr="002433F3">
        <w:rPr>
          <w:rFonts w:cs="Calibri"/>
          <w:sz w:val="18"/>
          <w:szCs w:val="18"/>
          <w:lang w:val="en-US"/>
        </w:rPr>
        <w:t xml:space="preserve">Article 11. Proof of Permanent Partner Status. </w:t>
      </w:r>
      <w:r w:rsidRPr="002433F3">
        <w:rPr>
          <w:sz w:val="18"/>
          <w:szCs w:val="18"/>
          <w:lang w:val="en-US"/>
        </w:rPr>
        <w:t xml:space="preserve">Anyone </w:t>
      </w:r>
      <w:r w:rsidR="00133CEE" w:rsidRPr="002433F3">
        <w:rPr>
          <w:sz w:val="18"/>
          <w:szCs w:val="18"/>
          <w:lang w:val="en-US"/>
        </w:rPr>
        <w:t xml:space="preserve">named by </w:t>
      </w:r>
      <w:r w:rsidR="00670B39" w:rsidRPr="002433F3">
        <w:rPr>
          <w:sz w:val="18"/>
          <w:szCs w:val="18"/>
          <w:lang w:val="en-US"/>
        </w:rPr>
        <w:t>the person</w:t>
      </w:r>
      <w:r w:rsidRPr="002433F3">
        <w:rPr>
          <w:sz w:val="18"/>
          <w:szCs w:val="18"/>
          <w:lang w:val="en-US"/>
        </w:rPr>
        <w:t xml:space="preserve"> </w:t>
      </w:r>
      <w:r w:rsidR="00990D4C" w:rsidRPr="002433F3">
        <w:rPr>
          <w:sz w:val="18"/>
          <w:szCs w:val="18"/>
          <w:lang w:val="en-US"/>
        </w:rPr>
        <w:t>affiliate</w:t>
      </w:r>
      <w:r w:rsidR="00670B39" w:rsidRPr="002433F3">
        <w:rPr>
          <w:sz w:val="18"/>
          <w:szCs w:val="18"/>
          <w:lang w:val="en-US"/>
        </w:rPr>
        <w:t>d</w:t>
      </w:r>
      <w:r w:rsidR="00990D4C" w:rsidRPr="002433F3">
        <w:rPr>
          <w:sz w:val="18"/>
          <w:szCs w:val="18"/>
          <w:lang w:val="en-US"/>
        </w:rPr>
        <w:t xml:space="preserve"> </w:t>
      </w:r>
      <w:r w:rsidR="00670B39" w:rsidRPr="002433F3">
        <w:rPr>
          <w:sz w:val="18"/>
          <w:szCs w:val="18"/>
          <w:lang w:val="en-US"/>
        </w:rPr>
        <w:t>to</w:t>
      </w:r>
      <w:r w:rsidR="00133CEE" w:rsidRPr="002433F3">
        <w:rPr>
          <w:sz w:val="18"/>
          <w:szCs w:val="18"/>
          <w:lang w:val="en-US"/>
        </w:rPr>
        <w:t xml:space="preserve"> </w:t>
      </w:r>
      <w:r w:rsidRPr="002433F3">
        <w:rPr>
          <w:sz w:val="18"/>
          <w:szCs w:val="18"/>
          <w:lang w:val="en-US"/>
        </w:rPr>
        <w:t>the respective administrative institution as being his or her permanent partner shall be presumed to be such. Permanent partner status may also be proven by the means that the law prescribes. In any event, the administrative institutions shall specify in their regulations what constitutes suitable proof in order to move forward with the respective procedure</w:t>
      </w:r>
      <w:r w:rsidRPr="002433F3">
        <w:rPr>
          <w:rFonts w:cs="Calibri"/>
          <w:sz w:val="18"/>
          <w:szCs w:val="18"/>
          <w:lang w:val="en-US"/>
        </w:rPr>
        <w:t>.</w:t>
      </w:r>
    </w:p>
    <w:p w14:paraId="1BDE144C" w14:textId="77777777" w:rsidR="007B0DE4" w:rsidRPr="002433F3" w:rsidRDefault="007B0DE4" w:rsidP="007B0DE4">
      <w:pPr>
        <w:spacing w:before="120" w:after="120"/>
        <w:ind w:right="856"/>
        <w:rPr>
          <w:rFonts w:cs="Calibri"/>
          <w:sz w:val="18"/>
          <w:szCs w:val="18"/>
          <w:lang w:val="en-US"/>
        </w:rPr>
      </w:pPr>
    </w:p>
    <w:p w14:paraId="31BD6F3E" w14:textId="77777777" w:rsidR="007B0DE4" w:rsidRPr="002433F3" w:rsidRDefault="007B0DE4" w:rsidP="007B0DE4">
      <w:pPr>
        <w:numPr>
          <w:ilvl w:val="0"/>
          <w:numId w:val="2"/>
        </w:numPr>
        <w:spacing w:before="120" w:after="120"/>
        <w:rPr>
          <w:lang w:val="en-US"/>
        </w:rPr>
      </w:pPr>
      <w:r w:rsidRPr="002433F3">
        <w:rPr>
          <w:lang w:val="en-US"/>
        </w:rPr>
        <w:t>With re</w:t>
      </w:r>
      <w:r w:rsidR="00832E78" w:rsidRPr="002433F3">
        <w:rPr>
          <w:lang w:val="en-US"/>
        </w:rPr>
        <w:t xml:space="preserve">gard </w:t>
      </w:r>
      <w:r w:rsidRPr="002433F3">
        <w:rPr>
          <w:lang w:val="en-US"/>
        </w:rPr>
        <w:t xml:space="preserve">to </w:t>
      </w:r>
      <w:r w:rsidR="00832E78" w:rsidRPr="002433F3">
        <w:rPr>
          <w:lang w:val="en-US"/>
        </w:rPr>
        <w:t xml:space="preserve">affiliation to </w:t>
      </w:r>
      <w:r w:rsidRPr="002433F3">
        <w:rPr>
          <w:lang w:val="en-US"/>
        </w:rPr>
        <w:t>the General Social Security Health Services System</w:t>
      </w:r>
      <w:r w:rsidR="00832E78" w:rsidRPr="002433F3">
        <w:rPr>
          <w:lang w:val="en-US"/>
        </w:rPr>
        <w:t>,</w:t>
      </w:r>
      <w:r w:rsidRPr="002433F3">
        <w:rPr>
          <w:lang w:val="en-US"/>
        </w:rPr>
        <w:t xml:space="preserve"> Article 157 of Law 100 of 1993 establishes two types of </w:t>
      </w:r>
      <w:r w:rsidR="00133CEE" w:rsidRPr="002433F3">
        <w:rPr>
          <w:lang w:val="en-US"/>
        </w:rPr>
        <w:t>affiliates</w:t>
      </w:r>
      <w:r w:rsidR="00832E78" w:rsidRPr="002433F3">
        <w:rPr>
          <w:lang w:val="en-US"/>
        </w:rPr>
        <w:t xml:space="preserve">. The first group includes </w:t>
      </w:r>
      <w:r w:rsidRPr="002433F3">
        <w:rPr>
          <w:lang w:val="en-US"/>
        </w:rPr>
        <w:t xml:space="preserve">persons </w:t>
      </w:r>
      <w:r w:rsidR="00832E78" w:rsidRPr="002433F3">
        <w:rPr>
          <w:szCs w:val="20"/>
          <w:lang w:val="en-US"/>
        </w:rPr>
        <w:t>enrolled in the healthcare s</w:t>
      </w:r>
      <w:r w:rsidRPr="002433F3">
        <w:rPr>
          <w:szCs w:val="20"/>
          <w:lang w:val="en-US"/>
        </w:rPr>
        <w:t xml:space="preserve">ystem </w:t>
      </w:r>
      <w:r w:rsidR="00832E78" w:rsidRPr="002433F3">
        <w:rPr>
          <w:szCs w:val="20"/>
          <w:lang w:val="en-US"/>
        </w:rPr>
        <w:t xml:space="preserve">via </w:t>
      </w:r>
      <w:r w:rsidRPr="002433F3">
        <w:rPr>
          <w:szCs w:val="20"/>
          <w:lang w:val="en-US"/>
        </w:rPr>
        <w:t>a contribut</w:t>
      </w:r>
      <w:r w:rsidR="00670B39" w:rsidRPr="002433F3">
        <w:rPr>
          <w:szCs w:val="20"/>
          <w:lang w:val="en-US"/>
        </w:rPr>
        <w:t xml:space="preserve">ory </w:t>
      </w:r>
      <w:r w:rsidR="00632773" w:rsidRPr="002433F3">
        <w:rPr>
          <w:szCs w:val="20"/>
          <w:lang w:val="en-US"/>
        </w:rPr>
        <w:t>scheme</w:t>
      </w:r>
      <w:r w:rsidR="00832E78" w:rsidRPr="002433F3">
        <w:rPr>
          <w:szCs w:val="20"/>
          <w:lang w:val="en-US"/>
        </w:rPr>
        <w:t xml:space="preserve"> through</w:t>
      </w:r>
      <w:r w:rsidRPr="002433F3">
        <w:rPr>
          <w:szCs w:val="20"/>
          <w:lang w:val="en-US"/>
        </w:rPr>
        <w:t xml:space="preserve"> an employment contract, </w:t>
      </w:r>
      <w:r w:rsidR="00832E78" w:rsidRPr="002433F3">
        <w:rPr>
          <w:szCs w:val="20"/>
          <w:lang w:val="en-US"/>
        </w:rPr>
        <w:t xml:space="preserve">such as </w:t>
      </w:r>
      <w:r w:rsidRPr="002433F3">
        <w:rPr>
          <w:szCs w:val="20"/>
          <w:lang w:val="en-US"/>
        </w:rPr>
        <w:t>public servants, pensioners and retirees, and independent workers with the means to pay</w:t>
      </w:r>
      <w:r w:rsidRPr="002433F3">
        <w:rPr>
          <w:lang w:val="en-US"/>
        </w:rPr>
        <w:t>.</w:t>
      </w:r>
      <w:r w:rsidRPr="002433F3">
        <w:rPr>
          <w:rStyle w:val="Refdenotaalpie"/>
          <w:lang w:val="en-US"/>
        </w:rPr>
        <w:footnoteReference w:id="60"/>
      </w:r>
      <w:r w:rsidRPr="002433F3">
        <w:rPr>
          <w:lang w:val="en-US"/>
        </w:rPr>
        <w:t xml:space="preserve"> The </w:t>
      </w:r>
      <w:r w:rsidR="00832E78" w:rsidRPr="002433F3">
        <w:rPr>
          <w:lang w:val="en-US"/>
        </w:rPr>
        <w:t xml:space="preserve">second </w:t>
      </w:r>
      <w:r w:rsidRPr="002433F3">
        <w:rPr>
          <w:lang w:val="en-US"/>
        </w:rPr>
        <w:t xml:space="preserve">category consists of persons </w:t>
      </w:r>
      <w:r w:rsidR="00832E78" w:rsidRPr="002433F3">
        <w:rPr>
          <w:szCs w:val="20"/>
          <w:lang w:val="en-US"/>
        </w:rPr>
        <w:t>enrolled in the healthcare s</w:t>
      </w:r>
      <w:r w:rsidRPr="002433F3">
        <w:rPr>
          <w:szCs w:val="20"/>
          <w:lang w:val="en-US"/>
        </w:rPr>
        <w:t xml:space="preserve">ystem through the subsidized </w:t>
      </w:r>
      <w:r w:rsidR="00632773" w:rsidRPr="002433F3">
        <w:rPr>
          <w:szCs w:val="20"/>
          <w:lang w:val="en-US"/>
        </w:rPr>
        <w:t>scheme</w:t>
      </w:r>
      <w:r w:rsidR="00832E78" w:rsidRPr="002433F3">
        <w:rPr>
          <w:szCs w:val="20"/>
          <w:lang w:val="en-US"/>
        </w:rPr>
        <w:t>, including</w:t>
      </w:r>
      <w:r w:rsidRPr="002433F3">
        <w:rPr>
          <w:szCs w:val="20"/>
          <w:lang w:val="en-US"/>
        </w:rPr>
        <w:t xml:space="preserve"> </w:t>
      </w:r>
      <w:r w:rsidRPr="002433F3">
        <w:rPr>
          <w:lang w:val="en-US"/>
        </w:rPr>
        <w:t>the country’s poorest and most vulnerable groups, or persons who do not have the means to pay contributions.</w:t>
      </w:r>
      <w:r w:rsidRPr="002433F3">
        <w:rPr>
          <w:rStyle w:val="Refdenotaalpie"/>
          <w:lang w:val="en-US"/>
        </w:rPr>
        <w:footnoteReference w:id="61"/>
      </w:r>
      <w:r w:rsidRPr="002433F3">
        <w:rPr>
          <w:lang w:val="en-US"/>
        </w:rPr>
        <w:t xml:space="preserve"> In this </w:t>
      </w:r>
      <w:r w:rsidR="00832E78" w:rsidRPr="002433F3">
        <w:rPr>
          <w:lang w:val="en-US"/>
        </w:rPr>
        <w:t xml:space="preserve">second </w:t>
      </w:r>
      <w:r w:rsidRPr="002433F3">
        <w:rPr>
          <w:lang w:val="en-US"/>
        </w:rPr>
        <w:t xml:space="preserve">group, priority is given to the following: “mothers during pregnancy, birth </w:t>
      </w:r>
      <w:r w:rsidRPr="002433F3">
        <w:rPr>
          <w:rFonts w:cs="Arial"/>
          <w:lang w:val="en-US"/>
        </w:rPr>
        <w:t>and postpartum and during the nursing period, community mothers, mothers who are heads of household</w:t>
      </w:r>
      <w:r w:rsidR="00670B39" w:rsidRPr="002433F3">
        <w:rPr>
          <w:rFonts w:cs="Arial"/>
          <w:lang w:val="en-US"/>
        </w:rPr>
        <w:t>s</w:t>
      </w:r>
      <w:r w:rsidRPr="002433F3">
        <w:rPr>
          <w:rFonts w:cs="Arial"/>
          <w:lang w:val="en-US"/>
        </w:rPr>
        <w:t xml:space="preserve">, infants under one year, minors in irregular circumstances, those suffering from Hansen’s disease, persons over 65 years, disabled persons, </w:t>
      </w:r>
      <w:r w:rsidRPr="002433F3">
        <w:rPr>
          <w:rFonts w:cs="Arial"/>
          <w:i/>
          <w:lang w:val="en-US"/>
        </w:rPr>
        <w:t>campesinos</w:t>
      </w:r>
      <w:r w:rsidRPr="002433F3">
        <w:rPr>
          <w:rFonts w:cs="Arial"/>
          <w:lang w:val="en-US"/>
        </w:rPr>
        <w:t>, indigenous communities, independent workers and professionals, artists and sportspersons, bullfighters and their assistants, independent journalists, master craftsmen in construction work, bricklayers, taxi drivers, electricians, the unemployed and other persons who do not have the means to pay.”</w:t>
      </w:r>
      <w:r w:rsidRPr="002433F3">
        <w:rPr>
          <w:rStyle w:val="Refdenotaalpie"/>
          <w:lang w:val="en-US"/>
        </w:rPr>
        <w:footnoteReference w:id="62"/>
      </w:r>
      <w:r w:rsidRPr="002433F3">
        <w:rPr>
          <w:rFonts w:cs="Arial"/>
          <w:lang w:val="en-US"/>
        </w:rPr>
        <w:t xml:space="preserve"> </w:t>
      </w:r>
    </w:p>
    <w:p w14:paraId="4B6169E0" w14:textId="77777777" w:rsidR="007B0DE4" w:rsidRPr="002433F3" w:rsidRDefault="007B0DE4" w:rsidP="007B0DE4">
      <w:pPr>
        <w:numPr>
          <w:ilvl w:val="0"/>
          <w:numId w:val="2"/>
        </w:numPr>
        <w:spacing w:before="120" w:after="120"/>
        <w:rPr>
          <w:lang w:val="en-US"/>
        </w:rPr>
      </w:pPr>
      <w:r w:rsidRPr="002433F3">
        <w:rPr>
          <w:lang w:val="en-US"/>
        </w:rPr>
        <w:t xml:space="preserve">As for the health services available under each </w:t>
      </w:r>
      <w:r w:rsidR="00832E78" w:rsidRPr="002433F3">
        <w:rPr>
          <w:lang w:val="en-US"/>
        </w:rPr>
        <w:t>scheme</w:t>
      </w:r>
      <w:r w:rsidRPr="002433F3">
        <w:rPr>
          <w:lang w:val="en-US"/>
        </w:rPr>
        <w:t>, Article 162 of Law 100 of 1993 provides the following:</w:t>
      </w:r>
      <w:r w:rsidRPr="002433F3">
        <w:rPr>
          <w:rStyle w:val="Refdenotaalpie"/>
          <w:lang w:val="en-US"/>
        </w:rPr>
        <w:footnoteReference w:id="63"/>
      </w:r>
    </w:p>
    <w:p w14:paraId="732793BC" w14:textId="77777777" w:rsidR="007B0DE4" w:rsidRPr="002433F3" w:rsidRDefault="007B0DE4" w:rsidP="007B0DE4">
      <w:pPr>
        <w:spacing w:before="120" w:after="120"/>
        <w:ind w:right="856"/>
        <w:rPr>
          <w:rFonts w:cs="Calibri"/>
          <w:sz w:val="18"/>
          <w:szCs w:val="18"/>
          <w:lang w:val="en-US"/>
        </w:rPr>
      </w:pPr>
      <w:r w:rsidRPr="002433F3">
        <w:rPr>
          <w:rFonts w:cs="Calibri"/>
          <w:sz w:val="18"/>
          <w:szCs w:val="18"/>
          <w:lang w:val="en-US"/>
        </w:rPr>
        <w:t>For members who contribute under the rules of the contribut</w:t>
      </w:r>
      <w:r w:rsidR="00670B39" w:rsidRPr="002433F3">
        <w:rPr>
          <w:rFonts w:cs="Calibri"/>
          <w:sz w:val="18"/>
          <w:szCs w:val="18"/>
          <w:lang w:val="en-US"/>
        </w:rPr>
        <w:t xml:space="preserve">ory </w:t>
      </w:r>
      <w:r w:rsidR="00632773" w:rsidRPr="002433F3">
        <w:rPr>
          <w:rFonts w:cs="Calibri"/>
          <w:sz w:val="18"/>
          <w:szCs w:val="18"/>
          <w:lang w:val="en-US"/>
        </w:rPr>
        <w:t>scheme</w:t>
      </w:r>
      <w:r w:rsidRPr="002433F3">
        <w:rPr>
          <w:rFonts w:cs="Calibri"/>
          <w:sz w:val="18"/>
          <w:szCs w:val="18"/>
          <w:lang w:val="en-US"/>
        </w:rPr>
        <w:t xml:space="preserve">, the content of the Mandatory Health Plan defined by the National </w:t>
      </w:r>
      <w:r w:rsidR="00887118" w:rsidRPr="002433F3">
        <w:rPr>
          <w:rFonts w:cs="Calibri"/>
          <w:sz w:val="18"/>
          <w:szCs w:val="18"/>
          <w:lang w:val="en-US"/>
        </w:rPr>
        <w:t xml:space="preserve">Social Security </w:t>
      </w:r>
      <w:r w:rsidRPr="002433F3">
        <w:rPr>
          <w:rFonts w:cs="Calibri"/>
          <w:sz w:val="18"/>
          <w:szCs w:val="18"/>
          <w:lang w:val="en-US"/>
        </w:rPr>
        <w:t xml:space="preserve">Health </w:t>
      </w:r>
      <w:r w:rsidR="00887118" w:rsidRPr="002433F3">
        <w:rPr>
          <w:rFonts w:cs="Calibri"/>
          <w:sz w:val="18"/>
          <w:szCs w:val="18"/>
          <w:lang w:val="en-US"/>
        </w:rPr>
        <w:t>S</w:t>
      </w:r>
      <w:r w:rsidR="004612F9" w:rsidRPr="002433F3">
        <w:rPr>
          <w:rFonts w:cs="Calibri"/>
          <w:sz w:val="18"/>
          <w:szCs w:val="18"/>
          <w:lang w:val="en-US"/>
        </w:rPr>
        <w:t xml:space="preserve">ervices Council </w:t>
      </w:r>
      <w:r w:rsidRPr="002433F3">
        <w:rPr>
          <w:rFonts w:cs="Calibri"/>
          <w:sz w:val="18"/>
          <w:szCs w:val="18"/>
          <w:lang w:val="en-US"/>
        </w:rPr>
        <w:t xml:space="preserve">shall be as described in Decree-Law 1650 of 1977 and its regulations, including the supply of essential medications in generic form. For other beneficiaries of the contributor’s family, the Mandatory </w:t>
      </w:r>
      <w:r w:rsidRPr="002433F3">
        <w:rPr>
          <w:rFonts w:cs="Calibri"/>
          <w:sz w:val="18"/>
          <w:szCs w:val="18"/>
          <w:lang w:val="en-US"/>
        </w:rPr>
        <w:lastRenderedPageBreak/>
        <w:t xml:space="preserve">Health Plan shall be similar to </w:t>
      </w:r>
      <w:r w:rsidR="00575633" w:rsidRPr="002433F3">
        <w:rPr>
          <w:rFonts w:cs="Calibri"/>
          <w:sz w:val="18"/>
          <w:szCs w:val="18"/>
          <w:lang w:val="en-US"/>
        </w:rPr>
        <w:t>that described previously</w:t>
      </w:r>
      <w:r w:rsidRPr="002433F3">
        <w:rPr>
          <w:rFonts w:cs="Calibri"/>
          <w:sz w:val="18"/>
          <w:szCs w:val="18"/>
          <w:lang w:val="en-US"/>
        </w:rPr>
        <w:t xml:space="preserve">, </w:t>
      </w:r>
      <w:r w:rsidRPr="002433F3">
        <w:rPr>
          <w:sz w:val="18"/>
          <w:szCs w:val="18"/>
          <w:lang w:val="en-US"/>
        </w:rPr>
        <w:t>but additional sums shall be required</w:t>
      </w:r>
      <w:r w:rsidRPr="002433F3">
        <w:rPr>
          <w:rFonts w:cs="Calibri"/>
          <w:sz w:val="18"/>
          <w:szCs w:val="18"/>
          <w:lang w:val="en-US"/>
        </w:rPr>
        <w:t xml:space="preserve">, especially at the primary care level, </w:t>
      </w:r>
      <w:r w:rsidR="00575633" w:rsidRPr="002433F3">
        <w:rPr>
          <w:rFonts w:cs="Calibri"/>
          <w:sz w:val="18"/>
          <w:szCs w:val="18"/>
          <w:lang w:val="en-US"/>
        </w:rPr>
        <w:t xml:space="preserve">in the terms of </w:t>
      </w:r>
      <w:r w:rsidRPr="002433F3">
        <w:rPr>
          <w:rFonts w:cs="Calibri"/>
          <w:sz w:val="18"/>
          <w:szCs w:val="18"/>
          <w:lang w:val="en-US"/>
        </w:rPr>
        <w:t>Article 188 of this law.</w:t>
      </w:r>
    </w:p>
    <w:p w14:paraId="505B7993" w14:textId="77777777" w:rsidR="007B0DE4" w:rsidRPr="002433F3" w:rsidRDefault="007B0DE4" w:rsidP="007B0DE4">
      <w:pPr>
        <w:spacing w:before="120" w:after="120"/>
        <w:ind w:right="856"/>
        <w:rPr>
          <w:rFonts w:cs="Calibri"/>
          <w:sz w:val="18"/>
          <w:szCs w:val="18"/>
          <w:lang w:val="en-US"/>
        </w:rPr>
      </w:pPr>
      <w:r w:rsidRPr="002433F3">
        <w:rPr>
          <w:rFonts w:cs="Calibri"/>
          <w:sz w:val="18"/>
          <w:szCs w:val="18"/>
          <w:lang w:val="en-US"/>
        </w:rPr>
        <w:t xml:space="preserve">For </w:t>
      </w:r>
      <w:r w:rsidR="00EE47B5" w:rsidRPr="002433F3">
        <w:rPr>
          <w:rFonts w:cs="Calibri"/>
          <w:sz w:val="18"/>
          <w:szCs w:val="18"/>
          <w:lang w:val="en-US"/>
        </w:rPr>
        <w:t xml:space="preserve">affiliates enrolled </w:t>
      </w:r>
      <w:r w:rsidRPr="002433F3">
        <w:rPr>
          <w:rFonts w:cs="Calibri"/>
          <w:sz w:val="18"/>
          <w:szCs w:val="18"/>
          <w:lang w:val="en-US"/>
        </w:rPr>
        <w:t xml:space="preserve">under the subsidized </w:t>
      </w:r>
      <w:r w:rsidR="00632773" w:rsidRPr="002433F3">
        <w:rPr>
          <w:rFonts w:cs="Calibri"/>
          <w:sz w:val="18"/>
          <w:szCs w:val="18"/>
          <w:lang w:val="en-US"/>
        </w:rPr>
        <w:t>scheme</w:t>
      </w:r>
      <w:r w:rsidRPr="002433F3">
        <w:rPr>
          <w:rFonts w:cs="Calibri"/>
          <w:sz w:val="18"/>
          <w:szCs w:val="18"/>
          <w:lang w:val="en-US"/>
        </w:rPr>
        <w:t xml:space="preserve">, the </w:t>
      </w:r>
      <w:r w:rsidRPr="002433F3">
        <w:rPr>
          <w:sz w:val="18"/>
          <w:szCs w:val="18"/>
          <w:lang w:val="en-US"/>
        </w:rPr>
        <w:t xml:space="preserve">National Social Security Health Services Council shall devise a program so that by the year 2001 these beneficiaries </w:t>
      </w:r>
      <w:r w:rsidR="0064564A" w:rsidRPr="002433F3">
        <w:rPr>
          <w:sz w:val="18"/>
          <w:szCs w:val="18"/>
          <w:lang w:val="en-US"/>
        </w:rPr>
        <w:t xml:space="preserve">will </w:t>
      </w:r>
      <w:r w:rsidRPr="002433F3">
        <w:rPr>
          <w:sz w:val="18"/>
          <w:szCs w:val="18"/>
          <w:lang w:val="en-US"/>
        </w:rPr>
        <w:t xml:space="preserve">gradually reach the contribution-based </w:t>
      </w:r>
      <w:r w:rsidR="00632773" w:rsidRPr="002433F3">
        <w:rPr>
          <w:sz w:val="18"/>
          <w:szCs w:val="18"/>
          <w:lang w:val="en-US"/>
        </w:rPr>
        <w:t>scheme</w:t>
      </w:r>
      <w:r w:rsidRPr="002433F3">
        <w:rPr>
          <w:sz w:val="18"/>
          <w:szCs w:val="18"/>
          <w:lang w:val="en-US"/>
        </w:rPr>
        <w:t xml:space="preserve">’s Mandatory Plan. At the outset, the plan will feature primary health </w:t>
      </w:r>
      <w:r w:rsidR="004612F9" w:rsidRPr="002433F3">
        <w:rPr>
          <w:sz w:val="18"/>
          <w:szCs w:val="18"/>
          <w:lang w:val="en-US"/>
        </w:rPr>
        <w:t xml:space="preserve">care </w:t>
      </w:r>
      <w:r w:rsidRPr="002433F3">
        <w:rPr>
          <w:sz w:val="18"/>
          <w:szCs w:val="18"/>
          <w:lang w:val="en-US"/>
        </w:rPr>
        <w:t>services equivalent to 50% of the per capita unit of payment under the contribut</w:t>
      </w:r>
      <w:r w:rsidR="0064564A" w:rsidRPr="002433F3">
        <w:rPr>
          <w:sz w:val="18"/>
          <w:szCs w:val="18"/>
          <w:lang w:val="en-US"/>
        </w:rPr>
        <w:t xml:space="preserve">ory </w:t>
      </w:r>
      <w:r w:rsidR="00632773" w:rsidRPr="002433F3">
        <w:rPr>
          <w:sz w:val="18"/>
          <w:szCs w:val="18"/>
          <w:lang w:val="en-US"/>
        </w:rPr>
        <w:t>scheme</w:t>
      </w:r>
      <w:r w:rsidRPr="002433F3">
        <w:rPr>
          <w:sz w:val="18"/>
          <w:szCs w:val="18"/>
          <w:lang w:val="en-US"/>
        </w:rPr>
        <w:t>. Secondary and tertiary care shall be gradually added to the plan based on the</w:t>
      </w:r>
      <w:r w:rsidR="00A72430" w:rsidRPr="002433F3">
        <w:rPr>
          <w:sz w:val="18"/>
          <w:szCs w:val="18"/>
          <w:lang w:val="en-US"/>
        </w:rPr>
        <w:t>ir</w:t>
      </w:r>
      <w:r w:rsidRPr="002433F3">
        <w:rPr>
          <w:sz w:val="18"/>
          <w:szCs w:val="18"/>
          <w:lang w:val="en-US"/>
        </w:rPr>
        <w:t xml:space="preserve"> contribution</w:t>
      </w:r>
      <w:r w:rsidR="004612F9" w:rsidRPr="002433F3">
        <w:rPr>
          <w:sz w:val="18"/>
          <w:szCs w:val="18"/>
          <w:lang w:val="en-US"/>
        </w:rPr>
        <w:t>s</w:t>
      </w:r>
      <w:r w:rsidRPr="002433F3">
        <w:rPr>
          <w:sz w:val="18"/>
          <w:szCs w:val="18"/>
          <w:lang w:val="en-US"/>
        </w:rPr>
        <w:t xml:space="preserve"> to years of healthy living.</w:t>
      </w:r>
    </w:p>
    <w:p w14:paraId="6053D3FE" w14:textId="77777777" w:rsidR="007B0DE4" w:rsidRPr="002433F3" w:rsidRDefault="007B0DE4" w:rsidP="007B0DE4">
      <w:pPr>
        <w:pStyle w:val="Ttulo2"/>
        <w:keepLines w:val="0"/>
        <w:numPr>
          <w:ilvl w:val="0"/>
          <w:numId w:val="8"/>
        </w:numPr>
        <w:spacing w:before="280" w:after="280"/>
        <w:ind w:left="714" w:hanging="357"/>
        <w:rPr>
          <w:rFonts w:cs="Tahoma"/>
          <w:noProof w:val="0"/>
          <w:lang w:val="en-US"/>
        </w:rPr>
      </w:pPr>
      <w:bookmarkStart w:id="103" w:name="_Toc448482259"/>
      <w:r w:rsidRPr="002433F3">
        <w:rPr>
          <w:rFonts w:cs="Tahoma"/>
          <w:noProof w:val="0"/>
          <w:lang w:val="en-US"/>
        </w:rPr>
        <w:t>Tutela actions filed to request recognition of the survivor’s pension</w:t>
      </w:r>
      <w:bookmarkEnd w:id="103"/>
      <w:r w:rsidRPr="002433F3">
        <w:rPr>
          <w:rFonts w:cs="Tahoma"/>
          <w:noProof w:val="0"/>
          <w:lang w:val="en-US"/>
        </w:rPr>
        <w:t xml:space="preserve"> </w:t>
      </w:r>
    </w:p>
    <w:p w14:paraId="0AF89E14" w14:textId="77777777" w:rsidR="007B0DE4" w:rsidRPr="002433F3" w:rsidRDefault="0064564A" w:rsidP="007B0DE4">
      <w:pPr>
        <w:numPr>
          <w:ilvl w:val="0"/>
          <w:numId w:val="2"/>
        </w:numPr>
        <w:spacing w:before="120" w:after="120"/>
        <w:rPr>
          <w:lang w:val="en-US"/>
        </w:rPr>
      </w:pPr>
      <w:r w:rsidRPr="002433F3">
        <w:rPr>
          <w:lang w:val="en-US"/>
        </w:rPr>
        <w:t>I</w:t>
      </w:r>
      <w:r w:rsidR="007B0DE4" w:rsidRPr="002433F3">
        <w:rPr>
          <w:lang w:val="en-US"/>
        </w:rPr>
        <w:t xml:space="preserve">n view of the negative response </w:t>
      </w:r>
      <w:r w:rsidRPr="002433F3">
        <w:rPr>
          <w:lang w:val="en-US"/>
        </w:rPr>
        <w:t xml:space="preserve">he </w:t>
      </w:r>
      <w:r w:rsidR="007B0DE4" w:rsidRPr="002433F3">
        <w:rPr>
          <w:lang w:val="en-US"/>
        </w:rPr>
        <w:t xml:space="preserve">received from COLFONDOS, </w:t>
      </w:r>
      <w:r w:rsidRPr="002433F3">
        <w:rPr>
          <w:lang w:val="en-US"/>
        </w:rPr>
        <w:t xml:space="preserve">on April 26, 2002, </w:t>
      </w:r>
      <w:r w:rsidR="007B0DE4" w:rsidRPr="002433F3">
        <w:rPr>
          <w:lang w:val="en-US"/>
        </w:rPr>
        <w:t xml:space="preserve">Mr. Duque filed a </w:t>
      </w:r>
      <w:r w:rsidR="007B0DE4" w:rsidRPr="002433F3">
        <w:rPr>
          <w:i/>
          <w:lang w:val="en-US"/>
        </w:rPr>
        <w:t>tutela</w:t>
      </w:r>
      <w:r w:rsidR="007B0DE4" w:rsidRPr="002433F3">
        <w:rPr>
          <w:lang w:val="en-US"/>
        </w:rPr>
        <w:t xml:space="preserve"> action to have his right to the survivor’s pension recognized and </w:t>
      </w:r>
      <w:r w:rsidR="00D177BC" w:rsidRPr="002433F3">
        <w:rPr>
          <w:lang w:val="en-US"/>
        </w:rPr>
        <w:t>requested that this</w:t>
      </w:r>
      <w:r w:rsidR="007B0DE4" w:rsidRPr="002433F3">
        <w:rPr>
          <w:lang w:val="en-US"/>
        </w:rPr>
        <w:t xml:space="preserve"> pension be paid as a temporary measure while a legal action was brought.</w:t>
      </w:r>
      <w:r w:rsidR="007B0DE4" w:rsidRPr="002433F3">
        <w:rPr>
          <w:rStyle w:val="Refdenotaalpie"/>
          <w:lang w:val="en-US"/>
        </w:rPr>
        <w:footnoteReference w:id="64"/>
      </w:r>
      <w:r w:rsidR="007B0DE4" w:rsidRPr="002433F3">
        <w:rPr>
          <w:lang w:val="en-US"/>
        </w:rPr>
        <w:t xml:space="preserve"> Mr. Du</w:t>
      </w:r>
      <w:r w:rsidR="00D177BC" w:rsidRPr="002433F3">
        <w:rPr>
          <w:lang w:val="en-US"/>
        </w:rPr>
        <w:t xml:space="preserve">que listed the following as </w:t>
      </w:r>
      <w:r w:rsidR="007B0DE4" w:rsidRPr="002433F3">
        <w:rPr>
          <w:lang w:val="en-US"/>
        </w:rPr>
        <w:t xml:space="preserve">grounds for his </w:t>
      </w:r>
      <w:r w:rsidR="007B0DE4" w:rsidRPr="002433F3">
        <w:rPr>
          <w:i/>
          <w:lang w:val="en-US"/>
        </w:rPr>
        <w:t>tutela</w:t>
      </w:r>
      <w:r w:rsidR="007B0DE4" w:rsidRPr="002433F3">
        <w:rPr>
          <w:lang w:val="en-US"/>
        </w:rPr>
        <w:t xml:space="preserve"> action: he was Mr. </w:t>
      </w:r>
      <w:r w:rsidR="00FE2202" w:rsidRPr="002433F3">
        <w:rPr>
          <w:lang w:val="en-US"/>
        </w:rPr>
        <w:t>JOJG</w:t>
      </w:r>
      <w:r w:rsidR="00D177BC" w:rsidRPr="002433F3">
        <w:rPr>
          <w:lang w:val="en-US"/>
        </w:rPr>
        <w:t>’s partner</w:t>
      </w:r>
      <w:r w:rsidR="007B0DE4" w:rsidRPr="002433F3">
        <w:rPr>
          <w:lang w:val="en-US"/>
        </w:rPr>
        <w:t xml:space="preserve">; he had no income of his own; he was living with HIV and was receiving </w:t>
      </w:r>
      <w:r w:rsidR="00B26B23" w:rsidRPr="002433F3">
        <w:rPr>
          <w:lang w:val="en-US"/>
        </w:rPr>
        <w:t>antiretroviral</w:t>
      </w:r>
      <w:r w:rsidR="007B0DE4" w:rsidRPr="002433F3">
        <w:rPr>
          <w:lang w:val="en-US"/>
        </w:rPr>
        <w:t xml:space="preserve"> treatmen</w:t>
      </w:r>
      <w:r w:rsidR="00D177BC" w:rsidRPr="002433F3">
        <w:rPr>
          <w:lang w:val="en-US"/>
        </w:rPr>
        <w:t xml:space="preserve">t, which could not be suspended; </w:t>
      </w:r>
      <w:r w:rsidR="007B0DE4" w:rsidRPr="002433F3">
        <w:rPr>
          <w:lang w:val="en-US"/>
        </w:rPr>
        <w:t xml:space="preserve">that </w:t>
      </w:r>
      <w:r w:rsidR="00D177BC" w:rsidRPr="002433F3">
        <w:rPr>
          <w:lang w:val="en-US"/>
        </w:rPr>
        <w:t xml:space="preserve">because of </w:t>
      </w:r>
      <w:r w:rsidR="007B0DE4" w:rsidRPr="002433F3">
        <w:rPr>
          <w:lang w:val="en-US"/>
        </w:rPr>
        <w:t xml:space="preserve">his partner’s death he would lose his </w:t>
      </w:r>
      <w:r w:rsidRPr="002433F3">
        <w:rPr>
          <w:lang w:val="en-US"/>
        </w:rPr>
        <w:t>affiliation to</w:t>
      </w:r>
      <w:r w:rsidR="00D177BC" w:rsidRPr="002433F3">
        <w:rPr>
          <w:lang w:val="en-US"/>
        </w:rPr>
        <w:t xml:space="preserve"> the </w:t>
      </w:r>
      <w:r w:rsidRPr="002433F3">
        <w:rPr>
          <w:lang w:val="en-US"/>
        </w:rPr>
        <w:t>health</w:t>
      </w:r>
      <w:r w:rsidR="00D177BC" w:rsidRPr="002433F3">
        <w:rPr>
          <w:lang w:val="en-US"/>
        </w:rPr>
        <w:t>care provider, but</w:t>
      </w:r>
      <w:r w:rsidR="007B0DE4" w:rsidRPr="002433F3">
        <w:rPr>
          <w:lang w:val="en-US"/>
        </w:rPr>
        <w:t xml:space="preserve"> by </w:t>
      </w:r>
      <w:r w:rsidR="00D177BC" w:rsidRPr="002433F3">
        <w:rPr>
          <w:lang w:val="en-US"/>
        </w:rPr>
        <w:t xml:space="preserve">obtaining </w:t>
      </w:r>
      <w:r w:rsidR="007B0DE4" w:rsidRPr="002433F3">
        <w:rPr>
          <w:lang w:val="en-US"/>
        </w:rPr>
        <w:t xml:space="preserve">the survivor’s pension, he would have access to </w:t>
      </w:r>
      <w:r w:rsidR="00D177BC" w:rsidRPr="002433F3">
        <w:rPr>
          <w:lang w:val="en-US"/>
        </w:rPr>
        <w:t>the medical treatment he needed for</w:t>
      </w:r>
      <w:r w:rsidR="007B0DE4" w:rsidRPr="002433F3">
        <w:rPr>
          <w:lang w:val="en-US"/>
        </w:rPr>
        <w:t xml:space="preserve"> his health condition.</w:t>
      </w:r>
      <w:r w:rsidR="007B0DE4" w:rsidRPr="002433F3">
        <w:rPr>
          <w:rStyle w:val="Refdenotaalpie"/>
          <w:lang w:val="en-US"/>
        </w:rPr>
        <w:footnoteReference w:id="65"/>
      </w:r>
      <w:r w:rsidR="007B0DE4" w:rsidRPr="002433F3">
        <w:rPr>
          <w:lang w:val="en-US"/>
        </w:rPr>
        <w:t xml:space="preserve"> Mr. Duque also a</w:t>
      </w:r>
      <w:r w:rsidR="000E5DAB" w:rsidRPr="002433F3">
        <w:rPr>
          <w:lang w:val="en-US"/>
        </w:rPr>
        <w:t xml:space="preserve">lleged </w:t>
      </w:r>
      <w:r w:rsidR="007B0DE4" w:rsidRPr="002433F3">
        <w:rPr>
          <w:lang w:val="en-US"/>
        </w:rPr>
        <w:t xml:space="preserve">that </w:t>
      </w:r>
      <w:r w:rsidR="000E5DAB" w:rsidRPr="002433F3">
        <w:rPr>
          <w:lang w:val="en-US"/>
        </w:rPr>
        <w:t xml:space="preserve">a refusal to recognize his right </w:t>
      </w:r>
      <w:r w:rsidR="007B0DE4" w:rsidRPr="002433F3">
        <w:rPr>
          <w:lang w:val="en-US"/>
        </w:rPr>
        <w:t xml:space="preserve">to a substitute pension would violate </w:t>
      </w:r>
      <w:r w:rsidRPr="002433F3">
        <w:rPr>
          <w:lang w:val="en-US"/>
        </w:rPr>
        <w:t>the</w:t>
      </w:r>
      <w:r w:rsidR="000E5DAB" w:rsidRPr="002433F3">
        <w:rPr>
          <w:lang w:val="en-US"/>
        </w:rPr>
        <w:t xml:space="preserve"> </w:t>
      </w:r>
      <w:r w:rsidR="007B0DE4" w:rsidRPr="002433F3">
        <w:rPr>
          <w:lang w:val="en-US"/>
        </w:rPr>
        <w:t>right</w:t>
      </w:r>
      <w:r w:rsidRPr="002433F3">
        <w:rPr>
          <w:lang w:val="en-US"/>
        </w:rPr>
        <w:t>s</w:t>
      </w:r>
      <w:r w:rsidR="007B0DE4" w:rsidRPr="002433F3">
        <w:rPr>
          <w:lang w:val="en-US"/>
        </w:rPr>
        <w:t xml:space="preserve"> to life, to equality, to constitute a family, to free development of </w:t>
      </w:r>
      <w:r w:rsidR="000E5DAB" w:rsidRPr="002433F3">
        <w:rPr>
          <w:lang w:val="en-US"/>
        </w:rPr>
        <w:t xml:space="preserve">one’s </w:t>
      </w:r>
      <w:r w:rsidR="007B0DE4" w:rsidRPr="002433F3">
        <w:rPr>
          <w:lang w:val="en-US"/>
        </w:rPr>
        <w:t xml:space="preserve">personality, </w:t>
      </w:r>
      <w:r w:rsidRPr="002433F3">
        <w:rPr>
          <w:lang w:val="en-US"/>
        </w:rPr>
        <w:t>to social security, as well as t</w:t>
      </w:r>
      <w:r w:rsidR="007B0DE4" w:rsidRPr="002433F3">
        <w:rPr>
          <w:lang w:val="en-US"/>
        </w:rPr>
        <w:t xml:space="preserve">he prohibition against degrading treatment, </w:t>
      </w:r>
      <w:r w:rsidR="000E5DAB" w:rsidRPr="002433F3">
        <w:rPr>
          <w:lang w:val="en-US"/>
        </w:rPr>
        <w:t xml:space="preserve">and the right to </w:t>
      </w:r>
      <w:r w:rsidR="007B0DE4" w:rsidRPr="002433F3">
        <w:rPr>
          <w:lang w:val="en-US"/>
        </w:rPr>
        <w:t>freedom of conscience, cultural diversity and human dignity.</w:t>
      </w:r>
      <w:r w:rsidR="007B0DE4" w:rsidRPr="002433F3">
        <w:rPr>
          <w:rStyle w:val="Refdenotaalpie"/>
          <w:lang w:val="en-US"/>
        </w:rPr>
        <w:footnoteReference w:id="66"/>
      </w:r>
    </w:p>
    <w:p w14:paraId="7ED520D5" w14:textId="77777777" w:rsidR="007B0DE4" w:rsidRPr="002433F3" w:rsidRDefault="00CA71A7" w:rsidP="007B0DE4">
      <w:pPr>
        <w:numPr>
          <w:ilvl w:val="0"/>
          <w:numId w:val="2"/>
        </w:numPr>
        <w:spacing w:before="120" w:after="120"/>
        <w:rPr>
          <w:lang w:val="en-US"/>
        </w:rPr>
      </w:pPr>
      <w:r w:rsidRPr="002433F3">
        <w:rPr>
          <w:lang w:val="en-US"/>
        </w:rPr>
        <w:t>On June 5, 2002, t</w:t>
      </w:r>
      <w:r w:rsidR="007B0DE4" w:rsidRPr="002433F3">
        <w:rPr>
          <w:lang w:val="en-US"/>
        </w:rPr>
        <w:t>he Tenth Mu</w:t>
      </w:r>
      <w:r w:rsidR="007115D3" w:rsidRPr="002433F3">
        <w:rPr>
          <w:lang w:val="en-US"/>
        </w:rPr>
        <w:t xml:space="preserve">nicipal Civil Court of Bogotá dismissed </w:t>
      </w:r>
      <w:r w:rsidR="007B0DE4" w:rsidRPr="002433F3">
        <w:rPr>
          <w:lang w:val="en-US"/>
        </w:rPr>
        <w:t xml:space="preserve">the </w:t>
      </w:r>
      <w:r w:rsidR="007B0DE4" w:rsidRPr="002433F3">
        <w:rPr>
          <w:i/>
          <w:lang w:val="en-US"/>
        </w:rPr>
        <w:t>tutela</w:t>
      </w:r>
      <w:r w:rsidR="007B0DE4" w:rsidRPr="002433F3">
        <w:rPr>
          <w:lang w:val="en-US"/>
        </w:rPr>
        <w:t xml:space="preserve"> action </w:t>
      </w:r>
      <w:r w:rsidR="0064564A" w:rsidRPr="002433F3">
        <w:rPr>
          <w:lang w:val="en-US"/>
        </w:rPr>
        <w:t xml:space="preserve">filed </w:t>
      </w:r>
      <w:r w:rsidRPr="002433F3">
        <w:rPr>
          <w:lang w:val="en-US"/>
        </w:rPr>
        <w:t xml:space="preserve">by Mr. Duque, </w:t>
      </w:r>
      <w:r w:rsidR="007B0DE4" w:rsidRPr="002433F3">
        <w:rPr>
          <w:lang w:val="en-US"/>
        </w:rPr>
        <w:t>stating th</w:t>
      </w:r>
      <w:r w:rsidRPr="002433F3">
        <w:rPr>
          <w:lang w:val="en-US"/>
        </w:rPr>
        <w:t>at</w:t>
      </w:r>
      <w:r w:rsidR="007B0DE4" w:rsidRPr="002433F3">
        <w:rPr>
          <w:lang w:val="en-US"/>
        </w:rPr>
        <w:t>:</w:t>
      </w:r>
      <w:r w:rsidR="007B0DE4" w:rsidRPr="002433F3">
        <w:rPr>
          <w:rStyle w:val="Refdenotaalpie"/>
          <w:lang w:val="en-US"/>
        </w:rPr>
        <w:footnoteReference w:id="67"/>
      </w:r>
    </w:p>
    <w:p w14:paraId="515974BA" w14:textId="77777777" w:rsidR="007B0DE4" w:rsidRPr="002433F3" w:rsidRDefault="007B0DE4" w:rsidP="007B0DE4">
      <w:pPr>
        <w:tabs>
          <w:tab w:val="left" w:pos="720"/>
        </w:tabs>
        <w:spacing w:before="120" w:after="120"/>
        <w:ind w:right="856"/>
        <w:rPr>
          <w:rFonts w:cs="Calibri"/>
          <w:sz w:val="18"/>
          <w:szCs w:val="18"/>
          <w:lang w:val="en-US"/>
        </w:rPr>
      </w:pPr>
      <w:r w:rsidRPr="002433F3">
        <w:rPr>
          <w:rFonts w:cs="Calibri"/>
          <w:sz w:val="18"/>
          <w:szCs w:val="18"/>
          <w:lang w:val="en-US"/>
        </w:rPr>
        <w:t>[…] the petitioner</w:t>
      </w:r>
      <w:r w:rsidR="00CA71A7" w:rsidRPr="002433F3">
        <w:rPr>
          <w:rFonts w:cs="Calibri"/>
          <w:sz w:val="18"/>
          <w:szCs w:val="18"/>
          <w:lang w:val="en-US"/>
        </w:rPr>
        <w:t xml:space="preserve"> </w:t>
      </w:r>
      <w:r w:rsidRPr="002433F3">
        <w:rPr>
          <w:sz w:val="18"/>
          <w:szCs w:val="18"/>
          <w:lang w:val="en-US"/>
        </w:rPr>
        <w:t xml:space="preserve">does not meet the requirements that the law prescribes to be the beneficiary of a survivor’s pension and no legal provision or case law has recognized this right in the case of homosexual couples; this is a fact of life, yet homosexual couples are waiting for the day when lawmakers legislate this right into law, as they did in the case of </w:t>
      </w:r>
      <w:r w:rsidRPr="002433F3">
        <w:rPr>
          <w:i/>
          <w:iCs/>
          <w:sz w:val="18"/>
          <w:szCs w:val="18"/>
          <w:lang w:val="en-US"/>
        </w:rPr>
        <w:t xml:space="preserve">de facto </w:t>
      </w:r>
      <w:r w:rsidRPr="002433F3">
        <w:rPr>
          <w:sz w:val="18"/>
          <w:szCs w:val="18"/>
          <w:lang w:val="en-US"/>
        </w:rPr>
        <w:t>marital unions</w:t>
      </w:r>
      <w:r w:rsidRPr="002433F3">
        <w:rPr>
          <w:rFonts w:cs="Calibri"/>
          <w:sz w:val="18"/>
          <w:szCs w:val="18"/>
          <w:lang w:val="en-US"/>
        </w:rPr>
        <w:t>.</w:t>
      </w:r>
    </w:p>
    <w:p w14:paraId="6FDFEC64" w14:textId="77777777" w:rsidR="007B0DE4" w:rsidRPr="002433F3" w:rsidRDefault="007B0DE4" w:rsidP="007B0DE4">
      <w:pPr>
        <w:tabs>
          <w:tab w:val="left" w:pos="720"/>
        </w:tabs>
        <w:spacing w:before="120" w:after="120"/>
        <w:ind w:right="856"/>
        <w:rPr>
          <w:rFonts w:cs="Arial"/>
          <w:sz w:val="18"/>
          <w:szCs w:val="18"/>
          <w:lang w:val="en-US" w:eastAsia="es-CR"/>
        </w:rPr>
      </w:pPr>
      <w:r w:rsidRPr="002433F3">
        <w:rPr>
          <w:rFonts w:cs="Calibri"/>
          <w:sz w:val="18"/>
          <w:szCs w:val="18"/>
          <w:lang w:val="en-US"/>
        </w:rPr>
        <w:t>[...]</w:t>
      </w:r>
      <w:r w:rsidR="007115D3" w:rsidRPr="002433F3">
        <w:rPr>
          <w:rFonts w:cs="Calibri"/>
          <w:sz w:val="18"/>
          <w:szCs w:val="18"/>
          <w:lang w:val="en-US"/>
        </w:rPr>
        <w:t xml:space="preserve"> </w:t>
      </w:r>
      <w:r w:rsidRPr="002433F3">
        <w:rPr>
          <w:sz w:val="18"/>
          <w:szCs w:val="18"/>
          <w:lang w:val="en-US"/>
        </w:rPr>
        <w:t xml:space="preserve">the Court concludes, therefore, that the action is </w:t>
      </w:r>
      <w:r w:rsidR="007115D3" w:rsidRPr="002433F3">
        <w:rPr>
          <w:sz w:val="18"/>
          <w:szCs w:val="18"/>
          <w:lang w:val="en-US"/>
        </w:rPr>
        <w:t>inadmissible for that</w:t>
      </w:r>
      <w:r w:rsidRPr="002433F3">
        <w:rPr>
          <w:sz w:val="18"/>
          <w:szCs w:val="18"/>
          <w:lang w:val="en-US"/>
        </w:rPr>
        <w:t xml:space="preserve"> reason and </w:t>
      </w:r>
      <w:r w:rsidR="007115D3" w:rsidRPr="002433F3">
        <w:rPr>
          <w:sz w:val="18"/>
          <w:szCs w:val="18"/>
          <w:lang w:val="en-US"/>
        </w:rPr>
        <w:t xml:space="preserve">also </w:t>
      </w:r>
      <w:r w:rsidRPr="002433F3">
        <w:rPr>
          <w:sz w:val="18"/>
          <w:szCs w:val="18"/>
          <w:lang w:val="en-US"/>
        </w:rPr>
        <w:t xml:space="preserve">because the matter with which the party seeking </w:t>
      </w:r>
      <w:r w:rsidRPr="002433F3">
        <w:rPr>
          <w:i/>
          <w:iCs/>
          <w:sz w:val="18"/>
          <w:szCs w:val="18"/>
          <w:lang w:val="en-US"/>
        </w:rPr>
        <w:t xml:space="preserve">tutela </w:t>
      </w:r>
      <w:r w:rsidRPr="002433F3">
        <w:rPr>
          <w:sz w:val="18"/>
          <w:szCs w:val="18"/>
          <w:lang w:val="en-US"/>
        </w:rPr>
        <w:t>takes issue can be resolved through the judicial processes prescribed by law (the contentious-administrative avenue) and/or by filing petitions for re</w:t>
      </w:r>
      <w:r w:rsidR="0029011A" w:rsidRPr="002433F3">
        <w:rPr>
          <w:sz w:val="18"/>
          <w:szCs w:val="18"/>
          <w:lang w:val="en-US"/>
        </w:rPr>
        <w:t xml:space="preserve">consideration </w:t>
      </w:r>
      <w:r w:rsidR="00D243B9" w:rsidRPr="002433F3">
        <w:rPr>
          <w:sz w:val="18"/>
          <w:szCs w:val="18"/>
          <w:lang w:val="en-US"/>
        </w:rPr>
        <w:t>and appeal,</w:t>
      </w:r>
      <w:r w:rsidRPr="002433F3">
        <w:rPr>
          <w:sz w:val="18"/>
          <w:szCs w:val="18"/>
          <w:lang w:val="en-US"/>
        </w:rPr>
        <w:t xml:space="preserve"> within the </w:t>
      </w:r>
      <w:r w:rsidR="000E06A8" w:rsidRPr="002433F3">
        <w:rPr>
          <w:sz w:val="18"/>
          <w:szCs w:val="18"/>
          <w:lang w:val="en-US"/>
        </w:rPr>
        <w:t>statutory period</w:t>
      </w:r>
      <w:r w:rsidRPr="002433F3">
        <w:rPr>
          <w:sz w:val="18"/>
          <w:szCs w:val="18"/>
          <w:lang w:val="en-US"/>
        </w:rPr>
        <w:t>, to challenge COLFONDOS’ decision of April 3, 2002. The c</w:t>
      </w:r>
      <w:r w:rsidR="00D243B9" w:rsidRPr="002433F3">
        <w:rPr>
          <w:sz w:val="18"/>
          <w:szCs w:val="18"/>
          <w:lang w:val="en-US"/>
        </w:rPr>
        <w:t xml:space="preserve">laim presented by </w:t>
      </w:r>
      <w:r w:rsidRPr="002433F3">
        <w:rPr>
          <w:sz w:val="18"/>
          <w:szCs w:val="18"/>
          <w:lang w:val="en-US"/>
        </w:rPr>
        <w:t xml:space="preserve">the party bringing this action is statutory in nature and </w:t>
      </w:r>
      <w:r w:rsidR="00D243B9" w:rsidRPr="002433F3">
        <w:rPr>
          <w:rFonts w:eastAsiaTheme="minorHAnsi" w:cs="Arial"/>
          <w:sz w:val="18"/>
          <w:szCs w:val="18"/>
          <w:lang w:val="en-GB"/>
        </w:rPr>
        <w:t xml:space="preserve">it is not appropriate to have recourse to the </w:t>
      </w:r>
      <w:r w:rsidR="00D243B9" w:rsidRPr="002433F3">
        <w:rPr>
          <w:rFonts w:eastAsiaTheme="minorHAnsi" w:cs="Arial"/>
          <w:i/>
          <w:iCs/>
          <w:sz w:val="18"/>
          <w:szCs w:val="18"/>
          <w:lang w:val="en-GB"/>
        </w:rPr>
        <w:t xml:space="preserve">tutela </w:t>
      </w:r>
      <w:r w:rsidR="00D243B9" w:rsidRPr="002433F3">
        <w:rPr>
          <w:rFonts w:eastAsiaTheme="minorHAnsi" w:cs="Arial"/>
          <w:sz w:val="18"/>
          <w:szCs w:val="18"/>
          <w:lang w:val="en-GB"/>
        </w:rPr>
        <w:t>action to obtain recognition of that pension.</w:t>
      </w:r>
      <w:r w:rsidRPr="002433F3">
        <w:rPr>
          <w:sz w:val="18"/>
          <w:szCs w:val="18"/>
          <w:lang w:val="en-US"/>
        </w:rPr>
        <w:t xml:space="preserve"> This must be done through </w:t>
      </w:r>
      <w:r w:rsidR="00D243B9" w:rsidRPr="002433F3">
        <w:rPr>
          <w:sz w:val="18"/>
          <w:szCs w:val="18"/>
          <w:lang w:val="en-US"/>
        </w:rPr>
        <w:t xml:space="preserve">regular </w:t>
      </w:r>
      <w:r w:rsidRPr="002433F3">
        <w:rPr>
          <w:sz w:val="18"/>
          <w:szCs w:val="18"/>
          <w:lang w:val="en-US"/>
        </w:rPr>
        <w:t>proceedings, if that right is to be ultimately recognized</w:t>
      </w:r>
      <w:r w:rsidRPr="002433F3">
        <w:rPr>
          <w:rFonts w:cs="Calibri"/>
          <w:sz w:val="18"/>
          <w:szCs w:val="18"/>
          <w:lang w:val="en-US"/>
        </w:rPr>
        <w:t xml:space="preserve">. In this regard, </w:t>
      </w:r>
      <w:r w:rsidRPr="002433F3">
        <w:rPr>
          <w:rFonts w:cs="Arial"/>
          <w:sz w:val="18"/>
          <w:szCs w:val="18"/>
          <w:lang w:val="en-US" w:eastAsia="es-CR"/>
        </w:rPr>
        <w:t xml:space="preserve">Article </w:t>
      </w:r>
      <w:r w:rsidR="005A14C1" w:rsidRPr="002433F3">
        <w:rPr>
          <w:rFonts w:cs="Arial"/>
          <w:sz w:val="18"/>
          <w:szCs w:val="18"/>
          <w:lang w:val="en-US" w:eastAsia="es-CR"/>
        </w:rPr>
        <w:t>6 of Decree 2591/91</w:t>
      </w:r>
      <w:r w:rsidR="007115D3" w:rsidRPr="002433F3">
        <w:rPr>
          <w:rFonts w:cs="Arial"/>
          <w:sz w:val="18"/>
          <w:szCs w:val="18"/>
          <w:lang w:val="en-US" w:eastAsia="es-CR"/>
        </w:rPr>
        <w:t xml:space="preserve"> established</w:t>
      </w:r>
      <w:r w:rsidRPr="002433F3">
        <w:rPr>
          <w:rFonts w:cs="Arial"/>
          <w:sz w:val="18"/>
          <w:szCs w:val="18"/>
          <w:lang w:val="en-US" w:eastAsia="es-CR"/>
        </w:rPr>
        <w:t xml:space="preserve"> the inadmissibility of the </w:t>
      </w:r>
      <w:r w:rsidRPr="002433F3">
        <w:rPr>
          <w:rFonts w:cs="Arial"/>
          <w:i/>
          <w:sz w:val="18"/>
          <w:szCs w:val="18"/>
          <w:lang w:val="en-US" w:eastAsia="es-CR"/>
        </w:rPr>
        <w:t>tutela</w:t>
      </w:r>
      <w:r w:rsidRPr="002433F3">
        <w:rPr>
          <w:rFonts w:cs="Arial"/>
          <w:sz w:val="18"/>
          <w:szCs w:val="18"/>
          <w:lang w:val="en-US" w:eastAsia="es-CR"/>
        </w:rPr>
        <w:t xml:space="preserve"> action when other mechanisms or means of legal defense are available.</w:t>
      </w:r>
    </w:p>
    <w:p w14:paraId="7C7CBCF3" w14:textId="77777777" w:rsidR="007B0DE4" w:rsidRPr="002433F3" w:rsidRDefault="007B0DE4" w:rsidP="007B0DE4">
      <w:pPr>
        <w:tabs>
          <w:tab w:val="left" w:pos="720"/>
        </w:tabs>
        <w:spacing w:before="120" w:after="120"/>
        <w:ind w:right="856"/>
        <w:rPr>
          <w:rFonts w:cs="Calibri"/>
          <w:sz w:val="18"/>
          <w:szCs w:val="18"/>
          <w:lang w:val="en-US"/>
        </w:rPr>
      </w:pPr>
      <w:r w:rsidRPr="002433F3">
        <w:rPr>
          <w:sz w:val="18"/>
          <w:szCs w:val="18"/>
          <w:lang w:val="en-US"/>
        </w:rPr>
        <w:t>The respondent</w:t>
      </w:r>
      <w:r w:rsidR="0029011A" w:rsidRPr="002433F3">
        <w:rPr>
          <w:sz w:val="18"/>
          <w:szCs w:val="18"/>
          <w:lang w:val="en-US"/>
        </w:rPr>
        <w:t>’s</w:t>
      </w:r>
      <w:r w:rsidRPr="002433F3">
        <w:rPr>
          <w:sz w:val="18"/>
          <w:szCs w:val="18"/>
          <w:lang w:val="en-US"/>
        </w:rPr>
        <w:t xml:space="preserve"> refusal is in no way perceived as a violation of any of the rights that the party bringing the action invokes, since its decision </w:t>
      </w:r>
      <w:r w:rsidR="005A14C1" w:rsidRPr="002433F3">
        <w:rPr>
          <w:sz w:val="18"/>
          <w:szCs w:val="18"/>
          <w:lang w:val="en-US"/>
        </w:rPr>
        <w:t xml:space="preserve">is in full accordance with </w:t>
      </w:r>
      <w:r w:rsidRPr="002433F3">
        <w:rPr>
          <w:sz w:val="18"/>
          <w:szCs w:val="18"/>
          <w:lang w:val="en-US"/>
        </w:rPr>
        <w:t xml:space="preserve">the law; it is </w:t>
      </w:r>
      <w:r w:rsidR="005764C8" w:rsidRPr="002433F3">
        <w:rPr>
          <w:sz w:val="18"/>
          <w:szCs w:val="18"/>
          <w:lang w:val="en-US"/>
        </w:rPr>
        <w:t xml:space="preserve">an </w:t>
      </w:r>
      <w:r w:rsidRPr="002433F3">
        <w:rPr>
          <w:sz w:val="18"/>
          <w:szCs w:val="18"/>
          <w:lang w:val="en-US"/>
        </w:rPr>
        <w:t>elementary application of legal and constitutional norms and thus does not recognize rights not given either in law or the Constitution. To do otherwise, to fail to observe those norms or to accede to the request, would be to violate the Constitution and the law</w:t>
      </w:r>
      <w:r w:rsidRPr="002433F3">
        <w:rPr>
          <w:rFonts w:cs="Calibri"/>
          <w:sz w:val="18"/>
          <w:szCs w:val="18"/>
          <w:lang w:val="en-US"/>
        </w:rPr>
        <w:t>.</w:t>
      </w:r>
    </w:p>
    <w:p w14:paraId="5869A399" w14:textId="77777777" w:rsidR="007B0DE4" w:rsidRPr="002433F3" w:rsidRDefault="007B0DE4" w:rsidP="007B0DE4">
      <w:pPr>
        <w:tabs>
          <w:tab w:val="left" w:pos="720"/>
        </w:tabs>
        <w:spacing w:before="120" w:after="120"/>
        <w:ind w:right="856"/>
        <w:rPr>
          <w:rFonts w:cs="Calibri"/>
          <w:sz w:val="18"/>
          <w:szCs w:val="18"/>
          <w:lang w:val="en-US"/>
        </w:rPr>
      </w:pPr>
      <w:r w:rsidRPr="002433F3">
        <w:rPr>
          <w:sz w:val="18"/>
          <w:szCs w:val="18"/>
          <w:lang w:val="en-US"/>
        </w:rPr>
        <w:t xml:space="preserve">On these grounds, the petition seeking </w:t>
      </w:r>
      <w:r w:rsidRPr="002433F3">
        <w:rPr>
          <w:i/>
          <w:iCs/>
          <w:sz w:val="18"/>
          <w:szCs w:val="18"/>
          <w:lang w:val="en-US"/>
        </w:rPr>
        <w:t xml:space="preserve">amparo </w:t>
      </w:r>
      <w:r w:rsidRPr="002433F3">
        <w:rPr>
          <w:sz w:val="18"/>
          <w:szCs w:val="18"/>
          <w:lang w:val="en-US"/>
        </w:rPr>
        <w:t xml:space="preserve">relief will be denied, but not without advising the petitioner that if it is also his intention to obtain some </w:t>
      </w:r>
      <w:r w:rsidR="00E36174" w:rsidRPr="002433F3">
        <w:rPr>
          <w:sz w:val="18"/>
          <w:szCs w:val="18"/>
          <w:lang w:val="en-US"/>
        </w:rPr>
        <w:t xml:space="preserve">type </w:t>
      </w:r>
      <w:r w:rsidRPr="002433F3">
        <w:rPr>
          <w:sz w:val="18"/>
          <w:szCs w:val="18"/>
          <w:lang w:val="en-US"/>
        </w:rPr>
        <w:t xml:space="preserve">of social security health service, </w:t>
      </w:r>
      <w:r w:rsidRPr="002433F3">
        <w:rPr>
          <w:sz w:val="18"/>
          <w:szCs w:val="18"/>
          <w:lang w:val="en-US"/>
        </w:rPr>
        <w:lastRenderedPageBreak/>
        <w:t xml:space="preserve">he can turn to the public health institutions created for the purpose of protecting persons who do not have </w:t>
      </w:r>
      <w:r w:rsidR="007115D3" w:rsidRPr="002433F3">
        <w:rPr>
          <w:sz w:val="18"/>
          <w:szCs w:val="18"/>
          <w:lang w:val="en-US"/>
        </w:rPr>
        <w:t xml:space="preserve">any </w:t>
      </w:r>
      <w:r w:rsidRPr="002433F3">
        <w:rPr>
          <w:sz w:val="18"/>
          <w:szCs w:val="18"/>
          <w:lang w:val="en-US"/>
        </w:rPr>
        <w:t>financial resources; a case in point would be the program offered by SISBEN</w:t>
      </w:r>
      <w:r w:rsidRPr="002433F3">
        <w:rPr>
          <w:rFonts w:cs="Calibri"/>
          <w:sz w:val="18"/>
          <w:szCs w:val="18"/>
          <w:lang w:val="en-US"/>
        </w:rPr>
        <w:t>.</w:t>
      </w:r>
    </w:p>
    <w:p w14:paraId="67B5FF05" w14:textId="77777777" w:rsidR="007B0DE4" w:rsidRPr="002433F3" w:rsidRDefault="007B0DE4" w:rsidP="007B0DE4">
      <w:pPr>
        <w:numPr>
          <w:ilvl w:val="0"/>
          <w:numId w:val="2"/>
        </w:numPr>
        <w:spacing w:before="120" w:after="120"/>
        <w:rPr>
          <w:lang w:val="en-US"/>
        </w:rPr>
      </w:pPr>
      <w:r w:rsidRPr="002433F3">
        <w:rPr>
          <w:lang w:val="en-US"/>
        </w:rPr>
        <w:t xml:space="preserve">The above ruling was challenged by Mr. Duque; however, </w:t>
      </w:r>
      <w:r w:rsidR="007115D3" w:rsidRPr="002433F3">
        <w:rPr>
          <w:lang w:val="en-US"/>
        </w:rPr>
        <w:t xml:space="preserve">on July 19, 2002, </w:t>
      </w:r>
      <w:r w:rsidRPr="002433F3">
        <w:rPr>
          <w:lang w:val="en-US"/>
        </w:rPr>
        <w:t xml:space="preserve">the </w:t>
      </w:r>
      <w:r w:rsidR="00E36174" w:rsidRPr="002433F3">
        <w:rPr>
          <w:lang w:val="en-US"/>
        </w:rPr>
        <w:t>Twelfth Civil Court of the Bogotá Circuit</w:t>
      </w:r>
      <w:r w:rsidR="007115D3" w:rsidRPr="002433F3">
        <w:rPr>
          <w:lang w:val="en-US"/>
        </w:rPr>
        <w:t xml:space="preserve"> upheld the ruling</w:t>
      </w:r>
      <w:r w:rsidRPr="002433F3">
        <w:rPr>
          <w:lang w:val="en-US"/>
        </w:rPr>
        <w:t xml:space="preserve"> in its entirety, stating that:</w:t>
      </w:r>
      <w:r w:rsidRPr="002433F3">
        <w:rPr>
          <w:rStyle w:val="Refdenotaalpie"/>
          <w:lang w:val="en-US"/>
        </w:rPr>
        <w:footnoteReference w:id="68"/>
      </w:r>
    </w:p>
    <w:p w14:paraId="4C0545DF" w14:textId="77777777" w:rsidR="007B0DE4" w:rsidRPr="002433F3" w:rsidRDefault="007B0DE4" w:rsidP="007B0DE4">
      <w:pPr>
        <w:tabs>
          <w:tab w:val="left" w:pos="720"/>
        </w:tabs>
        <w:ind w:right="855"/>
        <w:rPr>
          <w:rFonts w:cs="Calibri"/>
          <w:spacing w:val="-3"/>
          <w:sz w:val="18"/>
          <w:szCs w:val="18"/>
          <w:lang w:val="en-US"/>
        </w:rPr>
      </w:pPr>
      <w:r w:rsidRPr="002433F3">
        <w:rPr>
          <w:rFonts w:cs="Calibri"/>
          <w:spacing w:val="-3"/>
          <w:sz w:val="18"/>
          <w:szCs w:val="18"/>
          <w:lang w:val="en-US"/>
        </w:rPr>
        <w:t xml:space="preserve">No violation of fundamental constitutional rights was committed. Furthermore, this was an attempt to </w:t>
      </w:r>
      <w:r w:rsidR="00E36174" w:rsidRPr="002433F3">
        <w:rPr>
          <w:rFonts w:cs="Calibri"/>
          <w:spacing w:val="-3"/>
          <w:sz w:val="18"/>
          <w:szCs w:val="18"/>
          <w:lang w:val="en-US"/>
        </w:rPr>
        <w:t>obtain</w:t>
      </w:r>
      <w:r w:rsidRPr="002433F3">
        <w:rPr>
          <w:rFonts w:cs="Calibri"/>
          <w:spacing w:val="-3"/>
          <w:sz w:val="18"/>
          <w:szCs w:val="18"/>
          <w:lang w:val="en-US"/>
        </w:rPr>
        <w:t xml:space="preserve">, by means of constitutional </w:t>
      </w:r>
      <w:r w:rsidRPr="002433F3">
        <w:rPr>
          <w:rFonts w:cs="Calibri"/>
          <w:i/>
          <w:spacing w:val="-3"/>
          <w:sz w:val="18"/>
          <w:szCs w:val="18"/>
          <w:lang w:val="en-US"/>
        </w:rPr>
        <w:t>amparo</w:t>
      </w:r>
      <w:r w:rsidRPr="002433F3">
        <w:rPr>
          <w:rFonts w:cs="Calibri"/>
          <w:spacing w:val="-3"/>
          <w:sz w:val="18"/>
          <w:szCs w:val="18"/>
          <w:lang w:val="en-US"/>
        </w:rPr>
        <w:t xml:space="preserve">, the protection of </w:t>
      </w:r>
      <w:r w:rsidRPr="002433F3">
        <w:rPr>
          <w:sz w:val="18"/>
          <w:szCs w:val="18"/>
          <w:lang w:val="en-US"/>
        </w:rPr>
        <w:t xml:space="preserve">eminently property-related rights. Constitutional </w:t>
      </w:r>
      <w:r w:rsidRPr="002433F3">
        <w:rPr>
          <w:i/>
          <w:iCs/>
          <w:sz w:val="18"/>
          <w:szCs w:val="18"/>
          <w:lang w:val="en-US"/>
        </w:rPr>
        <w:t xml:space="preserve">amparo </w:t>
      </w:r>
      <w:r w:rsidRPr="002433F3">
        <w:rPr>
          <w:sz w:val="18"/>
          <w:szCs w:val="18"/>
          <w:lang w:val="en-US"/>
        </w:rPr>
        <w:t>cannot be either sought or granted with respect to social benefits</w:t>
      </w:r>
      <w:r w:rsidRPr="002433F3">
        <w:rPr>
          <w:rFonts w:cs="Calibri"/>
          <w:spacing w:val="-3"/>
          <w:sz w:val="18"/>
          <w:szCs w:val="18"/>
          <w:lang w:val="en-US"/>
        </w:rPr>
        <w:t xml:space="preserve">, </w:t>
      </w:r>
      <w:r w:rsidRPr="002433F3">
        <w:rPr>
          <w:sz w:val="18"/>
          <w:szCs w:val="18"/>
          <w:lang w:val="en-US"/>
        </w:rPr>
        <w:t xml:space="preserve">which are rights whose immediate source is the law; hence, it is only </w:t>
      </w:r>
      <w:r w:rsidR="007115D3" w:rsidRPr="002433F3">
        <w:rPr>
          <w:sz w:val="18"/>
          <w:szCs w:val="18"/>
          <w:lang w:val="en-US"/>
        </w:rPr>
        <w:t xml:space="preserve">logical that such rights should </w:t>
      </w:r>
      <w:r w:rsidRPr="002433F3">
        <w:rPr>
          <w:sz w:val="18"/>
          <w:szCs w:val="18"/>
          <w:lang w:val="en-US"/>
        </w:rPr>
        <w:t xml:space="preserve">be accorded only to those who </w:t>
      </w:r>
      <w:r w:rsidR="00E36174" w:rsidRPr="002433F3">
        <w:rPr>
          <w:sz w:val="18"/>
          <w:szCs w:val="18"/>
          <w:lang w:val="en-US"/>
        </w:rPr>
        <w:t xml:space="preserve">meet </w:t>
      </w:r>
      <w:r w:rsidRPr="002433F3">
        <w:rPr>
          <w:sz w:val="18"/>
          <w:szCs w:val="18"/>
          <w:lang w:val="en-US"/>
        </w:rPr>
        <w:t>the requirements that the law prescribes</w:t>
      </w:r>
      <w:r w:rsidRPr="002433F3">
        <w:rPr>
          <w:rFonts w:cs="Calibri"/>
          <w:spacing w:val="-3"/>
          <w:sz w:val="18"/>
          <w:szCs w:val="18"/>
          <w:lang w:val="en-US"/>
        </w:rPr>
        <w:t xml:space="preserve">. </w:t>
      </w:r>
    </w:p>
    <w:p w14:paraId="01565ACD" w14:textId="77777777" w:rsidR="007B0DE4" w:rsidRPr="002433F3" w:rsidRDefault="007B0DE4" w:rsidP="007B0DE4">
      <w:pPr>
        <w:tabs>
          <w:tab w:val="left" w:pos="720"/>
        </w:tabs>
        <w:ind w:right="855"/>
        <w:rPr>
          <w:rFonts w:cs="Calibri"/>
          <w:spacing w:val="-3"/>
          <w:sz w:val="18"/>
          <w:szCs w:val="18"/>
          <w:lang w:val="en-US"/>
        </w:rPr>
      </w:pPr>
    </w:p>
    <w:p w14:paraId="68E61554" w14:textId="77777777" w:rsidR="007B0DE4" w:rsidRPr="002433F3" w:rsidRDefault="007B0DE4" w:rsidP="007B0DE4">
      <w:pPr>
        <w:tabs>
          <w:tab w:val="left" w:pos="720"/>
        </w:tabs>
        <w:ind w:right="855"/>
        <w:rPr>
          <w:rFonts w:cs="Calibri"/>
          <w:spacing w:val="-3"/>
          <w:sz w:val="18"/>
          <w:szCs w:val="18"/>
          <w:lang w:val="en-US"/>
        </w:rPr>
      </w:pPr>
      <w:r w:rsidRPr="002433F3">
        <w:rPr>
          <w:sz w:val="18"/>
          <w:szCs w:val="18"/>
          <w:lang w:val="en-US"/>
        </w:rPr>
        <w:t xml:space="preserve">Following this line of reasoning, the social security institution was right to deny the application for a substitute pension made by the citizen who brought the </w:t>
      </w:r>
      <w:r w:rsidRPr="002433F3">
        <w:rPr>
          <w:i/>
          <w:iCs/>
          <w:sz w:val="18"/>
          <w:szCs w:val="18"/>
          <w:lang w:val="en-US"/>
        </w:rPr>
        <w:t xml:space="preserve">tutela </w:t>
      </w:r>
      <w:r w:rsidRPr="002433F3">
        <w:rPr>
          <w:sz w:val="18"/>
          <w:szCs w:val="18"/>
          <w:lang w:val="en-US"/>
        </w:rPr>
        <w:t>action, since the survivor’s pension is intended to protect the family and,</w:t>
      </w:r>
      <w:r w:rsidRPr="002433F3">
        <w:rPr>
          <w:szCs w:val="20"/>
          <w:lang w:val="en-US"/>
        </w:rPr>
        <w:t xml:space="preserve"> </w:t>
      </w:r>
      <w:r w:rsidRPr="002433F3">
        <w:rPr>
          <w:sz w:val="18"/>
          <w:szCs w:val="18"/>
          <w:lang w:val="en-US"/>
        </w:rPr>
        <w:t xml:space="preserve">as it is </w:t>
      </w:r>
      <w:r w:rsidR="005408A0" w:rsidRPr="002433F3">
        <w:rPr>
          <w:sz w:val="18"/>
          <w:szCs w:val="18"/>
          <w:lang w:val="en-US"/>
        </w:rPr>
        <w:t xml:space="preserve">currently </w:t>
      </w:r>
      <w:r w:rsidR="00526702" w:rsidRPr="002433F3">
        <w:rPr>
          <w:sz w:val="18"/>
          <w:szCs w:val="18"/>
          <w:lang w:val="en-US"/>
        </w:rPr>
        <w:t xml:space="preserve">defined </w:t>
      </w:r>
      <w:r w:rsidR="005408A0" w:rsidRPr="002433F3">
        <w:rPr>
          <w:sz w:val="18"/>
          <w:szCs w:val="18"/>
          <w:lang w:val="en-US"/>
        </w:rPr>
        <w:t>in our</w:t>
      </w:r>
      <w:r w:rsidR="00526702" w:rsidRPr="002433F3">
        <w:rPr>
          <w:sz w:val="18"/>
          <w:szCs w:val="18"/>
          <w:lang w:val="en-US"/>
        </w:rPr>
        <w:t xml:space="preserve"> milieu</w:t>
      </w:r>
      <w:r w:rsidRPr="002433F3">
        <w:rPr>
          <w:sz w:val="18"/>
          <w:szCs w:val="18"/>
          <w:lang w:val="en-US"/>
        </w:rPr>
        <w:t xml:space="preserve">, </w:t>
      </w:r>
      <w:r w:rsidR="00526702" w:rsidRPr="002433F3">
        <w:rPr>
          <w:sz w:val="18"/>
          <w:szCs w:val="18"/>
          <w:lang w:val="en-US"/>
        </w:rPr>
        <w:t xml:space="preserve">the family is formed by the union of a man and a woman, </w:t>
      </w:r>
      <w:r w:rsidRPr="002433F3">
        <w:rPr>
          <w:sz w:val="18"/>
          <w:szCs w:val="18"/>
          <w:lang w:val="en-US"/>
        </w:rPr>
        <w:t xml:space="preserve">the only ones </w:t>
      </w:r>
      <w:r w:rsidR="00526702" w:rsidRPr="002433F3">
        <w:rPr>
          <w:sz w:val="18"/>
          <w:szCs w:val="18"/>
          <w:lang w:val="en-US"/>
        </w:rPr>
        <w:t xml:space="preserve">potentially </w:t>
      </w:r>
      <w:r w:rsidRPr="002433F3">
        <w:rPr>
          <w:sz w:val="18"/>
          <w:szCs w:val="18"/>
          <w:lang w:val="en-US"/>
        </w:rPr>
        <w:t xml:space="preserve">capable of preserving the species </w:t>
      </w:r>
      <w:r w:rsidR="00526702" w:rsidRPr="002433F3">
        <w:rPr>
          <w:rFonts w:cs="Calibri"/>
          <w:spacing w:val="-3"/>
          <w:sz w:val="18"/>
          <w:szCs w:val="18"/>
          <w:lang w:val="en-US"/>
        </w:rPr>
        <w:t xml:space="preserve">through the </w:t>
      </w:r>
      <w:r w:rsidRPr="002433F3">
        <w:rPr>
          <w:rFonts w:cs="Calibri"/>
          <w:spacing w:val="-3"/>
          <w:sz w:val="18"/>
          <w:szCs w:val="18"/>
          <w:lang w:val="en-US"/>
        </w:rPr>
        <w:t xml:space="preserve">procreation of children. Thus, a homosexual union of a man with a man or a woman with another woman, does not, in itself, constitute a family. </w:t>
      </w:r>
      <w:r w:rsidRPr="002433F3">
        <w:rPr>
          <w:sz w:val="18"/>
          <w:szCs w:val="18"/>
          <w:lang w:val="en-US"/>
        </w:rPr>
        <w:t>The intimate relationship that can exist between same-sex couples is one thing, but the relationship that forms a family is quite another</w:t>
      </w:r>
      <w:r w:rsidRPr="002433F3">
        <w:rPr>
          <w:rFonts w:cs="Calibri"/>
          <w:spacing w:val="-3"/>
          <w:sz w:val="18"/>
          <w:szCs w:val="18"/>
          <w:lang w:val="en-US"/>
        </w:rPr>
        <w:t>.</w:t>
      </w:r>
    </w:p>
    <w:p w14:paraId="5DCD33D2" w14:textId="77777777" w:rsidR="007B0DE4" w:rsidRPr="002433F3" w:rsidRDefault="007B0DE4" w:rsidP="007B0DE4">
      <w:pPr>
        <w:numPr>
          <w:ilvl w:val="0"/>
          <w:numId w:val="2"/>
        </w:numPr>
        <w:spacing w:before="120" w:after="120"/>
        <w:rPr>
          <w:rFonts w:cs="Tahoma"/>
          <w:lang w:val="en-US"/>
        </w:rPr>
      </w:pPr>
      <w:r w:rsidRPr="002433F3">
        <w:rPr>
          <w:lang w:val="en-US"/>
        </w:rPr>
        <w:t xml:space="preserve">The </w:t>
      </w:r>
      <w:r w:rsidRPr="002433F3">
        <w:rPr>
          <w:i/>
          <w:lang w:val="en-US"/>
        </w:rPr>
        <w:t>tutela</w:t>
      </w:r>
      <w:r w:rsidRPr="002433F3">
        <w:rPr>
          <w:lang w:val="en-US"/>
        </w:rPr>
        <w:t xml:space="preserve"> file was referred to the Constitutional Court on August 26, 2002, but was not selected for </w:t>
      </w:r>
      <w:r w:rsidR="00526702" w:rsidRPr="002433F3">
        <w:rPr>
          <w:lang w:val="en-US"/>
        </w:rPr>
        <w:t xml:space="preserve">examination </w:t>
      </w:r>
      <w:r w:rsidRPr="002433F3">
        <w:rPr>
          <w:lang w:val="en-US"/>
        </w:rPr>
        <w:t xml:space="preserve">and review. </w:t>
      </w:r>
    </w:p>
    <w:p w14:paraId="2449F1B5" w14:textId="77777777" w:rsidR="007B0DE4" w:rsidRPr="002433F3" w:rsidRDefault="007B0DE4" w:rsidP="007B0DE4">
      <w:pPr>
        <w:pStyle w:val="Ttulo2"/>
        <w:keepLines w:val="0"/>
        <w:numPr>
          <w:ilvl w:val="0"/>
          <w:numId w:val="8"/>
        </w:numPr>
        <w:spacing w:before="280" w:after="280"/>
        <w:ind w:left="714" w:hanging="357"/>
        <w:rPr>
          <w:rFonts w:cs="Tahoma"/>
          <w:noProof w:val="0"/>
          <w:lang w:val="en-US"/>
        </w:rPr>
      </w:pPr>
      <w:bookmarkStart w:id="104" w:name="_Toc448482260"/>
      <w:r w:rsidRPr="002433F3">
        <w:rPr>
          <w:rFonts w:cs="Tahoma"/>
          <w:noProof w:val="0"/>
          <w:lang w:val="en-US"/>
        </w:rPr>
        <w:t>Subsequent case law of the Constitutional Court</w:t>
      </w:r>
      <w:bookmarkEnd w:id="104"/>
    </w:p>
    <w:p w14:paraId="43CA6E3E" w14:textId="77777777" w:rsidR="007B0DE4" w:rsidRPr="002433F3" w:rsidRDefault="007B0DE4" w:rsidP="007B0DE4">
      <w:pPr>
        <w:numPr>
          <w:ilvl w:val="0"/>
          <w:numId w:val="2"/>
        </w:numPr>
        <w:spacing w:before="120" w:after="120"/>
        <w:rPr>
          <w:rFonts w:cs="Tahoma"/>
          <w:lang w:val="en-US"/>
        </w:rPr>
      </w:pPr>
      <w:r w:rsidRPr="002433F3">
        <w:rPr>
          <w:lang w:val="en-US"/>
        </w:rPr>
        <w:t>Since 2007, Colombia’s Constitutional Court has granted same-sex couples the same pension benefits, social security benefits and property rights as those enjo</w:t>
      </w:r>
      <w:r w:rsidR="00605C85" w:rsidRPr="002433F3">
        <w:rPr>
          <w:lang w:val="en-US"/>
        </w:rPr>
        <w:t>y</w:t>
      </w:r>
      <w:r w:rsidR="002E6F71" w:rsidRPr="002433F3">
        <w:rPr>
          <w:lang w:val="en-US"/>
        </w:rPr>
        <w:t>ed by heterosexual couples. The</w:t>
      </w:r>
      <w:r w:rsidRPr="002433F3">
        <w:rPr>
          <w:lang w:val="en-US"/>
        </w:rPr>
        <w:t xml:space="preserve"> </w:t>
      </w:r>
      <w:r w:rsidR="002E6F71" w:rsidRPr="002433F3">
        <w:rPr>
          <w:lang w:val="en-US"/>
        </w:rPr>
        <w:t xml:space="preserve">Constitutional </w:t>
      </w:r>
      <w:r w:rsidRPr="002433F3">
        <w:rPr>
          <w:lang w:val="en-US"/>
        </w:rPr>
        <w:t xml:space="preserve">Court </w:t>
      </w:r>
      <w:r w:rsidR="002E6F71" w:rsidRPr="002433F3">
        <w:rPr>
          <w:lang w:val="en-US"/>
        </w:rPr>
        <w:t xml:space="preserve">has </w:t>
      </w:r>
      <w:r w:rsidR="00FA0D37" w:rsidRPr="002433F3">
        <w:rPr>
          <w:lang w:val="en-US"/>
        </w:rPr>
        <w:t xml:space="preserve">likewise </w:t>
      </w:r>
      <w:r w:rsidRPr="002433F3">
        <w:rPr>
          <w:lang w:val="en-US"/>
        </w:rPr>
        <w:t>established that</w:t>
      </w:r>
      <w:r w:rsidR="007115D3" w:rsidRPr="002433F3">
        <w:rPr>
          <w:lang w:val="en-US"/>
        </w:rPr>
        <w:t xml:space="preserve"> Law 54 of 1990 (which regulates</w:t>
      </w:r>
      <w:r w:rsidRPr="002433F3">
        <w:rPr>
          <w:lang w:val="en-US"/>
        </w:rPr>
        <w:t xml:space="preserve"> matters pertaining to </w:t>
      </w:r>
      <w:r w:rsidRPr="002433F3">
        <w:rPr>
          <w:i/>
          <w:lang w:val="en-US"/>
        </w:rPr>
        <w:t>de facto</w:t>
      </w:r>
      <w:r w:rsidR="00FA0D37" w:rsidRPr="002433F3">
        <w:rPr>
          <w:lang w:val="en-US"/>
        </w:rPr>
        <w:t xml:space="preserve"> marital unions) also </w:t>
      </w:r>
      <w:r w:rsidRPr="002433F3">
        <w:rPr>
          <w:lang w:val="en-US"/>
        </w:rPr>
        <w:t>applies to same-sex couples and</w:t>
      </w:r>
      <w:r w:rsidR="00DE3A27" w:rsidRPr="002433F3">
        <w:rPr>
          <w:lang w:val="en-US"/>
        </w:rPr>
        <w:t xml:space="preserve"> </w:t>
      </w:r>
      <w:r w:rsidR="00FA0D37" w:rsidRPr="002433F3">
        <w:rPr>
          <w:lang w:val="en-US"/>
        </w:rPr>
        <w:t xml:space="preserve">that, </w:t>
      </w:r>
      <w:r w:rsidR="00DE3A27" w:rsidRPr="002433F3">
        <w:rPr>
          <w:lang w:val="en-US"/>
        </w:rPr>
        <w:t>th</w:t>
      </w:r>
      <w:r w:rsidR="00FA0D37" w:rsidRPr="002433F3">
        <w:rPr>
          <w:lang w:val="en-US"/>
        </w:rPr>
        <w:t xml:space="preserve">erefore, such </w:t>
      </w:r>
      <w:r w:rsidRPr="002433F3">
        <w:rPr>
          <w:lang w:val="en-US"/>
        </w:rPr>
        <w:t>coup</w:t>
      </w:r>
      <w:r w:rsidR="002E6F71" w:rsidRPr="002433F3">
        <w:rPr>
          <w:lang w:val="en-US"/>
        </w:rPr>
        <w:t xml:space="preserve">les </w:t>
      </w:r>
      <w:r w:rsidR="00D16C75" w:rsidRPr="002433F3">
        <w:rPr>
          <w:lang w:val="en-US"/>
        </w:rPr>
        <w:t>shall</w:t>
      </w:r>
      <w:r w:rsidR="00DE3A27" w:rsidRPr="002433F3">
        <w:rPr>
          <w:lang w:val="en-US"/>
        </w:rPr>
        <w:t xml:space="preserve"> </w:t>
      </w:r>
      <w:r w:rsidR="002E6F71" w:rsidRPr="002433F3">
        <w:rPr>
          <w:lang w:val="en-US"/>
        </w:rPr>
        <w:t>enjoy the</w:t>
      </w:r>
      <w:r w:rsidRPr="002433F3">
        <w:rPr>
          <w:lang w:val="en-US"/>
        </w:rPr>
        <w:t xml:space="preserve"> </w:t>
      </w:r>
      <w:r w:rsidR="00DE3A27" w:rsidRPr="002433F3">
        <w:rPr>
          <w:lang w:val="en-US"/>
        </w:rPr>
        <w:t xml:space="preserve">same </w:t>
      </w:r>
      <w:r w:rsidRPr="002433F3">
        <w:rPr>
          <w:lang w:val="en-US"/>
        </w:rPr>
        <w:t xml:space="preserve">protection </w:t>
      </w:r>
      <w:r w:rsidR="00DE3A27" w:rsidRPr="002433F3">
        <w:rPr>
          <w:lang w:val="en-US"/>
        </w:rPr>
        <w:t>system</w:t>
      </w:r>
      <w:r w:rsidR="00D16C75" w:rsidRPr="002433F3">
        <w:rPr>
          <w:lang w:val="en-US"/>
        </w:rPr>
        <w:t>,</w:t>
      </w:r>
      <w:r w:rsidR="00DE3A27" w:rsidRPr="002433F3">
        <w:rPr>
          <w:lang w:val="en-US"/>
        </w:rPr>
        <w:t xml:space="preserve"> </w:t>
      </w:r>
      <w:r w:rsidR="00D16C75" w:rsidRPr="002433F3">
        <w:rPr>
          <w:lang w:val="en-US"/>
        </w:rPr>
        <w:t xml:space="preserve">as long as </w:t>
      </w:r>
      <w:r w:rsidRPr="002433F3">
        <w:rPr>
          <w:lang w:val="en-US"/>
        </w:rPr>
        <w:t xml:space="preserve">they </w:t>
      </w:r>
      <w:r w:rsidR="00D16C75" w:rsidRPr="002433F3">
        <w:rPr>
          <w:lang w:val="en-US"/>
        </w:rPr>
        <w:t xml:space="preserve">meet </w:t>
      </w:r>
      <w:r w:rsidR="002E6F71" w:rsidRPr="002433F3">
        <w:rPr>
          <w:lang w:val="en-US"/>
        </w:rPr>
        <w:t xml:space="preserve">the legal requirements for </w:t>
      </w:r>
      <w:r w:rsidR="00D16C75" w:rsidRPr="002433F3">
        <w:rPr>
          <w:lang w:val="en-US"/>
        </w:rPr>
        <w:t xml:space="preserve">recognition of </w:t>
      </w:r>
      <w:r w:rsidR="00FA0D37" w:rsidRPr="002433F3">
        <w:rPr>
          <w:lang w:val="en-US"/>
        </w:rPr>
        <w:t>their marital union</w:t>
      </w:r>
      <w:r w:rsidRPr="002433F3">
        <w:rPr>
          <w:lang w:val="en-US"/>
        </w:rPr>
        <w:t>.</w:t>
      </w:r>
      <w:r w:rsidRPr="002433F3">
        <w:rPr>
          <w:rStyle w:val="Refdenotaalpie"/>
          <w:spacing w:val="-3"/>
          <w:lang w:val="en-US"/>
        </w:rPr>
        <w:footnoteReference w:id="69"/>
      </w:r>
      <w:r w:rsidRPr="002433F3">
        <w:rPr>
          <w:lang w:val="en-US"/>
        </w:rPr>
        <w:t xml:space="preserve"> </w:t>
      </w:r>
      <w:r w:rsidR="00D16C75" w:rsidRPr="002433F3">
        <w:rPr>
          <w:lang w:val="en-US"/>
        </w:rPr>
        <w:t>T</w:t>
      </w:r>
      <w:r w:rsidRPr="002433F3">
        <w:rPr>
          <w:lang w:val="en-US"/>
        </w:rPr>
        <w:t xml:space="preserve">he Constitutional Court </w:t>
      </w:r>
      <w:r w:rsidR="00D16C75" w:rsidRPr="002433F3">
        <w:rPr>
          <w:lang w:val="en-US"/>
        </w:rPr>
        <w:t xml:space="preserve">subsequently </w:t>
      </w:r>
      <w:r w:rsidR="00576401" w:rsidRPr="002433F3">
        <w:rPr>
          <w:lang w:val="en-US"/>
        </w:rPr>
        <w:t xml:space="preserve">determined that </w:t>
      </w:r>
      <w:r w:rsidR="008529D6" w:rsidRPr="002433F3">
        <w:rPr>
          <w:lang w:val="en-US"/>
        </w:rPr>
        <w:t xml:space="preserve">coverage of </w:t>
      </w:r>
      <w:r w:rsidR="00576401" w:rsidRPr="002433F3">
        <w:rPr>
          <w:lang w:val="en-US"/>
        </w:rPr>
        <w:t xml:space="preserve">social security system health services provided under </w:t>
      </w:r>
      <w:r w:rsidRPr="002433F3">
        <w:rPr>
          <w:lang w:val="en-US"/>
        </w:rPr>
        <w:t>the contribut</w:t>
      </w:r>
      <w:r w:rsidR="00FA0D37" w:rsidRPr="002433F3">
        <w:rPr>
          <w:lang w:val="en-US"/>
        </w:rPr>
        <w:t xml:space="preserve">ory </w:t>
      </w:r>
      <w:r w:rsidR="00632773" w:rsidRPr="002433F3">
        <w:rPr>
          <w:lang w:val="en-US"/>
        </w:rPr>
        <w:t>scheme</w:t>
      </w:r>
      <w:r w:rsidRPr="002433F3">
        <w:rPr>
          <w:lang w:val="en-US"/>
        </w:rPr>
        <w:t xml:space="preserve"> </w:t>
      </w:r>
      <w:r w:rsidR="00DE3A27" w:rsidRPr="002433F3">
        <w:rPr>
          <w:lang w:val="en-US"/>
        </w:rPr>
        <w:t>w</w:t>
      </w:r>
      <w:r w:rsidR="008529D6" w:rsidRPr="002433F3">
        <w:rPr>
          <w:lang w:val="en-US"/>
        </w:rPr>
        <w:t xml:space="preserve">ould also apply to </w:t>
      </w:r>
      <w:r w:rsidR="00371C2B" w:rsidRPr="002433F3">
        <w:rPr>
          <w:lang w:val="en-US"/>
        </w:rPr>
        <w:t xml:space="preserve">same-sex couples and, </w:t>
      </w:r>
      <w:r w:rsidR="008529D6" w:rsidRPr="002433F3">
        <w:rPr>
          <w:lang w:val="en-US"/>
        </w:rPr>
        <w:t>to that end</w:t>
      </w:r>
      <w:r w:rsidR="00371C2B" w:rsidRPr="002433F3">
        <w:rPr>
          <w:lang w:val="en-US"/>
        </w:rPr>
        <w:t xml:space="preserve">, the </w:t>
      </w:r>
      <w:r w:rsidR="00FA0D37" w:rsidRPr="002433F3">
        <w:rPr>
          <w:lang w:val="en-US"/>
        </w:rPr>
        <w:t xml:space="preserve">same </w:t>
      </w:r>
      <w:r w:rsidR="00371C2B" w:rsidRPr="002433F3">
        <w:rPr>
          <w:lang w:val="en-US"/>
        </w:rPr>
        <w:t>mechanism ap</w:t>
      </w:r>
      <w:r w:rsidR="00DE3A27" w:rsidRPr="002433F3">
        <w:rPr>
          <w:lang w:val="en-US"/>
        </w:rPr>
        <w:t>plied to heterosexual couples w</w:t>
      </w:r>
      <w:r w:rsidR="00371C2B" w:rsidRPr="002433F3">
        <w:rPr>
          <w:lang w:val="en-US"/>
        </w:rPr>
        <w:t xml:space="preserve">ould </w:t>
      </w:r>
      <w:r w:rsidR="00DE3A27" w:rsidRPr="002433F3">
        <w:rPr>
          <w:lang w:val="en-US"/>
        </w:rPr>
        <w:t>be used to verify the</w:t>
      </w:r>
      <w:r w:rsidR="00371C2B" w:rsidRPr="002433F3">
        <w:rPr>
          <w:lang w:val="en-US"/>
        </w:rPr>
        <w:t xml:space="preserve"> </w:t>
      </w:r>
      <w:r w:rsidR="00FA0D37" w:rsidRPr="002433F3">
        <w:rPr>
          <w:lang w:val="en-US"/>
        </w:rPr>
        <w:t xml:space="preserve">status of the </w:t>
      </w:r>
      <w:r w:rsidR="00371C2B" w:rsidRPr="002433F3">
        <w:rPr>
          <w:lang w:val="en-US"/>
        </w:rPr>
        <w:t>surviving partner</w:t>
      </w:r>
      <w:r w:rsidR="00DE3A27" w:rsidRPr="002433F3">
        <w:rPr>
          <w:lang w:val="en-US"/>
        </w:rPr>
        <w:t xml:space="preserve"> </w:t>
      </w:r>
      <w:r w:rsidR="00371C2B" w:rsidRPr="002433F3">
        <w:rPr>
          <w:lang w:val="en-US"/>
        </w:rPr>
        <w:t>and the permanen</w:t>
      </w:r>
      <w:r w:rsidR="00135AD0" w:rsidRPr="002433F3">
        <w:rPr>
          <w:lang w:val="en-US"/>
        </w:rPr>
        <w:t xml:space="preserve">t nature of </w:t>
      </w:r>
      <w:r w:rsidR="00DE3A27" w:rsidRPr="002433F3">
        <w:rPr>
          <w:lang w:val="en-US"/>
        </w:rPr>
        <w:t>the</w:t>
      </w:r>
      <w:r w:rsidR="00371C2B" w:rsidRPr="002433F3">
        <w:rPr>
          <w:lang w:val="en-US"/>
        </w:rPr>
        <w:t xml:space="preserve"> relationship</w:t>
      </w:r>
      <w:r w:rsidR="00DE3A27" w:rsidRPr="002433F3">
        <w:rPr>
          <w:lang w:val="en-US"/>
        </w:rPr>
        <w:t xml:space="preserve"> between same-sex couples</w:t>
      </w:r>
      <w:r w:rsidRPr="002433F3">
        <w:rPr>
          <w:lang w:val="en-US"/>
        </w:rPr>
        <w:t>.</w:t>
      </w:r>
      <w:r w:rsidRPr="002433F3">
        <w:rPr>
          <w:rStyle w:val="Refdenotaalpie"/>
          <w:spacing w:val="-3"/>
          <w:lang w:val="en-US"/>
        </w:rPr>
        <w:footnoteReference w:id="70"/>
      </w:r>
      <w:r w:rsidRPr="002433F3">
        <w:rPr>
          <w:lang w:val="en-US"/>
        </w:rPr>
        <w:t xml:space="preserve"> </w:t>
      </w:r>
    </w:p>
    <w:p w14:paraId="47F410EC" w14:textId="77777777" w:rsidR="007B0DE4" w:rsidRPr="002433F3" w:rsidRDefault="007B0DE4" w:rsidP="007B0DE4">
      <w:pPr>
        <w:numPr>
          <w:ilvl w:val="0"/>
          <w:numId w:val="2"/>
        </w:numPr>
        <w:spacing w:before="120" w:after="120"/>
        <w:rPr>
          <w:rFonts w:cs="Tahoma"/>
          <w:lang w:val="en-US"/>
        </w:rPr>
      </w:pPr>
      <w:r w:rsidRPr="002433F3">
        <w:rPr>
          <w:lang w:val="en-US"/>
        </w:rPr>
        <w:t>In 2008, the Constitut</w:t>
      </w:r>
      <w:r w:rsidR="00FA0D37" w:rsidRPr="002433F3">
        <w:rPr>
          <w:lang w:val="en-US"/>
        </w:rPr>
        <w:t>ional Court of Colombia delivered j</w:t>
      </w:r>
      <w:r w:rsidRPr="002433F3">
        <w:rPr>
          <w:lang w:val="en-US"/>
        </w:rPr>
        <w:t>udgment C-336</w:t>
      </w:r>
      <w:r w:rsidR="00FA0D37" w:rsidRPr="002433F3">
        <w:rPr>
          <w:lang w:val="en-US"/>
        </w:rPr>
        <w:t>,</w:t>
      </w:r>
      <w:r w:rsidRPr="002433F3">
        <w:rPr>
          <w:lang w:val="en-US"/>
        </w:rPr>
        <w:t xml:space="preserve"> wh</w:t>
      </w:r>
      <w:r w:rsidR="00FA0D37" w:rsidRPr="002433F3">
        <w:rPr>
          <w:lang w:val="en-US"/>
        </w:rPr>
        <w:t xml:space="preserve">ich ruled that </w:t>
      </w:r>
      <w:r w:rsidR="00F91A2A" w:rsidRPr="002433F3">
        <w:rPr>
          <w:lang w:val="en-US"/>
        </w:rPr>
        <w:t xml:space="preserve">permanent same-sex couples who could </w:t>
      </w:r>
      <w:r w:rsidR="00DE3A27" w:rsidRPr="002433F3">
        <w:rPr>
          <w:lang w:val="en-US"/>
        </w:rPr>
        <w:t xml:space="preserve">prove </w:t>
      </w:r>
      <w:r w:rsidR="00F91A2A" w:rsidRPr="002433F3">
        <w:rPr>
          <w:lang w:val="en-US"/>
        </w:rPr>
        <w:t xml:space="preserve">their status </w:t>
      </w:r>
      <w:r w:rsidR="00135AD0" w:rsidRPr="002433F3">
        <w:rPr>
          <w:lang w:val="en-US"/>
        </w:rPr>
        <w:t xml:space="preserve">as such </w:t>
      </w:r>
      <w:r w:rsidR="00F91A2A" w:rsidRPr="002433F3">
        <w:rPr>
          <w:lang w:val="en-US"/>
        </w:rPr>
        <w:t xml:space="preserve">would be </w:t>
      </w:r>
      <w:r w:rsidRPr="002433F3">
        <w:rPr>
          <w:lang w:val="en-US"/>
        </w:rPr>
        <w:t>granted the right to a survivor’s pension.</w:t>
      </w:r>
      <w:r w:rsidRPr="002433F3">
        <w:rPr>
          <w:rStyle w:val="Refdenotaalpie"/>
          <w:spacing w:val="-3"/>
          <w:lang w:val="en-US"/>
        </w:rPr>
        <w:footnoteReference w:id="71"/>
      </w:r>
      <w:r w:rsidR="00F91A2A" w:rsidRPr="002433F3">
        <w:rPr>
          <w:lang w:val="en-US"/>
        </w:rPr>
        <w:t xml:space="preserve"> </w:t>
      </w:r>
      <w:r w:rsidR="00B97BDE" w:rsidRPr="002433F3">
        <w:rPr>
          <w:lang w:val="en-US"/>
        </w:rPr>
        <w:t>F</w:t>
      </w:r>
      <w:r w:rsidR="00F91A2A" w:rsidRPr="002433F3">
        <w:rPr>
          <w:lang w:val="en-US"/>
        </w:rPr>
        <w:t>rom 2010 onwa</w:t>
      </w:r>
      <w:r w:rsidR="00B97BDE" w:rsidRPr="002433F3">
        <w:rPr>
          <w:lang w:val="en-US"/>
        </w:rPr>
        <w:t xml:space="preserve">rds, </w:t>
      </w:r>
      <w:r w:rsidR="00F91A2A" w:rsidRPr="002433F3">
        <w:rPr>
          <w:lang w:val="en-US"/>
        </w:rPr>
        <w:t xml:space="preserve">several </w:t>
      </w:r>
      <w:r w:rsidR="00135AD0" w:rsidRPr="002433F3">
        <w:rPr>
          <w:lang w:val="en-US"/>
        </w:rPr>
        <w:t xml:space="preserve">decisions </w:t>
      </w:r>
      <w:r w:rsidR="00DE3A27" w:rsidRPr="002433F3">
        <w:rPr>
          <w:lang w:val="en-US"/>
        </w:rPr>
        <w:t xml:space="preserve">issued by </w:t>
      </w:r>
      <w:r w:rsidRPr="002433F3">
        <w:rPr>
          <w:lang w:val="en-US"/>
        </w:rPr>
        <w:t xml:space="preserve">the Constitutional Court </w:t>
      </w:r>
      <w:r w:rsidR="005302A4" w:rsidRPr="002433F3">
        <w:rPr>
          <w:lang w:val="en-US"/>
        </w:rPr>
        <w:t>con</w:t>
      </w:r>
      <w:r w:rsidR="00FA0D37" w:rsidRPr="002433F3">
        <w:rPr>
          <w:lang w:val="en-US"/>
        </w:rPr>
        <w:t xml:space="preserve">firmed </w:t>
      </w:r>
      <w:r w:rsidR="00F91A2A" w:rsidRPr="002433F3">
        <w:rPr>
          <w:lang w:val="en-US"/>
        </w:rPr>
        <w:t xml:space="preserve">that the </w:t>
      </w:r>
      <w:r w:rsidR="00DE3A27" w:rsidRPr="002433F3">
        <w:rPr>
          <w:lang w:val="en-US"/>
        </w:rPr>
        <w:t xml:space="preserve">death of </w:t>
      </w:r>
      <w:r w:rsidR="00F91A2A" w:rsidRPr="002433F3">
        <w:rPr>
          <w:lang w:val="en-US"/>
        </w:rPr>
        <w:t xml:space="preserve">one </w:t>
      </w:r>
      <w:r w:rsidRPr="002433F3">
        <w:rPr>
          <w:lang w:val="en-US"/>
        </w:rPr>
        <w:t xml:space="preserve">member of a same-sex couple </w:t>
      </w:r>
      <w:r w:rsidR="00DE3A27" w:rsidRPr="002433F3">
        <w:rPr>
          <w:lang w:val="en-US"/>
        </w:rPr>
        <w:t>prior to the notification of j</w:t>
      </w:r>
      <w:r w:rsidRPr="002433F3">
        <w:rPr>
          <w:lang w:val="en-US"/>
        </w:rPr>
        <w:t>udgment C-336 of 2008 was no</w:t>
      </w:r>
      <w:r w:rsidR="005302A4" w:rsidRPr="002433F3">
        <w:rPr>
          <w:lang w:val="en-US"/>
        </w:rPr>
        <w:t xml:space="preserve"> justification for denying </w:t>
      </w:r>
      <w:r w:rsidRPr="002433F3">
        <w:rPr>
          <w:lang w:val="en-US"/>
        </w:rPr>
        <w:t>the surviv</w:t>
      </w:r>
      <w:r w:rsidR="00FA0D37" w:rsidRPr="002433F3">
        <w:rPr>
          <w:lang w:val="en-US"/>
        </w:rPr>
        <w:t>or’s pension to the surviv</w:t>
      </w:r>
      <w:r w:rsidRPr="002433F3">
        <w:rPr>
          <w:lang w:val="en-US"/>
        </w:rPr>
        <w:t xml:space="preserve">ing partner. </w:t>
      </w:r>
      <w:r w:rsidR="005302A4" w:rsidRPr="002433F3">
        <w:rPr>
          <w:lang w:val="en-US"/>
        </w:rPr>
        <w:t>Furthermore</w:t>
      </w:r>
      <w:r w:rsidRPr="002433F3">
        <w:rPr>
          <w:lang w:val="en-US"/>
        </w:rPr>
        <w:t xml:space="preserve">, the Constitutional Court </w:t>
      </w:r>
      <w:r w:rsidR="00FA0D37" w:rsidRPr="002433F3">
        <w:rPr>
          <w:lang w:val="en-US"/>
        </w:rPr>
        <w:t xml:space="preserve">concluded </w:t>
      </w:r>
      <w:r w:rsidRPr="002433F3">
        <w:rPr>
          <w:lang w:val="en-US"/>
        </w:rPr>
        <w:t xml:space="preserve">that there were no constitutionally valid grounds to </w:t>
      </w:r>
      <w:r w:rsidR="00A60B37" w:rsidRPr="002433F3">
        <w:rPr>
          <w:lang w:val="en-US"/>
        </w:rPr>
        <w:t xml:space="preserve">find that it was </w:t>
      </w:r>
      <w:r w:rsidR="00B97BDE" w:rsidRPr="002433F3">
        <w:rPr>
          <w:lang w:val="en-US"/>
        </w:rPr>
        <w:t xml:space="preserve">reasonable to </w:t>
      </w:r>
      <w:r w:rsidR="00A60B37" w:rsidRPr="002433F3">
        <w:rPr>
          <w:lang w:val="en-US"/>
        </w:rPr>
        <w:t xml:space="preserve">give </w:t>
      </w:r>
      <w:r w:rsidRPr="002433F3">
        <w:rPr>
          <w:lang w:val="en-US"/>
        </w:rPr>
        <w:t>same-sex couple</w:t>
      </w:r>
      <w:r w:rsidR="00043AB6" w:rsidRPr="002433F3">
        <w:rPr>
          <w:lang w:val="en-US"/>
        </w:rPr>
        <w:t>s</w:t>
      </w:r>
      <w:r w:rsidRPr="002433F3">
        <w:rPr>
          <w:lang w:val="en-US"/>
        </w:rPr>
        <w:t xml:space="preserve"> only one </w:t>
      </w:r>
      <w:r w:rsidR="00B97BDE" w:rsidRPr="002433F3">
        <w:rPr>
          <w:lang w:val="en-US"/>
        </w:rPr>
        <w:t xml:space="preserve">method </w:t>
      </w:r>
      <w:r w:rsidRPr="002433F3">
        <w:rPr>
          <w:lang w:val="en-US"/>
        </w:rPr>
        <w:t xml:space="preserve">of proving </w:t>
      </w:r>
      <w:r w:rsidR="00043AB6" w:rsidRPr="002433F3">
        <w:rPr>
          <w:lang w:val="en-US"/>
        </w:rPr>
        <w:t>that their union was</w:t>
      </w:r>
      <w:r w:rsidR="005302A4" w:rsidRPr="002433F3">
        <w:rPr>
          <w:lang w:val="en-US"/>
        </w:rPr>
        <w:t xml:space="preserve"> permanent</w:t>
      </w:r>
      <w:r w:rsidRPr="002433F3">
        <w:rPr>
          <w:lang w:val="en-US"/>
        </w:rPr>
        <w:t>, whe</w:t>
      </w:r>
      <w:r w:rsidR="00B97BDE" w:rsidRPr="002433F3">
        <w:rPr>
          <w:lang w:val="en-US"/>
        </w:rPr>
        <w:t xml:space="preserve">n </w:t>
      </w:r>
      <w:r w:rsidRPr="002433F3">
        <w:rPr>
          <w:lang w:val="en-US"/>
        </w:rPr>
        <w:t xml:space="preserve">heterosexual couples </w:t>
      </w:r>
      <w:r w:rsidR="00B97BDE" w:rsidRPr="002433F3">
        <w:rPr>
          <w:lang w:val="en-US"/>
        </w:rPr>
        <w:t xml:space="preserve">were </w:t>
      </w:r>
      <w:r w:rsidR="00B97BDE" w:rsidRPr="002433F3">
        <w:rPr>
          <w:lang w:val="en-US"/>
        </w:rPr>
        <w:lastRenderedPageBreak/>
        <w:t xml:space="preserve">offered </w:t>
      </w:r>
      <w:r w:rsidRPr="002433F3">
        <w:rPr>
          <w:lang w:val="en-US"/>
        </w:rPr>
        <w:t xml:space="preserve">five different </w:t>
      </w:r>
      <w:r w:rsidR="005302A4" w:rsidRPr="002433F3">
        <w:rPr>
          <w:lang w:val="en-US"/>
        </w:rPr>
        <w:t>methods of doing so</w:t>
      </w:r>
      <w:r w:rsidR="00B97BDE" w:rsidRPr="002433F3">
        <w:rPr>
          <w:lang w:val="en-US"/>
        </w:rPr>
        <w:t>;</w:t>
      </w:r>
      <w:r w:rsidRPr="002433F3">
        <w:rPr>
          <w:lang w:val="en-US"/>
        </w:rPr>
        <w:t xml:space="preserve"> th</w:t>
      </w:r>
      <w:r w:rsidR="00043AB6" w:rsidRPr="002433F3">
        <w:rPr>
          <w:lang w:val="en-US"/>
        </w:rPr>
        <w:t>us</w:t>
      </w:r>
      <w:r w:rsidRPr="002433F3">
        <w:rPr>
          <w:lang w:val="en-US"/>
        </w:rPr>
        <w:t xml:space="preserve">, the </w:t>
      </w:r>
      <w:r w:rsidR="00B97BDE" w:rsidRPr="002433F3">
        <w:rPr>
          <w:lang w:val="en-US"/>
        </w:rPr>
        <w:t>Co</w:t>
      </w:r>
      <w:r w:rsidR="00043AB6" w:rsidRPr="002433F3">
        <w:rPr>
          <w:lang w:val="en-US"/>
        </w:rPr>
        <w:t xml:space="preserve">nstitutional Court </w:t>
      </w:r>
      <w:r w:rsidR="00B97BDE" w:rsidRPr="002433F3">
        <w:rPr>
          <w:lang w:val="en-US"/>
        </w:rPr>
        <w:t xml:space="preserve">held that </w:t>
      </w:r>
      <w:r w:rsidR="00043AB6" w:rsidRPr="002433F3">
        <w:rPr>
          <w:lang w:val="en-US"/>
        </w:rPr>
        <w:t xml:space="preserve">the </w:t>
      </w:r>
      <w:r w:rsidRPr="002433F3">
        <w:rPr>
          <w:lang w:val="en-US"/>
        </w:rPr>
        <w:t xml:space="preserve">same mechanisms should be </w:t>
      </w:r>
      <w:r w:rsidR="00455776" w:rsidRPr="002433F3">
        <w:rPr>
          <w:lang w:val="en-US"/>
        </w:rPr>
        <w:t xml:space="preserve">applied </w:t>
      </w:r>
      <w:r w:rsidRPr="002433F3">
        <w:rPr>
          <w:lang w:val="en-US"/>
        </w:rPr>
        <w:t>in both cases.</w:t>
      </w:r>
      <w:r w:rsidRPr="002433F3">
        <w:rPr>
          <w:rStyle w:val="Refdenotaalpie"/>
          <w:spacing w:val="-3"/>
          <w:lang w:val="en-US"/>
        </w:rPr>
        <w:footnoteReference w:id="72"/>
      </w:r>
      <w:bookmarkEnd w:id="100"/>
      <w:r w:rsidRPr="002433F3">
        <w:rPr>
          <w:lang w:val="en-US"/>
        </w:rPr>
        <w:t xml:space="preserve"> </w:t>
      </w:r>
    </w:p>
    <w:p w14:paraId="793A03C0" w14:textId="77777777" w:rsidR="007B0DE4" w:rsidRPr="002433F3" w:rsidRDefault="007B0DE4" w:rsidP="007B0DE4">
      <w:pPr>
        <w:pStyle w:val="Ttulo1"/>
        <w:spacing w:before="460" w:after="460"/>
        <w:rPr>
          <w:noProof w:val="0"/>
          <w:lang w:val="en-US"/>
        </w:rPr>
      </w:pPr>
      <w:bookmarkStart w:id="105" w:name="_Toc448482261"/>
      <w:r w:rsidRPr="002433F3">
        <w:rPr>
          <w:caps w:val="0"/>
          <w:noProof w:val="0"/>
          <w:lang w:val="en-US"/>
        </w:rPr>
        <w:t>VIII</w:t>
      </w:r>
      <w:r w:rsidRPr="002433F3">
        <w:rPr>
          <w:caps w:val="0"/>
          <w:noProof w:val="0"/>
          <w:lang w:val="en-US"/>
        </w:rPr>
        <w:br/>
        <w:t xml:space="preserve">MERITS </w:t>
      </w:r>
      <w:bookmarkEnd w:id="105"/>
    </w:p>
    <w:p w14:paraId="41AECAAC" w14:textId="77777777" w:rsidR="007B0DE4" w:rsidRPr="002433F3" w:rsidRDefault="007B0DE4" w:rsidP="007B0DE4">
      <w:pPr>
        <w:numPr>
          <w:ilvl w:val="0"/>
          <w:numId w:val="2"/>
        </w:numPr>
        <w:spacing w:before="120" w:after="120"/>
        <w:rPr>
          <w:lang w:val="en-US"/>
        </w:rPr>
      </w:pPr>
      <w:r w:rsidRPr="002433F3">
        <w:rPr>
          <w:lang w:val="en-US"/>
        </w:rPr>
        <w:t xml:space="preserve">Having regard to the </w:t>
      </w:r>
      <w:r w:rsidR="00B97BDE" w:rsidRPr="002433F3">
        <w:rPr>
          <w:lang w:val="en-US"/>
        </w:rPr>
        <w:t xml:space="preserve">alleged </w:t>
      </w:r>
      <w:r w:rsidRPr="002433F3">
        <w:rPr>
          <w:lang w:val="en-US"/>
        </w:rPr>
        <w:t xml:space="preserve">violations of rights </w:t>
      </w:r>
      <w:r w:rsidR="008D7EEE" w:rsidRPr="002433F3">
        <w:rPr>
          <w:lang w:val="en-US"/>
        </w:rPr>
        <w:t xml:space="preserve">protected </w:t>
      </w:r>
      <w:r w:rsidR="001C4549" w:rsidRPr="002433F3">
        <w:rPr>
          <w:lang w:val="en-US"/>
        </w:rPr>
        <w:t xml:space="preserve">under </w:t>
      </w:r>
      <w:r w:rsidRPr="002433F3">
        <w:rPr>
          <w:lang w:val="en-US"/>
        </w:rPr>
        <w:t>the Convention in th</w:t>
      </w:r>
      <w:r w:rsidR="00043AB6" w:rsidRPr="002433F3">
        <w:rPr>
          <w:lang w:val="en-US"/>
        </w:rPr>
        <w:t xml:space="preserve">is </w:t>
      </w:r>
      <w:r w:rsidRPr="002433F3">
        <w:rPr>
          <w:lang w:val="en-US"/>
        </w:rPr>
        <w:t xml:space="preserve">case, the Court will </w:t>
      </w:r>
      <w:r w:rsidR="00043AB6" w:rsidRPr="002433F3">
        <w:rPr>
          <w:lang w:val="en-US"/>
        </w:rPr>
        <w:t xml:space="preserve">now </w:t>
      </w:r>
      <w:r w:rsidR="008D7EEE" w:rsidRPr="002433F3">
        <w:rPr>
          <w:lang w:val="en-US"/>
        </w:rPr>
        <w:t xml:space="preserve">analyze </w:t>
      </w:r>
      <w:r w:rsidRPr="002433F3">
        <w:rPr>
          <w:lang w:val="en-US"/>
        </w:rPr>
        <w:t>the following</w:t>
      </w:r>
      <w:r w:rsidR="001C4549" w:rsidRPr="002433F3">
        <w:rPr>
          <w:lang w:val="en-US"/>
        </w:rPr>
        <w:t xml:space="preserve"> points</w:t>
      </w:r>
      <w:r w:rsidRPr="002433F3">
        <w:rPr>
          <w:lang w:val="en-US"/>
        </w:rPr>
        <w:t>: 1) the right to equal</w:t>
      </w:r>
      <w:r w:rsidR="00EF14C8" w:rsidRPr="002433F3">
        <w:rPr>
          <w:lang w:val="en-US"/>
        </w:rPr>
        <w:t>ity</w:t>
      </w:r>
      <w:r w:rsidR="0039719B" w:rsidRPr="002433F3">
        <w:rPr>
          <w:lang w:val="en-US"/>
        </w:rPr>
        <w:t xml:space="preserve"> </w:t>
      </w:r>
      <w:r w:rsidR="00EF14C8" w:rsidRPr="002433F3">
        <w:rPr>
          <w:lang w:val="en-US"/>
        </w:rPr>
        <w:t xml:space="preserve">and </w:t>
      </w:r>
      <w:r w:rsidRPr="002433F3">
        <w:rPr>
          <w:lang w:val="en-US"/>
        </w:rPr>
        <w:t>non-discrimination</w:t>
      </w:r>
      <w:r w:rsidR="00EF14C8" w:rsidRPr="002433F3">
        <w:rPr>
          <w:lang w:val="en-US"/>
        </w:rPr>
        <w:t xml:space="preserve"> before the law</w:t>
      </w:r>
      <w:r w:rsidRPr="002433F3">
        <w:rPr>
          <w:lang w:val="en-US"/>
        </w:rPr>
        <w:t>; 2) the right to judicial guarantees and judicial protection, and 3) the right to personal integrity and the right to life.</w:t>
      </w:r>
    </w:p>
    <w:p w14:paraId="69A1EDF1" w14:textId="77777777" w:rsidR="007B0DE4" w:rsidRPr="002433F3" w:rsidRDefault="007B0DE4" w:rsidP="007B0DE4">
      <w:pPr>
        <w:pStyle w:val="Ttulo1"/>
        <w:spacing w:before="460" w:after="460"/>
        <w:rPr>
          <w:noProof w:val="0"/>
          <w:lang w:val="en-US"/>
        </w:rPr>
      </w:pPr>
      <w:bookmarkStart w:id="106" w:name="_Toc448482262"/>
      <w:r w:rsidRPr="002433F3">
        <w:rPr>
          <w:caps w:val="0"/>
          <w:noProof w:val="0"/>
          <w:lang w:val="en-US"/>
        </w:rPr>
        <w:t>VIII-1</w:t>
      </w:r>
      <w:r w:rsidRPr="002433F3">
        <w:rPr>
          <w:caps w:val="0"/>
          <w:noProof w:val="0"/>
          <w:color w:val="FFDDDD"/>
          <w:lang w:val="en-US"/>
        </w:rPr>
        <w:t>.</w:t>
      </w:r>
      <w:r w:rsidR="0039719B" w:rsidRPr="002433F3">
        <w:rPr>
          <w:caps w:val="0"/>
          <w:noProof w:val="0"/>
          <w:lang w:val="en-US"/>
        </w:rPr>
        <w:br/>
        <w:t>RIGHT TO EQUAL</w:t>
      </w:r>
      <w:r w:rsidR="00E90C95" w:rsidRPr="002433F3">
        <w:rPr>
          <w:caps w:val="0"/>
          <w:noProof w:val="0"/>
          <w:lang w:val="en-US"/>
        </w:rPr>
        <w:t>ITY</w:t>
      </w:r>
      <w:r w:rsidR="0039719B" w:rsidRPr="002433F3">
        <w:rPr>
          <w:caps w:val="0"/>
          <w:noProof w:val="0"/>
          <w:lang w:val="en-US"/>
        </w:rPr>
        <w:t xml:space="preserve"> </w:t>
      </w:r>
      <w:r w:rsidR="00EF14C8" w:rsidRPr="002433F3">
        <w:rPr>
          <w:caps w:val="0"/>
          <w:noProof w:val="0"/>
          <w:lang w:val="en-US"/>
        </w:rPr>
        <w:t xml:space="preserve">AND </w:t>
      </w:r>
      <w:r w:rsidRPr="002433F3">
        <w:rPr>
          <w:caps w:val="0"/>
          <w:noProof w:val="0"/>
          <w:lang w:val="en-US"/>
        </w:rPr>
        <w:t>NON-DISCRIMINATION</w:t>
      </w:r>
      <w:bookmarkEnd w:id="106"/>
      <w:r w:rsidR="00311E97" w:rsidRPr="002433F3">
        <w:rPr>
          <w:caps w:val="0"/>
          <w:noProof w:val="0"/>
          <w:lang w:val="en-US"/>
        </w:rPr>
        <w:t xml:space="preserve"> BEFORE THE LAW</w:t>
      </w:r>
    </w:p>
    <w:p w14:paraId="04321F01" w14:textId="77777777" w:rsidR="007B0DE4" w:rsidRPr="002433F3" w:rsidRDefault="007B0DE4" w:rsidP="007B0DE4">
      <w:pPr>
        <w:pStyle w:val="Ttulo2"/>
        <w:spacing w:before="280" w:after="280"/>
        <w:ind w:left="714" w:hanging="357"/>
        <w:rPr>
          <w:noProof w:val="0"/>
          <w:lang w:val="en-US" w:eastAsia="es-ES"/>
        </w:rPr>
      </w:pPr>
      <w:bookmarkStart w:id="107" w:name="_Toc448482263"/>
      <w:r w:rsidRPr="002433F3">
        <w:rPr>
          <w:noProof w:val="0"/>
          <w:lang w:val="en-US" w:eastAsia="es-ES"/>
        </w:rPr>
        <w:t>Arguments of the parties and of the Commission</w:t>
      </w:r>
      <w:bookmarkEnd w:id="107"/>
    </w:p>
    <w:p w14:paraId="11DC24C9" w14:textId="77777777" w:rsidR="007B0DE4" w:rsidRPr="002433F3" w:rsidRDefault="007B0DE4" w:rsidP="007B0DE4">
      <w:pPr>
        <w:numPr>
          <w:ilvl w:val="0"/>
          <w:numId w:val="2"/>
        </w:numPr>
        <w:spacing w:before="120" w:after="120"/>
        <w:rPr>
          <w:b/>
          <w:lang w:val="en-US"/>
        </w:rPr>
      </w:pPr>
      <w:r w:rsidRPr="002433F3">
        <w:rPr>
          <w:lang w:val="en-US"/>
        </w:rPr>
        <w:t xml:space="preserve">The </w:t>
      </w:r>
      <w:r w:rsidRPr="002433F3">
        <w:rPr>
          <w:i/>
          <w:lang w:val="en-US"/>
        </w:rPr>
        <w:t>Commission</w:t>
      </w:r>
      <w:r w:rsidRPr="002433F3">
        <w:rPr>
          <w:b/>
          <w:lang w:val="en-US"/>
        </w:rPr>
        <w:t xml:space="preserve"> </w:t>
      </w:r>
      <w:r w:rsidRPr="002433F3">
        <w:rPr>
          <w:lang w:val="en-US"/>
        </w:rPr>
        <w:t xml:space="preserve">argued that the </w:t>
      </w:r>
      <w:r w:rsidR="00DA1CFE" w:rsidRPr="002433F3">
        <w:rPr>
          <w:lang w:val="en-US"/>
        </w:rPr>
        <w:t xml:space="preserve">reason for denying </w:t>
      </w:r>
      <w:r w:rsidRPr="002433F3">
        <w:rPr>
          <w:lang w:val="en-US"/>
        </w:rPr>
        <w:t>Mr. Duque</w:t>
      </w:r>
      <w:r w:rsidR="00EF5018" w:rsidRPr="002433F3">
        <w:rPr>
          <w:lang w:val="en-US"/>
        </w:rPr>
        <w:t xml:space="preserve"> a survivor’s pension </w:t>
      </w:r>
      <w:r w:rsidRPr="002433F3">
        <w:rPr>
          <w:lang w:val="en-US"/>
        </w:rPr>
        <w:t xml:space="preserve">was expressly and exclusively </w:t>
      </w:r>
      <w:r w:rsidR="00DA1CFE" w:rsidRPr="002433F3">
        <w:rPr>
          <w:lang w:val="en-US"/>
        </w:rPr>
        <w:t xml:space="preserve">based </w:t>
      </w:r>
      <w:r w:rsidRPr="002433F3">
        <w:rPr>
          <w:lang w:val="en-US"/>
        </w:rPr>
        <w:t>on the fact that he and his partner</w:t>
      </w:r>
      <w:r w:rsidR="00D85657" w:rsidRPr="002433F3">
        <w:rPr>
          <w:lang w:val="en-US"/>
        </w:rPr>
        <w:t>,</w:t>
      </w:r>
      <w:r w:rsidRPr="002433F3">
        <w:rPr>
          <w:lang w:val="en-US"/>
        </w:rPr>
        <w:t xml:space="preserve"> </w:t>
      </w:r>
      <w:r w:rsidR="00DA1CFE" w:rsidRPr="002433F3">
        <w:rPr>
          <w:lang w:val="en-US"/>
        </w:rPr>
        <w:t>JOJG</w:t>
      </w:r>
      <w:r w:rsidR="00D85657" w:rsidRPr="002433F3">
        <w:rPr>
          <w:lang w:val="en-US"/>
        </w:rPr>
        <w:t>,</w:t>
      </w:r>
      <w:r w:rsidRPr="002433F3">
        <w:rPr>
          <w:lang w:val="en-US"/>
        </w:rPr>
        <w:t xml:space="preserve"> wer</w:t>
      </w:r>
      <w:r w:rsidR="00135AD0" w:rsidRPr="002433F3">
        <w:rPr>
          <w:lang w:val="en-US"/>
        </w:rPr>
        <w:t>e a same-sex couple</w:t>
      </w:r>
      <w:r w:rsidR="00E73310" w:rsidRPr="002433F3">
        <w:rPr>
          <w:lang w:val="en-US"/>
        </w:rPr>
        <w:t>, since</w:t>
      </w:r>
      <w:r w:rsidR="00135AD0" w:rsidRPr="002433F3">
        <w:rPr>
          <w:lang w:val="en-US"/>
        </w:rPr>
        <w:t xml:space="preserve"> </w:t>
      </w:r>
      <w:r w:rsidR="002217F7" w:rsidRPr="002433F3">
        <w:rPr>
          <w:lang w:val="en-US"/>
        </w:rPr>
        <w:t>no</w:t>
      </w:r>
      <w:r w:rsidRPr="002433F3">
        <w:rPr>
          <w:lang w:val="en-US"/>
        </w:rPr>
        <w:t xml:space="preserve"> </w:t>
      </w:r>
      <w:r w:rsidR="00B86213" w:rsidRPr="002433F3">
        <w:rPr>
          <w:lang w:val="en-US"/>
        </w:rPr>
        <w:t xml:space="preserve">other reasons were </w:t>
      </w:r>
      <w:r w:rsidR="00E73310" w:rsidRPr="002433F3">
        <w:rPr>
          <w:lang w:val="en-US"/>
        </w:rPr>
        <w:t>mentioned</w:t>
      </w:r>
      <w:r w:rsidRPr="002433F3">
        <w:rPr>
          <w:lang w:val="en-US"/>
        </w:rPr>
        <w:t>. It a</w:t>
      </w:r>
      <w:r w:rsidR="00B86213" w:rsidRPr="002433F3">
        <w:rPr>
          <w:lang w:val="en-US"/>
        </w:rPr>
        <w:t xml:space="preserve">dded </w:t>
      </w:r>
      <w:r w:rsidRPr="002433F3">
        <w:rPr>
          <w:lang w:val="en-US"/>
        </w:rPr>
        <w:t xml:space="preserve">that the administrative and judicial authorities </w:t>
      </w:r>
      <w:r w:rsidR="00E73310" w:rsidRPr="002433F3">
        <w:rPr>
          <w:lang w:val="en-US"/>
        </w:rPr>
        <w:t xml:space="preserve">justified their decision to </w:t>
      </w:r>
      <w:r w:rsidR="002217F7" w:rsidRPr="002433F3">
        <w:rPr>
          <w:lang w:val="en-US"/>
        </w:rPr>
        <w:t>exclu</w:t>
      </w:r>
      <w:r w:rsidR="00E73310" w:rsidRPr="002433F3">
        <w:rPr>
          <w:lang w:val="en-US"/>
        </w:rPr>
        <w:t xml:space="preserve">de </w:t>
      </w:r>
      <w:r w:rsidR="002217F7" w:rsidRPr="002433F3">
        <w:rPr>
          <w:lang w:val="en-US"/>
        </w:rPr>
        <w:t xml:space="preserve">Mr. Duque from the right to </w:t>
      </w:r>
      <w:r w:rsidR="00D85657" w:rsidRPr="002433F3">
        <w:rPr>
          <w:lang w:val="en-US"/>
        </w:rPr>
        <w:t xml:space="preserve">claim </w:t>
      </w:r>
      <w:r w:rsidR="002217F7" w:rsidRPr="002433F3">
        <w:rPr>
          <w:lang w:val="en-US"/>
        </w:rPr>
        <w:t>a</w:t>
      </w:r>
      <w:r w:rsidRPr="002433F3">
        <w:rPr>
          <w:lang w:val="en-US"/>
        </w:rPr>
        <w:t xml:space="preserve"> survivor’s pension </w:t>
      </w:r>
      <w:r w:rsidR="00E73310" w:rsidRPr="002433F3">
        <w:rPr>
          <w:lang w:val="en-US"/>
        </w:rPr>
        <w:t xml:space="preserve">citing </w:t>
      </w:r>
      <w:r w:rsidR="00135AD0" w:rsidRPr="002433F3">
        <w:rPr>
          <w:lang w:val="en-US"/>
        </w:rPr>
        <w:t>the need to “protect the family</w:t>
      </w:r>
      <w:r w:rsidR="00E73310" w:rsidRPr="002433F3">
        <w:rPr>
          <w:lang w:val="en-US"/>
        </w:rPr>
        <w:t>.</w:t>
      </w:r>
      <w:r w:rsidRPr="002433F3">
        <w:rPr>
          <w:lang w:val="en-US"/>
        </w:rPr>
        <w:t xml:space="preserve">” </w:t>
      </w:r>
      <w:r w:rsidR="00E73310" w:rsidRPr="002433F3">
        <w:rPr>
          <w:lang w:val="en-US"/>
        </w:rPr>
        <w:t>I</w:t>
      </w:r>
      <w:r w:rsidR="00135AD0" w:rsidRPr="002433F3">
        <w:rPr>
          <w:lang w:val="en-US"/>
        </w:rPr>
        <w:t xml:space="preserve">n Colombia, </w:t>
      </w:r>
      <w:r w:rsidR="00B86213" w:rsidRPr="002433F3">
        <w:rPr>
          <w:lang w:val="en-US"/>
        </w:rPr>
        <w:t xml:space="preserve">at that time, </w:t>
      </w:r>
      <w:r w:rsidR="00135AD0" w:rsidRPr="002433F3">
        <w:rPr>
          <w:lang w:val="en-US"/>
        </w:rPr>
        <w:t xml:space="preserve">a family was defined as </w:t>
      </w:r>
      <w:r w:rsidR="00E73310" w:rsidRPr="002433F3">
        <w:rPr>
          <w:lang w:val="en-US"/>
        </w:rPr>
        <w:t>a union between a man and woman</w:t>
      </w:r>
      <w:r w:rsidRPr="002433F3">
        <w:rPr>
          <w:lang w:val="en-US"/>
        </w:rPr>
        <w:t xml:space="preserve"> </w:t>
      </w:r>
      <w:r w:rsidR="00E73310" w:rsidRPr="002433F3">
        <w:rPr>
          <w:lang w:val="en-US"/>
        </w:rPr>
        <w:t xml:space="preserve">and </w:t>
      </w:r>
      <w:r w:rsidR="00135AD0" w:rsidRPr="002433F3">
        <w:rPr>
          <w:lang w:val="en-US"/>
        </w:rPr>
        <w:t xml:space="preserve">this </w:t>
      </w:r>
      <w:r w:rsidRPr="002433F3">
        <w:rPr>
          <w:lang w:val="en-US"/>
        </w:rPr>
        <w:t>reasoning</w:t>
      </w:r>
      <w:r w:rsidR="00E73310" w:rsidRPr="002433F3">
        <w:rPr>
          <w:lang w:val="en-US"/>
        </w:rPr>
        <w:t xml:space="preserve">, according to the Commission, was </w:t>
      </w:r>
      <w:r w:rsidRPr="002433F3">
        <w:rPr>
          <w:lang w:val="en-US"/>
        </w:rPr>
        <w:t>bas</w:t>
      </w:r>
      <w:r w:rsidR="00E73310" w:rsidRPr="002433F3">
        <w:rPr>
          <w:lang w:val="en-US"/>
        </w:rPr>
        <w:t xml:space="preserve">ed on </w:t>
      </w:r>
      <w:r w:rsidRPr="002433F3">
        <w:rPr>
          <w:lang w:val="en-US"/>
        </w:rPr>
        <w:t>a “</w:t>
      </w:r>
      <w:r w:rsidR="002217F7" w:rsidRPr="002433F3">
        <w:rPr>
          <w:lang w:val="en-US"/>
        </w:rPr>
        <w:t xml:space="preserve">narrow </w:t>
      </w:r>
      <w:r w:rsidRPr="002433F3">
        <w:rPr>
          <w:lang w:val="en-US"/>
        </w:rPr>
        <w:t xml:space="preserve">and stereotyped </w:t>
      </w:r>
      <w:r w:rsidR="00B86213" w:rsidRPr="002433F3">
        <w:rPr>
          <w:lang w:val="en-US"/>
        </w:rPr>
        <w:t xml:space="preserve">understanding of the </w:t>
      </w:r>
      <w:r w:rsidRPr="002433F3">
        <w:rPr>
          <w:lang w:val="en-US"/>
        </w:rPr>
        <w:t xml:space="preserve">concept of family, </w:t>
      </w:r>
      <w:r w:rsidR="002217F7" w:rsidRPr="002433F3">
        <w:rPr>
          <w:lang w:val="en-US"/>
        </w:rPr>
        <w:t xml:space="preserve">which </w:t>
      </w:r>
      <w:r w:rsidRPr="002433F3">
        <w:rPr>
          <w:lang w:val="en-US"/>
        </w:rPr>
        <w:t xml:space="preserve">arbitrarily excludes diverse </w:t>
      </w:r>
      <w:r w:rsidR="002217F7" w:rsidRPr="002433F3">
        <w:rPr>
          <w:lang w:val="en-US"/>
        </w:rPr>
        <w:t xml:space="preserve">forms of families </w:t>
      </w:r>
      <w:r w:rsidRPr="002433F3">
        <w:rPr>
          <w:lang w:val="en-US"/>
        </w:rPr>
        <w:t xml:space="preserve">such as those </w:t>
      </w:r>
      <w:r w:rsidR="00B86213" w:rsidRPr="002433F3">
        <w:rPr>
          <w:lang w:val="en-US"/>
        </w:rPr>
        <w:t xml:space="preserve">constituted </w:t>
      </w:r>
      <w:r w:rsidRPr="002433F3">
        <w:rPr>
          <w:lang w:val="en-US"/>
        </w:rPr>
        <w:t xml:space="preserve">by same-sex couples, </w:t>
      </w:r>
      <w:r w:rsidR="002217F7" w:rsidRPr="002433F3">
        <w:rPr>
          <w:lang w:val="en-US"/>
        </w:rPr>
        <w:t xml:space="preserve">which </w:t>
      </w:r>
      <w:r w:rsidRPr="002433F3">
        <w:rPr>
          <w:lang w:val="en-US"/>
        </w:rPr>
        <w:t xml:space="preserve">are deserving of equal protection under the American Convention.” </w:t>
      </w:r>
      <w:r w:rsidR="00B86213" w:rsidRPr="002433F3">
        <w:rPr>
          <w:lang w:val="en-US"/>
        </w:rPr>
        <w:t xml:space="preserve">The Commission </w:t>
      </w:r>
      <w:r w:rsidR="00F00C27" w:rsidRPr="002433F3">
        <w:rPr>
          <w:lang w:val="en-US"/>
        </w:rPr>
        <w:t xml:space="preserve">also considered </w:t>
      </w:r>
      <w:r w:rsidRPr="002433F3">
        <w:rPr>
          <w:lang w:val="en-US"/>
        </w:rPr>
        <w:t xml:space="preserve">that the State did not demonstrate a causal </w:t>
      </w:r>
      <w:r w:rsidR="002217F7" w:rsidRPr="002433F3">
        <w:rPr>
          <w:lang w:val="en-US"/>
        </w:rPr>
        <w:t xml:space="preserve">relationship </w:t>
      </w:r>
      <w:r w:rsidRPr="002433F3">
        <w:rPr>
          <w:lang w:val="en-US"/>
        </w:rPr>
        <w:t xml:space="preserve">between the objective </w:t>
      </w:r>
      <w:r w:rsidR="00113A68" w:rsidRPr="002433F3">
        <w:rPr>
          <w:lang w:val="en-US"/>
        </w:rPr>
        <w:t xml:space="preserve">of protecting </w:t>
      </w:r>
      <w:r w:rsidRPr="002433F3">
        <w:rPr>
          <w:lang w:val="en-US"/>
        </w:rPr>
        <w:t xml:space="preserve">a </w:t>
      </w:r>
      <w:r w:rsidR="00F00C27" w:rsidRPr="002433F3">
        <w:rPr>
          <w:lang w:val="en-US"/>
        </w:rPr>
        <w:t xml:space="preserve">specific </w:t>
      </w:r>
      <w:r w:rsidRPr="002433F3">
        <w:rPr>
          <w:lang w:val="en-US"/>
        </w:rPr>
        <w:t>family</w:t>
      </w:r>
      <w:r w:rsidR="00F00C27" w:rsidRPr="002433F3">
        <w:rPr>
          <w:lang w:val="en-US"/>
        </w:rPr>
        <w:t xml:space="preserve"> model</w:t>
      </w:r>
      <w:r w:rsidRPr="002433F3">
        <w:rPr>
          <w:lang w:val="en-US"/>
        </w:rPr>
        <w:t xml:space="preserve"> and </w:t>
      </w:r>
      <w:r w:rsidR="00B86213" w:rsidRPr="002433F3">
        <w:rPr>
          <w:lang w:val="en-US"/>
        </w:rPr>
        <w:t>the exclusion of</w:t>
      </w:r>
      <w:r w:rsidR="00F00C27" w:rsidRPr="002433F3">
        <w:rPr>
          <w:lang w:val="en-US"/>
        </w:rPr>
        <w:t xml:space="preserve"> </w:t>
      </w:r>
      <w:r w:rsidRPr="002433F3">
        <w:rPr>
          <w:lang w:val="en-US"/>
        </w:rPr>
        <w:t xml:space="preserve">same-sex couples from </w:t>
      </w:r>
      <w:r w:rsidR="00F00C27" w:rsidRPr="002433F3">
        <w:rPr>
          <w:lang w:val="en-US"/>
        </w:rPr>
        <w:t>the right to obtain</w:t>
      </w:r>
      <w:r w:rsidR="00113A68" w:rsidRPr="002433F3">
        <w:rPr>
          <w:lang w:val="en-US"/>
        </w:rPr>
        <w:t xml:space="preserve"> </w:t>
      </w:r>
      <w:r w:rsidRPr="002433F3">
        <w:rPr>
          <w:lang w:val="en-US"/>
        </w:rPr>
        <w:t xml:space="preserve">a survivor’s pension. </w:t>
      </w:r>
    </w:p>
    <w:p w14:paraId="457BE812" w14:textId="77777777" w:rsidR="007B0DE4" w:rsidRPr="002433F3" w:rsidRDefault="00B86213" w:rsidP="007B0DE4">
      <w:pPr>
        <w:numPr>
          <w:ilvl w:val="0"/>
          <w:numId w:val="2"/>
        </w:numPr>
        <w:spacing w:before="120" w:after="120"/>
        <w:rPr>
          <w:b/>
          <w:lang w:val="en-US"/>
        </w:rPr>
      </w:pPr>
      <w:r w:rsidRPr="002433F3">
        <w:rPr>
          <w:lang w:val="en-US"/>
        </w:rPr>
        <w:t>T</w:t>
      </w:r>
      <w:r w:rsidR="007B0DE4" w:rsidRPr="002433F3">
        <w:rPr>
          <w:lang w:val="en-US"/>
        </w:rPr>
        <w:t xml:space="preserve">he Commission </w:t>
      </w:r>
      <w:r w:rsidR="00E73310" w:rsidRPr="002433F3">
        <w:rPr>
          <w:lang w:val="en-US"/>
        </w:rPr>
        <w:t xml:space="preserve">also indicated </w:t>
      </w:r>
      <w:r w:rsidR="007B0DE4" w:rsidRPr="002433F3">
        <w:rPr>
          <w:lang w:val="en-US"/>
        </w:rPr>
        <w:t xml:space="preserve">that the State had </w:t>
      </w:r>
      <w:r w:rsidR="00262B7E" w:rsidRPr="002433F3">
        <w:rPr>
          <w:lang w:val="en-US"/>
        </w:rPr>
        <w:t xml:space="preserve">not </w:t>
      </w:r>
      <w:r w:rsidR="00616DA6" w:rsidRPr="002433F3">
        <w:rPr>
          <w:lang w:val="en-US"/>
        </w:rPr>
        <w:t xml:space="preserve">rebutted </w:t>
      </w:r>
      <w:r w:rsidR="007B0DE4" w:rsidRPr="002433F3">
        <w:rPr>
          <w:lang w:val="en-US"/>
        </w:rPr>
        <w:t xml:space="preserve">the </w:t>
      </w:r>
      <w:r w:rsidR="00616DA6" w:rsidRPr="002433F3">
        <w:rPr>
          <w:lang w:val="en-US"/>
        </w:rPr>
        <w:t xml:space="preserve">presumption </w:t>
      </w:r>
      <w:r w:rsidR="002E6F71" w:rsidRPr="002433F3">
        <w:rPr>
          <w:lang w:val="en-US"/>
        </w:rPr>
        <w:t xml:space="preserve">that </w:t>
      </w:r>
      <w:r w:rsidR="00616DA6" w:rsidRPr="002433F3">
        <w:rPr>
          <w:lang w:val="en-US"/>
        </w:rPr>
        <w:t>this difference in</w:t>
      </w:r>
      <w:r w:rsidR="007B0DE4" w:rsidRPr="002433F3">
        <w:rPr>
          <w:lang w:val="en-US"/>
        </w:rPr>
        <w:t xml:space="preserve"> treatment</w:t>
      </w:r>
      <w:r w:rsidR="002E6F71" w:rsidRPr="002433F3">
        <w:rPr>
          <w:lang w:val="en-US"/>
        </w:rPr>
        <w:t xml:space="preserve"> was contrary to the Convention</w:t>
      </w:r>
      <w:r w:rsidR="00113A68" w:rsidRPr="002433F3">
        <w:rPr>
          <w:lang w:val="en-US"/>
        </w:rPr>
        <w:t>;</w:t>
      </w:r>
      <w:r w:rsidR="007B0DE4" w:rsidRPr="002433F3">
        <w:rPr>
          <w:lang w:val="en-US"/>
        </w:rPr>
        <w:t xml:space="preserve"> </w:t>
      </w:r>
      <w:r w:rsidR="00616DA6" w:rsidRPr="002433F3">
        <w:rPr>
          <w:lang w:val="en-US"/>
        </w:rPr>
        <w:t>indeed, the State recognized that prior to j</w:t>
      </w:r>
      <w:r w:rsidR="007B0DE4" w:rsidRPr="002433F3">
        <w:rPr>
          <w:lang w:val="en-US"/>
        </w:rPr>
        <w:t xml:space="preserve">udgment C-336 of 2008 a situation of discrimination </w:t>
      </w:r>
      <w:r w:rsidR="008E0EA0" w:rsidRPr="002433F3">
        <w:rPr>
          <w:lang w:val="en-US"/>
        </w:rPr>
        <w:t xml:space="preserve">existed </w:t>
      </w:r>
      <w:r w:rsidR="007B0DE4" w:rsidRPr="002433F3">
        <w:rPr>
          <w:lang w:val="en-US"/>
        </w:rPr>
        <w:t xml:space="preserve">for same-sex couples </w:t>
      </w:r>
      <w:r w:rsidR="00F353A9" w:rsidRPr="002433F3">
        <w:rPr>
          <w:lang w:val="en-US"/>
        </w:rPr>
        <w:t xml:space="preserve">regarding their </w:t>
      </w:r>
      <w:r w:rsidR="007B0DE4" w:rsidRPr="002433F3">
        <w:rPr>
          <w:lang w:val="en-US"/>
        </w:rPr>
        <w:t xml:space="preserve">access to </w:t>
      </w:r>
      <w:r w:rsidR="008E0EA0" w:rsidRPr="002433F3">
        <w:rPr>
          <w:lang w:val="en-US"/>
        </w:rPr>
        <w:t xml:space="preserve">a </w:t>
      </w:r>
      <w:r w:rsidR="007B0DE4" w:rsidRPr="002433F3">
        <w:rPr>
          <w:lang w:val="en-US"/>
        </w:rPr>
        <w:t xml:space="preserve">pension, which was, </w:t>
      </w:r>
      <w:r w:rsidR="008E0EA0" w:rsidRPr="002433F3">
        <w:rPr>
          <w:lang w:val="en-US"/>
        </w:rPr>
        <w:t>moreover</w:t>
      </w:r>
      <w:r w:rsidR="007B0DE4" w:rsidRPr="002433F3">
        <w:rPr>
          <w:lang w:val="en-US"/>
        </w:rPr>
        <w:t xml:space="preserve">, an “internationally wrongful act.” Finally, it considered that the Judiciary must </w:t>
      </w:r>
      <w:r w:rsidR="00F353A9" w:rsidRPr="002433F3">
        <w:rPr>
          <w:lang w:val="en-US"/>
        </w:rPr>
        <w:t>perform “conventionality control”</w:t>
      </w:r>
      <w:r w:rsidR="007B0DE4" w:rsidRPr="002433F3">
        <w:rPr>
          <w:lang w:val="en-US"/>
        </w:rPr>
        <w:t xml:space="preserve"> </w:t>
      </w:r>
      <w:r w:rsidR="00F353A9" w:rsidRPr="002433F3">
        <w:rPr>
          <w:i/>
          <w:lang w:val="en-US"/>
        </w:rPr>
        <w:t>ex officio</w:t>
      </w:r>
      <w:r w:rsidR="00F353A9" w:rsidRPr="002433F3">
        <w:rPr>
          <w:lang w:val="en-US"/>
        </w:rPr>
        <w:t xml:space="preserve"> </w:t>
      </w:r>
      <w:r w:rsidR="007B0DE4" w:rsidRPr="002433F3">
        <w:rPr>
          <w:lang w:val="en-US"/>
        </w:rPr>
        <w:t xml:space="preserve">between </w:t>
      </w:r>
      <w:r w:rsidR="00113A68" w:rsidRPr="002433F3">
        <w:rPr>
          <w:lang w:val="en-US"/>
        </w:rPr>
        <w:t xml:space="preserve">the </w:t>
      </w:r>
      <w:r w:rsidR="007B0DE4" w:rsidRPr="002433F3">
        <w:rPr>
          <w:lang w:val="en-US"/>
        </w:rPr>
        <w:t>domestic l</w:t>
      </w:r>
      <w:r w:rsidR="00113A68" w:rsidRPr="002433F3">
        <w:rPr>
          <w:lang w:val="en-US"/>
        </w:rPr>
        <w:t>egal provisions</w:t>
      </w:r>
      <w:r w:rsidR="007B0DE4" w:rsidRPr="002433F3">
        <w:rPr>
          <w:lang w:val="en-US"/>
        </w:rPr>
        <w:t xml:space="preserve"> and the American Convention. Consequently, </w:t>
      </w:r>
      <w:r w:rsidR="00EB4D63" w:rsidRPr="002433F3">
        <w:rPr>
          <w:lang w:val="en-US"/>
        </w:rPr>
        <w:t xml:space="preserve">the Commission </w:t>
      </w:r>
      <w:r w:rsidR="007B0DE4" w:rsidRPr="002433F3">
        <w:rPr>
          <w:lang w:val="en-US"/>
        </w:rPr>
        <w:t xml:space="preserve">considered that the State violated the principle of equality and non-discrimination </w:t>
      </w:r>
      <w:r w:rsidR="00F353A9" w:rsidRPr="002433F3">
        <w:rPr>
          <w:lang w:val="en-US"/>
        </w:rPr>
        <w:t xml:space="preserve">before the law </w:t>
      </w:r>
      <w:r w:rsidR="00616DA6" w:rsidRPr="002433F3">
        <w:rPr>
          <w:lang w:val="en-US"/>
        </w:rPr>
        <w:t xml:space="preserve">enshrined </w:t>
      </w:r>
      <w:r w:rsidR="007B0DE4" w:rsidRPr="002433F3">
        <w:rPr>
          <w:lang w:val="en-US"/>
        </w:rPr>
        <w:t xml:space="preserve">in Article 24 of the American Convention, in </w:t>
      </w:r>
      <w:r w:rsidR="00EB4D63" w:rsidRPr="002433F3">
        <w:rPr>
          <w:lang w:val="en-US"/>
        </w:rPr>
        <w:t xml:space="preserve">conjunction with </w:t>
      </w:r>
      <w:r w:rsidR="00F353A9" w:rsidRPr="002433F3">
        <w:rPr>
          <w:lang w:val="en-US"/>
        </w:rPr>
        <w:t>the obligations</w:t>
      </w:r>
      <w:r w:rsidR="007B0DE4" w:rsidRPr="002433F3">
        <w:rPr>
          <w:lang w:val="en-US"/>
        </w:rPr>
        <w:t xml:space="preserve"> </w:t>
      </w:r>
      <w:r w:rsidR="00EB4D63" w:rsidRPr="002433F3">
        <w:rPr>
          <w:lang w:val="en-US"/>
        </w:rPr>
        <w:t xml:space="preserve">to </w:t>
      </w:r>
      <w:r w:rsidR="00F353A9" w:rsidRPr="002433F3">
        <w:rPr>
          <w:lang w:val="en-US"/>
        </w:rPr>
        <w:t>respect and guarantee rights, as</w:t>
      </w:r>
      <w:r w:rsidR="007B0DE4" w:rsidRPr="002433F3">
        <w:rPr>
          <w:lang w:val="en-US"/>
        </w:rPr>
        <w:t xml:space="preserve"> </w:t>
      </w:r>
      <w:r w:rsidR="00EB4D63" w:rsidRPr="002433F3">
        <w:rPr>
          <w:lang w:val="en-US"/>
        </w:rPr>
        <w:t xml:space="preserve">set forth </w:t>
      </w:r>
      <w:r w:rsidR="007B0DE4" w:rsidRPr="002433F3">
        <w:rPr>
          <w:lang w:val="en-US"/>
        </w:rPr>
        <w:t>in Articles 1(1) and 2 thereof</w:t>
      </w:r>
      <w:r w:rsidR="007B0DE4" w:rsidRPr="002433F3">
        <w:rPr>
          <w:b/>
          <w:sz w:val="16"/>
          <w:lang w:val="en-US"/>
        </w:rPr>
        <w:t>.</w:t>
      </w:r>
    </w:p>
    <w:p w14:paraId="3D82C518" w14:textId="77777777" w:rsidR="007B0DE4" w:rsidRPr="002433F3" w:rsidRDefault="007B0DE4" w:rsidP="007B0DE4">
      <w:pPr>
        <w:numPr>
          <w:ilvl w:val="0"/>
          <w:numId w:val="2"/>
        </w:numPr>
        <w:spacing w:before="120" w:after="120"/>
        <w:rPr>
          <w:b/>
          <w:lang w:val="en-US"/>
        </w:rPr>
      </w:pPr>
      <w:r w:rsidRPr="002433F3">
        <w:rPr>
          <w:lang w:val="en-US"/>
        </w:rPr>
        <w:t xml:space="preserve">The </w:t>
      </w:r>
      <w:r w:rsidRPr="002433F3">
        <w:rPr>
          <w:i/>
          <w:lang w:val="en-US"/>
        </w:rPr>
        <w:t>representatives</w:t>
      </w:r>
      <w:r w:rsidRPr="002433F3">
        <w:rPr>
          <w:b/>
          <w:lang w:val="en-US"/>
        </w:rPr>
        <w:t xml:space="preserve"> </w:t>
      </w:r>
      <w:r w:rsidR="002B568F" w:rsidRPr="002433F3">
        <w:rPr>
          <w:lang w:val="en-US"/>
        </w:rPr>
        <w:t>pointed out</w:t>
      </w:r>
      <w:r w:rsidR="002B568F" w:rsidRPr="002433F3">
        <w:rPr>
          <w:b/>
          <w:lang w:val="en-US"/>
        </w:rPr>
        <w:t xml:space="preserve"> </w:t>
      </w:r>
      <w:r w:rsidRPr="002433F3">
        <w:rPr>
          <w:lang w:val="en-US"/>
        </w:rPr>
        <w:t xml:space="preserve">that in April 2002, </w:t>
      </w:r>
      <w:r w:rsidR="00847900" w:rsidRPr="002433F3">
        <w:rPr>
          <w:lang w:val="en-US"/>
        </w:rPr>
        <w:t xml:space="preserve">the right of same-sex couples to a </w:t>
      </w:r>
      <w:r w:rsidR="002B568F" w:rsidRPr="002433F3">
        <w:rPr>
          <w:lang w:val="en-US"/>
        </w:rPr>
        <w:t>survivor’s pension</w:t>
      </w:r>
      <w:r w:rsidR="00847900" w:rsidRPr="002433F3">
        <w:rPr>
          <w:lang w:val="en-US"/>
        </w:rPr>
        <w:t xml:space="preserve"> was not legally recognized</w:t>
      </w:r>
      <w:r w:rsidRPr="002433F3">
        <w:rPr>
          <w:lang w:val="en-US"/>
        </w:rPr>
        <w:t xml:space="preserve"> </w:t>
      </w:r>
      <w:r w:rsidR="00847900" w:rsidRPr="002433F3">
        <w:rPr>
          <w:lang w:val="en-US"/>
        </w:rPr>
        <w:t>and</w:t>
      </w:r>
      <w:r w:rsidR="00E72E67" w:rsidRPr="002433F3">
        <w:rPr>
          <w:lang w:val="en-US"/>
        </w:rPr>
        <w:t>,</w:t>
      </w:r>
      <w:r w:rsidR="00847900" w:rsidRPr="002433F3">
        <w:rPr>
          <w:lang w:val="en-US"/>
        </w:rPr>
        <w:t xml:space="preserve"> </w:t>
      </w:r>
      <w:r w:rsidR="00E72E67" w:rsidRPr="002433F3">
        <w:rPr>
          <w:lang w:val="en-US"/>
        </w:rPr>
        <w:t xml:space="preserve">as a result, </w:t>
      </w:r>
      <w:r w:rsidRPr="002433F3">
        <w:rPr>
          <w:lang w:val="en-US"/>
        </w:rPr>
        <w:t xml:space="preserve">Mr. Duque </w:t>
      </w:r>
      <w:r w:rsidR="00847900" w:rsidRPr="002433F3">
        <w:rPr>
          <w:lang w:val="en-US"/>
        </w:rPr>
        <w:t xml:space="preserve">was </w:t>
      </w:r>
      <w:r w:rsidRPr="002433F3">
        <w:rPr>
          <w:lang w:val="en-US"/>
        </w:rPr>
        <w:t xml:space="preserve">denied this benefit. Thus, </w:t>
      </w:r>
      <w:r w:rsidRPr="002433F3">
        <w:rPr>
          <w:i/>
          <w:lang w:val="en-US"/>
        </w:rPr>
        <w:t>ab initio</w:t>
      </w:r>
      <w:r w:rsidR="00847900" w:rsidRPr="002433F3">
        <w:rPr>
          <w:i/>
          <w:lang w:val="en-US"/>
        </w:rPr>
        <w:t>,</w:t>
      </w:r>
      <w:r w:rsidRPr="002433F3">
        <w:rPr>
          <w:lang w:val="en-US"/>
        </w:rPr>
        <w:t xml:space="preserve"> there </w:t>
      </w:r>
      <w:r w:rsidR="00E72E67" w:rsidRPr="002433F3">
        <w:rPr>
          <w:lang w:val="en-US"/>
        </w:rPr>
        <w:t xml:space="preserve">was </w:t>
      </w:r>
      <w:r w:rsidR="00904907" w:rsidRPr="002433F3">
        <w:rPr>
          <w:lang w:val="en-US"/>
        </w:rPr>
        <w:t>an</w:t>
      </w:r>
      <w:r w:rsidRPr="002433F3">
        <w:rPr>
          <w:lang w:val="en-US"/>
        </w:rPr>
        <w:t xml:space="preserve"> inconsistency between the Convention and Colombia’s domestic l</w:t>
      </w:r>
      <w:r w:rsidR="00847900" w:rsidRPr="002433F3">
        <w:rPr>
          <w:lang w:val="en-US"/>
        </w:rPr>
        <w:t>aws</w:t>
      </w:r>
      <w:r w:rsidRPr="002433F3">
        <w:rPr>
          <w:lang w:val="en-US"/>
        </w:rPr>
        <w:t xml:space="preserve">. They </w:t>
      </w:r>
      <w:r w:rsidR="0011732B" w:rsidRPr="002433F3">
        <w:rPr>
          <w:lang w:val="en-US"/>
        </w:rPr>
        <w:t xml:space="preserve">emphasized </w:t>
      </w:r>
      <w:r w:rsidRPr="002433F3">
        <w:rPr>
          <w:lang w:val="en-US"/>
        </w:rPr>
        <w:t xml:space="preserve">that the reasons </w:t>
      </w:r>
      <w:r w:rsidR="00847900" w:rsidRPr="002433F3">
        <w:rPr>
          <w:lang w:val="en-US"/>
        </w:rPr>
        <w:t xml:space="preserve">given </w:t>
      </w:r>
      <w:r w:rsidR="006721D0" w:rsidRPr="002433F3">
        <w:rPr>
          <w:lang w:val="en-US"/>
        </w:rPr>
        <w:t xml:space="preserve">for </w:t>
      </w:r>
      <w:r w:rsidRPr="002433F3">
        <w:rPr>
          <w:lang w:val="en-US"/>
        </w:rPr>
        <w:t>deny</w:t>
      </w:r>
      <w:r w:rsidR="006721D0" w:rsidRPr="002433F3">
        <w:rPr>
          <w:lang w:val="en-US"/>
        </w:rPr>
        <w:t>ing</w:t>
      </w:r>
      <w:r w:rsidRPr="002433F3">
        <w:rPr>
          <w:lang w:val="en-US"/>
        </w:rPr>
        <w:t xml:space="preserve"> Mr. Duque a survivor’s pension </w:t>
      </w:r>
      <w:r w:rsidR="00847900" w:rsidRPr="002433F3">
        <w:rPr>
          <w:lang w:val="en-US"/>
        </w:rPr>
        <w:t>– th</w:t>
      </w:r>
      <w:r w:rsidR="00E72E67" w:rsidRPr="002433F3">
        <w:rPr>
          <w:lang w:val="en-US"/>
        </w:rPr>
        <w:t>e fact th</w:t>
      </w:r>
      <w:r w:rsidR="00847900" w:rsidRPr="002433F3">
        <w:rPr>
          <w:lang w:val="en-US"/>
        </w:rPr>
        <w:t xml:space="preserve">at this right was not legally recognized </w:t>
      </w:r>
      <w:r w:rsidRPr="002433F3">
        <w:rPr>
          <w:lang w:val="en-US"/>
        </w:rPr>
        <w:t xml:space="preserve">and the </w:t>
      </w:r>
      <w:r w:rsidR="00393554" w:rsidRPr="002433F3">
        <w:rPr>
          <w:lang w:val="en-US"/>
        </w:rPr>
        <w:t xml:space="preserve">need to protect the </w:t>
      </w:r>
      <w:r w:rsidRPr="002433F3">
        <w:rPr>
          <w:lang w:val="en-US"/>
        </w:rPr>
        <w:t xml:space="preserve">family </w:t>
      </w:r>
      <w:r w:rsidR="00E72E67" w:rsidRPr="002433F3">
        <w:rPr>
          <w:lang w:val="en-US"/>
        </w:rPr>
        <w:t>“</w:t>
      </w:r>
      <w:r w:rsidRPr="002433F3">
        <w:rPr>
          <w:lang w:val="en-US"/>
        </w:rPr>
        <w:t>formed by a man and a woman</w:t>
      </w:r>
      <w:r w:rsidR="00E72E67" w:rsidRPr="002433F3">
        <w:rPr>
          <w:lang w:val="en-US"/>
        </w:rPr>
        <w:t>”</w:t>
      </w:r>
      <w:r w:rsidR="00847900" w:rsidRPr="002433F3">
        <w:rPr>
          <w:lang w:val="en-US"/>
        </w:rPr>
        <w:t xml:space="preserve"> - would not withstand scrutiny in terms of reasonableness and objectivity</w:t>
      </w:r>
      <w:r w:rsidRPr="002433F3">
        <w:rPr>
          <w:lang w:val="en-US"/>
        </w:rPr>
        <w:t xml:space="preserve">. As to the State’s argument that the internationally wrongful act had ceased </w:t>
      </w:r>
      <w:r w:rsidRPr="002433F3">
        <w:rPr>
          <w:lang w:val="en-US"/>
        </w:rPr>
        <w:lastRenderedPageBreak/>
        <w:t xml:space="preserve">and had subsequently </w:t>
      </w:r>
      <w:r w:rsidR="00944AFC" w:rsidRPr="002433F3">
        <w:rPr>
          <w:lang w:val="en-US"/>
        </w:rPr>
        <w:t xml:space="preserve">been </w:t>
      </w:r>
      <w:r w:rsidRPr="002433F3">
        <w:rPr>
          <w:lang w:val="en-US"/>
        </w:rPr>
        <w:t>red</w:t>
      </w:r>
      <w:r w:rsidR="009E208E" w:rsidRPr="002433F3">
        <w:rPr>
          <w:lang w:val="en-US"/>
        </w:rPr>
        <w:t xml:space="preserve">ressed, they acknowledged that </w:t>
      </w:r>
      <w:r w:rsidR="0011732B" w:rsidRPr="002433F3">
        <w:rPr>
          <w:lang w:val="en-US"/>
        </w:rPr>
        <w:t xml:space="preserve">although </w:t>
      </w:r>
      <w:r w:rsidR="009E208E" w:rsidRPr="002433F3">
        <w:rPr>
          <w:lang w:val="en-US"/>
        </w:rPr>
        <w:t>j</w:t>
      </w:r>
      <w:r w:rsidRPr="002433F3">
        <w:rPr>
          <w:lang w:val="en-US"/>
        </w:rPr>
        <w:t xml:space="preserve">udgment C-336 of 2008 </w:t>
      </w:r>
      <w:r w:rsidR="00944AFC" w:rsidRPr="002433F3">
        <w:rPr>
          <w:lang w:val="en-US"/>
        </w:rPr>
        <w:t xml:space="preserve">constituted </w:t>
      </w:r>
      <w:r w:rsidRPr="002433F3">
        <w:rPr>
          <w:lang w:val="en-US"/>
        </w:rPr>
        <w:t xml:space="preserve">“significant progress in </w:t>
      </w:r>
      <w:r w:rsidR="00944AFC" w:rsidRPr="002433F3">
        <w:rPr>
          <w:lang w:val="en-US"/>
        </w:rPr>
        <w:t>beginning efforts</w:t>
      </w:r>
      <w:r w:rsidRPr="002433F3">
        <w:rPr>
          <w:lang w:val="en-US"/>
        </w:rPr>
        <w:t xml:space="preserve"> to overcome discriminati</w:t>
      </w:r>
      <w:r w:rsidR="009E208E" w:rsidRPr="002433F3">
        <w:rPr>
          <w:lang w:val="en-US"/>
        </w:rPr>
        <w:t xml:space="preserve">on in </w:t>
      </w:r>
      <w:r w:rsidR="00944AFC" w:rsidRPr="002433F3">
        <w:rPr>
          <w:lang w:val="en-US"/>
        </w:rPr>
        <w:t xml:space="preserve">relation to </w:t>
      </w:r>
      <w:r w:rsidR="009E208E" w:rsidRPr="002433F3">
        <w:rPr>
          <w:lang w:val="en-US"/>
        </w:rPr>
        <w:t xml:space="preserve">the pension rights of </w:t>
      </w:r>
      <w:r w:rsidRPr="002433F3">
        <w:rPr>
          <w:lang w:val="en-US"/>
        </w:rPr>
        <w:t>surviving partners of homosexual co</w:t>
      </w:r>
      <w:r w:rsidR="0011732B" w:rsidRPr="002433F3">
        <w:rPr>
          <w:lang w:val="en-US"/>
        </w:rPr>
        <w:t>uples, i</w:t>
      </w:r>
      <w:r w:rsidR="009E208E" w:rsidRPr="002433F3">
        <w:rPr>
          <w:lang w:val="en-US"/>
        </w:rPr>
        <w:t>t was insufficient and en</w:t>
      </w:r>
      <w:r w:rsidR="0011732B" w:rsidRPr="002433F3">
        <w:rPr>
          <w:lang w:val="en-US"/>
        </w:rPr>
        <w:t xml:space="preserve">tailed </w:t>
      </w:r>
      <w:r w:rsidRPr="002433F3">
        <w:rPr>
          <w:lang w:val="en-US"/>
        </w:rPr>
        <w:t>many problems in its implementation.”</w:t>
      </w:r>
      <w:r w:rsidRPr="002433F3">
        <w:rPr>
          <w:rStyle w:val="Refdenotaalpie"/>
          <w:lang w:val="en-US"/>
        </w:rPr>
        <w:footnoteReference w:id="73"/>
      </w:r>
      <w:r w:rsidRPr="002433F3">
        <w:rPr>
          <w:lang w:val="en-US"/>
        </w:rPr>
        <w:t xml:space="preserve"> </w:t>
      </w:r>
      <w:r w:rsidR="009E208E" w:rsidRPr="002433F3">
        <w:rPr>
          <w:lang w:val="en-US"/>
        </w:rPr>
        <w:t>W</w:t>
      </w:r>
      <w:r w:rsidRPr="002433F3">
        <w:rPr>
          <w:lang w:val="en-US"/>
        </w:rPr>
        <w:t>ith respect</w:t>
      </w:r>
      <w:r w:rsidR="009E208E" w:rsidRPr="002433F3">
        <w:rPr>
          <w:lang w:val="en-US"/>
        </w:rPr>
        <w:t xml:space="preserve"> to j</w:t>
      </w:r>
      <w:r w:rsidRPr="002433F3">
        <w:rPr>
          <w:lang w:val="en-US"/>
        </w:rPr>
        <w:t>udgment T-051 of 2010,</w:t>
      </w:r>
      <w:r w:rsidR="009E208E" w:rsidRPr="002433F3">
        <w:rPr>
          <w:lang w:val="en-US"/>
        </w:rPr>
        <w:t xml:space="preserve"> </w:t>
      </w:r>
      <w:r w:rsidR="0011732B" w:rsidRPr="002433F3">
        <w:rPr>
          <w:lang w:val="en-US"/>
        </w:rPr>
        <w:t xml:space="preserve">they argued that this provision </w:t>
      </w:r>
      <w:r w:rsidR="009E208E" w:rsidRPr="002433F3">
        <w:rPr>
          <w:lang w:val="en-US"/>
        </w:rPr>
        <w:t xml:space="preserve">“only concerns the </w:t>
      </w:r>
      <w:r w:rsidRPr="002433F3">
        <w:rPr>
          <w:lang w:val="en-US"/>
        </w:rPr>
        <w:t>parties involved in the case (</w:t>
      </w:r>
      <w:r w:rsidRPr="002433F3">
        <w:rPr>
          <w:i/>
          <w:lang w:val="en-US"/>
        </w:rPr>
        <w:t>inter comunis</w:t>
      </w:r>
      <w:r w:rsidR="009E208E" w:rsidRPr="002433F3">
        <w:rPr>
          <w:i/>
          <w:lang w:val="en-US"/>
        </w:rPr>
        <w:t xml:space="preserve"> </w:t>
      </w:r>
      <w:r w:rsidR="009E208E" w:rsidRPr="002433F3">
        <w:rPr>
          <w:lang w:val="en-US"/>
        </w:rPr>
        <w:t>effects</w:t>
      </w:r>
      <w:r w:rsidRPr="002433F3">
        <w:rPr>
          <w:lang w:val="en-US"/>
        </w:rPr>
        <w:t xml:space="preserve">), not the victim, </w:t>
      </w:r>
      <w:r w:rsidR="00944AFC" w:rsidRPr="002433F3">
        <w:rPr>
          <w:lang w:val="en-US"/>
        </w:rPr>
        <w:t xml:space="preserve">and in any case </w:t>
      </w:r>
      <w:r w:rsidRPr="002433F3">
        <w:rPr>
          <w:lang w:val="en-US"/>
        </w:rPr>
        <w:t>its promulgation did not prevent the emergence of similar problems.”</w:t>
      </w:r>
      <w:r w:rsidRPr="002433F3">
        <w:rPr>
          <w:rStyle w:val="Refdenotaalpie"/>
          <w:lang w:val="en-US"/>
        </w:rPr>
        <w:footnoteReference w:id="74"/>
      </w:r>
      <w:r w:rsidRPr="002433F3">
        <w:rPr>
          <w:lang w:val="en-US"/>
        </w:rPr>
        <w:t xml:space="preserve"> Finally, they argued that</w:t>
      </w:r>
      <w:r w:rsidR="00BF3486" w:rsidRPr="002433F3">
        <w:rPr>
          <w:lang w:val="en-US"/>
        </w:rPr>
        <w:t>,</w:t>
      </w:r>
      <w:r w:rsidRPr="002433F3">
        <w:rPr>
          <w:lang w:val="en-US"/>
        </w:rPr>
        <w:t xml:space="preserve"> </w:t>
      </w:r>
      <w:r w:rsidR="00BF3486" w:rsidRPr="002433F3">
        <w:rPr>
          <w:lang w:val="en-US"/>
        </w:rPr>
        <w:t xml:space="preserve">even </w:t>
      </w:r>
      <w:r w:rsidRPr="002433F3">
        <w:rPr>
          <w:lang w:val="en-US"/>
        </w:rPr>
        <w:t xml:space="preserve">accepting </w:t>
      </w:r>
      <w:r w:rsidR="00D47D6A" w:rsidRPr="002433F3">
        <w:rPr>
          <w:lang w:val="en-US"/>
        </w:rPr>
        <w:t>that after j</w:t>
      </w:r>
      <w:r w:rsidRPr="002433F3">
        <w:rPr>
          <w:lang w:val="en-US"/>
        </w:rPr>
        <w:t>udgment T-051 of 2010</w:t>
      </w:r>
      <w:r w:rsidR="00BF3486" w:rsidRPr="002433F3">
        <w:rPr>
          <w:lang w:val="en-US"/>
        </w:rPr>
        <w:t xml:space="preserve"> was issued</w:t>
      </w:r>
      <w:r w:rsidRPr="002433F3">
        <w:rPr>
          <w:lang w:val="en-US"/>
        </w:rPr>
        <w:t xml:space="preserve"> “</w:t>
      </w:r>
      <w:r w:rsidR="00BF3486" w:rsidRPr="002433F3">
        <w:rPr>
          <w:lang w:val="en-US"/>
        </w:rPr>
        <w:t xml:space="preserve">some form of reparation could be </w:t>
      </w:r>
      <w:r w:rsidR="00944AFC" w:rsidRPr="002433F3">
        <w:rPr>
          <w:lang w:val="en-US"/>
        </w:rPr>
        <w:t>envisaged</w:t>
      </w:r>
      <w:r w:rsidR="00BF3486" w:rsidRPr="002433F3">
        <w:rPr>
          <w:lang w:val="en-US"/>
        </w:rPr>
        <w:t xml:space="preserve">, this </w:t>
      </w:r>
      <w:r w:rsidRPr="002433F3">
        <w:rPr>
          <w:lang w:val="en-US"/>
        </w:rPr>
        <w:t xml:space="preserve">does not automatically </w:t>
      </w:r>
      <w:r w:rsidR="00BD0984" w:rsidRPr="002433F3">
        <w:rPr>
          <w:lang w:val="en-US"/>
        </w:rPr>
        <w:t xml:space="preserve">translate into a </w:t>
      </w:r>
      <w:r w:rsidR="00BF3486" w:rsidRPr="002433F3">
        <w:rPr>
          <w:lang w:val="en-US"/>
        </w:rPr>
        <w:t xml:space="preserve">withdrawal </w:t>
      </w:r>
      <w:r w:rsidRPr="002433F3">
        <w:rPr>
          <w:lang w:val="en-US"/>
        </w:rPr>
        <w:t xml:space="preserve">of the Court’s </w:t>
      </w:r>
      <w:r w:rsidR="00BF3486" w:rsidRPr="002433F3">
        <w:rPr>
          <w:lang w:val="en-US"/>
        </w:rPr>
        <w:t xml:space="preserve">jurisdiction </w:t>
      </w:r>
      <w:r w:rsidR="00BD0984" w:rsidRPr="002433F3">
        <w:rPr>
          <w:lang w:val="en-US"/>
        </w:rPr>
        <w:t xml:space="preserve">and consideration. </w:t>
      </w:r>
      <w:r w:rsidRPr="002433F3">
        <w:rPr>
          <w:lang w:val="en-US"/>
        </w:rPr>
        <w:t>That action c</w:t>
      </w:r>
      <w:r w:rsidR="00944AFC" w:rsidRPr="002433F3">
        <w:rPr>
          <w:lang w:val="en-US"/>
        </w:rPr>
        <w:t xml:space="preserve">ould </w:t>
      </w:r>
      <w:r w:rsidRPr="002433F3">
        <w:rPr>
          <w:lang w:val="en-US"/>
        </w:rPr>
        <w:t>have effects in determining the amount of the reparations</w:t>
      </w:r>
      <w:r w:rsidR="00BD0984" w:rsidRPr="002433F3">
        <w:rPr>
          <w:lang w:val="en-US"/>
        </w:rPr>
        <w:t>,</w:t>
      </w:r>
      <w:r w:rsidRPr="002433F3">
        <w:rPr>
          <w:lang w:val="en-US"/>
        </w:rPr>
        <w:t xml:space="preserve"> but </w:t>
      </w:r>
      <w:r w:rsidR="00BD0984" w:rsidRPr="002433F3">
        <w:rPr>
          <w:lang w:val="en-US"/>
        </w:rPr>
        <w:t xml:space="preserve">it </w:t>
      </w:r>
      <w:r w:rsidR="00944AFC" w:rsidRPr="002433F3">
        <w:rPr>
          <w:lang w:val="en-US"/>
        </w:rPr>
        <w:t xml:space="preserve">is not an impediment to bringing the matter to the </w:t>
      </w:r>
      <w:r w:rsidRPr="002433F3">
        <w:rPr>
          <w:lang w:val="en-US"/>
        </w:rPr>
        <w:t>attention of the high Court</w:t>
      </w:r>
      <w:r w:rsidR="00944AFC" w:rsidRPr="002433F3">
        <w:rPr>
          <w:lang w:val="en-US"/>
        </w:rPr>
        <w:t xml:space="preserve"> for a decision</w:t>
      </w:r>
      <w:r w:rsidRPr="002433F3">
        <w:rPr>
          <w:lang w:val="en-US"/>
        </w:rPr>
        <w:t xml:space="preserve">, particularly </w:t>
      </w:r>
      <w:r w:rsidR="00944AFC" w:rsidRPr="002433F3">
        <w:rPr>
          <w:lang w:val="en-US"/>
        </w:rPr>
        <w:t xml:space="preserve">since </w:t>
      </w:r>
      <w:r w:rsidR="00BD0984" w:rsidRPr="002433F3">
        <w:rPr>
          <w:lang w:val="en-US"/>
        </w:rPr>
        <w:t xml:space="preserve">it occurred </w:t>
      </w:r>
      <w:r w:rsidR="00415B98" w:rsidRPr="002433F3">
        <w:rPr>
          <w:lang w:val="en-US"/>
        </w:rPr>
        <w:t xml:space="preserve">long after the facts </w:t>
      </w:r>
      <w:r w:rsidR="00BD0984" w:rsidRPr="002433F3">
        <w:rPr>
          <w:lang w:val="en-US"/>
        </w:rPr>
        <w:t xml:space="preserve">and long after the opening </w:t>
      </w:r>
      <w:r w:rsidRPr="002433F3">
        <w:rPr>
          <w:lang w:val="en-US"/>
        </w:rPr>
        <w:t>of the proceeding</w:t>
      </w:r>
      <w:r w:rsidR="00BD0984" w:rsidRPr="002433F3">
        <w:rPr>
          <w:lang w:val="en-US"/>
        </w:rPr>
        <w:t>s</w:t>
      </w:r>
      <w:r w:rsidRPr="002433F3">
        <w:rPr>
          <w:lang w:val="en-US"/>
        </w:rPr>
        <w:t xml:space="preserve"> </w:t>
      </w:r>
      <w:r w:rsidR="00BD0984" w:rsidRPr="002433F3">
        <w:rPr>
          <w:lang w:val="en-US"/>
        </w:rPr>
        <w:t xml:space="preserve">before </w:t>
      </w:r>
      <w:r w:rsidRPr="002433F3">
        <w:rPr>
          <w:lang w:val="en-US"/>
        </w:rPr>
        <w:t>the inter-American System.”</w:t>
      </w:r>
    </w:p>
    <w:p w14:paraId="5CCFF94B" w14:textId="77777777" w:rsidR="007B0DE4" w:rsidRPr="002433F3" w:rsidRDefault="007B0DE4" w:rsidP="007B0DE4">
      <w:pPr>
        <w:numPr>
          <w:ilvl w:val="0"/>
          <w:numId w:val="2"/>
        </w:numPr>
        <w:spacing w:before="120" w:after="120"/>
        <w:rPr>
          <w:b/>
          <w:lang w:val="en-US"/>
        </w:rPr>
      </w:pPr>
      <w:r w:rsidRPr="002433F3">
        <w:rPr>
          <w:lang w:val="en-US"/>
        </w:rPr>
        <w:t xml:space="preserve">The </w:t>
      </w:r>
      <w:r w:rsidRPr="002433F3">
        <w:rPr>
          <w:i/>
          <w:lang w:val="en-US"/>
        </w:rPr>
        <w:t>representatives</w:t>
      </w:r>
      <w:r w:rsidRPr="002433F3">
        <w:rPr>
          <w:b/>
          <w:lang w:val="en-US"/>
        </w:rPr>
        <w:t xml:space="preserve"> </w:t>
      </w:r>
      <w:r w:rsidRPr="002433F3">
        <w:rPr>
          <w:lang w:val="en-US"/>
        </w:rPr>
        <w:t xml:space="preserve">concluded that “despite the case law </w:t>
      </w:r>
      <w:r w:rsidR="00944AFC" w:rsidRPr="002433F3">
        <w:rPr>
          <w:lang w:val="en-US"/>
        </w:rPr>
        <w:t xml:space="preserve">decisions </w:t>
      </w:r>
      <w:r w:rsidR="00805297" w:rsidRPr="002433F3">
        <w:rPr>
          <w:lang w:val="en-US"/>
        </w:rPr>
        <w:t>of the Constitutional Court, its</w:t>
      </w:r>
      <w:r w:rsidRPr="002433F3">
        <w:rPr>
          <w:lang w:val="en-US"/>
        </w:rPr>
        <w:t xml:space="preserve"> pr</w:t>
      </w:r>
      <w:r w:rsidR="003D349D" w:rsidRPr="002433F3">
        <w:rPr>
          <w:lang w:val="en-US"/>
        </w:rPr>
        <w:t xml:space="preserve">ovisions </w:t>
      </w:r>
      <w:r w:rsidR="00805297" w:rsidRPr="002433F3">
        <w:rPr>
          <w:lang w:val="en-US"/>
        </w:rPr>
        <w:t xml:space="preserve">are not applied </w:t>
      </w:r>
      <w:r w:rsidR="003D349D" w:rsidRPr="002433F3">
        <w:rPr>
          <w:lang w:val="en-US"/>
        </w:rPr>
        <w:t>and sanctions are</w:t>
      </w:r>
      <w:r w:rsidRPr="002433F3">
        <w:rPr>
          <w:lang w:val="en-US"/>
        </w:rPr>
        <w:t xml:space="preserve"> not </w:t>
      </w:r>
      <w:r w:rsidR="003D349D" w:rsidRPr="002433F3">
        <w:rPr>
          <w:lang w:val="en-US"/>
        </w:rPr>
        <w:t xml:space="preserve">effectively </w:t>
      </w:r>
      <w:r w:rsidR="00805297" w:rsidRPr="002433F3">
        <w:rPr>
          <w:lang w:val="en-US"/>
        </w:rPr>
        <w:t xml:space="preserve">enforced </w:t>
      </w:r>
      <w:r w:rsidRPr="002433F3">
        <w:rPr>
          <w:lang w:val="en-US"/>
        </w:rPr>
        <w:t>by domestic law.”</w:t>
      </w:r>
      <w:r w:rsidRPr="002433F3">
        <w:rPr>
          <w:b/>
          <w:lang w:val="en-US"/>
        </w:rPr>
        <w:t xml:space="preserve"> </w:t>
      </w:r>
      <w:r w:rsidRPr="002433F3">
        <w:rPr>
          <w:lang w:val="en-US"/>
        </w:rPr>
        <w:t xml:space="preserve">Therefore, they considered that the State violated Article 24 in relation to Articles 1(1) and 2 of the American Convention, </w:t>
      </w:r>
      <w:r w:rsidR="00F7448C" w:rsidRPr="002433F3">
        <w:rPr>
          <w:lang w:val="en-US"/>
        </w:rPr>
        <w:t xml:space="preserve">owing to its failure </w:t>
      </w:r>
      <w:r w:rsidRPr="002433F3">
        <w:rPr>
          <w:lang w:val="en-US"/>
        </w:rPr>
        <w:t xml:space="preserve">to adopt </w:t>
      </w:r>
      <w:r w:rsidR="00F7448C" w:rsidRPr="002433F3">
        <w:rPr>
          <w:lang w:val="en-US"/>
        </w:rPr>
        <w:t xml:space="preserve">domestic legal </w:t>
      </w:r>
      <w:r w:rsidR="00805297" w:rsidRPr="002433F3">
        <w:rPr>
          <w:lang w:val="en-US"/>
        </w:rPr>
        <w:t xml:space="preserve">effects </w:t>
      </w:r>
      <w:r w:rsidR="00F7448C" w:rsidRPr="002433F3">
        <w:rPr>
          <w:lang w:val="en-US"/>
        </w:rPr>
        <w:t xml:space="preserve">to </w:t>
      </w:r>
      <w:r w:rsidRPr="002433F3">
        <w:rPr>
          <w:lang w:val="en-US"/>
        </w:rPr>
        <w:t>prevent unequal and discriminatory treatment based on sexual orientation.</w:t>
      </w:r>
    </w:p>
    <w:p w14:paraId="319B8857" w14:textId="77777777" w:rsidR="007B0DE4" w:rsidRPr="002433F3" w:rsidRDefault="007B0DE4" w:rsidP="007B0DE4">
      <w:pPr>
        <w:numPr>
          <w:ilvl w:val="0"/>
          <w:numId w:val="2"/>
        </w:numPr>
        <w:spacing w:before="120" w:after="120"/>
        <w:rPr>
          <w:b/>
          <w:lang w:val="en-US"/>
        </w:rPr>
      </w:pPr>
      <w:r w:rsidRPr="002433F3">
        <w:rPr>
          <w:lang w:val="en-US"/>
        </w:rPr>
        <w:t xml:space="preserve">The </w:t>
      </w:r>
      <w:r w:rsidRPr="002433F3">
        <w:rPr>
          <w:i/>
          <w:lang w:val="en-US"/>
        </w:rPr>
        <w:t>State</w:t>
      </w:r>
      <w:r w:rsidRPr="002433F3">
        <w:rPr>
          <w:b/>
          <w:lang w:val="en-US"/>
        </w:rPr>
        <w:t xml:space="preserve"> </w:t>
      </w:r>
      <w:r w:rsidRPr="002433F3">
        <w:rPr>
          <w:lang w:val="en-US"/>
        </w:rPr>
        <w:t>argued that</w:t>
      </w:r>
      <w:r w:rsidR="00805297" w:rsidRPr="002433F3">
        <w:rPr>
          <w:lang w:val="en-US"/>
        </w:rPr>
        <w:t>,</w:t>
      </w:r>
      <w:r w:rsidRPr="002433F3">
        <w:rPr>
          <w:lang w:val="en-US"/>
        </w:rPr>
        <w:t xml:space="preserve"> although an internationally wrongful act</w:t>
      </w:r>
      <w:r w:rsidR="00F7448C" w:rsidRPr="002433F3">
        <w:rPr>
          <w:lang w:val="en-US"/>
        </w:rPr>
        <w:t xml:space="preserve"> had existed</w:t>
      </w:r>
      <w:r w:rsidRPr="002433F3">
        <w:rPr>
          <w:lang w:val="en-US"/>
        </w:rPr>
        <w:t xml:space="preserve">, </w:t>
      </w:r>
      <w:r w:rsidR="0063314A" w:rsidRPr="002433F3">
        <w:rPr>
          <w:lang w:val="en-US"/>
        </w:rPr>
        <w:t xml:space="preserve">it </w:t>
      </w:r>
      <w:r w:rsidR="00805297" w:rsidRPr="002433F3">
        <w:rPr>
          <w:lang w:val="en-US"/>
        </w:rPr>
        <w:t xml:space="preserve">had </w:t>
      </w:r>
      <w:r w:rsidR="0063314A" w:rsidRPr="002433F3">
        <w:rPr>
          <w:lang w:val="en-US"/>
        </w:rPr>
        <w:t>c</w:t>
      </w:r>
      <w:r w:rsidR="00F7448C" w:rsidRPr="002433F3">
        <w:rPr>
          <w:lang w:val="en-US"/>
        </w:rPr>
        <w:t>eased with j</w:t>
      </w:r>
      <w:r w:rsidRPr="002433F3">
        <w:rPr>
          <w:lang w:val="en-US"/>
        </w:rPr>
        <w:t>udgment C-336 of 2010 of the Constitutional Court</w:t>
      </w:r>
      <w:r w:rsidR="0063314A" w:rsidRPr="002433F3">
        <w:rPr>
          <w:lang w:val="en-US"/>
        </w:rPr>
        <w:t xml:space="preserve">, and that the effects that </w:t>
      </w:r>
      <w:r w:rsidRPr="002433F3">
        <w:rPr>
          <w:lang w:val="en-US"/>
        </w:rPr>
        <w:t>had persisted disappeared</w:t>
      </w:r>
      <w:r w:rsidR="0063314A" w:rsidRPr="002433F3">
        <w:rPr>
          <w:lang w:val="en-US"/>
        </w:rPr>
        <w:t xml:space="preserve"> with j</w:t>
      </w:r>
      <w:r w:rsidRPr="002433F3">
        <w:rPr>
          <w:lang w:val="en-US"/>
        </w:rPr>
        <w:t>udgment T-051 of 2010</w:t>
      </w:r>
      <w:r w:rsidR="0063314A" w:rsidRPr="002433F3">
        <w:rPr>
          <w:lang w:val="en-US"/>
        </w:rPr>
        <w:t>, which</w:t>
      </w:r>
      <w:r w:rsidRPr="002433F3">
        <w:rPr>
          <w:lang w:val="en-US"/>
        </w:rPr>
        <w:t xml:space="preserve"> consolidated the case law precedent</w:t>
      </w:r>
      <w:r w:rsidR="0063314A" w:rsidRPr="002433F3">
        <w:rPr>
          <w:lang w:val="en-US"/>
        </w:rPr>
        <w:t>s</w:t>
      </w:r>
      <w:r w:rsidRPr="002433F3">
        <w:rPr>
          <w:lang w:val="en-US"/>
        </w:rPr>
        <w:t xml:space="preserve"> for the protection of the pension rights of same-sex couples. According to the State, the internationally wrongful act in this case </w:t>
      </w:r>
      <w:r w:rsidR="0063314A" w:rsidRPr="002433F3">
        <w:rPr>
          <w:lang w:val="en-US"/>
        </w:rPr>
        <w:t xml:space="preserve">was caused </w:t>
      </w:r>
      <w:r w:rsidRPr="002433F3">
        <w:rPr>
          <w:lang w:val="en-US"/>
        </w:rPr>
        <w:t xml:space="preserve">by the effect of </w:t>
      </w:r>
      <w:r w:rsidR="0063314A" w:rsidRPr="002433F3">
        <w:rPr>
          <w:lang w:val="en-US"/>
        </w:rPr>
        <w:t xml:space="preserve">certain </w:t>
      </w:r>
      <w:r w:rsidRPr="002433F3">
        <w:rPr>
          <w:lang w:val="en-US"/>
        </w:rPr>
        <w:t>rules, and not by the actions of the judges that appli</w:t>
      </w:r>
      <w:r w:rsidR="0063314A" w:rsidRPr="002433F3">
        <w:rPr>
          <w:lang w:val="en-US"/>
        </w:rPr>
        <w:t>ed them;</w:t>
      </w:r>
      <w:r w:rsidRPr="002433F3">
        <w:rPr>
          <w:lang w:val="en-US"/>
        </w:rPr>
        <w:t xml:space="preserve"> </w:t>
      </w:r>
      <w:r w:rsidR="0063314A" w:rsidRPr="002433F3">
        <w:rPr>
          <w:lang w:val="en-US"/>
        </w:rPr>
        <w:t xml:space="preserve">therefore, </w:t>
      </w:r>
      <w:r w:rsidRPr="002433F3">
        <w:rPr>
          <w:lang w:val="en-US"/>
        </w:rPr>
        <w:t xml:space="preserve">the internationally wrongful act </w:t>
      </w:r>
      <w:r w:rsidR="0063314A" w:rsidRPr="002433F3">
        <w:rPr>
          <w:lang w:val="en-US"/>
        </w:rPr>
        <w:t xml:space="preserve">had </w:t>
      </w:r>
      <w:r w:rsidRPr="002433F3">
        <w:rPr>
          <w:lang w:val="en-US"/>
        </w:rPr>
        <w:t xml:space="preserve">ceased with the modification of those </w:t>
      </w:r>
      <w:r w:rsidR="0063314A" w:rsidRPr="002433F3">
        <w:rPr>
          <w:lang w:val="en-US"/>
        </w:rPr>
        <w:t>provisions</w:t>
      </w:r>
      <w:r w:rsidRPr="002433F3">
        <w:rPr>
          <w:lang w:val="en-US"/>
        </w:rPr>
        <w:t xml:space="preserve">. </w:t>
      </w:r>
      <w:r w:rsidR="0063314A" w:rsidRPr="002433F3">
        <w:rPr>
          <w:lang w:val="en-US"/>
        </w:rPr>
        <w:t>The State</w:t>
      </w:r>
      <w:r w:rsidR="0063314A" w:rsidRPr="002433F3">
        <w:rPr>
          <w:b/>
          <w:lang w:val="en-US"/>
        </w:rPr>
        <w:t xml:space="preserve"> </w:t>
      </w:r>
      <w:r w:rsidR="0063314A" w:rsidRPr="002433F3">
        <w:rPr>
          <w:lang w:val="en-US"/>
        </w:rPr>
        <w:t>also</w:t>
      </w:r>
      <w:r w:rsidRPr="002433F3">
        <w:rPr>
          <w:lang w:val="en-US"/>
        </w:rPr>
        <w:t xml:space="preserve"> indicated that </w:t>
      </w:r>
      <w:r w:rsidR="00CD4CB9" w:rsidRPr="002433F3">
        <w:rPr>
          <w:lang w:val="en-US"/>
        </w:rPr>
        <w:t xml:space="preserve">its </w:t>
      </w:r>
      <w:r w:rsidR="00A62E38" w:rsidRPr="002433F3">
        <w:rPr>
          <w:lang w:val="en-US"/>
        </w:rPr>
        <w:t xml:space="preserve">existing </w:t>
      </w:r>
      <w:r w:rsidRPr="002433F3">
        <w:rPr>
          <w:lang w:val="en-US"/>
        </w:rPr>
        <w:t>secondary obligations</w:t>
      </w:r>
      <w:r w:rsidR="00CD4CB9" w:rsidRPr="002433F3">
        <w:rPr>
          <w:lang w:val="en-US"/>
        </w:rPr>
        <w:t xml:space="preserve">, </w:t>
      </w:r>
      <w:r w:rsidRPr="002433F3">
        <w:rPr>
          <w:lang w:val="en-US"/>
        </w:rPr>
        <w:t>particular</w:t>
      </w:r>
      <w:r w:rsidR="00CD4CB9" w:rsidRPr="002433F3">
        <w:rPr>
          <w:lang w:val="en-US"/>
        </w:rPr>
        <w:t>ly</w:t>
      </w:r>
      <w:r w:rsidRPr="002433F3">
        <w:rPr>
          <w:lang w:val="en-US"/>
        </w:rPr>
        <w:t xml:space="preserve"> the duty to provide reparation, would now be protected through adequate and effective domestic remedies</w:t>
      </w:r>
      <w:r w:rsidR="00A62E38" w:rsidRPr="002433F3">
        <w:rPr>
          <w:lang w:val="en-US"/>
        </w:rPr>
        <w:t>. It added</w:t>
      </w:r>
      <w:r w:rsidRPr="002433F3">
        <w:rPr>
          <w:lang w:val="en-US"/>
        </w:rPr>
        <w:t xml:space="preserve"> </w:t>
      </w:r>
      <w:r w:rsidR="00A62E38" w:rsidRPr="002433F3">
        <w:rPr>
          <w:lang w:val="en-US"/>
        </w:rPr>
        <w:t xml:space="preserve">that </w:t>
      </w:r>
      <w:r w:rsidRPr="002433F3">
        <w:rPr>
          <w:lang w:val="en-US"/>
        </w:rPr>
        <w:t>these remed</w:t>
      </w:r>
      <w:r w:rsidR="00A62E38" w:rsidRPr="002433F3">
        <w:rPr>
          <w:lang w:val="en-US"/>
        </w:rPr>
        <w:t>ies had</w:t>
      </w:r>
      <w:r w:rsidRPr="002433F3">
        <w:rPr>
          <w:lang w:val="en-US"/>
        </w:rPr>
        <w:t xml:space="preserve"> not be</w:t>
      </w:r>
      <w:r w:rsidR="00A62E38" w:rsidRPr="002433F3">
        <w:rPr>
          <w:lang w:val="en-US"/>
        </w:rPr>
        <w:t>en</w:t>
      </w:r>
      <w:r w:rsidRPr="002433F3">
        <w:rPr>
          <w:lang w:val="en-US"/>
        </w:rPr>
        <w:t xml:space="preserve"> activated </w:t>
      </w:r>
      <w:r w:rsidR="00A62E38" w:rsidRPr="002433F3">
        <w:rPr>
          <w:lang w:val="en-US"/>
        </w:rPr>
        <w:t xml:space="preserve">because this task </w:t>
      </w:r>
      <w:r w:rsidRPr="002433F3">
        <w:rPr>
          <w:lang w:val="en-US"/>
        </w:rPr>
        <w:t>depend</w:t>
      </w:r>
      <w:r w:rsidR="00A62E38" w:rsidRPr="002433F3">
        <w:rPr>
          <w:lang w:val="en-US"/>
        </w:rPr>
        <w:t>ed</w:t>
      </w:r>
      <w:r w:rsidRPr="002433F3">
        <w:rPr>
          <w:lang w:val="en-US"/>
        </w:rPr>
        <w:t xml:space="preserve"> exclusively on Mr. Duque, and could not be transferred to the State</w:t>
      </w:r>
      <w:r w:rsidR="00A62E38" w:rsidRPr="002433F3">
        <w:rPr>
          <w:lang w:val="en-US"/>
        </w:rPr>
        <w:t xml:space="preserve">, as it </w:t>
      </w:r>
      <w:r w:rsidRPr="002433F3">
        <w:rPr>
          <w:lang w:val="en-US"/>
        </w:rPr>
        <w:t>w</w:t>
      </w:r>
      <w:r w:rsidR="00A62E38" w:rsidRPr="002433F3">
        <w:rPr>
          <w:lang w:val="en-US"/>
        </w:rPr>
        <w:t xml:space="preserve">as up to </w:t>
      </w:r>
      <w:r w:rsidRPr="002433F3">
        <w:rPr>
          <w:lang w:val="en-US"/>
        </w:rPr>
        <w:t xml:space="preserve">the alleged victim to activate those remedies. </w:t>
      </w:r>
    </w:p>
    <w:p w14:paraId="36CA4022" w14:textId="77777777" w:rsidR="007B0DE4" w:rsidRPr="002433F3" w:rsidRDefault="007B0DE4" w:rsidP="007B0DE4">
      <w:pPr>
        <w:pStyle w:val="Ttulo2"/>
        <w:spacing w:before="280" w:after="280"/>
        <w:ind w:left="714" w:hanging="357"/>
        <w:rPr>
          <w:rFonts w:eastAsia="Calibri"/>
          <w:noProof w:val="0"/>
          <w:lang w:val="en-US"/>
        </w:rPr>
      </w:pPr>
      <w:bookmarkStart w:id="108" w:name="_Toc448482264"/>
      <w:r w:rsidRPr="002433F3">
        <w:rPr>
          <w:noProof w:val="0"/>
          <w:lang w:val="en-US" w:eastAsia="es-ES"/>
        </w:rPr>
        <w:t>Considerations</w:t>
      </w:r>
      <w:r w:rsidRPr="002433F3">
        <w:rPr>
          <w:rFonts w:eastAsia="Calibri"/>
          <w:noProof w:val="0"/>
          <w:lang w:val="en-US"/>
        </w:rPr>
        <w:t xml:space="preserve"> of the Court</w:t>
      </w:r>
      <w:bookmarkEnd w:id="108"/>
    </w:p>
    <w:p w14:paraId="080B199E" w14:textId="77777777" w:rsidR="007B0DE4" w:rsidRPr="002433F3" w:rsidRDefault="007B0DE4" w:rsidP="007B0DE4">
      <w:pPr>
        <w:numPr>
          <w:ilvl w:val="0"/>
          <w:numId w:val="2"/>
        </w:numPr>
        <w:tabs>
          <w:tab w:val="num" w:pos="720"/>
        </w:tabs>
        <w:spacing w:before="120" w:after="120"/>
        <w:ind w:right="4"/>
        <w:rPr>
          <w:szCs w:val="20"/>
          <w:lang w:val="en-US"/>
        </w:rPr>
      </w:pPr>
      <w:r w:rsidRPr="002433F3">
        <w:rPr>
          <w:lang w:val="en-US"/>
        </w:rPr>
        <w:t xml:space="preserve">The Court will </w:t>
      </w:r>
      <w:r w:rsidR="006721D0" w:rsidRPr="002433F3">
        <w:rPr>
          <w:lang w:val="en-US"/>
        </w:rPr>
        <w:t xml:space="preserve">present </w:t>
      </w:r>
      <w:r w:rsidRPr="002433F3">
        <w:rPr>
          <w:lang w:val="en-US"/>
        </w:rPr>
        <w:t>its considerations in the following order: a) the right to equality and non-discrimi</w:t>
      </w:r>
      <w:r w:rsidR="00805297" w:rsidRPr="002433F3">
        <w:rPr>
          <w:lang w:val="en-US"/>
        </w:rPr>
        <w:t>nation; b) the right to equal protection</w:t>
      </w:r>
      <w:r w:rsidRPr="002433F3">
        <w:rPr>
          <w:lang w:val="en-US"/>
        </w:rPr>
        <w:t xml:space="preserve"> before the law</w:t>
      </w:r>
      <w:r w:rsidR="00D55F42" w:rsidRPr="002433F3">
        <w:rPr>
          <w:lang w:val="en-US"/>
        </w:rPr>
        <w:t>, c) the alleged cess</w:t>
      </w:r>
      <w:r w:rsidRPr="002433F3">
        <w:rPr>
          <w:lang w:val="en-US"/>
        </w:rPr>
        <w:t>ation and reparation of the inte</w:t>
      </w:r>
      <w:r w:rsidR="00A62E38" w:rsidRPr="002433F3">
        <w:rPr>
          <w:lang w:val="en-US"/>
        </w:rPr>
        <w:t>rnationally wrongful act in th</w:t>
      </w:r>
      <w:r w:rsidR="00805297" w:rsidRPr="002433F3">
        <w:rPr>
          <w:lang w:val="en-US"/>
        </w:rPr>
        <w:t xml:space="preserve">is </w:t>
      </w:r>
      <w:r w:rsidRPr="002433F3">
        <w:rPr>
          <w:lang w:val="en-US"/>
        </w:rPr>
        <w:t>case, and d) conclusion.</w:t>
      </w:r>
      <w:bookmarkStart w:id="109" w:name="_Toc320017672"/>
      <w:bookmarkStart w:id="110" w:name="_Toc433564903"/>
    </w:p>
    <w:p w14:paraId="2CE27DE5" w14:textId="77777777" w:rsidR="007B0DE4" w:rsidRPr="002433F3" w:rsidRDefault="007B0DE4" w:rsidP="007B0DE4">
      <w:pPr>
        <w:pStyle w:val="Ttulo3"/>
        <w:spacing w:before="280" w:after="280"/>
        <w:ind w:left="1066"/>
        <w:rPr>
          <w:noProof w:val="0"/>
          <w:lang w:val="en-US" w:eastAsia="es-ES"/>
        </w:rPr>
      </w:pPr>
      <w:bookmarkStart w:id="111" w:name="_Toc448482265"/>
      <w:r w:rsidRPr="002433F3">
        <w:rPr>
          <w:noProof w:val="0"/>
          <w:lang w:val="en-US"/>
        </w:rPr>
        <w:t xml:space="preserve">B.1. </w:t>
      </w:r>
      <w:r w:rsidRPr="002433F3">
        <w:rPr>
          <w:noProof w:val="0"/>
          <w:lang w:val="en-US" w:eastAsia="es-ES"/>
        </w:rPr>
        <w:t>Right to equality and non-discrimination</w:t>
      </w:r>
      <w:bookmarkEnd w:id="109"/>
      <w:bookmarkEnd w:id="110"/>
      <w:bookmarkEnd w:id="111"/>
      <w:r w:rsidRPr="002433F3">
        <w:rPr>
          <w:noProof w:val="0"/>
          <w:lang w:val="en-US" w:eastAsia="es-ES"/>
        </w:rPr>
        <w:t xml:space="preserve"> </w:t>
      </w:r>
    </w:p>
    <w:p w14:paraId="08047636" w14:textId="77777777" w:rsidR="007B0DE4" w:rsidRPr="002433F3" w:rsidRDefault="00187753" w:rsidP="007B0DE4">
      <w:pPr>
        <w:numPr>
          <w:ilvl w:val="0"/>
          <w:numId w:val="2"/>
        </w:numPr>
        <w:tabs>
          <w:tab w:val="num" w:pos="720"/>
        </w:tabs>
        <w:spacing w:before="120" w:after="120"/>
        <w:ind w:right="4"/>
        <w:rPr>
          <w:szCs w:val="20"/>
          <w:lang w:val="en-US" w:eastAsia="es-ES"/>
        </w:rPr>
      </w:pPr>
      <w:bookmarkStart w:id="112" w:name="_Ref318188208"/>
      <w:r w:rsidRPr="002433F3">
        <w:rPr>
          <w:szCs w:val="20"/>
          <w:lang w:val="en-US"/>
        </w:rPr>
        <w:t xml:space="preserve">As in the case of </w:t>
      </w:r>
      <w:r w:rsidR="007B0DE4" w:rsidRPr="002433F3">
        <w:rPr>
          <w:szCs w:val="20"/>
          <w:lang w:val="en-US"/>
        </w:rPr>
        <w:t xml:space="preserve">the International Covenant on Civil and Political Rights, </w:t>
      </w:r>
      <w:r w:rsidRPr="002433F3">
        <w:rPr>
          <w:szCs w:val="20"/>
          <w:lang w:val="en-US"/>
        </w:rPr>
        <w:t xml:space="preserve">the American Convention </w:t>
      </w:r>
      <w:r w:rsidR="007B0DE4" w:rsidRPr="002433F3">
        <w:rPr>
          <w:szCs w:val="20"/>
          <w:lang w:val="en-US"/>
        </w:rPr>
        <w:t>does not contain an explicit definition of the concept of “discrimin</w:t>
      </w:r>
      <w:r w:rsidR="003519DA" w:rsidRPr="002433F3">
        <w:rPr>
          <w:szCs w:val="20"/>
          <w:lang w:val="en-US"/>
        </w:rPr>
        <w:t>ation.” Based on the definitions</w:t>
      </w:r>
      <w:r w:rsidR="007B0DE4" w:rsidRPr="002433F3">
        <w:rPr>
          <w:szCs w:val="20"/>
          <w:lang w:val="en-US"/>
        </w:rPr>
        <w:t xml:space="preserve"> of discrimination </w:t>
      </w:r>
      <w:r w:rsidR="003519DA" w:rsidRPr="002433F3">
        <w:rPr>
          <w:szCs w:val="20"/>
          <w:lang w:val="en-US"/>
        </w:rPr>
        <w:t xml:space="preserve">contained </w:t>
      </w:r>
      <w:r w:rsidR="007B0DE4" w:rsidRPr="002433F3">
        <w:rPr>
          <w:szCs w:val="20"/>
          <w:lang w:val="en-US"/>
        </w:rPr>
        <w:t xml:space="preserve">in Article 1(1) of the International Convention on </w:t>
      </w:r>
      <w:r w:rsidR="007B0DE4" w:rsidRPr="002433F3">
        <w:rPr>
          <w:szCs w:val="20"/>
          <w:lang w:val="en-US"/>
        </w:rPr>
        <w:lastRenderedPageBreak/>
        <w:t>the Elimination of all Forms Racial Discrimination</w:t>
      </w:r>
      <w:r w:rsidR="007B0DE4" w:rsidRPr="002433F3">
        <w:rPr>
          <w:rStyle w:val="Refdenotaalpie"/>
          <w:lang w:val="en-US" w:eastAsia="es-ES"/>
        </w:rPr>
        <w:footnoteReference w:id="75"/>
      </w:r>
      <w:r w:rsidR="007B0DE4" w:rsidRPr="002433F3">
        <w:rPr>
          <w:szCs w:val="20"/>
          <w:lang w:val="en-US"/>
        </w:rPr>
        <w:t xml:space="preserve"> and Art</w:t>
      </w:r>
      <w:r w:rsidR="003519DA" w:rsidRPr="002433F3">
        <w:rPr>
          <w:szCs w:val="20"/>
          <w:lang w:val="en-US"/>
        </w:rPr>
        <w:t xml:space="preserve">icle 1(1) of the Convention on </w:t>
      </w:r>
      <w:r w:rsidR="007B0DE4" w:rsidRPr="002433F3">
        <w:rPr>
          <w:szCs w:val="20"/>
          <w:lang w:val="en-US"/>
        </w:rPr>
        <w:t>the  Elimination of all Forms of Discrimination Against Women,</w:t>
      </w:r>
      <w:r w:rsidR="007B0DE4" w:rsidRPr="002433F3">
        <w:rPr>
          <w:rStyle w:val="Refdenotaalpie"/>
          <w:lang w:val="en-US" w:eastAsia="es-ES"/>
        </w:rPr>
        <w:footnoteReference w:id="76"/>
      </w:r>
      <w:r w:rsidR="007B0DE4" w:rsidRPr="002433F3">
        <w:rPr>
          <w:szCs w:val="20"/>
          <w:lang w:val="en-US"/>
        </w:rPr>
        <w:t xml:space="preserve"> the  United Nations Human Rights Committee has defined discrimination as “</w:t>
      </w:r>
      <w:r w:rsidR="007B0DE4" w:rsidRPr="002433F3">
        <w:rPr>
          <w:lang w:val="en-US"/>
        </w:rPr>
        <w:t>any distinction, exclusion, restriction or preference which is based on any ground such as race, color, sex, language, religion, political or other opinion, national or social origin, property, birth or other status, and which has the purpose or effect of nullifying or impairing the recognition, enjoyment or exercise by all persons, on an equal footing, of all rights and freedoms</w:t>
      </w:r>
      <w:r w:rsidR="007B0DE4" w:rsidRPr="002433F3">
        <w:rPr>
          <w:szCs w:val="20"/>
          <w:lang w:val="en-US"/>
        </w:rPr>
        <w:t>.”</w:t>
      </w:r>
      <w:r w:rsidR="007B0DE4" w:rsidRPr="002433F3">
        <w:rPr>
          <w:rStyle w:val="Refdenotaalpie"/>
          <w:lang w:val="en-US" w:eastAsia="es-ES"/>
        </w:rPr>
        <w:footnoteReference w:id="77"/>
      </w:r>
      <w:r w:rsidR="007B0DE4" w:rsidRPr="002433F3">
        <w:rPr>
          <w:szCs w:val="20"/>
          <w:lang w:val="en-US"/>
        </w:rPr>
        <w:t xml:space="preserve"> </w:t>
      </w:r>
    </w:p>
    <w:p w14:paraId="2E37BC0D" w14:textId="77777777" w:rsidR="007B0DE4" w:rsidRPr="002433F3" w:rsidRDefault="001004CE" w:rsidP="007B0DE4">
      <w:pPr>
        <w:numPr>
          <w:ilvl w:val="0"/>
          <w:numId w:val="2"/>
        </w:numPr>
        <w:spacing w:before="120" w:after="120"/>
        <w:rPr>
          <w:lang w:val="en-US"/>
        </w:rPr>
      </w:pPr>
      <w:r w:rsidRPr="002433F3">
        <w:rPr>
          <w:lang w:val="en-US"/>
        </w:rPr>
        <w:t xml:space="preserve">Regarding </w:t>
      </w:r>
      <w:r w:rsidR="007B0DE4" w:rsidRPr="002433F3">
        <w:rPr>
          <w:lang w:val="en-US"/>
        </w:rPr>
        <w:t>the principle of equality and non-discrimination</w:t>
      </w:r>
      <w:r w:rsidR="00187753" w:rsidRPr="002433F3">
        <w:rPr>
          <w:lang w:val="en-US"/>
        </w:rPr>
        <w:t xml:space="preserve"> before the law</w:t>
      </w:r>
      <w:r w:rsidR="007B0DE4" w:rsidRPr="002433F3">
        <w:rPr>
          <w:lang w:val="en-US"/>
        </w:rPr>
        <w:t>, the Court has indicated that that the notion of equality stems directly from the oneness of mankind and is inseparable from the essential dignity of the person. On this basis</w:t>
      </w:r>
      <w:r w:rsidR="007F73B8" w:rsidRPr="002433F3">
        <w:rPr>
          <w:lang w:val="en-US"/>
        </w:rPr>
        <w:t xml:space="preserve"> any situation is unacceptable which</w:t>
      </w:r>
      <w:r w:rsidR="007B0DE4" w:rsidRPr="002433F3">
        <w:rPr>
          <w:lang w:val="en-US"/>
        </w:rPr>
        <w:t>, considering a certain group superior, accords it privileges; or, conversely, considering it inferior, treats it with hostility or in any way discriminates against it in the enjoyment of rights that are recognized to those who do not form part of that group.</w:t>
      </w:r>
      <w:r w:rsidR="007B0DE4" w:rsidRPr="002433F3">
        <w:rPr>
          <w:rStyle w:val="Refdenotaalpie"/>
          <w:rFonts w:eastAsia="Times"/>
          <w:lang w:val="en-US" w:eastAsia="es-ES"/>
        </w:rPr>
        <w:footnoteReference w:id="78"/>
      </w:r>
      <w:r w:rsidR="007B0DE4" w:rsidRPr="002433F3">
        <w:rPr>
          <w:lang w:val="en-US"/>
        </w:rPr>
        <w:t xml:space="preserve"> </w:t>
      </w:r>
      <w:r w:rsidR="002B568F" w:rsidRPr="002433F3">
        <w:rPr>
          <w:lang w:val="en-US"/>
        </w:rPr>
        <w:t>The Court</w:t>
      </w:r>
      <w:r w:rsidR="007B0DE4" w:rsidRPr="002433F3">
        <w:rPr>
          <w:lang w:val="en-US"/>
        </w:rPr>
        <w:t xml:space="preserve"> </w:t>
      </w:r>
      <w:r w:rsidR="00C51456" w:rsidRPr="002433F3">
        <w:rPr>
          <w:lang w:val="en-US"/>
        </w:rPr>
        <w:t xml:space="preserve">has also indicated that </w:t>
      </w:r>
      <w:r w:rsidR="007F73B8" w:rsidRPr="002433F3">
        <w:rPr>
          <w:lang w:val="en-US"/>
        </w:rPr>
        <w:t xml:space="preserve">at the current stage of </w:t>
      </w:r>
      <w:r w:rsidR="002B568F" w:rsidRPr="002433F3">
        <w:rPr>
          <w:lang w:val="en-US"/>
        </w:rPr>
        <w:t xml:space="preserve">evolution of international law, the fundamental principle of equality and non-discrimination has entered the realm of </w:t>
      </w:r>
      <w:r w:rsidR="002B568F" w:rsidRPr="002433F3">
        <w:rPr>
          <w:i/>
          <w:lang w:val="en-US"/>
        </w:rPr>
        <w:t>jus cogens</w:t>
      </w:r>
      <w:r w:rsidR="007B0DE4" w:rsidRPr="002433F3">
        <w:rPr>
          <w:lang w:val="en-US"/>
        </w:rPr>
        <w:t>.</w:t>
      </w:r>
      <w:r w:rsidR="002B568F" w:rsidRPr="002433F3">
        <w:rPr>
          <w:lang w:val="en-US"/>
        </w:rPr>
        <w:t xml:space="preserve"> The juridical structure of national and international public order rests </w:t>
      </w:r>
      <w:r w:rsidRPr="002433F3">
        <w:rPr>
          <w:lang w:val="en-US"/>
        </w:rPr>
        <w:t>up</w:t>
      </w:r>
      <w:r w:rsidR="002B568F" w:rsidRPr="002433F3">
        <w:rPr>
          <w:lang w:val="en-US"/>
        </w:rPr>
        <w:t>on it and it permeates the entire legal system</w:t>
      </w:r>
      <w:r w:rsidR="007B0DE4" w:rsidRPr="002433F3">
        <w:rPr>
          <w:lang w:val="en-US"/>
        </w:rPr>
        <w:t>.</w:t>
      </w:r>
      <w:r w:rsidR="007B0DE4" w:rsidRPr="002433F3">
        <w:rPr>
          <w:rStyle w:val="Refdenotaalpie"/>
          <w:lang w:val="en-US"/>
        </w:rPr>
        <w:footnoteReference w:id="79"/>
      </w:r>
    </w:p>
    <w:p w14:paraId="2B360EAC" w14:textId="77777777" w:rsidR="007B0DE4" w:rsidRPr="002433F3" w:rsidRDefault="007B0DE4" w:rsidP="007B0DE4">
      <w:pPr>
        <w:numPr>
          <w:ilvl w:val="0"/>
          <w:numId w:val="2"/>
        </w:numPr>
        <w:spacing w:before="120" w:after="120"/>
        <w:rPr>
          <w:lang w:val="en-US"/>
        </w:rPr>
      </w:pPr>
      <w:r w:rsidRPr="002433F3">
        <w:rPr>
          <w:lang w:val="en-US"/>
        </w:rPr>
        <w:t xml:space="preserve">Furthermore, the Court has established that States must </w:t>
      </w:r>
      <w:r w:rsidR="007F73B8" w:rsidRPr="002433F3">
        <w:rPr>
          <w:lang w:val="en-US"/>
        </w:rPr>
        <w:t xml:space="preserve">refrain </w:t>
      </w:r>
      <w:r w:rsidRPr="002433F3">
        <w:rPr>
          <w:lang w:val="en-US"/>
        </w:rPr>
        <w:t xml:space="preserve">from taking steps that are aimed, in any way, at directly or indirectly creating situations of discrimination </w:t>
      </w:r>
      <w:r w:rsidRPr="002433F3">
        <w:rPr>
          <w:i/>
          <w:lang w:val="en-US"/>
        </w:rPr>
        <w:t>de jure</w:t>
      </w:r>
      <w:r w:rsidRPr="002433F3">
        <w:rPr>
          <w:lang w:val="en-US"/>
        </w:rPr>
        <w:t xml:space="preserve"> or </w:t>
      </w:r>
      <w:r w:rsidRPr="002433F3">
        <w:rPr>
          <w:i/>
          <w:lang w:val="en-US"/>
        </w:rPr>
        <w:t>de facto.</w:t>
      </w:r>
      <w:r w:rsidRPr="002433F3">
        <w:rPr>
          <w:rStyle w:val="Refdenotaalpie"/>
          <w:lang w:val="en-US"/>
        </w:rPr>
        <w:footnoteReference w:id="80"/>
      </w:r>
      <w:r w:rsidRPr="002433F3">
        <w:rPr>
          <w:lang w:val="en-US"/>
        </w:rPr>
        <w:t xml:space="preserve"> States are obliged to adopt positive measures to reverse or change any discriminatory situations that exist in their societies</w:t>
      </w:r>
      <w:r w:rsidR="004D07A1" w:rsidRPr="002433F3">
        <w:rPr>
          <w:lang w:val="en-US"/>
        </w:rPr>
        <w:t>,</w:t>
      </w:r>
      <w:r w:rsidRPr="002433F3">
        <w:rPr>
          <w:lang w:val="en-US"/>
        </w:rPr>
        <w:t xml:space="preserve"> against any specific gr</w:t>
      </w:r>
      <w:r w:rsidR="004D07A1" w:rsidRPr="002433F3">
        <w:rPr>
          <w:lang w:val="en-US"/>
        </w:rPr>
        <w:t>oup of persons. This entails a</w:t>
      </w:r>
      <w:r w:rsidRPr="002433F3">
        <w:rPr>
          <w:lang w:val="en-US"/>
        </w:rPr>
        <w:t xml:space="preserve"> special obligation of protection that the State must exercise with regard to the acts and practices of third parties that, with its tolerance or acquiescence, create, maintain or encourage discriminatory situations.</w:t>
      </w:r>
      <w:r w:rsidRPr="002433F3">
        <w:rPr>
          <w:rStyle w:val="Refdenotaalpie"/>
          <w:lang w:val="en-US"/>
        </w:rPr>
        <w:footnoteReference w:id="81"/>
      </w:r>
    </w:p>
    <w:p w14:paraId="53DDAF0E" w14:textId="77777777" w:rsidR="007B0DE4" w:rsidRPr="002433F3" w:rsidRDefault="007B0DE4" w:rsidP="007B0DE4">
      <w:pPr>
        <w:numPr>
          <w:ilvl w:val="0"/>
          <w:numId w:val="2"/>
        </w:numPr>
        <w:spacing w:before="120" w:after="120"/>
        <w:rPr>
          <w:rFonts w:eastAsia="Times"/>
          <w:lang w:val="en-US" w:eastAsia="es-ES"/>
        </w:rPr>
      </w:pPr>
      <w:r w:rsidRPr="002433F3">
        <w:rPr>
          <w:lang w:val="en-US"/>
        </w:rPr>
        <w:lastRenderedPageBreak/>
        <w:t xml:space="preserve">The Court has established that Article 1(1) of the Convention is a general norm </w:t>
      </w:r>
      <w:r w:rsidR="009039DD" w:rsidRPr="002433F3">
        <w:rPr>
          <w:lang w:val="en-US"/>
        </w:rPr>
        <w:t xml:space="preserve">whose </w:t>
      </w:r>
      <w:r w:rsidRPr="002433F3">
        <w:rPr>
          <w:lang w:val="en-US"/>
        </w:rPr>
        <w:t xml:space="preserve">content extends to all the provisions of the treaty and establishes the obligation of States Parties to respect and ensure the full and free exercise of the rights and freedoms recognized therein “without any discrimination.” In other words, whatever its origin or form, any treatment that could be considered discriminatory in relation to the exercise of any of the rights recognized in the Convention is </w:t>
      </w:r>
      <w:r w:rsidRPr="002433F3">
        <w:rPr>
          <w:i/>
          <w:lang w:val="en-US"/>
        </w:rPr>
        <w:t>per se</w:t>
      </w:r>
      <w:r w:rsidRPr="002433F3">
        <w:rPr>
          <w:lang w:val="en-US"/>
        </w:rPr>
        <w:t xml:space="preserve"> incompatible with this instrument</w:t>
      </w:r>
      <w:bookmarkStart w:id="113" w:name="_Ref318125325"/>
      <w:r w:rsidRPr="002433F3">
        <w:rPr>
          <w:lang w:val="en-US"/>
        </w:rPr>
        <w:t>.</w:t>
      </w:r>
      <w:r w:rsidRPr="002433F3">
        <w:rPr>
          <w:rStyle w:val="Refdenotaalpie"/>
          <w:lang w:val="en-US"/>
        </w:rPr>
        <w:footnoteReference w:id="82"/>
      </w:r>
      <w:bookmarkEnd w:id="112"/>
      <w:bookmarkEnd w:id="113"/>
      <w:r w:rsidR="009039DD" w:rsidRPr="002433F3">
        <w:rPr>
          <w:lang w:val="en-US"/>
        </w:rPr>
        <w:t xml:space="preserve"> A</w:t>
      </w:r>
      <w:r w:rsidRPr="002433F3">
        <w:rPr>
          <w:lang w:val="en-US"/>
        </w:rPr>
        <w:t xml:space="preserve"> </w:t>
      </w:r>
      <w:r w:rsidR="009039DD" w:rsidRPr="002433F3">
        <w:rPr>
          <w:lang w:val="en-US"/>
        </w:rPr>
        <w:t xml:space="preserve">State’s </w:t>
      </w:r>
      <w:r w:rsidRPr="002433F3">
        <w:rPr>
          <w:lang w:val="en-US"/>
        </w:rPr>
        <w:t xml:space="preserve">failure to comply with the general obligation to respect and ensure human rights, </w:t>
      </w:r>
      <w:r w:rsidR="00A53AE6" w:rsidRPr="002433F3">
        <w:rPr>
          <w:lang w:val="en-US"/>
        </w:rPr>
        <w:t xml:space="preserve">through </w:t>
      </w:r>
      <w:r w:rsidRPr="002433F3">
        <w:rPr>
          <w:lang w:val="en-US"/>
        </w:rPr>
        <w:t xml:space="preserve">any discriminatory treatment, gives rise to its </w:t>
      </w:r>
      <w:r w:rsidRPr="002433F3">
        <w:rPr>
          <w:rFonts w:cs="Arial"/>
          <w:lang w:val="en-US"/>
        </w:rPr>
        <w:t>international responsibility</w:t>
      </w:r>
      <w:r w:rsidRPr="002433F3">
        <w:rPr>
          <w:rFonts w:cs="Arial"/>
          <w:szCs w:val="20"/>
          <w:lang w:val="en-US"/>
        </w:rPr>
        <w:t>.</w:t>
      </w:r>
      <w:r w:rsidRPr="002433F3">
        <w:rPr>
          <w:rFonts w:cs="Arial"/>
          <w:vertAlign w:val="superscript"/>
          <w:lang w:val="en-US"/>
        </w:rPr>
        <w:footnoteReference w:id="83"/>
      </w:r>
      <w:r w:rsidRPr="002433F3">
        <w:rPr>
          <w:rFonts w:cs="Arial"/>
          <w:szCs w:val="20"/>
          <w:lang w:val="en-US"/>
        </w:rPr>
        <w:t xml:space="preserve"> </w:t>
      </w:r>
      <w:r w:rsidRPr="002433F3">
        <w:rPr>
          <w:rFonts w:cs="Arial"/>
          <w:lang w:val="en-US"/>
        </w:rPr>
        <w:t>Thus, there is an inseparable link between the obligation to respect and ensure human rights and the principle of equality and non-discrimination</w:t>
      </w:r>
      <w:r w:rsidRPr="002433F3">
        <w:rPr>
          <w:rFonts w:cs="Arial"/>
          <w:szCs w:val="20"/>
          <w:lang w:val="en-US"/>
        </w:rPr>
        <w:t>.</w:t>
      </w:r>
      <w:r w:rsidRPr="002433F3">
        <w:rPr>
          <w:rFonts w:cs="Arial"/>
          <w:vertAlign w:val="superscript"/>
          <w:lang w:val="en-US"/>
        </w:rPr>
        <w:footnoteReference w:id="84"/>
      </w:r>
    </w:p>
    <w:p w14:paraId="7A918C5E" w14:textId="77777777" w:rsidR="007B0DE4" w:rsidRPr="002433F3" w:rsidRDefault="007B0DE4" w:rsidP="007B0DE4">
      <w:pPr>
        <w:numPr>
          <w:ilvl w:val="0"/>
          <w:numId w:val="2"/>
        </w:numPr>
        <w:spacing w:before="120" w:after="120"/>
        <w:rPr>
          <w:i/>
          <w:lang w:val="en-US"/>
        </w:rPr>
      </w:pPr>
      <w:r w:rsidRPr="002433F3">
        <w:rPr>
          <w:lang w:val="en-US"/>
        </w:rPr>
        <w:t xml:space="preserve">While the general obligation under Article 1(1) refers to the State’s obligation to respect and </w:t>
      </w:r>
      <w:r w:rsidR="009039DD" w:rsidRPr="002433F3">
        <w:rPr>
          <w:lang w:val="en-US"/>
        </w:rPr>
        <w:t xml:space="preserve">guarantee </w:t>
      </w:r>
      <w:r w:rsidRPr="002433F3">
        <w:rPr>
          <w:lang w:val="en-US"/>
        </w:rPr>
        <w:t xml:space="preserve">“without discrimination” the rights </w:t>
      </w:r>
      <w:r w:rsidR="00AC1059" w:rsidRPr="002433F3">
        <w:rPr>
          <w:lang w:val="en-US"/>
        </w:rPr>
        <w:t xml:space="preserve">enshrined </w:t>
      </w:r>
      <w:r w:rsidRPr="002433F3">
        <w:rPr>
          <w:lang w:val="en-US"/>
        </w:rPr>
        <w:t>in the American Convention</w:t>
      </w:r>
      <w:r w:rsidR="00A53AE6" w:rsidRPr="002433F3">
        <w:rPr>
          <w:lang w:val="en-US"/>
        </w:rPr>
        <w:t>,</w:t>
      </w:r>
      <w:r w:rsidRPr="002433F3">
        <w:rPr>
          <w:lang w:val="en-US"/>
        </w:rPr>
        <w:t xml:space="preserve"> Article 24 protects the right to “equal protection of the law.”</w:t>
      </w:r>
      <w:bookmarkStart w:id="114" w:name="_Ref318127313"/>
      <w:r w:rsidR="00B04ACD" w:rsidRPr="002433F3">
        <w:rPr>
          <w:rStyle w:val="Refdenotaalpie"/>
        </w:rPr>
        <w:footnoteReference w:id="85"/>
      </w:r>
      <w:bookmarkEnd w:id="114"/>
      <w:r w:rsidRPr="002433F3">
        <w:rPr>
          <w:lang w:val="en-US"/>
        </w:rPr>
        <w:t xml:space="preserve"> That is to say, Article 24 of the American Convention prohibits discrimination by the law, not only as rega</w:t>
      </w:r>
      <w:r w:rsidR="009039DD" w:rsidRPr="002433F3">
        <w:rPr>
          <w:lang w:val="en-US"/>
        </w:rPr>
        <w:t>rds the rights contained in said</w:t>
      </w:r>
      <w:r w:rsidRPr="002433F3">
        <w:rPr>
          <w:lang w:val="en-US"/>
        </w:rPr>
        <w:t xml:space="preserve"> treaty, but also as regards all the laws enacted by the State and their implementation.</w:t>
      </w:r>
      <w:r w:rsidRPr="002433F3">
        <w:rPr>
          <w:rFonts w:eastAsia="Calibri"/>
          <w:spacing w:val="-2"/>
          <w:szCs w:val="20"/>
          <w:vertAlign w:val="superscript"/>
          <w:lang w:val="en-US"/>
        </w:rPr>
        <w:footnoteReference w:id="86"/>
      </w:r>
      <w:r w:rsidRPr="002433F3">
        <w:rPr>
          <w:lang w:val="en-US"/>
        </w:rPr>
        <w:t xml:space="preserve"> In other words, if a State discriminates in </w:t>
      </w:r>
      <w:r w:rsidR="00944E5F" w:rsidRPr="002433F3">
        <w:rPr>
          <w:lang w:val="en-US"/>
        </w:rPr>
        <w:t xml:space="preserve">ensuring the </w:t>
      </w:r>
      <w:r w:rsidRPr="002433F3">
        <w:rPr>
          <w:lang w:val="en-US"/>
        </w:rPr>
        <w:t xml:space="preserve">respect </w:t>
      </w:r>
      <w:r w:rsidR="00944E5F" w:rsidRPr="002433F3">
        <w:rPr>
          <w:lang w:val="en-US"/>
        </w:rPr>
        <w:t xml:space="preserve">for </w:t>
      </w:r>
      <w:r w:rsidRPr="002433F3">
        <w:rPr>
          <w:lang w:val="en-US"/>
        </w:rPr>
        <w:t xml:space="preserve">or guarantee of a treaty-based right, it would </w:t>
      </w:r>
      <w:r w:rsidR="00944E5F" w:rsidRPr="002433F3">
        <w:rPr>
          <w:lang w:val="en-US"/>
        </w:rPr>
        <w:t xml:space="preserve">not </w:t>
      </w:r>
      <w:r w:rsidRPr="002433F3">
        <w:rPr>
          <w:lang w:val="en-US"/>
        </w:rPr>
        <w:t xml:space="preserve">be in compliance with the obligation established in </w:t>
      </w:r>
      <w:r w:rsidRPr="002433F3">
        <w:rPr>
          <w:lang w:val="en-US" w:eastAsia="es-ES"/>
        </w:rPr>
        <w:t>Article 1(1)</w:t>
      </w:r>
      <w:r w:rsidRPr="002433F3">
        <w:rPr>
          <w:i/>
          <w:lang w:val="en-US" w:eastAsia="es-ES"/>
        </w:rPr>
        <w:t xml:space="preserve"> </w:t>
      </w:r>
      <w:r w:rsidRPr="002433F3">
        <w:rPr>
          <w:lang w:val="en-US" w:eastAsia="es-ES"/>
        </w:rPr>
        <w:t>and</w:t>
      </w:r>
      <w:r w:rsidRPr="002433F3">
        <w:rPr>
          <w:i/>
          <w:lang w:val="en-US" w:eastAsia="es-ES"/>
        </w:rPr>
        <w:t xml:space="preserve"> </w:t>
      </w:r>
      <w:r w:rsidRPr="002433F3">
        <w:rPr>
          <w:lang w:val="en-US" w:eastAsia="es-ES"/>
        </w:rPr>
        <w:t xml:space="preserve">the substantive right in question. If, to the contrary, </w:t>
      </w:r>
      <w:r w:rsidR="00944E5F" w:rsidRPr="002433F3">
        <w:rPr>
          <w:lang w:val="en-US" w:eastAsia="es-ES"/>
        </w:rPr>
        <w:t xml:space="preserve">the discrimination refers to </w:t>
      </w:r>
      <w:r w:rsidRPr="002433F3">
        <w:rPr>
          <w:lang w:val="en-US" w:eastAsia="es-ES"/>
        </w:rPr>
        <w:t xml:space="preserve">unequal protection by domestic law or its </w:t>
      </w:r>
      <w:r w:rsidR="009039DD" w:rsidRPr="002433F3">
        <w:rPr>
          <w:lang w:val="en-US" w:eastAsia="es-ES"/>
        </w:rPr>
        <w:t>application</w:t>
      </w:r>
      <w:r w:rsidRPr="002433F3">
        <w:rPr>
          <w:lang w:val="en-US" w:eastAsia="es-ES"/>
        </w:rPr>
        <w:t xml:space="preserve">, the fact should be examined in light of Article 24 of the American Convention in relation to the categories protected </w:t>
      </w:r>
      <w:r w:rsidR="00944E5F" w:rsidRPr="002433F3">
        <w:rPr>
          <w:lang w:val="en-US" w:eastAsia="es-ES"/>
        </w:rPr>
        <w:t xml:space="preserve">under </w:t>
      </w:r>
      <w:r w:rsidRPr="002433F3">
        <w:rPr>
          <w:lang w:val="en-US" w:eastAsia="es-ES"/>
        </w:rPr>
        <w:t>Article 1(1) of the Convention</w:t>
      </w:r>
      <w:bookmarkStart w:id="115" w:name="_Ref318128267"/>
      <w:r w:rsidR="00944E5F" w:rsidRPr="002433F3">
        <w:rPr>
          <w:lang w:val="en-US" w:eastAsia="es-ES"/>
        </w:rPr>
        <w:t>.</w:t>
      </w:r>
      <w:r w:rsidRPr="002433F3">
        <w:rPr>
          <w:rStyle w:val="Refdenotaalpie"/>
          <w:lang w:val="en-US" w:eastAsia="es-ES"/>
        </w:rPr>
        <w:footnoteReference w:id="87"/>
      </w:r>
      <w:bookmarkEnd w:id="115"/>
      <w:r w:rsidRPr="002433F3">
        <w:rPr>
          <w:lang w:val="en-US" w:eastAsia="es-ES"/>
        </w:rPr>
        <w:t xml:space="preserve"> </w:t>
      </w:r>
    </w:p>
    <w:p w14:paraId="3CC2DBA6" w14:textId="77777777" w:rsidR="007B0DE4" w:rsidRPr="002433F3" w:rsidRDefault="000E0884" w:rsidP="007B0DE4">
      <w:pPr>
        <w:numPr>
          <w:ilvl w:val="0"/>
          <w:numId w:val="2"/>
        </w:numPr>
        <w:spacing w:before="120" w:after="120"/>
        <w:rPr>
          <w:i/>
          <w:lang w:val="en-US"/>
        </w:rPr>
      </w:pPr>
      <w:r w:rsidRPr="002433F3">
        <w:rPr>
          <w:lang w:val="en-US" w:eastAsia="es-ES"/>
        </w:rPr>
        <w:t xml:space="preserve">In the instant case, the </w:t>
      </w:r>
      <w:r w:rsidR="007B0DE4" w:rsidRPr="002433F3">
        <w:rPr>
          <w:lang w:val="en-US" w:eastAsia="es-ES"/>
        </w:rPr>
        <w:t xml:space="preserve">representatives and the Commission alleged that the State had violated the principle of equality and non-discrimination for two reasons: a) </w:t>
      </w:r>
      <w:r w:rsidRPr="002433F3">
        <w:rPr>
          <w:lang w:val="en-US" w:eastAsia="es-ES"/>
        </w:rPr>
        <w:t xml:space="preserve">through </w:t>
      </w:r>
      <w:r w:rsidR="007B0DE4" w:rsidRPr="002433F3">
        <w:rPr>
          <w:lang w:val="en-US" w:eastAsia="es-ES"/>
        </w:rPr>
        <w:t xml:space="preserve">the  existence of </w:t>
      </w:r>
      <w:r w:rsidR="00BC3F70" w:rsidRPr="002433F3">
        <w:rPr>
          <w:lang w:val="en-US" w:eastAsia="es-ES"/>
        </w:rPr>
        <w:t>rules</w:t>
      </w:r>
      <w:r w:rsidR="007B0DE4" w:rsidRPr="002433F3">
        <w:rPr>
          <w:lang w:val="en-US" w:eastAsia="es-ES"/>
        </w:rPr>
        <w:t xml:space="preserve">, </w:t>
      </w:r>
      <w:r w:rsidR="00BC3F70" w:rsidRPr="002433F3">
        <w:rPr>
          <w:lang w:val="en-US" w:eastAsia="es-ES"/>
        </w:rPr>
        <w:t xml:space="preserve">specifically </w:t>
      </w:r>
      <w:r w:rsidR="007B0DE4" w:rsidRPr="002433F3">
        <w:rPr>
          <w:lang w:val="en-US" w:eastAsia="es-ES"/>
        </w:rPr>
        <w:t>Article 1 of Law 54 of 1990 and Article 10 of Decree</w:t>
      </w:r>
      <w:r w:rsidR="007B0DE4" w:rsidRPr="002433F3">
        <w:rPr>
          <w:lang w:val="en-US"/>
        </w:rPr>
        <w:t xml:space="preserve"> 1889 of August 3, 1994 (</w:t>
      </w:r>
      <w:r w:rsidR="007B0DE4" w:rsidRPr="002433F3">
        <w:rPr>
          <w:i/>
          <w:lang w:val="en-US"/>
        </w:rPr>
        <w:t>supra</w:t>
      </w:r>
      <w:r w:rsidR="007B0DE4" w:rsidRPr="002433F3">
        <w:rPr>
          <w:lang w:val="en-US"/>
        </w:rPr>
        <w:t xml:space="preserve"> paras. 73 and 74),</w:t>
      </w:r>
      <w:r w:rsidR="007B0DE4" w:rsidRPr="002433F3">
        <w:rPr>
          <w:lang w:val="en-US" w:eastAsia="es-ES"/>
        </w:rPr>
        <w:t xml:space="preserve"> that prevented Mr. Duque from </w:t>
      </w:r>
      <w:r w:rsidR="00BC3F70" w:rsidRPr="002433F3">
        <w:rPr>
          <w:lang w:val="en-US" w:eastAsia="es-ES"/>
        </w:rPr>
        <w:t xml:space="preserve">claiming a </w:t>
      </w:r>
      <w:r w:rsidR="007B0DE4" w:rsidRPr="002433F3">
        <w:rPr>
          <w:lang w:val="en-US" w:eastAsia="es-ES"/>
        </w:rPr>
        <w:t>survivor’s pension without discrimination</w:t>
      </w:r>
      <w:r w:rsidRPr="002433F3">
        <w:rPr>
          <w:lang w:val="en-US" w:eastAsia="es-ES"/>
        </w:rPr>
        <w:t>,</w:t>
      </w:r>
      <w:r w:rsidR="007B0DE4" w:rsidRPr="002433F3">
        <w:rPr>
          <w:lang w:val="en-US" w:eastAsia="es-ES"/>
        </w:rPr>
        <w:t xml:space="preserve"> by establishing that only persons of </w:t>
      </w:r>
      <w:r w:rsidR="00BC3F70" w:rsidRPr="002433F3">
        <w:rPr>
          <w:lang w:val="en-US" w:eastAsia="es-ES"/>
        </w:rPr>
        <w:t xml:space="preserve">the opposite </w:t>
      </w:r>
      <w:r w:rsidR="007B0DE4" w:rsidRPr="002433F3">
        <w:rPr>
          <w:lang w:val="en-US" w:eastAsia="es-ES"/>
        </w:rPr>
        <w:t xml:space="preserve">sex could be considered as permanent partners, or </w:t>
      </w:r>
      <w:r w:rsidR="00BC3F70" w:rsidRPr="002433F3">
        <w:rPr>
          <w:lang w:val="en-US" w:eastAsia="es-ES"/>
        </w:rPr>
        <w:t xml:space="preserve">could form </w:t>
      </w:r>
      <w:r w:rsidR="007B0DE4" w:rsidRPr="002433F3">
        <w:rPr>
          <w:i/>
          <w:lang w:val="en-US" w:eastAsia="es-ES"/>
        </w:rPr>
        <w:t>de facto</w:t>
      </w:r>
      <w:r w:rsidR="007B0DE4" w:rsidRPr="002433F3">
        <w:rPr>
          <w:lang w:val="en-US" w:eastAsia="es-ES"/>
        </w:rPr>
        <w:t xml:space="preserve"> marital unions, and b) </w:t>
      </w:r>
      <w:r w:rsidRPr="002433F3">
        <w:rPr>
          <w:lang w:val="en-US" w:eastAsia="es-ES"/>
        </w:rPr>
        <w:t xml:space="preserve">through </w:t>
      </w:r>
      <w:r w:rsidR="007B0DE4" w:rsidRPr="002433F3">
        <w:rPr>
          <w:lang w:val="en-US" w:eastAsia="es-ES"/>
        </w:rPr>
        <w:t xml:space="preserve">the action of the administrative and judicial authorities who excluded Mr. Duque from the right to </w:t>
      </w:r>
      <w:r w:rsidR="00BC3F70" w:rsidRPr="002433F3">
        <w:rPr>
          <w:lang w:val="en-US" w:eastAsia="es-ES"/>
        </w:rPr>
        <w:t xml:space="preserve">a </w:t>
      </w:r>
      <w:r w:rsidR="007B0DE4" w:rsidRPr="002433F3">
        <w:rPr>
          <w:lang w:val="en-US" w:eastAsia="es-ES"/>
        </w:rPr>
        <w:t>survivor’s pension (</w:t>
      </w:r>
      <w:r w:rsidR="007B0DE4" w:rsidRPr="002433F3">
        <w:rPr>
          <w:i/>
          <w:lang w:val="en-US" w:eastAsia="es-ES"/>
        </w:rPr>
        <w:t>supra</w:t>
      </w:r>
      <w:r w:rsidR="007B0DE4" w:rsidRPr="002433F3">
        <w:rPr>
          <w:lang w:val="en-US" w:eastAsia="es-ES"/>
        </w:rPr>
        <w:t xml:space="preserve"> paras. 70, 78 and 79).</w:t>
      </w:r>
    </w:p>
    <w:p w14:paraId="1A713F8E" w14:textId="77777777" w:rsidR="007B0DE4" w:rsidRPr="002433F3" w:rsidRDefault="007B0DE4" w:rsidP="007B0DE4">
      <w:pPr>
        <w:numPr>
          <w:ilvl w:val="0"/>
          <w:numId w:val="2"/>
        </w:numPr>
        <w:spacing w:before="120" w:after="120"/>
        <w:rPr>
          <w:i/>
          <w:lang w:val="en-US"/>
        </w:rPr>
      </w:pPr>
      <w:r w:rsidRPr="002433F3">
        <w:rPr>
          <w:lang w:val="en-US"/>
        </w:rPr>
        <w:t xml:space="preserve">With respect to the first point, considering that the alleged </w:t>
      </w:r>
      <w:r w:rsidRPr="002433F3">
        <w:rPr>
          <w:lang w:val="en-US" w:eastAsia="es-ES"/>
        </w:rPr>
        <w:t xml:space="preserve">discrimination refers to the </w:t>
      </w:r>
      <w:r w:rsidR="00851054" w:rsidRPr="002433F3">
        <w:rPr>
          <w:lang w:val="en-US" w:eastAsia="es-ES"/>
        </w:rPr>
        <w:t xml:space="preserve">supposed </w:t>
      </w:r>
      <w:r w:rsidRPr="002433F3">
        <w:rPr>
          <w:lang w:val="en-US" w:eastAsia="es-ES"/>
        </w:rPr>
        <w:t xml:space="preserve">unequal protection </w:t>
      </w:r>
      <w:r w:rsidR="00851054" w:rsidRPr="002433F3">
        <w:rPr>
          <w:lang w:val="en-US" w:eastAsia="es-ES"/>
        </w:rPr>
        <w:t xml:space="preserve">afforded </w:t>
      </w:r>
      <w:r w:rsidRPr="002433F3">
        <w:rPr>
          <w:lang w:val="en-US" w:eastAsia="es-ES"/>
        </w:rPr>
        <w:t>under the domestic laws</w:t>
      </w:r>
      <w:r w:rsidR="00851054" w:rsidRPr="002433F3">
        <w:rPr>
          <w:lang w:val="en-US" w:eastAsia="es-ES"/>
        </w:rPr>
        <w:t xml:space="preserve">, it is for this </w:t>
      </w:r>
      <w:r w:rsidRPr="002433F3">
        <w:rPr>
          <w:lang w:val="en-US"/>
        </w:rPr>
        <w:t xml:space="preserve">Court </w:t>
      </w:r>
      <w:r w:rsidR="00851054" w:rsidRPr="002433F3">
        <w:rPr>
          <w:lang w:val="en-US"/>
        </w:rPr>
        <w:t xml:space="preserve">to </w:t>
      </w:r>
      <w:r w:rsidRPr="002433F3">
        <w:rPr>
          <w:lang w:val="en-US"/>
        </w:rPr>
        <w:t>analyze</w:t>
      </w:r>
      <w:r w:rsidR="00851054" w:rsidRPr="002433F3">
        <w:rPr>
          <w:lang w:val="en-US"/>
        </w:rPr>
        <w:t xml:space="preserve"> that</w:t>
      </w:r>
      <w:r w:rsidRPr="002433F3">
        <w:rPr>
          <w:lang w:val="en-US"/>
        </w:rPr>
        <w:t xml:space="preserve"> fact in light of Article 24 of the American Convention. As to the second point, this will be analyzed the chapter </w:t>
      </w:r>
      <w:r w:rsidR="00851054" w:rsidRPr="002433F3">
        <w:rPr>
          <w:lang w:val="en-US"/>
        </w:rPr>
        <w:t xml:space="preserve">concerning </w:t>
      </w:r>
      <w:r w:rsidRPr="002433F3">
        <w:rPr>
          <w:lang w:val="en-US"/>
        </w:rPr>
        <w:t xml:space="preserve">judicial guarantees. </w:t>
      </w:r>
    </w:p>
    <w:p w14:paraId="059FF2AC" w14:textId="77777777" w:rsidR="007B0DE4" w:rsidRPr="002433F3" w:rsidRDefault="007B0DE4" w:rsidP="007B0DE4">
      <w:pPr>
        <w:pStyle w:val="Ttulo3"/>
        <w:spacing w:before="280" w:after="280"/>
        <w:ind w:left="1066"/>
        <w:rPr>
          <w:noProof w:val="0"/>
          <w:lang w:val="en-US" w:eastAsia="es-ES"/>
        </w:rPr>
      </w:pPr>
      <w:bookmarkStart w:id="116" w:name="_Toc448482266"/>
      <w:r w:rsidRPr="002433F3">
        <w:rPr>
          <w:noProof w:val="0"/>
          <w:lang w:val="en-US"/>
        </w:rPr>
        <w:lastRenderedPageBreak/>
        <w:t>B.2. R</w:t>
      </w:r>
      <w:r w:rsidRPr="002433F3">
        <w:rPr>
          <w:noProof w:val="0"/>
          <w:lang w:val="en-US" w:eastAsia="es-ES"/>
        </w:rPr>
        <w:t>ight to equality before the law in the instant case</w:t>
      </w:r>
      <w:bookmarkEnd w:id="116"/>
      <w:r w:rsidRPr="002433F3">
        <w:rPr>
          <w:noProof w:val="0"/>
          <w:lang w:val="en-US" w:eastAsia="es-ES"/>
        </w:rPr>
        <w:t xml:space="preserve"> </w:t>
      </w:r>
    </w:p>
    <w:p w14:paraId="642D59EB" w14:textId="77777777" w:rsidR="007B0DE4" w:rsidRPr="002433F3" w:rsidRDefault="007B0DE4" w:rsidP="007B0DE4">
      <w:pPr>
        <w:numPr>
          <w:ilvl w:val="0"/>
          <w:numId w:val="2"/>
        </w:numPr>
        <w:spacing w:before="120" w:after="120"/>
        <w:rPr>
          <w:lang w:val="en-US"/>
        </w:rPr>
      </w:pPr>
      <w:r w:rsidRPr="002433F3">
        <w:rPr>
          <w:lang w:val="en-US"/>
        </w:rPr>
        <w:t>As mentioned</w:t>
      </w:r>
      <w:r w:rsidR="000E0884" w:rsidRPr="002433F3">
        <w:rPr>
          <w:lang w:val="en-US"/>
        </w:rPr>
        <w:t xml:space="preserve"> previously</w:t>
      </w:r>
      <w:r w:rsidRPr="002433F3">
        <w:rPr>
          <w:lang w:val="en-US"/>
        </w:rPr>
        <w:t>,</w:t>
      </w:r>
      <w:r w:rsidR="000E0884" w:rsidRPr="002433F3">
        <w:rPr>
          <w:lang w:val="en-US"/>
        </w:rPr>
        <w:t xml:space="preserve"> in April </w:t>
      </w:r>
      <w:r w:rsidR="00B17F2A" w:rsidRPr="002433F3">
        <w:rPr>
          <w:lang w:val="en-US"/>
        </w:rPr>
        <w:t>2002, Colombia’s</w:t>
      </w:r>
      <w:r w:rsidRPr="002433F3">
        <w:rPr>
          <w:lang w:val="en-US"/>
        </w:rPr>
        <w:t xml:space="preserve"> </w:t>
      </w:r>
      <w:r w:rsidR="00B17F2A" w:rsidRPr="002433F3">
        <w:rPr>
          <w:lang w:val="en-US"/>
        </w:rPr>
        <w:t xml:space="preserve">domestic </w:t>
      </w:r>
      <w:r w:rsidRPr="002433F3">
        <w:rPr>
          <w:lang w:val="en-US"/>
        </w:rPr>
        <w:t>l</w:t>
      </w:r>
      <w:r w:rsidR="00B17F2A" w:rsidRPr="002433F3">
        <w:rPr>
          <w:lang w:val="en-US"/>
        </w:rPr>
        <w:t xml:space="preserve">aws </w:t>
      </w:r>
      <w:r w:rsidRPr="002433F3">
        <w:rPr>
          <w:lang w:val="en-US"/>
        </w:rPr>
        <w:t>denied same-sex couples legal recogn</w:t>
      </w:r>
      <w:r w:rsidR="000E0884" w:rsidRPr="002433F3">
        <w:rPr>
          <w:lang w:val="en-US"/>
        </w:rPr>
        <w:t>ition of the</w:t>
      </w:r>
      <w:r w:rsidR="00B17F2A" w:rsidRPr="002433F3">
        <w:rPr>
          <w:lang w:val="en-US"/>
        </w:rPr>
        <w:t xml:space="preserve"> survivor’s pension</w:t>
      </w:r>
      <w:r w:rsidR="000E0884" w:rsidRPr="002433F3">
        <w:rPr>
          <w:lang w:val="en-US"/>
        </w:rPr>
        <w:t>;</w:t>
      </w:r>
      <w:r w:rsidRPr="002433F3">
        <w:rPr>
          <w:lang w:val="en-US"/>
        </w:rPr>
        <w:t xml:space="preserve"> </w:t>
      </w:r>
      <w:r w:rsidR="000E0884" w:rsidRPr="002433F3">
        <w:rPr>
          <w:lang w:val="en-US"/>
        </w:rPr>
        <w:t xml:space="preserve">this </w:t>
      </w:r>
      <w:r w:rsidRPr="002433F3">
        <w:rPr>
          <w:lang w:val="en-US"/>
        </w:rPr>
        <w:t xml:space="preserve">would constitute a violation of the right to equality </w:t>
      </w:r>
      <w:r w:rsidR="000E0884" w:rsidRPr="002433F3">
        <w:rPr>
          <w:lang w:val="en-US"/>
        </w:rPr>
        <w:t xml:space="preserve">protection </w:t>
      </w:r>
      <w:r w:rsidRPr="002433F3">
        <w:rPr>
          <w:lang w:val="en-US"/>
        </w:rPr>
        <w:t>the law, pursuant to Article 24 of the Convention.</w:t>
      </w:r>
    </w:p>
    <w:p w14:paraId="3ADF775F" w14:textId="77777777" w:rsidR="007B0DE4" w:rsidRPr="002433F3" w:rsidRDefault="007B0DE4" w:rsidP="007B0DE4">
      <w:pPr>
        <w:numPr>
          <w:ilvl w:val="0"/>
          <w:numId w:val="2"/>
        </w:numPr>
        <w:spacing w:before="120" w:after="120"/>
        <w:rPr>
          <w:lang w:val="en-US"/>
        </w:rPr>
      </w:pPr>
      <w:r w:rsidRPr="002433F3">
        <w:rPr>
          <w:lang w:val="en-US"/>
        </w:rPr>
        <w:t xml:space="preserve">The Court recalls that </w:t>
      </w:r>
      <w:r w:rsidR="00FE375A" w:rsidRPr="002433F3">
        <w:rPr>
          <w:lang w:val="en-US"/>
        </w:rPr>
        <w:t xml:space="preserve">in its principal submissions and </w:t>
      </w:r>
      <w:r w:rsidRPr="002433F3">
        <w:rPr>
          <w:lang w:val="en-US"/>
        </w:rPr>
        <w:t>during the public hearing</w:t>
      </w:r>
      <w:r w:rsidR="00B17F2A" w:rsidRPr="002433F3">
        <w:rPr>
          <w:lang w:val="en-US"/>
        </w:rPr>
        <w:t xml:space="preserve">, the State </w:t>
      </w:r>
      <w:r w:rsidRPr="002433F3">
        <w:rPr>
          <w:lang w:val="en-US"/>
        </w:rPr>
        <w:t>“reco</w:t>
      </w:r>
      <w:r w:rsidR="00FE375A" w:rsidRPr="002433F3">
        <w:rPr>
          <w:lang w:val="en-US"/>
        </w:rPr>
        <w:t>gnized</w:t>
      </w:r>
      <w:r w:rsidRPr="002433F3">
        <w:rPr>
          <w:lang w:val="en-US"/>
        </w:rPr>
        <w:t xml:space="preserve"> that </w:t>
      </w:r>
      <w:r w:rsidR="00FE375A" w:rsidRPr="002433F3">
        <w:rPr>
          <w:lang w:val="en-US"/>
        </w:rPr>
        <w:t xml:space="preserve">an </w:t>
      </w:r>
      <w:r w:rsidRPr="002433F3">
        <w:rPr>
          <w:lang w:val="en-US"/>
        </w:rPr>
        <w:t xml:space="preserve">internationally wrongful act </w:t>
      </w:r>
      <w:r w:rsidR="00FE375A" w:rsidRPr="002433F3">
        <w:rPr>
          <w:lang w:val="en-US"/>
        </w:rPr>
        <w:t xml:space="preserve">existed </w:t>
      </w:r>
      <w:r w:rsidRPr="002433F3">
        <w:rPr>
          <w:lang w:val="en-US"/>
        </w:rPr>
        <w:t>dur</w:t>
      </w:r>
      <w:r w:rsidR="00FE375A" w:rsidRPr="002433F3">
        <w:rPr>
          <w:lang w:val="en-US"/>
        </w:rPr>
        <w:t xml:space="preserve">ing at least part of the time in which the </w:t>
      </w:r>
      <w:r w:rsidR="008B363C" w:rsidRPr="002433F3">
        <w:rPr>
          <w:lang w:val="en-US"/>
        </w:rPr>
        <w:t xml:space="preserve">legal </w:t>
      </w:r>
      <w:r w:rsidRPr="002433F3">
        <w:rPr>
          <w:lang w:val="en-US"/>
        </w:rPr>
        <w:t xml:space="preserve">provisions </w:t>
      </w:r>
      <w:r w:rsidR="008B363C" w:rsidRPr="002433F3">
        <w:rPr>
          <w:lang w:val="en-US"/>
        </w:rPr>
        <w:t xml:space="preserve">that </w:t>
      </w:r>
      <w:r w:rsidR="00FE375A" w:rsidRPr="002433F3">
        <w:rPr>
          <w:lang w:val="en-US"/>
        </w:rPr>
        <w:t xml:space="preserve">did not permit </w:t>
      </w:r>
      <w:r w:rsidRPr="002433F3">
        <w:rPr>
          <w:lang w:val="en-US"/>
        </w:rPr>
        <w:t>the recognition and payment of pensions to same-sex couples</w:t>
      </w:r>
      <w:r w:rsidR="008B363C" w:rsidRPr="002433F3">
        <w:rPr>
          <w:lang w:val="en-US"/>
        </w:rPr>
        <w:t xml:space="preserve"> were in effect</w:t>
      </w:r>
      <w:r w:rsidR="00FE375A" w:rsidRPr="002433F3">
        <w:rPr>
          <w:lang w:val="en-US"/>
        </w:rPr>
        <w:t>.</w:t>
      </w:r>
      <w:r w:rsidRPr="002433F3">
        <w:rPr>
          <w:lang w:val="en-US"/>
        </w:rPr>
        <w:t xml:space="preserve"> </w:t>
      </w:r>
      <w:r w:rsidR="00FE375A" w:rsidRPr="002433F3">
        <w:rPr>
          <w:lang w:val="en-US"/>
        </w:rPr>
        <w:t xml:space="preserve">This was also </w:t>
      </w:r>
      <w:r w:rsidR="008B363C" w:rsidRPr="002433F3">
        <w:rPr>
          <w:lang w:val="en-US"/>
        </w:rPr>
        <w:t xml:space="preserve">acknowledged </w:t>
      </w:r>
      <w:r w:rsidR="00FE375A" w:rsidRPr="002433F3">
        <w:rPr>
          <w:lang w:val="en-US"/>
        </w:rPr>
        <w:t xml:space="preserve">in </w:t>
      </w:r>
      <w:r w:rsidR="008B363C" w:rsidRPr="002433F3">
        <w:rPr>
          <w:lang w:val="en-US"/>
        </w:rPr>
        <w:t>j</w:t>
      </w:r>
      <w:r w:rsidRPr="002433F3">
        <w:rPr>
          <w:lang w:val="en-US"/>
        </w:rPr>
        <w:t>udgment C-336 of 2008</w:t>
      </w:r>
      <w:r w:rsidR="00FE375A" w:rsidRPr="002433F3">
        <w:rPr>
          <w:lang w:val="en-US"/>
        </w:rPr>
        <w:t xml:space="preserve"> </w:t>
      </w:r>
      <w:r w:rsidR="00FE375A" w:rsidRPr="002433F3">
        <w:rPr>
          <w:lang w:val="en-GB"/>
        </w:rPr>
        <w:t>[of the Constitutional Court of Colombia]</w:t>
      </w:r>
      <w:r w:rsidRPr="002433F3">
        <w:rPr>
          <w:lang w:val="en-US"/>
        </w:rPr>
        <w:t>. The State added that th</w:t>
      </w:r>
      <w:r w:rsidR="008B363C" w:rsidRPr="002433F3">
        <w:rPr>
          <w:lang w:val="en-US"/>
        </w:rPr>
        <w:t>e</w:t>
      </w:r>
      <w:r w:rsidR="00FE375A" w:rsidRPr="002433F3">
        <w:rPr>
          <w:lang w:val="en-US"/>
        </w:rPr>
        <w:t xml:space="preserve"> </w:t>
      </w:r>
      <w:r w:rsidRPr="002433F3">
        <w:rPr>
          <w:lang w:val="en-US"/>
        </w:rPr>
        <w:t>internationally wrongful act was c</w:t>
      </w:r>
      <w:r w:rsidR="00232957" w:rsidRPr="002433F3">
        <w:rPr>
          <w:lang w:val="en-US"/>
        </w:rPr>
        <w:t xml:space="preserve">onfigured by </w:t>
      </w:r>
      <w:r w:rsidR="00FE375A" w:rsidRPr="002433F3">
        <w:rPr>
          <w:lang w:val="en-US"/>
        </w:rPr>
        <w:t xml:space="preserve">the </w:t>
      </w:r>
      <w:r w:rsidRPr="002433F3">
        <w:rPr>
          <w:lang w:val="en-US"/>
        </w:rPr>
        <w:t xml:space="preserve">mere existence of </w:t>
      </w:r>
      <w:r w:rsidR="00232957" w:rsidRPr="002433F3">
        <w:rPr>
          <w:lang w:val="en-US"/>
        </w:rPr>
        <w:t xml:space="preserve">norms </w:t>
      </w:r>
      <w:r w:rsidRPr="002433F3">
        <w:rPr>
          <w:lang w:val="en-US"/>
        </w:rPr>
        <w:t xml:space="preserve">that “did not </w:t>
      </w:r>
      <w:r w:rsidR="008B363C" w:rsidRPr="002433F3">
        <w:rPr>
          <w:lang w:val="en-US"/>
        </w:rPr>
        <w:t xml:space="preserve">allow </w:t>
      </w:r>
      <w:r w:rsidR="00C202D0" w:rsidRPr="002433F3">
        <w:rPr>
          <w:lang w:val="en-US"/>
        </w:rPr>
        <w:t xml:space="preserve">the granting </w:t>
      </w:r>
      <w:r w:rsidRPr="002433F3">
        <w:rPr>
          <w:lang w:val="en-US"/>
        </w:rPr>
        <w:t xml:space="preserve">of pensions to same-sex couples and that were applied in Colombia.” </w:t>
      </w:r>
      <w:r w:rsidR="00FE375A" w:rsidRPr="002433F3">
        <w:rPr>
          <w:lang w:val="en-US"/>
        </w:rPr>
        <w:t xml:space="preserve">Regarding </w:t>
      </w:r>
      <w:r w:rsidRPr="002433F3">
        <w:rPr>
          <w:lang w:val="en-US"/>
        </w:rPr>
        <w:t>the tempora</w:t>
      </w:r>
      <w:r w:rsidR="00FE375A" w:rsidRPr="002433F3">
        <w:rPr>
          <w:lang w:val="en-US"/>
        </w:rPr>
        <w:t xml:space="preserve">l </w:t>
      </w:r>
      <w:r w:rsidR="00C202D0" w:rsidRPr="002433F3">
        <w:rPr>
          <w:lang w:val="en-US"/>
        </w:rPr>
        <w:t xml:space="preserve">effects </w:t>
      </w:r>
      <w:r w:rsidR="00FE375A" w:rsidRPr="002433F3">
        <w:rPr>
          <w:lang w:val="en-US"/>
        </w:rPr>
        <w:t xml:space="preserve">of this </w:t>
      </w:r>
      <w:r w:rsidRPr="002433F3">
        <w:rPr>
          <w:lang w:val="en-US"/>
        </w:rPr>
        <w:t>internationally wrongful act, the State did not specify</w:t>
      </w:r>
      <w:r w:rsidR="00FE375A" w:rsidRPr="002433F3">
        <w:rPr>
          <w:lang w:val="en-US"/>
        </w:rPr>
        <w:t xml:space="preserve"> the exact moment </w:t>
      </w:r>
      <w:r w:rsidR="00C202D0" w:rsidRPr="002433F3">
        <w:rPr>
          <w:lang w:val="en-US"/>
        </w:rPr>
        <w:t xml:space="preserve">from </w:t>
      </w:r>
      <w:r w:rsidR="00FE375A" w:rsidRPr="002433F3">
        <w:rPr>
          <w:lang w:val="en-US"/>
        </w:rPr>
        <w:t>which the</w:t>
      </w:r>
      <w:r w:rsidRPr="002433F3">
        <w:rPr>
          <w:lang w:val="en-US"/>
        </w:rPr>
        <w:t xml:space="preserve">se </w:t>
      </w:r>
      <w:r w:rsidR="00C202D0" w:rsidRPr="002433F3">
        <w:rPr>
          <w:lang w:val="en-US"/>
        </w:rPr>
        <w:t xml:space="preserve">rules </w:t>
      </w:r>
      <w:r w:rsidRPr="002433F3">
        <w:rPr>
          <w:lang w:val="en-US"/>
        </w:rPr>
        <w:t>should be considered d</w:t>
      </w:r>
      <w:r w:rsidR="00FE375A" w:rsidRPr="002433F3">
        <w:rPr>
          <w:lang w:val="en-US"/>
        </w:rPr>
        <w:t>iscriminatory</w:t>
      </w:r>
      <w:r w:rsidR="00C202D0" w:rsidRPr="002433F3">
        <w:rPr>
          <w:lang w:val="en-US"/>
        </w:rPr>
        <w:t>, but merely</w:t>
      </w:r>
      <w:r w:rsidRPr="002433F3">
        <w:rPr>
          <w:lang w:val="en-US"/>
        </w:rPr>
        <w:t xml:space="preserve"> indicated </w:t>
      </w:r>
      <w:r w:rsidR="0015372E" w:rsidRPr="002433F3">
        <w:rPr>
          <w:lang w:val="en-US"/>
        </w:rPr>
        <w:t>t</w:t>
      </w:r>
      <w:r w:rsidRPr="002433F3">
        <w:rPr>
          <w:lang w:val="en-US"/>
        </w:rPr>
        <w:t xml:space="preserve">hat </w:t>
      </w:r>
      <w:r w:rsidR="0015372E" w:rsidRPr="002433F3">
        <w:rPr>
          <w:lang w:val="en-US"/>
        </w:rPr>
        <w:t xml:space="preserve">in 2008 </w:t>
      </w:r>
      <w:r w:rsidR="00C202D0" w:rsidRPr="002433F3">
        <w:rPr>
          <w:lang w:val="en-US"/>
        </w:rPr>
        <w:t>the Colombian Constitutional Court declared it so.</w:t>
      </w:r>
      <w:r w:rsidR="0015372E" w:rsidRPr="002433F3">
        <w:rPr>
          <w:lang w:val="en-US"/>
        </w:rPr>
        <w:t xml:space="preserve"> </w:t>
      </w:r>
      <w:r w:rsidR="00C202D0" w:rsidRPr="002433F3">
        <w:rPr>
          <w:lang w:val="en-US"/>
        </w:rPr>
        <w:t xml:space="preserve">The State also </w:t>
      </w:r>
      <w:r w:rsidRPr="002433F3">
        <w:rPr>
          <w:lang w:val="en-US"/>
        </w:rPr>
        <w:t xml:space="preserve">considered that it was </w:t>
      </w:r>
      <w:r w:rsidR="0053503E" w:rsidRPr="002433F3">
        <w:rPr>
          <w:lang w:val="en-US"/>
        </w:rPr>
        <w:t xml:space="preserve">not </w:t>
      </w:r>
      <w:r w:rsidR="00B615BB" w:rsidRPr="002433F3">
        <w:rPr>
          <w:lang w:val="en-US"/>
        </w:rPr>
        <w:t>“</w:t>
      </w:r>
      <w:r w:rsidR="0053503E" w:rsidRPr="002433F3">
        <w:rPr>
          <w:lang w:val="en-US"/>
        </w:rPr>
        <w:t>necessary to determine that</w:t>
      </w:r>
      <w:r w:rsidRPr="002433F3">
        <w:rPr>
          <w:lang w:val="en-US"/>
        </w:rPr>
        <w:t xml:space="preserve"> moment for the purposes of analyzing international</w:t>
      </w:r>
      <w:r w:rsidR="00B615BB" w:rsidRPr="002433F3">
        <w:rPr>
          <w:lang w:val="en-US"/>
        </w:rPr>
        <w:t xml:space="preserve"> responsibility in the </w:t>
      </w:r>
      <w:r w:rsidR="0053503E" w:rsidRPr="002433F3">
        <w:rPr>
          <w:lang w:val="en-US"/>
        </w:rPr>
        <w:t xml:space="preserve">instant </w:t>
      </w:r>
      <w:r w:rsidRPr="002433F3">
        <w:rPr>
          <w:lang w:val="en-US"/>
        </w:rPr>
        <w:t>case.”</w:t>
      </w:r>
    </w:p>
    <w:p w14:paraId="29F339AD" w14:textId="77777777" w:rsidR="007B0DE4" w:rsidRPr="002433F3" w:rsidRDefault="007B0DE4" w:rsidP="007B0DE4">
      <w:pPr>
        <w:numPr>
          <w:ilvl w:val="0"/>
          <w:numId w:val="2"/>
        </w:numPr>
        <w:spacing w:before="120" w:after="120"/>
        <w:rPr>
          <w:lang w:val="en-US"/>
        </w:rPr>
      </w:pPr>
      <w:r w:rsidRPr="002433F3">
        <w:rPr>
          <w:lang w:val="en-US"/>
        </w:rPr>
        <w:t xml:space="preserve">With respect to the </w:t>
      </w:r>
      <w:r w:rsidR="00232957" w:rsidRPr="002433F3">
        <w:rPr>
          <w:lang w:val="en-US"/>
        </w:rPr>
        <w:t>foregoing</w:t>
      </w:r>
      <w:r w:rsidRPr="002433F3">
        <w:rPr>
          <w:lang w:val="en-US"/>
        </w:rPr>
        <w:t xml:space="preserve">, this Court takes note of the fact that the State </w:t>
      </w:r>
      <w:r w:rsidR="000E5499" w:rsidRPr="002433F3">
        <w:rPr>
          <w:lang w:val="en-US"/>
        </w:rPr>
        <w:t>does not dispute the</w:t>
      </w:r>
      <w:r w:rsidRPr="002433F3">
        <w:rPr>
          <w:lang w:val="en-US"/>
        </w:rPr>
        <w:t xml:space="preserve"> unlawful nature of the domestic </w:t>
      </w:r>
      <w:r w:rsidR="00232957" w:rsidRPr="002433F3">
        <w:rPr>
          <w:lang w:val="en-US"/>
        </w:rPr>
        <w:t xml:space="preserve">provisions </w:t>
      </w:r>
      <w:r w:rsidRPr="002433F3">
        <w:rPr>
          <w:lang w:val="en-US"/>
        </w:rPr>
        <w:t>that did not recognize pensions for same-sex couples</w:t>
      </w:r>
      <w:r w:rsidR="00232957" w:rsidRPr="002433F3">
        <w:rPr>
          <w:lang w:val="en-US"/>
        </w:rPr>
        <w:t xml:space="preserve"> and the fact that they contravened</w:t>
      </w:r>
      <w:r w:rsidRPr="002433F3">
        <w:rPr>
          <w:lang w:val="en-US"/>
        </w:rPr>
        <w:t xml:space="preserve"> the American Convention. </w:t>
      </w:r>
      <w:r w:rsidR="00232957" w:rsidRPr="002433F3">
        <w:rPr>
          <w:lang w:val="en-US"/>
        </w:rPr>
        <w:t>Notwithstanding the State’s</w:t>
      </w:r>
      <w:r w:rsidR="00043852" w:rsidRPr="002433F3">
        <w:rPr>
          <w:lang w:val="en-US"/>
        </w:rPr>
        <w:t xml:space="preserve"> acknowledgment</w:t>
      </w:r>
      <w:r w:rsidRPr="002433F3">
        <w:rPr>
          <w:lang w:val="en-US"/>
        </w:rPr>
        <w:t>, it is for the Court to determine whether Colombia’s</w:t>
      </w:r>
      <w:r w:rsidR="00043852" w:rsidRPr="002433F3">
        <w:rPr>
          <w:lang w:val="en-US"/>
        </w:rPr>
        <w:t xml:space="preserve"> domestic laws regarding survivor’s pensions</w:t>
      </w:r>
      <w:r w:rsidRPr="002433F3">
        <w:rPr>
          <w:lang w:val="en-US"/>
        </w:rPr>
        <w:t xml:space="preserve"> were indeed discriminatory and contra</w:t>
      </w:r>
      <w:r w:rsidR="00043852" w:rsidRPr="002433F3">
        <w:rPr>
          <w:lang w:val="en-US"/>
        </w:rPr>
        <w:t xml:space="preserve">vened </w:t>
      </w:r>
      <w:r w:rsidRPr="002433F3">
        <w:rPr>
          <w:lang w:val="en-US"/>
        </w:rPr>
        <w:t xml:space="preserve">the right to equality before the law </w:t>
      </w:r>
      <w:r w:rsidR="00043852" w:rsidRPr="002433F3">
        <w:rPr>
          <w:lang w:val="en-US"/>
        </w:rPr>
        <w:t xml:space="preserve">enshrined </w:t>
      </w:r>
      <w:r w:rsidRPr="002433F3">
        <w:rPr>
          <w:lang w:val="en-US"/>
        </w:rPr>
        <w:t>in Article 24 of the American Convention at the time when the facts of this case occurred, a</w:t>
      </w:r>
      <w:r w:rsidR="00043852" w:rsidRPr="002433F3">
        <w:rPr>
          <w:lang w:val="en-US"/>
        </w:rPr>
        <w:t>nd if they were applied in the instant</w:t>
      </w:r>
      <w:r w:rsidRPr="002433F3">
        <w:rPr>
          <w:lang w:val="en-US"/>
        </w:rPr>
        <w:t xml:space="preserve"> case.</w:t>
      </w:r>
    </w:p>
    <w:p w14:paraId="72F8643B" w14:textId="77777777" w:rsidR="007B0DE4" w:rsidRPr="002433F3" w:rsidRDefault="007B0DE4" w:rsidP="007B0DE4">
      <w:pPr>
        <w:numPr>
          <w:ilvl w:val="0"/>
          <w:numId w:val="2"/>
        </w:numPr>
        <w:spacing w:before="120" w:after="120"/>
        <w:rPr>
          <w:i/>
          <w:lang w:val="en-US"/>
        </w:rPr>
      </w:pPr>
      <w:r w:rsidRPr="002433F3">
        <w:rPr>
          <w:lang w:val="en-US"/>
        </w:rPr>
        <w:t>The Court will now consider whether th</w:t>
      </w:r>
      <w:r w:rsidR="00710088" w:rsidRPr="002433F3">
        <w:rPr>
          <w:lang w:val="en-US"/>
        </w:rPr>
        <w:t>e aforementioned rules (Article</w:t>
      </w:r>
      <w:r w:rsidRPr="002433F3">
        <w:rPr>
          <w:lang w:val="en-US"/>
        </w:rPr>
        <w:t xml:space="preserve"> 1 of Law 54 of 1990 and Article 10 of Decree 1889 of August 3, 1994) were discriminatory in light of the provisions of Article 24 of the Convention</w:t>
      </w:r>
      <w:r w:rsidR="00710088" w:rsidRPr="002433F3">
        <w:rPr>
          <w:lang w:val="en-US"/>
        </w:rPr>
        <w:t>,</w:t>
      </w:r>
      <w:r w:rsidRPr="002433F3">
        <w:rPr>
          <w:lang w:val="en-US"/>
        </w:rPr>
        <w:t xml:space="preserve"> in relation to Article 1(1) thereof. In analyzing this matter </w:t>
      </w:r>
      <w:r w:rsidR="00710088" w:rsidRPr="002433F3">
        <w:rPr>
          <w:lang w:val="en-US"/>
        </w:rPr>
        <w:t>the</w:t>
      </w:r>
      <w:r w:rsidRPr="002433F3">
        <w:rPr>
          <w:lang w:val="en-US"/>
        </w:rPr>
        <w:t xml:space="preserve"> Court must </w:t>
      </w:r>
      <w:r w:rsidR="00710088" w:rsidRPr="002433F3">
        <w:rPr>
          <w:lang w:val="en-US"/>
        </w:rPr>
        <w:t>determine: a) whether</w:t>
      </w:r>
      <w:r w:rsidRPr="002433F3">
        <w:rPr>
          <w:lang w:val="en-US"/>
        </w:rPr>
        <w:t xml:space="preserve"> those </w:t>
      </w:r>
      <w:r w:rsidR="00710088" w:rsidRPr="002433F3">
        <w:rPr>
          <w:lang w:val="en-US"/>
        </w:rPr>
        <w:t xml:space="preserve">rules </w:t>
      </w:r>
      <w:r w:rsidRPr="002433F3">
        <w:rPr>
          <w:lang w:val="en-US"/>
        </w:rPr>
        <w:t xml:space="preserve">established a difference </w:t>
      </w:r>
      <w:r w:rsidR="00710088" w:rsidRPr="002433F3">
        <w:rPr>
          <w:lang w:val="en-US"/>
        </w:rPr>
        <w:t xml:space="preserve">in </w:t>
      </w:r>
      <w:r w:rsidRPr="002433F3">
        <w:rPr>
          <w:lang w:val="en-US"/>
        </w:rPr>
        <w:t xml:space="preserve">treatment; b) </w:t>
      </w:r>
      <w:r w:rsidR="00710088" w:rsidRPr="002433F3">
        <w:rPr>
          <w:lang w:val="en-US"/>
        </w:rPr>
        <w:t xml:space="preserve">whether </w:t>
      </w:r>
      <w:r w:rsidRPr="002433F3">
        <w:rPr>
          <w:lang w:val="en-US"/>
        </w:rPr>
        <w:t xml:space="preserve">that difference of treatment referred to </w:t>
      </w:r>
      <w:r w:rsidR="00232957" w:rsidRPr="002433F3">
        <w:rPr>
          <w:lang w:val="en-US"/>
        </w:rPr>
        <w:t xml:space="preserve">the </w:t>
      </w:r>
      <w:r w:rsidRPr="002433F3">
        <w:rPr>
          <w:lang w:val="en-US"/>
        </w:rPr>
        <w:t xml:space="preserve">categories </w:t>
      </w:r>
      <w:r w:rsidR="00232957" w:rsidRPr="002433F3">
        <w:rPr>
          <w:lang w:val="en-US"/>
        </w:rPr>
        <w:t xml:space="preserve">protected </w:t>
      </w:r>
      <w:r w:rsidRPr="002433F3">
        <w:rPr>
          <w:lang w:val="en-US"/>
        </w:rPr>
        <w:t>by Article 1(1) of the American Conventio</w:t>
      </w:r>
      <w:r w:rsidR="00710088" w:rsidRPr="002433F3">
        <w:rPr>
          <w:lang w:val="en-US"/>
        </w:rPr>
        <w:t>n, and c) whether</w:t>
      </w:r>
      <w:r w:rsidRPr="002433F3">
        <w:rPr>
          <w:lang w:val="en-US"/>
        </w:rPr>
        <w:t xml:space="preserve"> that difference in treatment was of a discriminatory nature. </w:t>
      </w:r>
    </w:p>
    <w:p w14:paraId="3E2A2917" w14:textId="77777777" w:rsidR="007B0DE4" w:rsidRPr="002433F3" w:rsidRDefault="007B0DE4" w:rsidP="007B0DE4">
      <w:pPr>
        <w:spacing w:before="240" w:after="240"/>
        <w:rPr>
          <w:i/>
          <w:lang w:val="en-US"/>
        </w:rPr>
      </w:pPr>
      <w:r w:rsidRPr="002433F3">
        <w:rPr>
          <w:i/>
          <w:lang w:val="en-US"/>
        </w:rPr>
        <w:t>B.2.1. The dif</w:t>
      </w:r>
      <w:r w:rsidR="00710088" w:rsidRPr="002433F3">
        <w:rPr>
          <w:i/>
          <w:lang w:val="en-US"/>
        </w:rPr>
        <w:t>ference in treatment in Article</w:t>
      </w:r>
      <w:r w:rsidRPr="002433F3">
        <w:rPr>
          <w:i/>
          <w:lang w:val="en-US"/>
        </w:rPr>
        <w:t xml:space="preserve"> 1 of Law 54 of 1990 and </w:t>
      </w:r>
      <w:r w:rsidR="00710088" w:rsidRPr="002433F3">
        <w:rPr>
          <w:i/>
          <w:lang w:val="en-US"/>
        </w:rPr>
        <w:t xml:space="preserve">Article </w:t>
      </w:r>
      <w:r w:rsidRPr="002433F3">
        <w:rPr>
          <w:i/>
          <w:lang w:val="en-US"/>
        </w:rPr>
        <w:t>10 of Decree 1889 of August 3, 1994</w:t>
      </w:r>
    </w:p>
    <w:p w14:paraId="7277225B" w14:textId="77777777" w:rsidR="007B0DE4" w:rsidRPr="002433F3" w:rsidRDefault="00C069FA" w:rsidP="007B0DE4">
      <w:pPr>
        <w:numPr>
          <w:ilvl w:val="0"/>
          <w:numId w:val="2"/>
        </w:numPr>
        <w:spacing w:before="120" w:after="120"/>
        <w:ind w:right="4"/>
        <w:rPr>
          <w:lang w:val="en-US"/>
        </w:rPr>
      </w:pPr>
      <w:r w:rsidRPr="002433F3">
        <w:rPr>
          <w:lang w:val="en-US"/>
        </w:rPr>
        <w:t>In the first place</w:t>
      </w:r>
      <w:r w:rsidR="007B0DE4" w:rsidRPr="002433F3">
        <w:rPr>
          <w:lang w:val="en-US"/>
        </w:rPr>
        <w:t>, the Court recalls that</w:t>
      </w:r>
      <w:r w:rsidRPr="002433F3">
        <w:rPr>
          <w:lang w:val="en-US"/>
        </w:rPr>
        <w:t xml:space="preserve">, </w:t>
      </w:r>
      <w:r w:rsidR="007B0DE4" w:rsidRPr="002433F3">
        <w:rPr>
          <w:lang w:val="en-US"/>
        </w:rPr>
        <w:t>at the time of the facts of this case, Article 47 of Law 100 of December 23, 1993</w:t>
      </w:r>
      <w:r w:rsidR="00981ACC" w:rsidRPr="002433F3">
        <w:rPr>
          <w:lang w:val="en-US"/>
        </w:rPr>
        <w:t>,</w:t>
      </w:r>
      <w:r w:rsidR="007B0DE4" w:rsidRPr="002433F3">
        <w:rPr>
          <w:lang w:val="en-US"/>
        </w:rPr>
        <w:t xml:space="preserve"> </w:t>
      </w:r>
      <w:r w:rsidRPr="002433F3">
        <w:rPr>
          <w:lang w:val="en-US"/>
        </w:rPr>
        <w:t xml:space="preserve">stipulated </w:t>
      </w:r>
      <w:r w:rsidR="00981ACC" w:rsidRPr="002433F3">
        <w:rPr>
          <w:lang w:val="en-US"/>
        </w:rPr>
        <w:t>that the beneficiaries</w:t>
      </w:r>
      <w:r w:rsidR="007B0DE4" w:rsidRPr="002433F3">
        <w:rPr>
          <w:lang w:val="en-US"/>
        </w:rPr>
        <w:t xml:space="preserve"> of </w:t>
      </w:r>
      <w:r w:rsidRPr="002433F3">
        <w:rPr>
          <w:lang w:val="en-US"/>
        </w:rPr>
        <w:t>a survivor’s pension</w:t>
      </w:r>
      <w:r w:rsidR="00981ACC" w:rsidRPr="002433F3">
        <w:rPr>
          <w:lang w:val="en-US"/>
        </w:rPr>
        <w:t xml:space="preserve"> were,</w:t>
      </w:r>
      <w:r w:rsidR="007B0DE4" w:rsidRPr="002433F3">
        <w:rPr>
          <w:lang w:val="en-US"/>
        </w:rPr>
        <w:t xml:space="preserve"> “[for] </w:t>
      </w:r>
      <w:r w:rsidR="00CD0CA1" w:rsidRPr="002433F3">
        <w:rPr>
          <w:lang w:val="en-US"/>
        </w:rPr>
        <w:t>life</w:t>
      </w:r>
      <w:r w:rsidR="007B0DE4" w:rsidRPr="002433F3">
        <w:rPr>
          <w:lang w:val="en-US"/>
        </w:rPr>
        <w:t>, the surviving spouse or permanent partner</w:t>
      </w:r>
      <w:r w:rsidRPr="002433F3">
        <w:rPr>
          <w:lang w:val="en-US"/>
        </w:rPr>
        <w:t>.</w:t>
      </w:r>
      <w:r w:rsidR="007B0DE4" w:rsidRPr="002433F3">
        <w:rPr>
          <w:lang w:val="en-US"/>
        </w:rPr>
        <w:t xml:space="preserve">” </w:t>
      </w:r>
      <w:r w:rsidRPr="002433F3">
        <w:rPr>
          <w:lang w:val="en-US"/>
        </w:rPr>
        <w:t xml:space="preserve">In addition, </w:t>
      </w:r>
      <w:r w:rsidR="007B0DE4" w:rsidRPr="002433F3">
        <w:rPr>
          <w:lang w:val="en-US"/>
        </w:rPr>
        <w:t>Article 74 of th</w:t>
      </w:r>
      <w:r w:rsidR="00981ACC" w:rsidRPr="002433F3">
        <w:rPr>
          <w:lang w:val="en-US"/>
        </w:rPr>
        <w:t xml:space="preserve">is </w:t>
      </w:r>
      <w:r w:rsidR="007B0DE4" w:rsidRPr="002433F3">
        <w:rPr>
          <w:lang w:val="en-US"/>
        </w:rPr>
        <w:t xml:space="preserve">law </w:t>
      </w:r>
      <w:r w:rsidR="00981ACC" w:rsidRPr="002433F3">
        <w:rPr>
          <w:lang w:val="en-US"/>
        </w:rPr>
        <w:t xml:space="preserve">stated </w:t>
      </w:r>
      <w:r w:rsidR="007B0DE4" w:rsidRPr="002433F3">
        <w:rPr>
          <w:lang w:val="en-US"/>
        </w:rPr>
        <w:t>that “</w:t>
      </w:r>
      <w:r w:rsidRPr="002433F3">
        <w:rPr>
          <w:lang w:val="en-US"/>
        </w:rPr>
        <w:t xml:space="preserve">in </w:t>
      </w:r>
      <w:r w:rsidR="00CD0CA1" w:rsidRPr="002433F3">
        <w:rPr>
          <w:lang w:val="en-US"/>
        </w:rPr>
        <w:t xml:space="preserve">the event that the </w:t>
      </w:r>
      <w:r w:rsidR="007B0DE4" w:rsidRPr="002433F3">
        <w:rPr>
          <w:lang w:val="en-US"/>
        </w:rPr>
        <w:t xml:space="preserve">survivor’s pension </w:t>
      </w:r>
      <w:r w:rsidR="00CD0CA1" w:rsidRPr="002433F3">
        <w:rPr>
          <w:lang w:val="en-US"/>
        </w:rPr>
        <w:t xml:space="preserve">is triggered by the </w:t>
      </w:r>
      <w:r w:rsidR="007B0DE4" w:rsidRPr="002433F3">
        <w:rPr>
          <w:lang w:val="en-US"/>
        </w:rPr>
        <w:t>death of the pensioner, the surviving spouse or permanent partner</w:t>
      </w:r>
      <w:r w:rsidR="00CD0CA1" w:rsidRPr="002433F3">
        <w:rPr>
          <w:lang w:val="en-US"/>
        </w:rPr>
        <w:t xml:space="preserve"> must prove</w:t>
      </w:r>
      <w:r w:rsidR="007B0DE4" w:rsidRPr="002433F3">
        <w:rPr>
          <w:lang w:val="en-US"/>
        </w:rPr>
        <w:t xml:space="preserve"> that </w:t>
      </w:r>
      <w:r w:rsidR="00CD0CA1" w:rsidRPr="002433F3">
        <w:rPr>
          <w:lang w:val="en-US"/>
        </w:rPr>
        <w:t xml:space="preserve">he or she was living in marital union with the </w:t>
      </w:r>
      <w:r w:rsidR="006540E8" w:rsidRPr="002433F3">
        <w:rPr>
          <w:lang w:val="en-US"/>
        </w:rPr>
        <w:t xml:space="preserve">predecessor in </w:t>
      </w:r>
      <w:r w:rsidR="00981ACC" w:rsidRPr="002433F3">
        <w:rPr>
          <w:lang w:val="en-US"/>
        </w:rPr>
        <w:t>title</w:t>
      </w:r>
      <w:r w:rsidR="00CD0CA1" w:rsidRPr="002433F3">
        <w:rPr>
          <w:lang w:val="en-US"/>
        </w:rPr>
        <w:t xml:space="preserve">, at </w:t>
      </w:r>
      <w:r w:rsidR="007B0DE4" w:rsidRPr="002433F3">
        <w:rPr>
          <w:lang w:val="en-US"/>
        </w:rPr>
        <w:t xml:space="preserve">least </w:t>
      </w:r>
      <w:r w:rsidR="00CD0CA1" w:rsidRPr="002433F3">
        <w:rPr>
          <w:lang w:val="en-US"/>
        </w:rPr>
        <w:t xml:space="preserve">from </w:t>
      </w:r>
      <w:r w:rsidR="00CD0CA1" w:rsidRPr="002433F3">
        <w:rPr>
          <w:szCs w:val="20"/>
          <w:lang w:val="en-US"/>
        </w:rPr>
        <w:t>the time that the latter met the requirements to qualify for an old-age or disability pension and until the time of his or her death</w:t>
      </w:r>
      <w:r w:rsidR="00CD0CA1" w:rsidRPr="002433F3">
        <w:rPr>
          <w:lang w:val="en-US"/>
        </w:rPr>
        <w:t xml:space="preserve">, </w:t>
      </w:r>
      <w:r w:rsidR="00CD0CA1" w:rsidRPr="002433F3">
        <w:rPr>
          <w:szCs w:val="20"/>
          <w:lang w:val="en-US"/>
        </w:rPr>
        <w:t xml:space="preserve">and has cohabited with the deceased for at least two </w:t>
      </w:r>
      <w:r w:rsidRPr="002433F3">
        <w:rPr>
          <w:szCs w:val="20"/>
          <w:lang w:val="en-US"/>
        </w:rPr>
        <w:t xml:space="preserve">(2) </w:t>
      </w:r>
      <w:r w:rsidR="00CD0CA1" w:rsidRPr="002433F3">
        <w:rPr>
          <w:szCs w:val="20"/>
          <w:lang w:val="en-US"/>
        </w:rPr>
        <w:t xml:space="preserve">continuous years prior to his or her death </w:t>
      </w:r>
      <w:r w:rsidR="007B0DE4" w:rsidRPr="002433F3">
        <w:rPr>
          <w:lang w:val="en-US"/>
        </w:rPr>
        <w:t>[…]” (</w:t>
      </w:r>
      <w:r w:rsidR="007B0DE4" w:rsidRPr="002433F3">
        <w:rPr>
          <w:i/>
          <w:lang w:val="en-US"/>
        </w:rPr>
        <w:t>supra</w:t>
      </w:r>
      <w:r w:rsidR="007B0DE4" w:rsidRPr="002433F3">
        <w:rPr>
          <w:lang w:val="en-US"/>
        </w:rPr>
        <w:t xml:space="preserve"> para. 74). </w:t>
      </w:r>
    </w:p>
    <w:p w14:paraId="5F6DF671" w14:textId="77777777" w:rsidR="007B0DE4" w:rsidRPr="002433F3" w:rsidRDefault="00675B01" w:rsidP="007B0DE4">
      <w:pPr>
        <w:numPr>
          <w:ilvl w:val="0"/>
          <w:numId w:val="2"/>
        </w:numPr>
        <w:spacing w:before="120" w:after="120"/>
        <w:ind w:right="4"/>
        <w:rPr>
          <w:lang w:val="en-US"/>
        </w:rPr>
      </w:pPr>
      <w:r w:rsidRPr="002433F3">
        <w:rPr>
          <w:lang w:val="en-US"/>
        </w:rPr>
        <w:t>Similarly</w:t>
      </w:r>
      <w:r w:rsidR="007B0DE4" w:rsidRPr="002433F3">
        <w:rPr>
          <w:lang w:val="en-US"/>
        </w:rPr>
        <w:t xml:space="preserve">, Law 54 of December 28, 1990, </w:t>
      </w:r>
      <w:r w:rsidR="00CD0CA1" w:rsidRPr="002433F3">
        <w:rPr>
          <w:lang w:val="en-US"/>
        </w:rPr>
        <w:t xml:space="preserve">which </w:t>
      </w:r>
      <w:r w:rsidR="007B0DE4" w:rsidRPr="002433F3">
        <w:rPr>
          <w:lang w:val="en-US"/>
        </w:rPr>
        <w:t>regula</w:t>
      </w:r>
      <w:r w:rsidR="00CD0CA1" w:rsidRPr="002433F3">
        <w:rPr>
          <w:lang w:val="en-US"/>
        </w:rPr>
        <w:t xml:space="preserve">tes </w:t>
      </w:r>
      <w:r w:rsidR="007B0DE4" w:rsidRPr="002433F3">
        <w:rPr>
          <w:i/>
          <w:lang w:val="en-US"/>
        </w:rPr>
        <w:t>de facto</w:t>
      </w:r>
      <w:r w:rsidR="00CD0CA1" w:rsidRPr="002433F3">
        <w:rPr>
          <w:lang w:val="en-US"/>
        </w:rPr>
        <w:t xml:space="preserve"> marital unions and the </w:t>
      </w:r>
      <w:r w:rsidR="007B0DE4" w:rsidRPr="002433F3">
        <w:rPr>
          <w:lang w:val="en-US"/>
        </w:rPr>
        <w:t xml:space="preserve">property </w:t>
      </w:r>
      <w:r w:rsidRPr="002433F3">
        <w:rPr>
          <w:lang w:val="en-US"/>
        </w:rPr>
        <w:t xml:space="preserve">regime </w:t>
      </w:r>
      <w:r w:rsidR="007B0DE4" w:rsidRPr="002433F3">
        <w:rPr>
          <w:lang w:val="en-US"/>
        </w:rPr>
        <w:t xml:space="preserve">between </w:t>
      </w:r>
      <w:r w:rsidR="00CD0CA1" w:rsidRPr="002433F3">
        <w:rPr>
          <w:lang w:val="en-US"/>
        </w:rPr>
        <w:t xml:space="preserve">permanent partners, defines </w:t>
      </w:r>
      <w:r w:rsidR="007B0DE4" w:rsidRPr="002433F3">
        <w:rPr>
          <w:i/>
          <w:lang w:val="en-US"/>
        </w:rPr>
        <w:t>de facto</w:t>
      </w:r>
      <w:r w:rsidR="007B0DE4" w:rsidRPr="002433F3">
        <w:rPr>
          <w:lang w:val="en-US"/>
        </w:rPr>
        <w:t xml:space="preserve"> mar</w:t>
      </w:r>
      <w:r w:rsidR="00CD0CA1" w:rsidRPr="002433F3">
        <w:rPr>
          <w:lang w:val="en-US"/>
        </w:rPr>
        <w:t xml:space="preserve">ital union as </w:t>
      </w:r>
      <w:r w:rsidR="007B2DC9" w:rsidRPr="002433F3">
        <w:rPr>
          <w:lang w:val="en-US"/>
        </w:rPr>
        <w:t>“the</w:t>
      </w:r>
      <w:r w:rsidR="00CD0CA1" w:rsidRPr="002433F3">
        <w:rPr>
          <w:lang w:val="en-US"/>
        </w:rPr>
        <w:t xml:space="preserve"> union between </w:t>
      </w:r>
      <w:r w:rsidR="007B0DE4" w:rsidRPr="002433F3">
        <w:rPr>
          <w:lang w:val="en-US"/>
        </w:rPr>
        <w:t xml:space="preserve">a man and a woman who, without being married, </w:t>
      </w:r>
      <w:r w:rsidR="003A25A0" w:rsidRPr="002433F3">
        <w:rPr>
          <w:lang w:val="en-US"/>
        </w:rPr>
        <w:t xml:space="preserve">enter into a </w:t>
      </w:r>
      <w:r w:rsidR="00CD1F2C" w:rsidRPr="002433F3">
        <w:rPr>
          <w:lang w:val="en-US"/>
        </w:rPr>
        <w:t>p</w:t>
      </w:r>
      <w:r w:rsidR="007B0DE4" w:rsidRPr="002433F3">
        <w:rPr>
          <w:lang w:val="en-US"/>
        </w:rPr>
        <w:t xml:space="preserve">ermanent and </w:t>
      </w:r>
      <w:r w:rsidR="003A25A0" w:rsidRPr="002433F3">
        <w:rPr>
          <w:lang w:val="en-US"/>
        </w:rPr>
        <w:t>exclusive community</w:t>
      </w:r>
      <w:r w:rsidR="007B0DE4" w:rsidRPr="002433F3">
        <w:rPr>
          <w:lang w:val="en-US"/>
        </w:rPr>
        <w:t xml:space="preserve">. </w:t>
      </w:r>
      <w:r w:rsidR="003A25A0" w:rsidRPr="002433F3">
        <w:rPr>
          <w:szCs w:val="20"/>
          <w:lang w:val="en-US"/>
        </w:rPr>
        <w:t>Also, and for all civil purposes, a partner or permanent partner shall be understoo</w:t>
      </w:r>
      <w:r w:rsidR="000C49A6" w:rsidRPr="002433F3">
        <w:rPr>
          <w:szCs w:val="20"/>
          <w:lang w:val="en-US"/>
        </w:rPr>
        <w:t xml:space="preserve">d to be the man or woman who form part of </w:t>
      </w:r>
      <w:r w:rsidR="003A25A0" w:rsidRPr="002433F3">
        <w:rPr>
          <w:i/>
          <w:iCs/>
          <w:szCs w:val="20"/>
          <w:lang w:val="en-US"/>
        </w:rPr>
        <w:t xml:space="preserve">de facto </w:t>
      </w:r>
      <w:r w:rsidR="003A25A0" w:rsidRPr="002433F3">
        <w:rPr>
          <w:szCs w:val="20"/>
          <w:lang w:val="en-US"/>
        </w:rPr>
        <w:t>marital union</w:t>
      </w:r>
      <w:r w:rsidR="007B0DE4" w:rsidRPr="002433F3">
        <w:rPr>
          <w:lang w:val="en-US"/>
        </w:rPr>
        <w:t>” (</w:t>
      </w:r>
      <w:r w:rsidR="007B0DE4" w:rsidRPr="002433F3">
        <w:rPr>
          <w:i/>
          <w:lang w:val="en-US"/>
        </w:rPr>
        <w:t>supra</w:t>
      </w:r>
      <w:r w:rsidR="007B0DE4" w:rsidRPr="002433F3">
        <w:rPr>
          <w:lang w:val="en-US"/>
        </w:rPr>
        <w:t xml:space="preserve"> para. 73). </w:t>
      </w:r>
      <w:r w:rsidRPr="002433F3">
        <w:rPr>
          <w:lang w:val="en-US"/>
        </w:rPr>
        <w:t>Furthermore</w:t>
      </w:r>
      <w:r w:rsidR="007B0DE4" w:rsidRPr="002433F3">
        <w:rPr>
          <w:lang w:val="en-US"/>
        </w:rPr>
        <w:t xml:space="preserve">, Decree 1889 of August 3, 1994, which regulates Law 100 of 1993, </w:t>
      </w:r>
      <w:r w:rsidR="007B0DE4" w:rsidRPr="002433F3">
        <w:rPr>
          <w:lang w:val="en-US"/>
        </w:rPr>
        <w:lastRenderedPageBreak/>
        <w:t>established in Articles 10 and 11 that</w:t>
      </w:r>
      <w:r w:rsidR="000C49A6" w:rsidRPr="002433F3">
        <w:rPr>
          <w:lang w:val="en-US"/>
        </w:rPr>
        <w:t>,</w:t>
      </w:r>
      <w:r w:rsidR="007B0DE4" w:rsidRPr="002433F3">
        <w:rPr>
          <w:lang w:val="en-US"/>
        </w:rPr>
        <w:t xml:space="preserve"> “</w:t>
      </w:r>
      <w:r w:rsidR="00CD1F2C" w:rsidRPr="002433F3">
        <w:rPr>
          <w:szCs w:val="20"/>
          <w:lang w:val="en-US"/>
        </w:rPr>
        <w:t>for the purposes of the survivor’s pension</w:t>
      </w:r>
      <w:r w:rsidR="00AF463D" w:rsidRPr="002433F3">
        <w:rPr>
          <w:szCs w:val="20"/>
          <w:lang w:val="en-US"/>
        </w:rPr>
        <w:t xml:space="preserve"> of the affiliate</w:t>
      </w:r>
      <w:r w:rsidR="00CD1F2C" w:rsidRPr="002433F3">
        <w:rPr>
          <w:szCs w:val="20"/>
          <w:lang w:val="en-US"/>
        </w:rPr>
        <w:t xml:space="preserve">, the permanent partner shall be the last person of the opposite sex to the </w:t>
      </w:r>
      <w:r w:rsidR="000C49A6" w:rsidRPr="002433F3">
        <w:rPr>
          <w:szCs w:val="20"/>
          <w:lang w:val="en-US"/>
        </w:rPr>
        <w:t>predecessor in title</w:t>
      </w:r>
      <w:r w:rsidR="00CD1F2C" w:rsidRPr="002433F3">
        <w:rPr>
          <w:szCs w:val="20"/>
          <w:lang w:val="en-US"/>
        </w:rPr>
        <w:t>, who has lived in marital union with him or her for a period of no less than two (2) years.</w:t>
      </w:r>
      <w:r w:rsidR="007B0DE4" w:rsidRPr="002433F3">
        <w:rPr>
          <w:lang w:val="en-US"/>
        </w:rPr>
        <w:t>” (</w:t>
      </w:r>
      <w:r w:rsidR="007B0DE4" w:rsidRPr="002433F3">
        <w:rPr>
          <w:i/>
          <w:lang w:val="en-US"/>
        </w:rPr>
        <w:t>supra</w:t>
      </w:r>
      <w:r w:rsidR="007B0DE4" w:rsidRPr="002433F3">
        <w:rPr>
          <w:lang w:val="en-US"/>
        </w:rPr>
        <w:t xml:space="preserve"> para. 74).</w:t>
      </w:r>
    </w:p>
    <w:p w14:paraId="189430C8" w14:textId="77777777" w:rsidR="007B0DE4" w:rsidRPr="002433F3" w:rsidRDefault="007B0DE4" w:rsidP="007B0DE4">
      <w:pPr>
        <w:numPr>
          <w:ilvl w:val="0"/>
          <w:numId w:val="2"/>
        </w:numPr>
        <w:spacing w:before="120" w:after="120"/>
        <w:rPr>
          <w:lang w:val="en-US"/>
        </w:rPr>
      </w:pPr>
      <w:r w:rsidRPr="002433F3">
        <w:rPr>
          <w:lang w:val="en-US"/>
        </w:rPr>
        <w:t xml:space="preserve">The Court </w:t>
      </w:r>
      <w:r w:rsidR="008943AD" w:rsidRPr="002433F3">
        <w:rPr>
          <w:lang w:val="en-US"/>
        </w:rPr>
        <w:t xml:space="preserve">finds </w:t>
      </w:r>
      <w:r w:rsidRPr="002433F3">
        <w:rPr>
          <w:lang w:val="en-US"/>
        </w:rPr>
        <w:t>that Colombia’s domestic l</w:t>
      </w:r>
      <w:r w:rsidR="006721D0" w:rsidRPr="002433F3">
        <w:rPr>
          <w:lang w:val="en-US"/>
        </w:rPr>
        <w:t xml:space="preserve">aws </w:t>
      </w:r>
      <w:r w:rsidRPr="002433F3">
        <w:rPr>
          <w:lang w:val="en-US"/>
        </w:rPr>
        <w:t>regulat</w:t>
      </w:r>
      <w:r w:rsidR="006721D0" w:rsidRPr="002433F3">
        <w:rPr>
          <w:lang w:val="en-US"/>
        </w:rPr>
        <w:t xml:space="preserve">ing </w:t>
      </w:r>
      <w:r w:rsidRPr="002433F3">
        <w:rPr>
          <w:i/>
          <w:lang w:val="en-US"/>
        </w:rPr>
        <w:t>de facto</w:t>
      </w:r>
      <w:r w:rsidRPr="002433F3">
        <w:rPr>
          <w:lang w:val="en-US"/>
        </w:rPr>
        <w:t xml:space="preserve"> marital unions and the property </w:t>
      </w:r>
      <w:r w:rsidR="006721D0" w:rsidRPr="002433F3">
        <w:rPr>
          <w:lang w:val="en-US"/>
        </w:rPr>
        <w:t xml:space="preserve">regime </w:t>
      </w:r>
      <w:r w:rsidRPr="002433F3">
        <w:rPr>
          <w:lang w:val="en-US"/>
        </w:rPr>
        <w:t>between permanent partners</w:t>
      </w:r>
      <w:r w:rsidR="000C49A6" w:rsidRPr="002433F3">
        <w:rPr>
          <w:lang w:val="en-US"/>
        </w:rPr>
        <w:t>, as well as</w:t>
      </w:r>
      <w:r w:rsidRPr="002433F3">
        <w:rPr>
          <w:lang w:val="en-US"/>
        </w:rPr>
        <w:t xml:space="preserve"> </w:t>
      </w:r>
      <w:r w:rsidR="008943AD" w:rsidRPr="002433F3">
        <w:rPr>
          <w:lang w:val="en-US"/>
        </w:rPr>
        <w:t>the r</w:t>
      </w:r>
      <w:r w:rsidR="0012683A" w:rsidRPr="002433F3">
        <w:rPr>
          <w:lang w:val="en-US"/>
        </w:rPr>
        <w:t xml:space="preserve">egulatory </w:t>
      </w:r>
      <w:r w:rsidR="008943AD" w:rsidRPr="002433F3">
        <w:rPr>
          <w:lang w:val="en-US"/>
        </w:rPr>
        <w:t>d</w:t>
      </w:r>
      <w:r w:rsidRPr="002433F3">
        <w:rPr>
          <w:lang w:val="en-US"/>
        </w:rPr>
        <w:t>ecree</w:t>
      </w:r>
      <w:r w:rsidR="0012683A" w:rsidRPr="002433F3">
        <w:rPr>
          <w:lang w:val="en-US"/>
        </w:rPr>
        <w:t xml:space="preserve"> </w:t>
      </w:r>
      <w:r w:rsidRPr="002433F3">
        <w:rPr>
          <w:lang w:val="en-US"/>
        </w:rPr>
        <w:t xml:space="preserve">that created the social security system, established a difference in treatment between heterosexual couples who could form a </w:t>
      </w:r>
      <w:r w:rsidRPr="002433F3">
        <w:rPr>
          <w:i/>
          <w:lang w:val="en-US"/>
        </w:rPr>
        <w:t>de facto</w:t>
      </w:r>
      <w:r w:rsidRPr="002433F3">
        <w:rPr>
          <w:lang w:val="en-US"/>
        </w:rPr>
        <w:t xml:space="preserve"> marital union and </w:t>
      </w:r>
      <w:r w:rsidR="006721D0" w:rsidRPr="002433F3">
        <w:rPr>
          <w:lang w:val="en-US"/>
        </w:rPr>
        <w:t xml:space="preserve">same-sex </w:t>
      </w:r>
      <w:r w:rsidRPr="002433F3">
        <w:rPr>
          <w:lang w:val="en-US"/>
        </w:rPr>
        <w:t xml:space="preserve">couples who could not. </w:t>
      </w:r>
    </w:p>
    <w:p w14:paraId="0820396F" w14:textId="77777777" w:rsidR="007B0DE4" w:rsidRPr="002433F3" w:rsidRDefault="007B0DE4" w:rsidP="007B0DE4">
      <w:pPr>
        <w:spacing w:before="240" w:after="240"/>
        <w:ind w:left="1440"/>
        <w:rPr>
          <w:i/>
          <w:lang w:val="en-US"/>
        </w:rPr>
      </w:pPr>
      <w:r w:rsidRPr="002433F3">
        <w:rPr>
          <w:i/>
          <w:lang w:val="en-US"/>
        </w:rPr>
        <w:t>B.2.2.</w:t>
      </w:r>
      <w:bookmarkStart w:id="117" w:name="_Toc315133592"/>
      <w:bookmarkStart w:id="118" w:name="_Toc316333778"/>
      <w:bookmarkStart w:id="119" w:name="_Toc320017673"/>
      <w:bookmarkStart w:id="120" w:name="_Toc433564904"/>
      <w:r w:rsidRPr="002433F3">
        <w:rPr>
          <w:i/>
          <w:lang w:val="en-US"/>
        </w:rPr>
        <w:t xml:space="preserve"> Sexual orientation and categories protected by Article 1(1) of the American Convention</w:t>
      </w:r>
      <w:bookmarkEnd w:id="117"/>
      <w:bookmarkEnd w:id="118"/>
      <w:bookmarkEnd w:id="119"/>
      <w:bookmarkEnd w:id="120"/>
    </w:p>
    <w:p w14:paraId="57480375" w14:textId="77777777" w:rsidR="007B0DE4" w:rsidRPr="002433F3" w:rsidRDefault="007B0DE4" w:rsidP="007B0DE4">
      <w:pPr>
        <w:numPr>
          <w:ilvl w:val="0"/>
          <w:numId w:val="2"/>
        </w:numPr>
        <w:spacing w:before="120" w:after="120"/>
        <w:rPr>
          <w:i/>
          <w:lang w:val="en-US"/>
        </w:rPr>
      </w:pPr>
      <w:r w:rsidRPr="002433F3">
        <w:rPr>
          <w:lang w:val="en-US"/>
        </w:rPr>
        <w:t xml:space="preserve">The Inter-American Court has established that </w:t>
      </w:r>
      <w:r w:rsidR="008943AD" w:rsidRPr="002433F3">
        <w:rPr>
          <w:lang w:val="en-US"/>
        </w:rPr>
        <w:t>a person’s</w:t>
      </w:r>
      <w:r w:rsidR="005A2614" w:rsidRPr="002433F3">
        <w:rPr>
          <w:lang w:val="en-US"/>
        </w:rPr>
        <w:t xml:space="preserve"> </w:t>
      </w:r>
      <w:r w:rsidRPr="002433F3">
        <w:rPr>
          <w:lang w:val="en-US"/>
        </w:rPr>
        <w:t xml:space="preserve">sexual orientation and gender identity are categories protected by the Convention. Thus, any discriminatory law, act or practice based on an individual’s sexual orientation is prohibited by the Convention. Consequently, no </w:t>
      </w:r>
      <w:r w:rsidR="005A2614" w:rsidRPr="002433F3">
        <w:rPr>
          <w:lang w:val="en-US"/>
        </w:rPr>
        <w:t xml:space="preserve">rule, decision or practice </w:t>
      </w:r>
      <w:r w:rsidRPr="002433F3">
        <w:rPr>
          <w:lang w:val="en-US"/>
        </w:rPr>
        <w:t>of domest</w:t>
      </w:r>
      <w:r w:rsidR="005A2614" w:rsidRPr="002433F3">
        <w:rPr>
          <w:lang w:val="en-US"/>
        </w:rPr>
        <w:t xml:space="preserve">ic law, either </w:t>
      </w:r>
      <w:r w:rsidRPr="002433F3">
        <w:rPr>
          <w:lang w:val="en-US"/>
        </w:rPr>
        <w:t xml:space="preserve">by State authorities or </w:t>
      </w:r>
      <w:r w:rsidR="008943AD" w:rsidRPr="002433F3">
        <w:rPr>
          <w:lang w:val="en-US"/>
        </w:rPr>
        <w:t xml:space="preserve">by </w:t>
      </w:r>
      <w:r w:rsidRPr="002433F3">
        <w:rPr>
          <w:lang w:val="en-US"/>
        </w:rPr>
        <w:t xml:space="preserve">private individuals, may </w:t>
      </w:r>
      <w:r w:rsidR="005A2614" w:rsidRPr="002433F3">
        <w:rPr>
          <w:lang w:val="en-US"/>
        </w:rPr>
        <w:t xml:space="preserve">diminish </w:t>
      </w:r>
      <w:r w:rsidRPr="002433F3">
        <w:rPr>
          <w:lang w:val="en-US"/>
        </w:rPr>
        <w:t>or restrict</w:t>
      </w:r>
      <w:r w:rsidR="008943AD" w:rsidRPr="002433F3">
        <w:rPr>
          <w:lang w:val="en-US"/>
        </w:rPr>
        <w:t>,</w:t>
      </w:r>
      <w:r w:rsidRPr="002433F3">
        <w:rPr>
          <w:lang w:val="en-US"/>
        </w:rPr>
        <w:t xml:space="preserve"> in any way</w:t>
      </w:r>
      <w:r w:rsidR="008943AD" w:rsidRPr="002433F3">
        <w:rPr>
          <w:lang w:val="en-US"/>
        </w:rPr>
        <w:t>,</w:t>
      </w:r>
      <w:r w:rsidRPr="002433F3">
        <w:rPr>
          <w:lang w:val="en-US"/>
        </w:rPr>
        <w:t xml:space="preserve"> the rights of </w:t>
      </w:r>
      <w:r w:rsidR="005A2614" w:rsidRPr="002433F3">
        <w:rPr>
          <w:lang w:val="en-US"/>
        </w:rPr>
        <w:t xml:space="preserve">a person </w:t>
      </w:r>
      <w:r w:rsidRPr="002433F3">
        <w:rPr>
          <w:lang w:val="en-US"/>
        </w:rPr>
        <w:t xml:space="preserve">based on </w:t>
      </w:r>
      <w:r w:rsidR="005A2614" w:rsidRPr="002433F3">
        <w:rPr>
          <w:lang w:val="en-US"/>
        </w:rPr>
        <w:t xml:space="preserve">their </w:t>
      </w:r>
      <w:r w:rsidRPr="002433F3">
        <w:rPr>
          <w:lang w:val="en-US"/>
        </w:rPr>
        <w:t>sexual orientation.</w:t>
      </w:r>
      <w:r w:rsidRPr="002433F3">
        <w:rPr>
          <w:rStyle w:val="Refdenotaalpie"/>
          <w:lang w:val="en-US"/>
        </w:rPr>
        <w:footnoteReference w:id="88"/>
      </w:r>
      <w:r w:rsidRPr="002433F3">
        <w:rPr>
          <w:lang w:val="en-US"/>
        </w:rPr>
        <w:t xml:space="preserve"> </w:t>
      </w:r>
    </w:p>
    <w:p w14:paraId="00B978D3" w14:textId="77777777" w:rsidR="007B0DE4" w:rsidRPr="002433F3" w:rsidRDefault="007B0DE4" w:rsidP="007B0DE4">
      <w:pPr>
        <w:numPr>
          <w:ilvl w:val="0"/>
          <w:numId w:val="2"/>
        </w:numPr>
        <w:spacing w:before="120" w:after="120"/>
        <w:rPr>
          <w:i/>
          <w:lang w:val="en-US"/>
        </w:rPr>
      </w:pPr>
      <w:r w:rsidRPr="002433F3">
        <w:rPr>
          <w:lang w:val="en-US"/>
        </w:rPr>
        <w:t xml:space="preserve">In that </w:t>
      </w:r>
      <w:r w:rsidR="000C49A6" w:rsidRPr="002433F3">
        <w:rPr>
          <w:lang w:val="en-US"/>
        </w:rPr>
        <w:t>regard</w:t>
      </w:r>
      <w:r w:rsidR="00AE4C98" w:rsidRPr="002433F3">
        <w:rPr>
          <w:lang w:val="en-US"/>
        </w:rPr>
        <w:t>, this inter-</w:t>
      </w:r>
      <w:r w:rsidRPr="002433F3">
        <w:rPr>
          <w:lang w:val="en-US"/>
        </w:rPr>
        <w:t xml:space="preserve">American </w:t>
      </w:r>
      <w:r w:rsidR="00AE4C98" w:rsidRPr="002433F3">
        <w:rPr>
          <w:lang w:val="en-US"/>
        </w:rPr>
        <w:t xml:space="preserve">instrument </w:t>
      </w:r>
      <w:r w:rsidR="008943AD" w:rsidRPr="002433F3">
        <w:rPr>
          <w:lang w:val="en-US"/>
        </w:rPr>
        <w:t>prohibits discrimination</w:t>
      </w:r>
      <w:r w:rsidRPr="002433F3">
        <w:rPr>
          <w:lang w:val="en-US"/>
        </w:rPr>
        <w:t xml:space="preserve"> in general, </w:t>
      </w:r>
      <w:r w:rsidR="008943AD" w:rsidRPr="002433F3">
        <w:rPr>
          <w:lang w:val="en-US"/>
        </w:rPr>
        <w:t xml:space="preserve">including </w:t>
      </w:r>
      <w:r w:rsidRPr="002433F3">
        <w:rPr>
          <w:lang w:val="en-US"/>
        </w:rPr>
        <w:t>categories such as sexual orientation, which cannot be used as a basis for denying or restricting any of the rights established in the Convention.</w:t>
      </w:r>
      <w:r w:rsidRPr="002433F3">
        <w:rPr>
          <w:rStyle w:val="Refdenotaalpie"/>
          <w:lang w:val="en-US"/>
        </w:rPr>
        <w:footnoteReference w:id="89"/>
      </w:r>
      <w:r w:rsidRPr="002433F3">
        <w:rPr>
          <w:lang w:val="en-US"/>
        </w:rPr>
        <w:t xml:space="preserve"> Any discrimination of this type would be contrary to the provisions of Article 1(1) of the American Convention. </w:t>
      </w:r>
    </w:p>
    <w:p w14:paraId="665CD78B" w14:textId="77777777" w:rsidR="007B0DE4" w:rsidRPr="002433F3" w:rsidRDefault="007B0DE4" w:rsidP="007B0DE4">
      <w:pPr>
        <w:spacing w:before="240" w:after="240"/>
        <w:ind w:left="1440"/>
        <w:rPr>
          <w:i/>
          <w:lang w:val="en-US"/>
        </w:rPr>
      </w:pPr>
      <w:bookmarkStart w:id="121" w:name="_Toc315133603"/>
      <w:bookmarkStart w:id="122" w:name="_Toc320017679"/>
      <w:bookmarkStart w:id="123" w:name="_Toc433564906"/>
      <w:r w:rsidRPr="002433F3">
        <w:rPr>
          <w:i/>
          <w:lang w:val="en-US"/>
        </w:rPr>
        <w:t xml:space="preserve">B.2.3. The alleged discriminatory nature </w:t>
      </w:r>
      <w:r w:rsidR="008943AD" w:rsidRPr="002433F3">
        <w:rPr>
          <w:i/>
          <w:lang w:val="en-US"/>
        </w:rPr>
        <w:t>of the difference in</w:t>
      </w:r>
      <w:r w:rsidRPr="002433F3">
        <w:rPr>
          <w:i/>
          <w:lang w:val="en-US"/>
        </w:rPr>
        <w:t xml:space="preserve"> t</w:t>
      </w:r>
      <w:r w:rsidR="008943AD" w:rsidRPr="002433F3">
        <w:rPr>
          <w:i/>
          <w:lang w:val="en-US"/>
        </w:rPr>
        <w:t>reatment established in Article</w:t>
      </w:r>
      <w:r w:rsidRPr="002433F3">
        <w:rPr>
          <w:i/>
          <w:lang w:val="en-US"/>
        </w:rPr>
        <w:t xml:space="preserve"> 1 of Law 54 of 1990 and </w:t>
      </w:r>
      <w:r w:rsidR="008943AD" w:rsidRPr="002433F3">
        <w:rPr>
          <w:i/>
          <w:lang w:val="en-US"/>
        </w:rPr>
        <w:t xml:space="preserve">Article </w:t>
      </w:r>
      <w:r w:rsidRPr="002433F3">
        <w:rPr>
          <w:i/>
          <w:lang w:val="en-US"/>
        </w:rPr>
        <w:t>10 of Decree 1889 of August 3, 1994</w:t>
      </w:r>
    </w:p>
    <w:p w14:paraId="12C5E5BD" w14:textId="77777777" w:rsidR="007B0DE4" w:rsidRPr="002433F3" w:rsidRDefault="007B0DE4" w:rsidP="007B0DE4">
      <w:pPr>
        <w:numPr>
          <w:ilvl w:val="0"/>
          <w:numId w:val="2"/>
        </w:numPr>
        <w:spacing w:before="120" w:after="120"/>
        <w:ind w:right="4"/>
        <w:rPr>
          <w:lang w:val="en-US"/>
        </w:rPr>
      </w:pPr>
      <w:r w:rsidRPr="002433F3">
        <w:rPr>
          <w:lang w:val="en-US"/>
        </w:rPr>
        <w:t xml:space="preserve">With respect to the foregoing, the Court has determined that a </w:t>
      </w:r>
      <w:r w:rsidR="003B4C2E" w:rsidRPr="002433F3">
        <w:rPr>
          <w:rFonts w:eastAsia="Calibri" w:cs="Arial"/>
          <w:spacing w:val="-2"/>
          <w:szCs w:val="20"/>
          <w:lang w:val="en-US"/>
        </w:rPr>
        <w:t>difference in</w:t>
      </w:r>
      <w:r w:rsidRPr="002433F3">
        <w:rPr>
          <w:rFonts w:eastAsia="Calibri" w:cs="Arial"/>
          <w:spacing w:val="-2"/>
          <w:szCs w:val="20"/>
          <w:lang w:val="en-US"/>
        </w:rPr>
        <w:t xml:space="preserve"> treatment is discriminatory when it </w:t>
      </w:r>
      <w:r w:rsidR="006D029F" w:rsidRPr="002433F3">
        <w:rPr>
          <w:rFonts w:eastAsia="Calibri" w:cs="Arial"/>
          <w:spacing w:val="-2"/>
          <w:szCs w:val="20"/>
          <w:lang w:val="en-US"/>
        </w:rPr>
        <w:t>does not have a purpose</w:t>
      </w:r>
      <w:r w:rsidRPr="002433F3">
        <w:rPr>
          <w:rFonts w:eastAsia="Calibri" w:cs="Arial"/>
          <w:spacing w:val="-2"/>
          <w:szCs w:val="20"/>
          <w:lang w:val="en-US"/>
        </w:rPr>
        <w:t xml:space="preserve"> and </w:t>
      </w:r>
      <w:r w:rsidR="006D029F" w:rsidRPr="002433F3">
        <w:rPr>
          <w:rFonts w:eastAsia="Calibri" w:cs="Arial"/>
          <w:spacing w:val="-2"/>
          <w:szCs w:val="20"/>
          <w:lang w:val="en-US"/>
        </w:rPr>
        <w:t xml:space="preserve">a </w:t>
      </w:r>
      <w:r w:rsidRPr="002433F3">
        <w:rPr>
          <w:rFonts w:eastAsia="Calibri" w:cs="Arial"/>
          <w:spacing w:val="-2"/>
          <w:szCs w:val="20"/>
          <w:lang w:val="en-US"/>
        </w:rPr>
        <w:t xml:space="preserve">reasonable </w:t>
      </w:r>
      <w:r w:rsidR="00501C13" w:rsidRPr="002433F3">
        <w:rPr>
          <w:rFonts w:eastAsia="Calibri"/>
          <w:spacing w:val="-2"/>
          <w:szCs w:val="20"/>
          <w:lang w:val="en-US"/>
        </w:rPr>
        <w:t>justification;</w:t>
      </w:r>
      <w:r w:rsidRPr="002433F3">
        <w:rPr>
          <w:rFonts w:eastAsia="Calibri" w:cs="Arial"/>
          <w:spacing w:val="-2"/>
          <w:szCs w:val="20"/>
          <w:vertAlign w:val="superscript"/>
          <w:lang w:val="en-US"/>
        </w:rPr>
        <w:footnoteReference w:id="90"/>
      </w:r>
      <w:r w:rsidRPr="002433F3">
        <w:rPr>
          <w:rFonts w:eastAsia="Calibri" w:cs="Arial"/>
          <w:spacing w:val="-2"/>
          <w:szCs w:val="20"/>
          <w:lang w:val="en-US"/>
        </w:rPr>
        <w:t xml:space="preserve"> </w:t>
      </w:r>
      <w:r w:rsidR="00501C13" w:rsidRPr="002433F3">
        <w:rPr>
          <w:lang w:val="en-US"/>
        </w:rPr>
        <w:t>that is, when it does not seek a legitimate objective, and when there is no reasonable proportional relationship between the means used and the objective sought</w:t>
      </w:r>
      <w:r w:rsidRPr="002433F3">
        <w:rPr>
          <w:rFonts w:eastAsia="Calibri" w:cs="Arial"/>
          <w:spacing w:val="-2"/>
          <w:szCs w:val="20"/>
          <w:lang w:val="en-US"/>
        </w:rPr>
        <w:t>.</w:t>
      </w:r>
      <w:r w:rsidRPr="002433F3">
        <w:rPr>
          <w:rFonts w:eastAsia="Calibri" w:cs="Arial"/>
          <w:spacing w:val="-2"/>
          <w:szCs w:val="20"/>
          <w:vertAlign w:val="superscript"/>
          <w:lang w:val="en-US"/>
        </w:rPr>
        <w:footnoteReference w:id="91"/>
      </w:r>
      <w:r w:rsidRPr="002433F3">
        <w:rPr>
          <w:rFonts w:eastAsia="Calibri" w:cs="Arial"/>
          <w:spacing w:val="-2"/>
          <w:szCs w:val="20"/>
          <w:lang w:val="en-US"/>
        </w:rPr>
        <w:t xml:space="preserve"> </w:t>
      </w:r>
      <w:r w:rsidRPr="002433F3">
        <w:rPr>
          <w:lang w:val="en-US"/>
        </w:rPr>
        <w:t xml:space="preserve">This Court has also established that, </w:t>
      </w:r>
      <w:r w:rsidR="00AE4C98" w:rsidRPr="002433F3">
        <w:rPr>
          <w:lang w:val="en-US"/>
        </w:rPr>
        <w:t xml:space="preserve">as regards </w:t>
      </w:r>
      <w:r w:rsidR="00501C13" w:rsidRPr="002433F3">
        <w:rPr>
          <w:lang w:val="en-US"/>
        </w:rPr>
        <w:t>the prohibition of discrimination based on one of the protected categories established in Article 1(1) of the Convention, the possible restriction of a right requires rigorous and substantial justification</w:t>
      </w:r>
      <w:r w:rsidRPr="002433F3">
        <w:rPr>
          <w:lang w:val="en-US"/>
        </w:rPr>
        <w:t xml:space="preserve">, </w:t>
      </w:r>
      <w:r w:rsidR="00501C13" w:rsidRPr="002433F3">
        <w:rPr>
          <w:lang w:val="en-US"/>
        </w:rPr>
        <w:t xml:space="preserve">which means that the reasons used by the State to implement a differentiated treatment must be particularly serious and </w:t>
      </w:r>
      <w:r w:rsidR="00AE4C98" w:rsidRPr="002433F3">
        <w:rPr>
          <w:lang w:val="en-US"/>
        </w:rPr>
        <w:t xml:space="preserve">must </w:t>
      </w:r>
      <w:r w:rsidR="00501C13" w:rsidRPr="002433F3">
        <w:rPr>
          <w:lang w:val="en-US"/>
        </w:rPr>
        <w:t>be substantiated by an exhaustive reasoning</w:t>
      </w:r>
      <w:r w:rsidRPr="002433F3">
        <w:rPr>
          <w:rFonts w:cs="Courier New"/>
          <w:lang w:val="en-US"/>
        </w:rPr>
        <w:t>.</w:t>
      </w:r>
      <w:r w:rsidRPr="002433F3">
        <w:rPr>
          <w:rFonts w:cs="Arial"/>
          <w:vertAlign w:val="superscript"/>
          <w:lang w:val="en-US"/>
        </w:rPr>
        <w:footnoteReference w:id="92"/>
      </w:r>
      <w:r w:rsidRPr="002433F3">
        <w:rPr>
          <w:rFonts w:cs="Courier New"/>
          <w:lang w:val="en-US"/>
        </w:rPr>
        <w:t xml:space="preserve"> </w:t>
      </w:r>
    </w:p>
    <w:p w14:paraId="4D0B345D" w14:textId="77777777" w:rsidR="007B0DE4" w:rsidRPr="002433F3" w:rsidRDefault="007B0DE4" w:rsidP="007B0DE4">
      <w:pPr>
        <w:numPr>
          <w:ilvl w:val="0"/>
          <w:numId w:val="2"/>
        </w:numPr>
        <w:spacing w:before="120" w:after="120"/>
        <w:ind w:right="4"/>
        <w:rPr>
          <w:lang w:val="en-US"/>
        </w:rPr>
      </w:pPr>
      <w:r w:rsidRPr="002433F3">
        <w:rPr>
          <w:rFonts w:cs="Arial"/>
          <w:lang w:val="en-US"/>
        </w:rPr>
        <w:lastRenderedPageBreak/>
        <w:t>In th</w:t>
      </w:r>
      <w:r w:rsidR="000755A7" w:rsidRPr="002433F3">
        <w:rPr>
          <w:rFonts w:cs="Arial"/>
          <w:lang w:val="en-US"/>
        </w:rPr>
        <w:t>e instant</w:t>
      </w:r>
      <w:r w:rsidRPr="002433F3">
        <w:rPr>
          <w:rFonts w:cs="Arial"/>
          <w:lang w:val="en-US"/>
        </w:rPr>
        <w:t xml:space="preserve"> case, the State did not offer an</w:t>
      </w:r>
      <w:r w:rsidR="00501C13" w:rsidRPr="002433F3">
        <w:rPr>
          <w:rFonts w:cs="Arial"/>
          <w:lang w:val="en-US"/>
        </w:rPr>
        <w:t>y</w:t>
      </w:r>
      <w:r w:rsidRPr="002433F3">
        <w:rPr>
          <w:rFonts w:cs="Arial"/>
          <w:lang w:val="en-US"/>
        </w:rPr>
        <w:t xml:space="preserve"> explanation regarding the social imperative </w:t>
      </w:r>
      <w:r w:rsidR="00501C13" w:rsidRPr="002433F3">
        <w:rPr>
          <w:lang w:val="en-US"/>
        </w:rPr>
        <w:t xml:space="preserve">or </w:t>
      </w:r>
      <w:r w:rsidRPr="002433F3">
        <w:rPr>
          <w:lang w:val="en-US"/>
        </w:rPr>
        <w:t xml:space="preserve">purpose of the difference </w:t>
      </w:r>
      <w:r w:rsidR="00501C13" w:rsidRPr="002433F3">
        <w:rPr>
          <w:lang w:val="en-US"/>
        </w:rPr>
        <w:t xml:space="preserve">in </w:t>
      </w:r>
      <w:r w:rsidRPr="002433F3">
        <w:rPr>
          <w:lang w:val="en-US"/>
        </w:rPr>
        <w:t>treatment,</w:t>
      </w:r>
      <w:r w:rsidR="00501C13" w:rsidRPr="002433F3">
        <w:rPr>
          <w:rFonts w:cs="Arial"/>
          <w:lang w:val="en-US"/>
        </w:rPr>
        <w:t xml:space="preserve"> or regarding the need to </w:t>
      </w:r>
      <w:r w:rsidRPr="002433F3">
        <w:rPr>
          <w:rFonts w:cs="Arial"/>
          <w:lang w:val="en-US"/>
        </w:rPr>
        <w:t>re</w:t>
      </w:r>
      <w:r w:rsidR="00501C13" w:rsidRPr="002433F3">
        <w:rPr>
          <w:rFonts w:cs="Arial"/>
          <w:lang w:val="en-US"/>
        </w:rPr>
        <w:t>sort</w:t>
      </w:r>
      <w:r w:rsidRPr="002433F3">
        <w:rPr>
          <w:rFonts w:cs="Arial"/>
          <w:lang w:val="en-US"/>
        </w:rPr>
        <w:t xml:space="preserve"> </w:t>
      </w:r>
      <w:r w:rsidR="00501C13" w:rsidRPr="002433F3">
        <w:rPr>
          <w:rFonts w:cs="Arial"/>
          <w:lang w:val="en-US"/>
        </w:rPr>
        <w:t>to that differentiation a</w:t>
      </w:r>
      <w:r w:rsidRPr="002433F3">
        <w:rPr>
          <w:rFonts w:cs="Arial"/>
          <w:lang w:val="en-US"/>
        </w:rPr>
        <w:t>s the only me</w:t>
      </w:r>
      <w:r w:rsidR="00501C13" w:rsidRPr="002433F3">
        <w:rPr>
          <w:rFonts w:cs="Arial"/>
          <w:lang w:val="en-US"/>
        </w:rPr>
        <w:t xml:space="preserve">ans </w:t>
      </w:r>
      <w:r w:rsidRPr="002433F3">
        <w:rPr>
          <w:rFonts w:cs="Arial"/>
          <w:lang w:val="en-US"/>
        </w:rPr>
        <w:t>to achieve that end.</w:t>
      </w:r>
      <w:r w:rsidRPr="002433F3">
        <w:rPr>
          <w:lang w:val="en-US"/>
        </w:rPr>
        <w:t xml:space="preserve"> </w:t>
      </w:r>
    </w:p>
    <w:p w14:paraId="41E4B02C" w14:textId="77777777" w:rsidR="007B0DE4" w:rsidRPr="002433F3" w:rsidRDefault="00AD4B34" w:rsidP="007B0DE4">
      <w:pPr>
        <w:numPr>
          <w:ilvl w:val="0"/>
          <w:numId w:val="2"/>
        </w:numPr>
        <w:spacing w:before="120" w:after="120"/>
        <w:rPr>
          <w:lang w:val="en-US"/>
        </w:rPr>
      </w:pPr>
      <w:r w:rsidRPr="002433F3">
        <w:rPr>
          <w:rFonts w:cs="TimesNewRoman"/>
          <w:szCs w:val="20"/>
          <w:lang w:val="en-US"/>
        </w:rPr>
        <w:t xml:space="preserve">With respect to </w:t>
      </w:r>
      <w:r w:rsidR="007B0DE4" w:rsidRPr="002433F3">
        <w:rPr>
          <w:rFonts w:cs="TimesNewRoman"/>
          <w:szCs w:val="20"/>
          <w:lang w:val="en-US"/>
        </w:rPr>
        <w:t>the right of same-sex couples</w:t>
      </w:r>
      <w:r w:rsidRPr="002433F3">
        <w:rPr>
          <w:rFonts w:cs="TimesNewRoman"/>
          <w:szCs w:val="20"/>
          <w:lang w:val="en-US"/>
        </w:rPr>
        <w:t xml:space="preserve"> to a pension</w:t>
      </w:r>
      <w:r w:rsidR="007B0DE4" w:rsidRPr="002433F3">
        <w:rPr>
          <w:rFonts w:cs="TimesNewRoman"/>
          <w:szCs w:val="20"/>
          <w:lang w:val="en-US"/>
        </w:rPr>
        <w:t>,</w:t>
      </w:r>
      <w:r w:rsidR="00F301E5" w:rsidRPr="002433F3">
        <w:rPr>
          <w:rFonts w:cs="TimesNewRoman"/>
          <w:szCs w:val="20"/>
          <w:lang w:val="en-US"/>
        </w:rPr>
        <w:t xml:space="preserve"> </w:t>
      </w:r>
      <w:r w:rsidR="007B0DE4" w:rsidRPr="002433F3">
        <w:rPr>
          <w:rFonts w:cs="TimesNewRoman"/>
          <w:szCs w:val="20"/>
          <w:lang w:val="en-US"/>
        </w:rPr>
        <w:t xml:space="preserve">the United Nations Committee on Economic, Social and Cultural Rights </w:t>
      </w:r>
      <w:r w:rsidR="00F301E5" w:rsidRPr="002433F3">
        <w:rPr>
          <w:rFonts w:cs="TimesNewRoman"/>
          <w:szCs w:val="20"/>
          <w:lang w:val="en-US"/>
        </w:rPr>
        <w:t xml:space="preserve">(CESCR) </w:t>
      </w:r>
      <w:r w:rsidR="007B0DE4" w:rsidRPr="002433F3">
        <w:rPr>
          <w:rFonts w:cs="TimesNewRoman"/>
          <w:szCs w:val="20"/>
          <w:lang w:val="en-US"/>
        </w:rPr>
        <w:t xml:space="preserve">has indicated that the International Covenant on Economic, Social and Cultural Rights prohibits </w:t>
      </w:r>
      <w:r w:rsidR="007B0DE4" w:rsidRPr="002433F3">
        <w:rPr>
          <w:rFonts w:cs="TimesNewRoman"/>
          <w:lang w:val="en-US"/>
        </w:rPr>
        <w:t>any discrimination</w:t>
      </w:r>
      <w:r w:rsidR="00F301E5" w:rsidRPr="002433F3">
        <w:rPr>
          <w:rFonts w:cs="TimesNewRoman"/>
          <w:lang w:val="en-US"/>
        </w:rPr>
        <w:t>,</w:t>
      </w:r>
      <w:r w:rsidR="007B0DE4" w:rsidRPr="002433F3">
        <w:rPr>
          <w:rFonts w:cs="TimesNewRoman"/>
          <w:lang w:val="en-US"/>
        </w:rPr>
        <w:t xml:space="preserve"> </w:t>
      </w:r>
      <w:r w:rsidR="00DA0079" w:rsidRPr="002433F3">
        <w:rPr>
          <w:rFonts w:cs="TimesNewRoman"/>
          <w:lang w:val="en-US"/>
        </w:rPr>
        <w:t xml:space="preserve">whether direct or indirect, whether </w:t>
      </w:r>
      <w:r w:rsidR="007B0DE4" w:rsidRPr="002433F3">
        <w:rPr>
          <w:rFonts w:cs="TimesNewRoman"/>
          <w:i/>
          <w:lang w:val="en-US"/>
        </w:rPr>
        <w:t>de facto</w:t>
      </w:r>
      <w:r w:rsidR="007B0DE4" w:rsidRPr="002433F3">
        <w:rPr>
          <w:rFonts w:cs="TimesNewRoman"/>
          <w:lang w:val="en-US"/>
        </w:rPr>
        <w:t xml:space="preserve"> or </w:t>
      </w:r>
      <w:r w:rsidR="007B0DE4" w:rsidRPr="002433F3">
        <w:rPr>
          <w:rFonts w:cs="TimesNewRoman"/>
          <w:i/>
          <w:lang w:val="en-US"/>
        </w:rPr>
        <w:t>de jure</w:t>
      </w:r>
      <w:r w:rsidR="00F301E5" w:rsidRPr="002433F3">
        <w:rPr>
          <w:rFonts w:cs="TimesNewRoman"/>
          <w:i/>
          <w:lang w:val="en-US"/>
        </w:rPr>
        <w:t>,</w:t>
      </w:r>
      <w:r w:rsidR="007B0DE4" w:rsidRPr="002433F3">
        <w:rPr>
          <w:rFonts w:cs="TimesNewRoman"/>
          <w:lang w:val="en-US"/>
        </w:rPr>
        <w:t xml:space="preserve"> </w:t>
      </w:r>
      <w:r w:rsidR="000755A7" w:rsidRPr="002433F3">
        <w:rPr>
          <w:rFonts w:cs="TimesNewRoman"/>
          <w:lang w:val="en-US"/>
        </w:rPr>
        <w:t xml:space="preserve">on </w:t>
      </w:r>
      <w:r w:rsidR="00F301E5" w:rsidRPr="002433F3">
        <w:rPr>
          <w:rFonts w:cs="TimesNewRoman"/>
          <w:lang w:val="en-US"/>
        </w:rPr>
        <w:t xml:space="preserve">grounds of </w:t>
      </w:r>
      <w:r w:rsidR="007B0DE4" w:rsidRPr="002433F3">
        <w:rPr>
          <w:spacing w:val="-3"/>
          <w:szCs w:val="20"/>
          <w:lang w:val="en-US"/>
        </w:rPr>
        <w:t xml:space="preserve">race, color, sex, age, language, religion, political or other opinion, national or social origin, </w:t>
      </w:r>
      <w:r w:rsidR="00F301E5" w:rsidRPr="002433F3">
        <w:rPr>
          <w:spacing w:val="-3"/>
          <w:szCs w:val="20"/>
          <w:lang w:val="en-US"/>
        </w:rPr>
        <w:t>property</w:t>
      </w:r>
      <w:r w:rsidR="007B0DE4" w:rsidRPr="002433F3">
        <w:rPr>
          <w:spacing w:val="-3"/>
          <w:szCs w:val="20"/>
          <w:lang w:val="en-US"/>
        </w:rPr>
        <w:t>, birth, physical or mental disability, health status (including</w:t>
      </w:r>
      <w:r w:rsidR="00DA0079" w:rsidRPr="002433F3">
        <w:rPr>
          <w:spacing w:val="-3"/>
          <w:szCs w:val="20"/>
          <w:lang w:val="en-US"/>
        </w:rPr>
        <w:t xml:space="preserve"> HIV/AIDS), sexual orientation and </w:t>
      </w:r>
      <w:r w:rsidR="007B0DE4" w:rsidRPr="002433F3">
        <w:rPr>
          <w:spacing w:val="-3"/>
          <w:szCs w:val="20"/>
          <w:lang w:val="en-US"/>
        </w:rPr>
        <w:t>civil</w:t>
      </w:r>
      <w:r w:rsidR="00DA0079" w:rsidRPr="002433F3">
        <w:rPr>
          <w:spacing w:val="-3"/>
          <w:szCs w:val="20"/>
          <w:lang w:val="en-US"/>
        </w:rPr>
        <w:t>,</w:t>
      </w:r>
      <w:r w:rsidR="007B0DE4" w:rsidRPr="002433F3">
        <w:rPr>
          <w:spacing w:val="-3"/>
          <w:szCs w:val="20"/>
          <w:lang w:val="en-US"/>
        </w:rPr>
        <w:t xml:space="preserve"> political, social or other </w:t>
      </w:r>
      <w:r w:rsidR="00DA0079" w:rsidRPr="002433F3">
        <w:rPr>
          <w:spacing w:val="-3"/>
          <w:szCs w:val="20"/>
          <w:lang w:val="en-US"/>
        </w:rPr>
        <w:t xml:space="preserve">status, which has the </w:t>
      </w:r>
      <w:r w:rsidR="002133D1" w:rsidRPr="002433F3">
        <w:rPr>
          <w:spacing w:val="-3"/>
          <w:szCs w:val="20"/>
          <w:lang w:val="en-US"/>
        </w:rPr>
        <w:t xml:space="preserve">purpose or effect </w:t>
      </w:r>
      <w:r w:rsidR="00DA0079" w:rsidRPr="002433F3">
        <w:rPr>
          <w:spacing w:val="-3"/>
          <w:szCs w:val="20"/>
          <w:lang w:val="en-US"/>
        </w:rPr>
        <w:t xml:space="preserve">of </w:t>
      </w:r>
      <w:r w:rsidR="00942A9E" w:rsidRPr="002433F3">
        <w:rPr>
          <w:spacing w:val="-3"/>
          <w:szCs w:val="20"/>
          <w:lang w:val="en-US"/>
        </w:rPr>
        <w:t xml:space="preserve">nullifying </w:t>
      </w:r>
      <w:r w:rsidR="00DA0079" w:rsidRPr="002433F3">
        <w:rPr>
          <w:spacing w:val="-3"/>
          <w:szCs w:val="20"/>
          <w:lang w:val="en-US"/>
        </w:rPr>
        <w:t xml:space="preserve">or </w:t>
      </w:r>
      <w:r w:rsidR="007B0DE4" w:rsidRPr="002433F3">
        <w:rPr>
          <w:rFonts w:cs="TimesNewRoman"/>
          <w:szCs w:val="20"/>
          <w:lang w:val="en-US"/>
        </w:rPr>
        <w:t>impair</w:t>
      </w:r>
      <w:r w:rsidR="00DA0079" w:rsidRPr="002433F3">
        <w:rPr>
          <w:rFonts w:cs="TimesNewRoman"/>
          <w:szCs w:val="20"/>
          <w:lang w:val="en-US"/>
        </w:rPr>
        <w:t>ing</w:t>
      </w:r>
      <w:r w:rsidR="007B0DE4" w:rsidRPr="002433F3">
        <w:rPr>
          <w:rFonts w:cs="TimesNewRoman"/>
          <w:szCs w:val="20"/>
          <w:lang w:val="en-US"/>
        </w:rPr>
        <w:t xml:space="preserve"> the equal enjoyment or exercise </w:t>
      </w:r>
      <w:r w:rsidR="00DA0079" w:rsidRPr="002433F3">
        <w:rPr>
          <w:rFonts w:cs="TimesNewRoman"/>
          <w:szCs w:val="20"/>
          <w:lang w:val="en-US"/>
        </w:rPr>
        <w:t>of the right to social security</w:t>
      </w:r>
      <w:r w:rsidR="007B0DE4" w:rsidRPr="002433F3">
        <w:rPr>
          <w:rFonts w:cs="TimesNewRoman"/>
          <w:szCs w:val="20"/>
          <w:lang w:val="en-US"/>
        </w:rPr>
        <w:t>.</w:t>
      </w:r>
      <w:r w:rsidR="007B0DE4" w:rsidRPr="002433F3">
        <w:rPr>
          <w:rStyle w:val="Refdenotaalpie"/>
          <w:lang w:val="en-US"/>
        </w:rPr>
        <w:footnoteReference w:id="93"/>
      </w:r>
    </w:p>
    <w:p w14:paraId="7D476065" w14:textId="77777777" w:rsidR="007B0DE4" w:rsidRPr="002433F3" w:rsidRDefault="00DA0079" w:rsidP="007B0DE4">
      <w:pPr>
        <w:numPr>
          <w:ilvl w:val="0"/>
          <w:numId w:val="2"/>
        </w:numPr>
        <w:spacing w:before="120" w:after="120"/>
        <w:rPr>
          <w:lang w:val="en-US"/>
        </w:rPr>
      </w:pPr>
      <w:r w:rsidRPr="002433F3">
        <w:rPr>
          <w:rFonts w:cs="TimesNewRoman"/>
          <w:szCs w:val="20"/>
          <w:lang w:val="en-US"/>
        </w:rPr>
        <w:t>Similarly</w:t>
      </w:r>
      <w:r w:rsidR="007B0DE4" w:rsidRPr="002433F3">
        <w:rPr>
          <w:rFonts w:cs="TimesNewRoman"/>
          <w:szCs w:val="20"/>
          <w:lang w:val="en-US"/>
        </w:rPr>
        <w:t xml:space="preserve">, in General Comment No. 20, the </w:t>
      </w:r>
      <w:r w:rsidR="007B0DE4" w:rsidRPr="002433F3">
        <w:rPr>
          <w:rFonts w:cs="TimesNewRoman"/>
          <w:lang w:val="en-US"/>
        </w:rPr>
        <w:t>United Nations Committee on Economic, Social and Cultural Rights</w:t>
      </w:r>
      <w:r w:rsidR="007B0DE4" w:rsidRPr="002433F3">
        <w:rPr>
          <w:rFonts w:cs="TimesNewRoman"/>
          <w:szCs w:val="20"/>
          <w:lang w:val="en-US"/>
        </w:rPr>
        <w:t xml:space="preserve"> has </w:t>
      </w:r>
      <w:r w:rsidRPr="002433F3">
        <w:rPr>
          <w:rFonts w:cs="TimesNewRoman"/>
          <w:szCs w:val="20"/>
          <w:lang w:val="en-US"/>
        </w:rPr>
        <w:t xml:space="preserve">indicated </w:t>
      </w:r>
      <w:r w:rsidR="007B0DE4" w:rsidRPr="002433F3">
        <w:rPr>
          <w:rFonts w:cs="TimesNewRoman"/>
          <w:szCs w:val="20"/>
          <w:lang w:val="en-US"/>
        </w:rPr>
        <w:t xml:space="preserve">that </w:t>
      </w:r>
      <w:r w:rsidRPr="002433F3">
        <w:rPr>
          <w:rFonts w:eastAsia="Calibri" w:cs="Times New Roman"/>
          <w:szCs w:val="20"/>
          <w:lang w:val="en-US"/>
        </w:rPr>
        <w:t>“</w:t>
      </w:r>
      <w:r w:rsidR="007B0DE4" w:rsidRPr="002433F3">
        <w:rPr>
          <w:rFonts w:eastAsia="Calibri" w:cs="Times New Roman"/>
          <w:szCs w:val="20"/>
          <w:lang w:val="en-US"/>
        </w:rPr>
        <w:t xml:space="preserve">other </w:t>
      </w:r>
      <w:r w:rsidRPr="002433F3">
        <w:rPr>
          <w:rFonts w:eastAsia="Calibri" w:cs="Times New Roman"/>
          <w:szCs w:val="20"/>
          <w:lang w:val="en-US"/>
        </w:rPr>
        <w:t>status”</w:t>
      </w:r>
      <w:r w:rsidR="0074254B" w:rsidRPr="002433F3">
        <w:rPr>
          <w:rFonts w:eastAsia="Calibri" w:cs="Times New Roman"/>
          <w:szCs w:val="20"/>
          <w:lang w:val="en-US"/>
        </w:rPr>
        <w:t>,</w:t>
      </w:r>
      <w:r w:rsidR="007B0DE4" w:rsidRPr="002433F3">
        <w:rPr>
          <w:rFonts w:eastAsia="Calibri" w:cs="Times New Roman"/>
          <w:szCs w:val="20"/>
          <w:lang w:val="en-US"/>
        </w:rPr>
        <w:t xml:space="preserve"> </w:t>
      </w:r>
      <w:r w:rsidRPr="002433F3">
        <w:rPr>
          <w:rFonts w:eastAsia="Calibri" w:cs="Times New Roman"/>
          <w:szCs w:val="20"/>
          <w:lang w:val="en-US"/>
        </w:rPr>
        <w:t xml:space="preserve">as recognized </w:t>
      </w:r>
      <w:r w:rsidR="007B0DE4" w:rsidRPr="002433F3">
        <w:rPr>
          <w:rFonts w:eastAsia="Calibri" w:cs="Times New Roman"/>
          <w:szCs w:val="20"/>
          <w:lang w:val="en-US"/>
        </w:rPr>
        <w:t xml:space="preserve">in Article 2(2) of the International Covenant on Economic, Social and Cultural Rights, includes sexual orientation. </w:t>
      </w:r>
      <w:r w:rsidRPr="002433F3">
        <w:rPr>
          <w:rFonts w:eastAsia="Calibri" w:cs="Times New Roman"/>
          <w:szCs w:val="20"/>
          <w:lang w:val="en-US"/>
        </w:rPr>
        <w:t xml:space="preserve">Therefore, </w:t>
      </w:r>
      <w:r w:rsidR="007B0DE4" w:rsidRPr="002433F3">
        <w:rPr>
          <w:rFonts w:eastAsia="Calibri" w:cs="Times New Roman"/>
          <w:szCs w:val="20"/>
          <w:lang w:val="en-US"/>
        </w:rPr>
        <w:t xml:space="preserve">States </w:t>
      </w:r>
      <w:r w:rsidRPr="002433F3">
        <w:rPr>
          <w:rFonts w:cs="TimesNewRoman"/>
          <w:lang w:val="en-US"/>
        </w:rPr>
        <w:t>p</w:t>
      </w:r>
      <w:r w:rsidR="007B0DE4" w:rsidRPr="002433F3">
        <w:rPr>
          <w:rFonts w:cs="TimesNewRoman"/>
          <w:lang w:val="en-US"/>
        </w:rPr>
        <w:t xml:space="preserve">arties </w:t>
      </w:r>
      <w:r w:rsidRPr="002433F3">
        <w:rPr>
          <w:rFonts w:cs="TimesNewRoman"/>
          <w:lang w:val="en-US"/>
        </w:rPr>
        <w:t>should</w:t>
      </w:r>
      <w:r w:rsidR="0074254B" w:rsidRPr="002433F3">
        <w:rPr>
          <w:rFonts w:cs="TimesNewRoman"/>
          <w:lang w:val="en-US"/>
        </w:rPr>
        <w:t xml:space="preserve"> ensure</w:t>
      </w:r>
      <w:r w:rsidRPr="002433F3">
        <w:rPr>
          <w:rFonts w:cs="TimesNewRoman"/>
          <w:lang w:val="en-US"/>
        </w:rPr>
        <w:t xml:space="preserve"> </w:t>
      </w:r>
      <w:r w:rsidR="007B0DE4" w:rsidRPr="002433F3">
        <w:rPr>
          <w:rFonts w:cs="TimesNewRoman"/>
          <w:lang w:val="en-US"/>
        </w:rPr>
        <w:t xml:space="preserve">that a person’s sexual </w:t>
      </w:r>
      <w:r w:rsidR="007B0DE4" w:rsidRPr="002433F3">
        <w:rPr>
          <w:lang w:val="en-US"/>
        </w:rPr>
        <w:t>orientation is not a barrier to realizing Covenant rights, for example, in accessing survivor’s pension</w:t>
      </w:r>
      <w:r w:rsidRPr="002433F3">
        <w:rPr>
          <w:lang w:val="en-US"/>
        </w:rPr>
        <w:t xml:space="preserve"> rights</w:t>
      </w:r>
      <w:r w:rsidR="007B0DE4" w:rsidRPr="002433F3">
        <w:rPr>
          <w:rFonts w:eastAsia="Calibri" w:cs="Times New Roman"/>
          <w:szCs w:val="20"/>
          <w:lang w:val="en-US"/>
        </w:rPr>
        <w:t xml:space="preserve">. </w:t>
      </w:r>
      <w:r w:rsidRPr="002433F3">
        <w:rPr>
          <w:rFonts w:eastAsia="Calibri" w:cs="Times New Roman"/>
          <w:szCs w:val="20"/>
          <w:lang w:val="en-US"/>
        </w:rPr>
        <w:t>In addition</w:t>
      </w:r>
      <w:r w:rsidR="0074254B" w:rsidRPr="002433F3">
        <w:rPr>
          <w:rFonts w:eastAsia="Calibri" w:cs="Times New Roman"/>
          <w:szCs w:val="20"/>
          <w:lang w:val="en-US"/>
        </w:rPr>
        <w:t>,</w:t>
      </w:r>
      <w:r w:rsidRPr="002433F3">
        <w:rPr>
          <w:rFonts w:eastAsia="Calibri" w:cs="Times New Roman"/>
          <w:szCs w:val="20"/>
          <w:lang w:val="en-US"/>
        </w:rPr>
        <w:t xml:space="preserve"> g</w:t>
      </w:r>
      <w:r w:rsidR="007B0DE4" w:rsidRPr="002433F3">
        <w:rPr>
          <w:rFonts w:eastAsia="Calibri" w:cs="Times New Roman"/>
          <w:szCs w:val="20"/>
          <w:lang w:val="en-US"/>
        </w:rPr>
        <w:t xml:space="preserve">ender identity is recognized as </w:t>
      </w:r>
      <w:r w:rsidRPr="002433F3">
        <w:rPr>
          <w:rFonts w:eastAsia="Calibri" w:cs="Times New Roman"/>
          <w:szCs w:val="20"/>
          <w:lang w:val="en-US"/>
        </w:rPr>
        <w:t xml:space="preserve">among the </w:t>
      </w:r>
      <w:r w:rsidR="007B0DE4" w:rsidRPr="002433F3">
        <w:rPr>
          <w:rFonts w:eastAsia="Calibri" w:cs="Times New Roman"/>
          <w:szCs w:val="20"/>
          <w:lang w:val="en-US"/>
        </w:rPr>
        <w:t xml:space="preserve">prohibited </w:t>
      </w:r>
      <w:r w:rsidR="0074254B" w:rsidRPr="002433F3">
        <w:rPr>
          <w:rFonts w:eastAsia="Calibri" w:cs="Times New Roman"/>
          <w:szCs w:val="20"/>
          <w:lang w:val="en-US"/>
        </w:rPr>
        <w:t xml:space="preserve">reasons </w:t>
      </w:r>
      <w:r w:rsidR="007B0DE4" w:rsidRPr="002433F3">
        <w:rPr>
          <w:rFonts w:eastAsia="Calibri" w:cs="Times New Roman"/>
          <w:szCs w:val="20"/>
          <w:lang w:val="en-US"/>
        </w:rPr>
        <w:t>for discrimination.</w:t>
      </w:r>
      <w:r w:rsidR="007B0DE4" w:rsidRPr="002433F3">
        <w:rPr>
          <w:rStyle w:val="Refdenotaalpie"/>
          <w:rFonts w:eastAsia="Calibri"/>
          <w:lang w:val="en-US"/>
        </w:rPr>
        <w:footnoteReference w:id="94"/>
      </w:r>
    </w:p>
    <w:p w14:paraId="364A0FC8" w14:textId="77777777" w:rsidR="007B0DE4" w:rsidRPr="002433F3" w:rsidRDefault="00DA0079" w:rsidP="007B0DE4">
      <w:pPr>
        <w:numPr>
          <w:ilvl w:val="0"/>
          <w:numId w:val="2"/>
        </w:numPr>
        <w:spacing w:before="120" w:after="120"/>
        <w:rPr>
          <w:rFonts w:cs="Times New Roman"/>
          <w:b/>
          <w:szCs w:val="20"/>
          <w:lang w:val="en-US"/>
        </w:rPr>
      </w:pPr>
      <w:r w:rsidRPr="002433F3">
        <w:rPr>
          <w:rFonts w:eastAsia="Calibri" w:cs="Times New Roman"/>
          <w:szCs w:val="20"/>
          <w:lang w:val="en-US"/>
        </w:rPr>
        <w:t>For their part, t</w:t>
      </w:r>
      <w:r w:rsidR="007B0DE4" w:rsidRPr="002433F3">
        <w:rPr>
          <w:rFonts w:eastAsia="Calibri" w:cs="Times New Roman"/>
          <w:szCs w:val="20"/>
          <w:lang w:val="en-US"/>
        </w:rPr>
        <w:t xml:space="preserve">he Yogyakarta Principles </w:t>
      </w:r>
      <w:r w:rsidR="0074254B" w:rsidRPr="002433F3">
        <w:rPr>
          <w:rFonts w:eastAsia="Calibri" w:cs="Times New Roman"/>
          <w:szCs w:val="20"/>
          <w:lang w:val="en-US"/>
        </w:rPr>
        <w:t xml:space="preserve">concerning </w:t>
      </w:r>
      <w:r w:rsidR="007B0DE4" w:rsidRPr="002433F3">
        <w:rPr>
          <w:rFonts w:eastAsia="Calibri" w:cs="Times New Roman"/>
          <w:szCs w:val="20"/>
          <w:lang w:val="en-US"/>
        </w:rPr>
        <w:t xml:space="preserve">the </w:t>
      </w:r>
      <w:r w:rsidRPr="002433F3">
        <w:rPr>
          <w:rFonts w:eastAsia="Calibri" w:cs="Times New Roman"/>
          <w:szCs w:val="20"/>
          <w:lang w:val="en-US"/>
        </w:rPr>
        <w:t xml:space="preserve">application of </w:t>
      </w:r>
      <w:r w:rsidR="007B0DE4" w:rsidRPr="002433F3">
        <w:rPr>
          <w:rFonts w:eastAsia="Calibri" w:cs="Times New Roman"/>
          <w:szCs w:val="20"/>
          <w:lang w:val="en-US"/>
        </w:rPr>
        <w:t xml:space="preserve">international human rights law to </w:t>
      </w:r>
      <w:r w:rsidR="007C0177" w:rsidRPr="002433F3">
        <w:rPr>
          <w:rFonts w:eastAsia="Calibri" w:cs="Times New Roman"/>
          <w:szCs w:val="20"/>
          <w:lang w:val="en-US"/>
        </w:rPr>
        <w:t xml:space="preserve">human rights violations based on </w:t>
      </w:r>
      <w:r w:rsidR="007B0DE4" w:rsidRPr="002433F3">
        <w:rPr>
          <w:rFonts w:eastAsia="Calibri" w:cs="Times New Roman"/>
          <w:szCs w:val="20"/>
          <w:lang w:val="en-US"/>
        </w:rPr>
        <w:t xml:space="preserve">sexual </w:t>
      </w:r>
      <w:r w:rsidRPr="002433F3">
        <w:rPr>
          <w:rFonts w:eastAsia="Calibri" w:cs="Times New Roman"/>
          <w:szCs w:val="20"/>
          <w:lang w:val="en-US"/>
        </w:rPr>
        <w:t>orientation and gender identity</w:t>
      </w:r>
      <w:r w:rsidR="007B0DE4" w:rsidRPr="002433F3">
        <w:rPr>
          <w:rFonts w:eastAsia="Calibri" w:cs="Times New Roman"/>
          <w:szCs w:val="20"/>
          <w:lang w:val="en-US"/>
        </w:rPr>
        <w:t xml:space="preserve"> establish</w:t>
      </w:r>
      <w:r w:rsidRPr="002433F3">
        <w:rPr>
          <w:rFonts w:eastAsia="Calibri" w:cs="Times New Roman"/>
          <w:szCs w:val="20"/>
          <w:lang w:val="en-US"/>
        </w:rPr>
        <w:t>,</w:t>
      </w:r>
      <w:r w:rsidR="007B0DE4" w:rsidRPr="002433F3">
        <w:rPr>
          <w:rFonts w:eastAsia="Calibri" w:cs="Times New Roman"/>
          <w:szCs w:val="20"/>
          <w:lang w:val="en-US"/>
        </w:rPr>
        <w:t xml:space="preserve"> in Principle N° 13</w:t>
      </w:r>
      <w:r w:rsidR="009F2803" w:rsidRPr="002433F3">
        <w:rPr>
          <w:rFonts w:eastAsia="Calibri" w:cs="Times New Roman"/>
          <w:szCs w:val="20"/>
          <w:lang w:val="en-US"/>
        </w:rPr>
        <w:t>,</w:t>
      </w:r>
      <w:r w:rsidR="007B0DE4" w:rsidRPr="002433F3">
        <w:rPr>
          <w:rFonts w:eastAsia="Calibri" w:cs="Times New Roman"/>
          <w:szCs w:val="20"/>
          <w:lang w:val="en-US"/>
        </w:rPr>
        <w:t xml:space="preserve"> that </w:t>
      </w:r>
      <w:r w:rsidR="007B0DE4" w:rsidRPr="002433F3">
        <w:rPr>
          <w:lang w:val="en-US"/>
        </w:rPr>
        <w:t>everyone has the right to social security and other social protection measures, without discrimination on the basis of sexual orientation or gender identity</w:t>
      </w:r>
      <w:r w:rsidR="007B0DE4" w:rsidRPr="002433F3">
        <w:rPr>
          <w:rFonts w:cs="Times New Roman"/>
          <w:szCs w:val="20"/>
          <w:lang w:val="en-US"/>
        </w:rPr>
        <w:t xml:space="preserve">. </w:t>
      </w:r>
      <w:r w:rsidR="007C0177" w:rsidRPr="002433F3">
        <w:rPr>
          <w:rFonts w:cs="Times New Roman"/>
          <w:szCs w:val="20"/>
          <w:lang w:val="en-US"/>
        </w:rPr>
        <w:t>Accordingly</w:t>
      </w:r>
      <w:r w:rsidR="007B0DE4" w:rsidRPr="002433F3">
        <w:rPr>
          <w:rFonts w:cs="Times New Roman"/>
          <w:szCs w:val="20"/>
          <w:lang w:val="en-US"/>
        </w:rPr>
        <w:t xml:space="preserve">, </w:t>
      </w:r>
      <w:r w:rsidR="007B0DE4" w:rsidRPr="002433F3">
        <w:rPr>
          <w:rFonts w:eastAsia="Calibri" w:cs="Times New Roman"/>
          <w:lang w:val="en-US"/>
        </w:rPr>
        <w:t xml:space="preserve">States must </w:t>
      </w:r>
      <w:r w:rsidR="007C0177" w:rsidRPr="002433F3">
        <w:rPr>
          <w:rFonts w:eastAsia="Calibri" w:cs="Times New Roman"/>
          <w:lang w:val="en-US"/>
        </w:rPr>
        <w:t xml:space="preserve">take all </w:t>
      </w:r>
      <w:r w:rsidR="007B0DE4" w:rsidRPr="002433F3">
        <w:rPr>
          <w:rFonts w:eastAsia="Calibri" w:cs="Times New Roman"/>
          <w:lang w:val="en-US"/>
        </w:rPr>
        <w:t xml:space="preserve">necessary legislative, administrative and other measures to ensure </w:t>
      </w:r>
      <w:r w:rsidR="007C0177" w:rsidRPr="002433F3">
        <w:rPr>
          <w:rFonts w:eastAsia="Calibri" w:cs="Times New Roman"/>
          <w:lang w:val="en-US"/>
        </w:rPr>
        <w:t xml:space="preserve">equal </w:t>
      </w:r>
      <w:r w:rsidR="007B0DE4" w:rsidRPr="002433F3">
        <w:rPr>
          <w:rFonts w:eastAsia="Calibri" w:cs="Times New Roman"/>
          <w:lang w:val="en-US"/>
        </w:rPr>
        <w:t xml:space="preserve">access, without discrimination </w:t>
      </w:r>
      <w:r w:rsidR="007C0177" w:rsidRPr="002433F3">
        <w:rPr>
          <w:rFonts w:eastAsia="Calibri" w:cs="Times New Roman"/>
          <w:lang w:val="en-US"/>
        </w:rPr>
        <w:t xml:space="preserve">on the basis of </w:t>
      </w:r>
      <w:r w:rsidR="007B0DE4" w:rsidRPr="002433F3">
        <w:rPr>
          <w:rFonts w:eastAsia="Calibri" w:cs="Times New Roman"/>
          <w:lang w:val="en-US"/>
        </w:rPr>
        <w:t>sexual orientation or gender identity, to social security and other social protection</w:t>
      </w:r>
      <w:r w:rsidR="007C0177" w:rsidRPr="002433F3">
        <w:rPr>
          <w:rFonts w:eastAsia="Calibri" w:cs="Times New Roman"/>
          <w:lang w:val="en-US"/>
        </w:rPr>
        <w:t xml:space="preserve"> measures</w:t>
      </w:r>
      <w:r w:rsidR="007B0DE4" w:rsidRPr="002433F3">
        <w:rPr>
          <w:rFonts w:eastAsia="Calibri" w:cs="Times New Roman"/>
          <w:lang w:val="en-US"/>
        </w:rPr>
        <w:t xml:space="preserve">, including employment benefits, </w:t>
      </w:r>
      <w:r w:rsidR="007C0177" w:rsidRPr="002433F3">
        <w:rPr>
          <w:rFonts w:eastAsia="Calibri" w:cs="Times New Roman"/>
          <w:lang w:val="en-US"/>
        </w:rPr>
        <w:t xml:space="preserve">parental </w:t>
      </w:r>
      <w:r w:rsidR="007B0DE4" w:rsidRPr="002433F3">
        <w:rPr>
          <w:rFonts w:eastAsia="Calibri" w:cs="Times New Roman"/>
          <w:lang w:val="en-US"/>
        </w:rPr>
        <w:t xml:space="preserve">leave, </w:t>
      </w:r>
      <w:r w:rsidR="007C0177" w:rsidRPr="002433F3">
        <w:rPr>
          <w:rFonts w:cs="Arial"/>
          <w:szCs w:val="20"/>
          <w:shd w:val="clear" w:color="auto" w:fill="FFFFFF"/>
          <w:lang w:val="en-US"/>
        </w:rPr>
        <w:t xml:space="preserve">unemployment benefits, health insurance or care or benefits (including for body modifications related to gender identity), other social insurance, family benefits, funeral benefits, pensions and benefits </w:t>
      </w:r>
      <w:r w:rsidR="0074254B" w:rsidRPr="002433F3">
        <w:rPr>
          <w:rFonts w:cs="Arial"/>
          <w:szCs w:val="20"/>
          <w:shd w:val="clear" w:color="auto" w:fill="FFFFFF"/>
          <w:lang w:val="en-US"/>
        </w:rPr>
        <w:t xml:space="preserve">related to </w:t>
      </w:r>
      <w:r w:rsidR="007C0177" w:rsidRPr="002433F3">
        <w:rPr>
          <w:rFonts w:cs="Arial"/>
          <w:szCs w:val="20"/>
          <w:shd w:val="clear" w:color="auto" w:fill="FFFFFF"/>
          <w:lang w:val="en-US"/>
        </w:rPr>
        <w:t>the loss of support for spouses or partners as the result of illness or death</w:t>
      </w:r>
      <w:r w:rsidR="007B0DE4" w:rsidRPr="002433F3">
        <w:rPr>
          <w:rFonts w:cs="Times New Roman"/>
          <w:szCs w:val="20"/>
          <w:lang w:val="en-US"/>
        </w:rPr>
        <w:t>.</w:t>
      </w:r>
      <w:r w:rsidR="007B0DE4" w:rsidRPr="002433F3">
        <w:rPr>
          <w:rStyle w:val="Refdenotaalpie"/>
          <w:lang w:val="en-US"/>
        </w:rPr>
        <w:footnoteReference w:id="95"/>
      </w:r>
    </w:p>
    <w:p w14:paraId="524C46B1" w14:textId="77777777" w:rsidR="007B0DE4" w:rsidRPr="002433F3" w:rsidRDefault="007B0DE4" w:rsidP="007B0DE4">
      <w:pPr>
        <w:numPr>
          <w:ilvl w:val="0"/>
          <w:numId w:val="2"/>
        </w:numPr>
        <w:spacing w:before="120" w:after="120"/>
        <w:rPr>
          <w:rFonts w:cs="Times New Roman"/>
          <w:b/>
          <w:szCs w:val="20"/>
          <w:lang w:val="en-US"/>
        </w:rPr>
      </w:pPr>
      <w:r w:rsidRPr="002433F3">
        <w:rPr>
          <w:lang w:val="en-US"/>
        </w:rPr>
        <w:t xml:space="preserve">The Human Rights Committee has </w:t>
      </w:r>
      <w:r w:rsidR="00FD364B" w:rsidRPr="002433F3">
        <w:rPr>
          <w:lang w:val="en-US"/>
        </w:rPr>
        <w:t xml:space="preserve">ruled </w:t>
      </w:r>
      <w:r w:rsidRPr="002433F3">
        <w:rPr>
          <w:lang w:val="en-US"/>
        </w:rPr>
        <w:t xml:space="preserve">that the distinction between same-sex </w:t>
      </w:r>
      <w:r w:rsidR="0074254B" w:rsidRPr="002433F3">
        <w:rPr>
          <w:lang w:val="en-US"/>
        </w:rPr>
        <w:t>couples</w:t>
      </w:r>
      <w:r w:rsidRPr="002433F3">
        <w:rPr>
          <w:lang w:val="en-US"/>
        </w:rPr>
        <w:t xml:space="preserve">, who are excluded from pension benefits under law, and unmarried heterosexual </w:t>
      </w:r>
      <w:r w:rsidR="0074254B" w:rsidRPr="002433F3">
        <w:rPr>
          <w:lang w:val="en-US"/>
        </w:rPr>
        <w:t>couples</w:t>
      </w:r>
      <w:r w:rsidRPr="002433F3">
        <w:rPr>
          <w:lang w:val="en-US"/>
        </w:rPr>
        <w:t xml:space="preserve">, who are granted such benefits, is not </w:t>
      </w:r>
      <w:r w:rsidRPr="002433F3">
        <w:rPr>
          <w:rFonts w:eastAsia="Calibri" w:cs="Times New Roman"/>
          <w:szCs w:val="20"/>
          <w:lang w:val="en-US"/>
        </w:rPr>
        <w:t xml:space="preserve">reasonable or </w:t>
      </w:r>
      <w:r w:rsidRPr="002433F3">
        <w:rPr>
          <w:lang w:val="en-US"/>
        </w:rPr>
        <w:t xml:space="preserve">objective, and </w:t>
      </w:r>
      <w:r w:rsidR="00FD364B" w:rsidRPr="002433F3">
        <w:rPr>
          <w:lang w:val="en-US"/>
        </w:rPr>
        <w:t>that there a</w:t>
      </w:r>
      <w:r w:rsidRPr="002433F3">
        <w:rPr>
          <w:lang w:val="en-US"/>
        </w:rPr>
        <w:t xml:space="preserve">re no factors </w:t>
      </w:r>
      <w:r w:rsidR="00FD364B" w:rsidRPr="002433F3">
        <w:rPr>
          <w:lang w:val="en-US"/>
        </w:rPr>
        <w:t>to justify</w:t>
      </w:r>
      <w:r w:rsidRPr="002433F3">
        <w:rPr>
          <w:lang w:val="en-US"/>
        </w:rPr>
        <w:t xml:space="preserve"> such a</w:t>
      </w:r>
      <w:r w:rsidR="00FD364B" w:rsidRPr="002433F3">
        <w:rPr>
          <w:lang w:val="en-US"/>
        </w:rPr>
        <w:t xml:space="preserve"> distinction;</w:t>
      </w:r>
      <w:r w:rsidRPr="002433F3">
        <w:rPr>
          <w:lang w:val="en-US"/>
        </w:rPr>
        <w:t xml:space="preserve"> th</w:t>
      </w:r>
      <w:r w:rsidR="00FD364B" w:rsidRPr="002433F3">
        <w:rPr>
          <w:lang w:val="en-US"/>
        </w:rPr>
        <w:t>erefore, it constitutes</w:t>
      </w:r>
      <w:r w:rsidRPr="002433F3">
        <w:rPr>
          <w:lang w:val="en-US"/>
        </w:rPr>
        <w:t xml:space="preserve"> discrimination based on a person’s sexual orientation</w:t>
      </w:r>
      <w:r w:rsidRPr="002433F3">
        <w:rPr>
          <w:rFonts w:cs="Times New Roman"/>
          <w:szCs w:val="20"/>
          <w:lang w:val="en-US"/>
        </w:rPr>
        <w:t>.</w:t>
      </w:r>
      <w:r w:rsidRPr="002433F3">
        <w:rPr>
          <w:rStyle w:val="Refdenotaalpie"/>
          <w:lang w:val="en-US"/>
        </w:rPr>
        <w:footnoteReference w:id="96"/>
      </w:r>
      <w:r w:rsidRPr="002433F3">
        <w:rPr>
          <w:rFonts w:cs="Times New Roman"/>
          <w:szCs w:val="20"/>
          <w:lang w:val="en-US"/>
        </w:rPr>
        <w:t xml:space="preserve"> </w:t>
      </w:r>
    </w:p>
    <w:p w14:paraId="5340E8BD" w14:textId="77777777" w:rsidR="007B0DE4" w:rsidRPr="002433F3" w:rsidRDefault="007B0DE4" w:rsidP="007B0DE4">
      <w:pPr>
        <w:numPr>
          <w:ilvl w:val="0"/>
          <w:numId w:val="2"/>
        </w:numPr>
        <w:spacing w:before="120" w:after="120"/>
        <w:rPr>
          <w:rFonts w:cs="Times New Roman"/>
          <w:szCs w:val="20"/>
          <w:lang w:val="en-US"/>
        </w:rPr>
      </w:pPr>
      <w:r w:rsidRPr="002433F3">
        <w:rPr>
          <w:rFonts w:cs="Times New Roman"/>
          <w:szCs w:val="20"/>
          <w:lang w:val="en-US"/>
        </w:rPr>
        <w:t xml:space="preserve">The  Court will now refer to the </w:t>
      </w:r>
      <w:r w:rsidR="0012683A" w:rsidRPr="002433F3">
        <w:rPr>
          <w:rFonts w:cs="Times New Roman"/>
          <w:szCs w:val="20"/>
          <w:lang w:val="en-US"/>
        </w:rPr>
        <w:t xml:space="preserve">legislation </w:t>
      </w:r>
      <w:r w:rsidRPr="002433F3">
        <w:rPr>
          <w:rFonts w:cs="Times New Roman"/>
          <w:szCs w:val="20"/>
          <w:lang w:val="en-US"/>
        </w:rPr>
        <w:t>and jurisprudence of certain</w:t>
      </w:r>
      <w:r w:rsidR="00FD364B" w:rsidRPr="002433F3">
        <w:rPr>
          <w:rFonts w:cs="Times New Roman"/>
          <w:szCs w:val="20"/>
          <w:lang w:val="en-US"/>
        </w:rPr>
        <w:t xml:space="preserve"> </w:t>
      </w:r>
      <w:r w:rsidRPr="002433F3">
        <w:rPr>
          <w:rFonts w:cs="Times New Roman"/>
          <w:szCs w:val="20"/>
          <w:lang w:val="en-US"/>
        </w:rPr>
        <w:t xml:space="preserve">countries of the region that </w:t>
      </w:r>
      <w:r w:rsidRPr="002433F3">
        <w:rPr>
          <w:lang w:val="en-US"/>
        </w:rPr>
        <w:t xml:space="preserve">have recognized the right of same-sex couples to </w:t>
      </w:r>
      <w:r w:rsidR="006F4B6E" w:rsidRPr="002433F3">
        <w:rPr>
          <w:lang w:val="en-US"/>
        </w:rPr>
        <w:t>a survivor’s pension</w:t>
      </w:r>
      <w:r w:rsidR="00FD364B" w:rsidRPr="002433F3">
        <w:rPr>
          <w:lang w:val="en-US"/>
        </w:rPr>
        <w:t xml:space="preserve"> and </w:t>
      </w:r>
      <w:r w:rsidR="00FD364B" w:rsidRPr="002433F3">
        <w:rPr>
          <w:lang w:val="en-US"/>
        </w:rPr>
        <w:lastRenderedPageBreak/>
        <w:t>have established</w:t>
      </w:r>
      <w:r w:rsidRPr="002433F3">
        <w:rPr>
          <w:lang w:val="en-US"/>
        </w:rPr>
        <w:t xml:space="preserve"> that a person’s sexual preferences do not constitute an obstacle to </w:t>
      </w:r>
      <w:r w:rsidR="00870C68" w:rsidRPr="002433F3">
        <w:rPr>
          <w:lang w:val="en-US"/>
        </w:rPr>
        <w:t xml:space="preserve">realizing </w:t>
      </w:r>
      <w:r w:rsidR="00EE301C" w:rsidRPr="002433F3">
        <w:rPr>
          <w:lang w:val="en-US"/>
        </w:rPr>
        <w:t>the right</w:t>
      </w:r>
      <w:r w:rsidR="00870C68" w:rsidRPr="002433F3">
        <w:rPr>
          <w:lang w:val="en-US"/>
        </w:rPr>
        <w:t xml:space="preserve"> to</w:t>
      </w:r>
      <w:r w:rsidRPr="002433F3">
        <w:rPr>
          <w:lang w:val="en-US"/>
        </w:rPr>
        <w:t xml:space="preserve"> </w:t>
      </w:r>
      <w:r w:rsidR="00870C68" w:rsidRPr="002433F3">
        <w:rPr>
          <w:lang w:val="en-US"/>
        </w:rPr>
        <w:t xml:space="preserve">obtain </w:t>
      </w:r>
      <w:r w:rsidRPr="002433F3">
        <w:rPr>
          <w:lang w:val="en-US"/>
        </w:rPr>
        <w:t>a survivor’s pension.</w:t>
      </w:r>
    </w:p>
    <w:p w14:paraId="7C2D7ED6" w14:textId="77777777" w:rsidR="007B0DE4" w:rsidRPr="002433F3" w:rsidRDefault="007B0DE4" w:rsidP="007B0DE4">
      <w:pPr>
        <w:numPr>
          <w:ilvl w:val="0"/>
          <w:numId w:val="2"/>
        </w:numPr>
        <w:spacing w:before="120" w:after="120"/>
        <w:rPr>
          <w:rFonts w:cs="Times New Roman"/>
          <w:bCs/>
          <w:szCs w:val="20"/>
          <w:lang w:val="en-US"/>
        </w:rPr>
      </w:pPr>
      <w:r w:rsidRPr="002433F3">
        <w:rPr>
          <w:rFonts w:cs="Times New Roman"/>
          <w:szCs w:val="20"/>
          <w:lang w:val="en-US"/>
        </w:rPr>
        <w:t xml:space="preserve">In the case of Mexico City, “domestic partnerships” between same-sex couples </w:t>
      </w:r>
      <w:r w:rsidR="00E20B80" w:rsidRPr="002433F3">
        <w:rPr>
          <w:rFonts w:cs="Times New Roman"/>
          <w:szCs w:val="20"/>
          <w:lang w:val="en-US"/>
        </w:rPr>
        <w:t xml:space="preserve">have been </w:t>
      </w:r>
      <w:r w:rsidRPr="002433F3">
        <w:rPr>
          <w:rFonts w:cs="Times New Roman"/>
          <w:szCs w:val="20"/>
          <w:lang w:val="en-US"/>
        </w:rPr>
        <w:t>permitted since 2006</w:t>
      </w:r>
      <w:r w:rsidRPr="002433F3">
        <w:rPr>
          <w:rStyle w:val="Refdenotaalpie"/>
          <w:lang w:val="en-US"/>
        </w:rPr>
        <w:footnoteReference w:id="97"/>
      </w:r>
      <w:r w:rsidRPr="002433F3">
        <w:rPr>
          <w:rFonts w:cs="Times New Roman"/>
          <w:szCs w:val="20"/>
          <w:lang w:val="en-US"/>
        </w:rPr>
        <w:t xml:space="preserve"> and marriage since 2009.</w:t>
      </w:r>
      <w:r w:rsidRPr="002433F3">
        <w:rPr>
          <w:rStyle w:val="Refdenotaalpie"/>
          <w:lang w:val="en-US"/>
        </w:rPr>
        <w:footnoteReference w:id="98"/>
      </w:r>
      <w:r w:rsidRPr="002433F3">
        <w:rPr>
          <w:rFonts w:cs="Times New Roman"/>
          <w:szCs w:val="20"/>
          <w:lang w:val="en-US"/>
        </w:rPr>
        <w:t xml:space="preserve"> This statute grants various patrimoni</w:t>
      </w:r>
      <w:r w:rsidR="00870C68" w:rsidRPr="002433F3">
        <w:rPr>
          <w:rFonts w:cs="Times New Roman"/>
          <w:szCs w:val="20"/>
          <w:lang w:val="en-US"/>
        </w:rPr>
        <w:t>al rights. At the same time, Mexico’s</w:t>
      </w:r>
      <w:r w:rsidRPr="002433F3">
        <w:rPr>
          <w:rFonts w:cs="Times New Roman"/>
          <w:szCs w:val="20"/>
          <w:lang w:val="en-US"/>
        </w:rPr>
        <w:t xml:space="preserve"> Supreme Court of Justice declared in 2015 that: “[t]</w:t>
      </w:r>
      <w:r w:rsidRPr="002433F3">
        <w:rPr>
          <w:rFonts w:cs="Times New Roman"/>
          <w:bCs/>
          <w:szCs w:val="20"/>
          <w:lang w:val="en-US"/>
        </w:rPr>
        <w:t>he law of any federal entity that, on the one hand, considers that the purpose of [</w:t>
      </w:r>
      <w:r w:rsidRPr="002433F3">
        <w:rPr>
          <w:szCs w:val="20"/>
          <w:lang w:val="en-US"/>
        </w:rPr>
        <w:t>marriage]</w:t>
      </w:r>
      <w:r w:rsidRPr="002433F3">
        <w:rPr>
          <w:rFonts w:cs="Times New Roman"/>
          <w:bCs/>
          <w:szCs w:val="20"/>
          <w:lang w:val="en-US"/>
        </w:rPr>
        <w:t xml:space="preserve"> is procreation and/or that defines it as the union between a man and a woman, is unconstitutional.”</w:t>
      </w:r>
      <w:r w:rsidRPr="002433F3">
        <w:rPr>
          <w:rStyle w:val="Refdenotaalpie"/>
          <w:bCs/>
          <w:lang w:val="en-US"/>
        </w:rPr>
        <w:footnoteReference w:id="99"/>
      </w:r>
      <w:r w:rsidRPr="002433F3">
        <w:rPr>
          <w:rFonts w:cs="Times New Roman"/>
          <w:bCs/>
          <w:szCs w:val="20"/>
          <w:lang w:val="en-US"/>
        </w:rPr>
        <w:t xml:space="preserve"> The Supreme Court </w:t>
      </w:r>
      <w:r w:rsidR="00870C68" w:rsidRPr="002433F3">
        <w:rPr>
          <w:rFonts w:cs="Times New Roman"/>
          <w:bCs/>
          <w:szCs w:val="20"/>
          <w:lang w:val="en-US"/>
        </w:rPr>
        <w:t xml:space="preserve">further </w:t>
      </w:r>
      <w:r w:rsidRPr="002433F3">
        <w:rPr>
          <w:rFonts w:cs="Times New Roman"/>
          <w:bCs/>
          <w:szCs w:val="20"/>
          <w:lang w:val="en-US"/>
        </w:rPr>
        <w:t xml:space="preserve">indicated that linking </w:t>
      </w:r>
      <w:r w:rsidR="00870C68" w:rsidRPr="002433F3">
        <w:rPr>
          <w:rFonts w:cs="Times New Roman"/>
          <w:bCs/>
          <w:szCs w:val="20"/>
          <w:lang w:val="en-US"/>
        </w:rPr>
        <w:t xml:space="preserve">the </w:t>
      </w:r>
      <w:r w:rsidRPr="002433F3">
        <w:rPr>
          <w:rFonts w:cs="Times New Roman"/>
          <w:szCs w:val="20"/>
          <w:lang w:val="en-US"/>
        </w:rPr>
        <w:t xml:space="preserve">requirements </w:t>
      </w:r>
      <w:r w:rsidR="00870C68" w:rsidRPr="002433F3">
        <w:rPr>
          <w:rFonts w:cs="Times New Roman"/>
          <w:szCs w:val="20"/>
          <w:lang w:val="en-US"/>
        </w:rPr>
        <w:t xml:space="preserve">of marriage </w:t>
      </w:r>
      <w:r w:rsidR="00BC44F0" w:rsidRPr="002433F3">
        <w:rPr>
          <w:rFonts w:cs="Times New Roman"/>
          <w:szCs w:val="20"/>
          <w:lang w:val="en-US"/>
        </w:rPr>
        <w:t xml:space="preserve">to </w:t>
      </w:r>
      <w:r w:rsidRPr="002433F3">
        <w:rPr>
          <w:rFonts w:cs="Times New Roman"/>
          <w:szCs w:val="20"/>
          <w:lang w:val="en-US"/>
        </w:rPr>
        <w:t xml:space="preserve">the sexual preferences of those who </w:t>
      </w:r>
      <w:r w:rsidR="00BC44F0" w:rsidRPr="002433F3">
        <w:rPr>
          <w:rFonts w:cs="Times New Roman"/>
          <w:szCs w:val="20"/>
          <w:lang w:val="en-US"/>
        </w:rPr>
        <w:t xml:space="preserve">enter </w:t>
      </w:r>
      <w:r w:rsidR="00870C68" w:rsidRPr="002433F3">
        <w:rPr>
          <w:rFonts w:cs="Times New Roman"/>
          <w:szCs w:val="20"/>
          <w:lang w:val="en-US"/>
        </w:rPr>
        <w:t>into the</w:t>
      </w:r>
      <w:r w:rsidR="00BC44F0" w:rsidRPr="002433F3">
        <w:rPr>
          <w:rFonts w:cs="Times New Roman"/>
          <w:szCs w:val="20"/>
          <w:lang w:val="en-US"/>
        </w:rPr>
        <w:t xml:space="preserve"> </w:t>
      </w:r>
      <w:r w:rsidRPr="002433F3">
        <w:rPr>
          <w:rFonts w:cs="Times New Roman"/>
          <w:szCs w:val="20"/>
          <w:lang w:val="en-US"/>
        </w:rPr>
        <w:t>institution</w:t>
      </w:r>
      <w:r w:rsidR="00870C68" w:rsidRPr="002433F3">
        <w:rPr>
          <w:rFonts w:cs="Times New Roman"/>
          <w:szCs w:val="20"/>
          <w:lang w:val="en-US"/>
        </w:rPr>
        <w:t xml:space="preserve"> of matrimony,</w:t>
      </w:r>
      <w:r w:rsidRPr="002433F3">
        <w:rPr>
          <w:rFonts w:cs="Times New Roman"/>
          <w:szCs w:val="20"/>
          <w:lang w:val="en-US"/>
        </w:rPr>
        <w:t xml:space="preserve"> with </w:t>
      </w:r>
      <w:r w:rsidR="00870C68" w:rsidRPr="002433F3">
        <w:rPr>
          <w:rFonts w:cs="Times New Roman"/>
          <w:szCs w:val="20"/>
          <w:lang w:val="en-US"/>
        </w:rPr>
        <w:t xml:space="preserve">the issue of </w:t>
      </w:r>
      <w:r w:rsidRPr="002433F3">
        <w:rPr>
          <w:rFonts w:cs="Times New Roman"/>
          <w:szCs w:val="20"/>
          <w:lang w:val="en-US"/>
        </w:rPr>
        <w:t>procreation is discriminatory, since it unfairly excludes homosexual couples</w:t>
      </w:r>
      <w:r w:rsidR="00BC44F0" w:rsidRPr="002433F3">
        <w:rPr>
          <w:rFonts w:cs="Times New Roman"/>
          <w:szCs w:val="20"/>
          <w:lang w:val="en-US"/>
        </w:rPr>
        <w:t xml:space="preserve"> who</w:t>
      </w:r>
      <w:r w:rsidRPr="002433F3">
        <w:rPr>
          <w:rFonts w:cs="Times New Roman"/>
          <w:szCs w:val="20"/>
          <w:lang w:val="en-US"/>
        </w:rPr>
        <w:t xml:space="preserve"> </w:t>
      </w:r>
      <w:r w:rsidR="00BC44F0" w:rsidRPr="002433F3">
        <w:rPr>
          <w:rFonts w:cs="Times New Roman"/>
          <w:szCs w:val="20"/>
          <w:lang w:val="en-US"/>
        </w:rPr>
        <w:t>live</w:t>
      </w:r>
      <w:r w:rsidRPr="002433F3">
        <w:rPr>
          <w:rFonts w:cs="Times New Roman"/>
          <w:szCs w:val="20"/>
          <w:lang w:val="en-US"/>
        </w:rPr>
        <w:t xml:space="preserve"> in conditions similar to heterosexual couples</w:t>
      </w:r>
      <w:r w:rsidR="00BC44F0" w:rsidRPr="002433F3">
        <w:rPr>
          <w:rFonts w:cs="Times New Roman"/>
          <w:szCs w:val="20"/>
          <w:lang w:val="en-US"/>
        </w:rPr>
        <w:t xml:space="preserve"> from having access to marriage</w:t>
      </w:r>
      <w:r w:rsidRPr="002433F3">
        <w:rPr>
          <w:rStyle w:val="Refdenotaalpie"/>
          <w:bCs/>
          <w:lang w:val="en-US"/>
        </w:rPr>
        <w:footnoteReference w:id="100"/>
      </w:r>
      <w:r w:rsidRPr="002433F3">
        <w:rPr>
          <w:rFonts w:cs="Times New Roman"/>
          <w:bCs/>
          <w:szCs w:val="20"/>
          <w:lang w:val="en-US"/>
        </w:rPr>
        <w:t xml:space="preserve"> </w:t>
      </w:r>
    </w:p>
    <w:p w14:paraId="7867D252" w14:textId="77777777" w:rsidR="007B0DE4" w:rsidRPr="002433F3" w:rsidRDefault="007B0DE4" w:rsidP="007B0DE4">
      <w:pPr>
        <w:numPr>
          <w:ilvl w:val="0"/>
          <w:numId w:val="2"/>
        </w:numPr>
        <w:spacing w:before="120" w:after="120"/>
        <w:rPr>
          <w:rFonts w:cs="Times New Roman"/>
          <w:szCs w:val="20"/>
          <w:lang w:val="en-US"/>
        </w:rPr>
      </w:pPr>
      <w:r w:rsidRPr="002433F3">
        <w:rPr>
          <w:rFonts w:eastAsia="Times New Roman" w:cs="Times New Roman"/>
          <w:bCs/>
          <w:szCs w:val="20"/>
          <w:lang w:val="en-US"/>
        </w:rPr>
        <w:t xml:space="preserve">In </w:t>
      </w:r>
      <w:r w:rsidR="003517C0" w:rsidRPr="002433F3">
        <w:rPr>
          <w:rFonts w:eastAsia="Times New Roman" w:cs="Times New Roman"/>
          <w:bCs/>
          <w:szCs w:val="20"/>
          <w:lang w:val="en-US"/>
        </w:rPr>
        <w:t>2007, Uruguay approved</w:t>
      </w:r>
      <w:r w:rsidRPr="002433F3">
        <w:rPr>
          <w:rFonts w:eastAsia="Times New Roman" w:cs="Times New Roman"/>
          <w:bCs/>
          <w:szCs w:val="20"/>
          <w:lang w:val="en-US"/>
        </w:rPr>
        <w:t xml:space="preserve"> </w:t>
      </w:r>
      <w:r w:rsidR="003517C0" w:rsidRPr="002433F3">
        <w:rPr>
          <w:rFonts w:eastAsia="Times New Roman" w:cs="Times New Roman"/>
          <w:bCs/>
          <w:szCs w:val="20"/>
          <w:lang w:val="en-US"/>
        </w:rPr>
        <w:t>the L</w:t>
      </w:r>
      <w:r w:rsidRPr="002433F3">
        <w:rPr>
          <w:rFonts w:eastAsia="Times New Roman" w:cs="Times New Roman"/>
          <w:bCs/>
          <w:szCs w:val="20"/>
          <w:lang w:val="en-US"/>
        </w:rPr>
        <w:t xml:space="preserve">aw on </w:t>
      </w:r>
      <w:r w:rsidR="0012683A" w:rsidRPr="002433F3">
        <w:rPr>
          <w:rFonts w:eastAsia="Times New Roman" w:cs="Times New Roman"/>
          <w:bCs/>
          <w:szCs w:val="20"/>
          <w:lang w:val="en-US"/>
        </w:rPr>
        <w:t>Concubinary Union</w:t>
      </w:r>
      <w:r w:rsidRPr="002433F3">
        <w:rPr>
          <w:rFonts w:eastAsia="Times New Roman" w:cs="Times New Roman"/>
          <w:bCs/>
          <w:szCs w:val="20"/>
          <w:lang w:val="en-US"/>
        </w:rPr>
        <w:t xml:space="preserve"> that applies to same-sex couples and </w:t>
      </w:r>
      <w:r w:rsidR="00AD0FBA" w:rsidRPr="002433F3">
        <w:rPr>
          <w:rFonts w:eastAsia="Times New Roman" w:cs="Times New Roman"/>
          <w:bCs/>
          <w:szCs w:val="20"/>
          <w:lang w:val="en-US"/>
        </w:rPr>
        <w:t xml:space="preserve">enables </w:t>
      </w:r>
      <w:r w:rsidR="0012683A" w:rsidRPr="002433F3">
        <w:rPr>
          <w:rFonts w:eastAsia="Times New Roman" w:cs="Times New Roman"/>
          <w:bCs/>
          <w:szCs w:val="20"/>
          <w:lang w:val="en-US"/>
        </w:rPr>
        <w:t>persons</w:t>
      </w:r>
      <w:r w:rsidRPr="002433F3">
        <w:rPr>
          <w:rFonts w:eastAsia="Times New Roman" w:cs="Times New Roman"/>
          <w:bCs/>
          <w:szCs w:val="20"/>
          <w:lang w:val="en-US"/>
        </w:rPr>
        <w:t xml:space="preserve"> who have lived </w:t>
      </w:r>
      <w:r w:rsidR="006D43C3" w:rsidRPr="002433F3">
        <w:rPr>
          <w:rFonts w:eastAsia="Times New Roman" w:cs="Times New Roman"/>
          <w:bCs/>
          <w:szCs w:val="20"/>
          <w:lang w:val="en-US"/>
        </w:rPr>
        <w:t xml:space="preserve">together </w:t>
      </w:r>
      <w:r w:rsidR="00AD0FBA" w:rsidRPr="002433F3">
        <w:rPr>
          <w:rFonts w:eastAsia="Times New Roman" w:cs="Times New Roman"/>
          <w:bCs/>
          <w:szCs w:val="20"/>
          <w:lang w:val="en-US"/>
        </w:rPr>
        <w:t xml:space="preserve">continuously </w:t>
      </w:r>
      <w:r w:rsidRPr="002433F3">
        <w:rPr>
          <w:rFonts w:eastAsia="Times New Roman" w:cs="Times New Roman"/>
          <w:bCs/>
          <w:szCs w:val="20"/>
          <w:lang w:val="en-US"/>
        </w:rPr>
        <w:t xml:space="preserve">in </w:t>
      </w:r>
      <w:r w:rsidR="0062770B" w:rsidRPr="002433F3">
        <w:rPr>
          <w:rFonts w:eastAsia="Times New Roman" w:cs="Times New Roman"/>
          <w:bCs/>
          <w:szCs w:val="20"/>
          <w:lang w:val="en-US"/>
        </w:rPr>
        <w:t xml:space="preserve">a </w:t>
      </w:r>
      <w:r w:rsidR="00870C68" w:rsidRPr="002433F3">
        <w:rPr>
          <w:rFonts w:eastAsia="Times New Roman" w:cs="Times New Roman"/>
          <w:bCs/>
          <w:szCs w:val="20"/>
          <w:lang w:val="en-US"/>
        </w:rPr>
        <w:t>“</w:t>
      </w:r>
      <w:r w:rsidR="0062770B" w:rsidRPr="002433F3">
        <w:rPr>
          <w:rFonts w:eastAsia="Times New Roman" w:cs="Times New Roman"/>
          <w:bCs/>
          <w:szCs w:val="20"/>
          <w:lang w:val="en-US"/>
        </w:rPr>
        <w:t xml:space="preserve">concubinary </w:t>
      </w:r>
      <w:r w:rsidR="0012683A" w:rsidRPr="002433F3">
        <w:rPr>
          <w:rFonts w:eastAsia="Times New Roman" w:cs="Times New Roman"/>
          <w:bCs/>
          <w:szCs w:val="20"/>
          <w:lang w:val="en-US"/>
        </w:rPr>
        <w:t>union</w:t>
      </w:r>
      <w:r w:rsidR="00870C68" w:rsidRPr="002433F3">
        <w:rPr>
          <w:rFonts w:eastAsia="Times New Roman" w:cs="Times New Roman"/>
          <w:bCs/>
          <w:szCs w:val="20"/>
          <w:lang w:val="en-US"/>
        </w:rPr>
        <w:t>”</w:t>
      </w:r>
      <w:r w:rsidRPr="002433F3">
        <w:rPr>
          <w:rFonts w:eastAsia="Times New Roman" w:cs="Times New Roman"/>
          <w:bCs/>
          <w:szCs w:val="20"/>
          <w:lang w:val="en-US"/>
        </w:rPr>
        <w:t xml:space="preserve"> of an exclusive, stable and permanent nature</w:t>
      </w:r>
      <w:r w:rsidR="00AD0FBA" w:rsidRPr="002433F3">
        <w:rPr>
          <w:rFonts w:eastAsia="Times New Roman" w:cs="Times New Roman"/>
          <w:bCs/>
          <w:szCs w:val="20"/>
          <w:lang w:val="en-US"/>
        </w:rPr>
        <w:t>, to be beneficiaries of the survivor’s pension</w:t>
      </w:r>
      <w:r w:rsidRPr="002433F3">
        <w:rPr>
          <w:rFonts w:eastAsia="Times New Roman" w:cs="Times New Roman"/>
          <w:bCs/>
          <w:szCs w:val="20"/>
          <w:lang w:val="en-US"/>
        </w:rPr>
        <w:t xml:space="preserve">, regardless of </w:t>
      </w:r>
      <w:r w:rsidR="0062770B" w:rsidRPr="002433F3">
        <w:rPr>
          <w:rFonts w:eastAsia="Times New Roman" w:cs="Times New Roman"/>
          <w:bCs/>
          <w:szCs w:val="20"/>
          <w:lang w:val="en-US"/>
        </w:rPr>
        <w:t>gender</w:t>
      </w:r>
      <w:r w:rsidR="00AD0FBA" w:rsidRPr="002433F3">
        <w:rPr>
          <w:rFonts w:eastAsia="Times New Roman" w:cs="Times New Roman"/>
          <w:bCs/>
          <w:szCs w:val="20"/>
          <w:lang w:val="en-US"/>
        </w:rPr>
        <w:t>,</w:t>
      </w:r>
      <w:r w:rsidR="0062770B" w:rsidRPr="002433F3">
        <w:rPr>
          <w:rFonts w:eastAsia="Times New Roman" w:cs="Times New Roman"/>
          <w:bCs/>
          <w:szCs w:val="20"/>
          <w:lang w:val="en-US"/>
        </w:rPr>
        <w:t xml:space="preserve"> </w:t>
      </w:r>
      <w:r w:rsidRPr="002433F3">
        <w:rPr>
          <w:rFonts w:eastAsia="Times New Roman" w:cs="Times New Roman"/>
          <w:bCs/>
          <w:szCs w:val="20"/>
          <w:lang w:val="en-US"/>
        </w:rPr>
        <w:t xml:space="preserve">sexual </w:t>
      </w:r>
      <w:r w:rsidR="00AD0FBA" w:rsidRPr="002433F3">
        <w:rPr>
          <w:rFonts w:eastAsia="Times New Roman" w:cs="Times New Roman"/>
          <w:bCs/>
          <w:szCs w:val="20"/>
          <w:lang w:val="en-US"/>
        </w:rPr>
        <w:t xml:space="preserve">identity, </w:t>
      </w:r>
      <w:r w:rsidRPr="002433F3">
        <w:rPr>
          <w:rFonts w:eastAsia="Times New Roman" w:cs="Times New Roman"/>
          <w:bCs/>
          <w:szCs w:val="20"/>
          <w:lang w:val="en-US"/>
        </w:rPr>
        <w:t>orientation or preference.</w:t>
      </w:r>
      <w:r w:rsidRPr="002433F3">
        <w:rPr>
          <w:rStyle w:val="Refdenotaalpie"/>
          <w:lang w:val="en-US"/>
        </w:rPr>
        <w:footnoteReference w:id="101"/>
      </w:r>
      <w:r w:rsidRPr="002433F3">
        <w:rPr>
          <w:rFonts w:eastAsia="Times New Roman" w:cs="Times New Roman"/>
          <w:bCs/>
          <w:szCs w:val="20"/>
          <w:lang w:val="en-US"/>
        </w:rPr>
        <w:t xml:space="preserve"> </w:t>
      </w:r>
      <w:r w:rsidR="0062770B" w:rsidRPr="002433F3">
        <w:rPr>
          <w:rFonts w:eastAsia="Times New Roman" w:cs="Times New Roman"/>
          <w:bCs/>
          <w:szCs w:val="20"/>
          <w:lang w:val="en-US"/>
        </w:rPr>
        <w:t xml:space="preserve">In 2013, </w:t>
      </w:r>
      <w:r w:rsidRPr="002433F3">
        <w:rPr>
          <w:rFonts w:eastAsia="Times New Roman" w:cs="Times New Roman"/>
          <w:bCs/>
          <w:szCs w:val="20"/>
          <w:lang w:val="en-US"/>
        </w:rPr>
        <w:t>Uruguay authorized marriage for same-sex couples.</w:t>
      </w:r>
      <w:r w:rsidRPr="002433F3">
        <w:rPr>
          <w:rStyle w:val="Refdenotaalpie"/>
          <w:bCs/>
          <w:lang w:val="en-US"/>
        </w:rPr>
        <w:footnoteReference w:id="102"/>
      </w:r>
      <w:r w:rsidRPr="002433F3">
        <w:rPr>
          <w:rFonts w:eastAsia="Times New Roman" w:cs="Times New Roman"/>
          <w:bCs/>
          <w:szCs w:val="20"/>
          <w:lang w:val="en-US"/>
        </w:rPr>
        <w:t xml:space="preserve"> </w:t>
      </w:r>
    </w:p>
    <w:p w14:paraId="41FC9A49" w14:textId="77777777" w:rsidR="007B0DE4" w:rsidRPr="002433F3" w:rsidRDefault="007B0DE4" w:rsidP="007B0DE4">
      <w:pPr>
        <w:numPr>
          <w:ilvl w:val="0"/>
          <w:numId w:val="2"/>
        </w:numPr>
        <w:spacing w:before="120" w:after="120"/>
        <w:rPr>
          <w:rFonts w:cs="Times New Roman"/>
          <w:szCs w:val="20"/>
          <w:lang w:val="en-US"/>
        </w:rPr>
      </w:pPr>
      <w:r w:rsidRPr="002433F3">
        <w:rPr>
          <w:rFonts w:cs="Times New Roman"/>
          <w:szCs w:val="20"/>
          <w:lang w:val="en-US"/>
        </w:rPr>
        <w:t xml:space="preserve">In </w:t>
      </w:r>
      <w:r w:rsidR="000C307A" w:rsidRPr="002433F3">
        <w:rPr>
          <w:rFonts w:cs="Times New Roman"/>
          <w:szCs w:val="20"/>
          <w:lang w:val="en-US"/>
        </w:rPr>
        <w:t xml:space="preserve">the case of </w:t>
      </w:r>
      <w:r w:rsidRPr="002433F3">
        <w:rPr>
          <w:rFonts w:cs="Times New Roman"/>
          <w:szCs w:val="20"/>
          <w:lang w:val="en-US"/>
        </w:rPr>
        <w:t>Argentina, the city of Buenos Aires has authorized civil union</w:t>
      </w:r>
      <w:r w:rsidR="0062770B" w:rsidRPr="002433F3">
        <w:rPr>
          <w:rFonts w:cs="Times New Roman"/>
          <w:szCs w:val="20"/>
          <w:lang w:val="en-US"/>
        </w:rPr>
        <w:t>s between</w:t>
      </w:r>
      <w:r w:rsidRPr="002433F3">
        <w:rPr>
          <w:rFonts w:cs="Times New Roman"/>
          <w:szCs w:val="20"/>
          <w:lang w:val="en-US"/>
        </w:rPr>
        <w:t xml:space="preserve"> same-sex couples since 2002.</w:t>
      </w:r>
      <w:r w:rsidRPr="002433F3">
        <w:rPr>
          <w:rStyle w:val="Refdenotaalpie"/>
          <w:lang w:val="en-US"/>
        </w:rPr>
        <w:footnoteReference w:id="103"/>
      </w:r>
      <w:r w:rsidRPr="002433F3">
        <w:rPr>
          <w:rFonts w:cs="Times New Roman"/>
          <w:szCs w:val="20"/>
          <w:lang w:val="en-US"/>
        </w:rPr>
        <w:t xml:space="preserve"> Law 1004 specifies that, in </w:t>
      </w:r>
      <w:r w:rsidR="0062770B" w:rsidRPr="002433F3">
        <w:rPr>
          <w:rFonts w:cs="Times New Roman"/>
          <w:szCs w:val="20"/>
          <w:lang w:val="en-US"/>
        </w:rPr>
        <w:t xml:space="preserve">the </w:t>
      </w:r>
      <w:r w:rsidRPr="002433F3">
        <w:rPr>
          <w:rFonts w:cs="Times New Roman"/>
          <w:szCs w:val="20"/>
          <w:lang w:val="en-US"/>
        </w:rPr>
        <w:t>exercise of rights,</w:t>
      </w:r>
      <w:r w:rsidR="0062770B" w:rsidRPr="002433F3">
        <w:rPr>
          <w:rFonts w:cs="Times New Roman"/>
          <w:szCs w:val="20"/>
          <w:lang w:val="en-US"/>
        </w:rPr>
        <w:t xml:space="preserve"> obligations and benefits, “</w:t>
      </w:r>
      <w:r w:rsidR="00870C68" w:rsidRPr="002433F3">
        <w:rPr>
          <w:rFonts w:cs="Times New Roman"/>
          <w:szCs w:val="20"/>
          <w:lang w:val="en-US"/>
        </w:rPr>
        <w:t xml:space="preserve">the </w:t>
      </w:r>
      <w:r w:rsidRPr="002433F3">
        <w:rPr>
          <w:rFonts w:cs="Times New Roman"/>
          <w:szCs w:val="20"/>
          <w:lang w:val="en-US"/>
        </w:rPr>
        <w:t xml:space="preserve">members of a civil union </w:t>
      </w:r>
      <w:r w:rsidR="000C307A" w:rsidRPr="002433F3">
        <w:rPr>
          <w:rFonts w:cs="Times New Roman"/>
          <w:szCs w:val="20"/>
          <w:lang w:val="en-US"/>
        </w:rPr>
        <w:t>shall</w:t>
      </w:r>
      <w:r w:rsidRPr="002433F3">
        <w:rPr>
          <w:rFonts w:cs="Times New Roman"/>
          <w:szCs w:val="20"/>
          <w:lang w:val="en-US"/>
        </w:rPr>
        <w:t xml:space="preserve"> be treated in a </w:t>
      </w:r>
      <w:r w:rsidR="0062770B" w:rsidRPr="002433F3">
        <w:rPr>
          <w:rFonts w:cs="Times New Roman"/>
          <w:szCs w:val="20"/>
          <w:lang w:val="en-US"/>
        </w:rPr>
        <w:t xml:space="preserve">similar </w:t>
      </w:r>
      <w:r w:rsidR="0012683A" w:rsidRPr="002433F3">
        <w:rPr>
          <w:rFonts w:cs="Times New Roman"/>
          <w:szCs w:val="20"/>
          <w:lang w:val="en-US"/>
        </w:rPr>
        <w:t>manner</w:t>
      </w:r>
      <w:r w:rsidRPr="002433F3">
        <w:rPr>
          <w:rFonts w:cs="Times New Roman"/>
          <w:szCs w:val="20"/>
          <w:lang w:val="en-US"/>
        </w:rPr>
        <w:t xml:space="preserve"> to spouses.”</w:t>
      </w:r>
      <w:r w:rsidRPr="002433F3">
        <w:rPr>
          <w:rStyle w:val="Refdenotaalpie"/>
          <w:lang w:val="en-US"/>
        </w:rPr>
        <w:footnoteReference w:id="104"/>
      </w:r>
      <w:r w:rsidRPr="002433F3">
        <w:rPr>
          <w:rFonts w:cs="Times New Roman"/>
          <w:szCs w:val="20"/>
          <w:lang w:val="en-US"/>
        </w:rPr>
        <w:t xml:space="preserve"> At national level, marriage between same-sex couples </w:t>
      </w:r>
      <w:r w:rsidR="0062770B" w:rsidRPr="002433F3">
        <w:rPr>
          <w:rFonts w:cs="Times New Roman"/>
          <w:szCs w:val="20"/>
          <w:lang w:val="en-US"/>
        </w:rPr>
        <w:t xml:space="preserve">has been </w:t>
      </w:r>
      <w:r w:rsidRPr="002433F3">
        <w:rPr>
          <w:rFonts w:cs="Times New Roman"/>
          <w:szCs w:val="20"/>
          <w:lang w:val="en-US"/>
        </w:rPr>
        <w:t>legal since 2010.</w:t>
      </w:r>
      <w:r w:rsidRPr="002433F3">
        <w:rPr>
          <w:rStyle w:val="Refdenotaalpie"/>
          <w:lang w:val="en-US"/>
        </w:rPr>
        <w:footnoteReference w:id="105"/>
      </w:r>
      <w:r w:rsidRPr="002433F3">
        <w:rPr>
          <w:rFonts w:cs="Times New Roman"/>
          <w:szCs w:val="20"/>
          <w:lang w:val="en-US"/>
        </w:rPr>
        <w:t xml:space="preserve"> </w:t>
      </w:r>
      <w:r w:rsidR="0062770B" w:rsidRPr="002433F3">
        <w:rPr>
          <w:rFonts w:cs="Times New Roman"/>
          <w:szCs w:val="20"/>
          <w:lang w:val="en-US"/>
        </w:rPr>
        <w:t>The l</w:t>
      </w:r>
      <w:r w:rsidR="000C307A" w:rsidRPr="002433F3">
        <w:rPr>
          <w:rFonts w:cs="Times New Roman"/>
          <w:szCs w:val="20"/>
          <w:lang w:val="en-US"/>
        </w:rPr>
        <w:t>aw specifies that “marriage shall</w:t>
      </w:r>
      <w:r w:rsidRPr="002433F3">
        <w:rPr>
          <w:rFonts w:cs="Times New Roman"/>
          <w:szCs w:val="20"/>
          <w:lang w:val="en-US"/>
        </w:rPr>
        <w:t xml:space="preserve"> have the same requirements and effects, regardless of whether the partners are of the same or different sexes.”</w:t>
      </w:r>
      <w:r w:rsidRPr="002433F3">
        <w:rPr>
          <w:rStyle w:val="Refdenotaalpie"/>
          <w:lang w:val="en-US"/>
        </w:rPr>
        <w:footnoteReference w:id="106"/>
      </w:r>
      <w:r w:rsidRPr="002433F3">
        <w:rPr>
          <w:rFonts w:cs="Times New Roman"/>
          <w:szCs w:val="20"/>
          <w:lang w:val="en-US"/>
        </w:rPr>
        <w:t xml:space="preserve"> In addition, since </w:t>
      </w:r>
      <w:r w:rsidRPr="002433F3">
        <w:rPr>
          <w:rFonts w:eastAsia="Times New Roman" w:cs="Times New Roman"/>
          <w:bCs/>
          <w:szCs w:val="20"/>
          <w:lang w:val="en-US"/>
        </w:rPr>
        <w:t>2008</w:t>
      </w:r>
      <w:r w:rsidRPr="002433F3">
        <w:rPr>
          <w:rFonts w:cs="Times New Roman"/>
          <w:szCs w:val="20"/>
          <w:lang w:val="en-US"/>
        </w:rPr>
        <w:t xml:space="preserve">, the Supreme </w:t>
      </w:r>
      <w:r w:rsidR="0062770B" w:rsidRPr="002433F3">
        <w:rPr>
          <w:rFonts w:cs="Times New Roman"/>
          <w:szCs w:val="20"/>
          <w:lang w:val="en-US"/>
        </w:rPr>
        <w:t xml:space="preserve">Court </w:t>
      </w:r>
      <w:r w:rsidRPr="002433F3">
        <w:rPr>
          <w:rFonts w:cs="Times New Roman"/>
          <w:szCs w:val="20"/>
          <w:lang w:val="en-US"/>
        </w:rPr>
        <w:t>of Justice ha</w:t>
      </w:r>
      <w:r w:rsidR="0062770B" w:rsidRPr="002433F3">
        <w:rPr>
          <w:rFonts w:cs="Times New Roman"/>
          <w:szCs w:val="20"/>
          <w:lang w:val="en-US"/>
        </w:rPr>
        <w:t>s</w:t>
      </w:r>
      <w:r w:rsidRPr="002433F3">
        <w:rPr>
          <w:rFonts w:cs="Times New Roman"/>
          <w:szCs w:val="20"/>
          <w:lang w:val="en-US"/>
        </w:rPr>
        <w:t xml:space="preserve"> recognized the right of </w:t>
      </w:r>
      <w:r w:rsidR="0012683A" w:rsidRPr="002433F3">
        <w:rPr>
          <w:rFonts w:cs="Times New Roman"/>
          <w:szCs w:val="20"/>
          <w:lang w:val="en-US"/>
        </w:rPr>
        <w:t>same-sex couples</w:t>
      </w:r>
      <w:r w:rsidR="0062770B" w:rsidRPr="002433F3">
        <w:rPr>
          <w:rFonts w:cs="Times New Roman"/>
          <w:szCs w:val="20"/>
          <w:lang w:val="en-US"/>
        </w:rPr>
        <w:t xml:space="preserve"> to a pension</w:t>
      </w:r>
      <w:r w:rsidRPr="002433F3">
        <w:rPr>
          <w:szCs w:val="20"/>
          <w:lang w:val="en-US"/>
        </w:rPr>
        <w:t>.</w:t>
      </w:r>
      <w:r w:rsidRPr="002433F3">
        <w:rPr>
          <w:rStyle w:val="Refdenotaalpie"/>
          <w:lang w:val="en-US"/>
        </w:rPr>
        <w:footnoteReference w:id="107"/>
      </w:r>
      <w:r w:rsidRPr="002433F3">
        <w:rPr>
          <w:rFonts w:eastAsia="Times New Roman" w:cs="Times New Roman"/>
          <w:bCs/>
          <w:sz w:val="16"/>
          <w:szCs w:val="20"/>
          <w:lang w:val="en-US"/>
        </w:rPr>
        <w:t xml:space="preserve"> </w:t>
      </w:r>
      <w:r w:rsidRPr="002433F3">
        <w:rPr>
          <w:rFonts w:cs="Times New Roman"/>
          <w:szCs w:val="20"/>
          <w:lang w:val="en-US"/>
        </w:rPr>
        <w:t xml:space="preserve">In 2011, the </w:t>
      </w:r>
      <w:r w:rsidR="0062770B" w:rsidRPr="002433F3">
        <w:rPr>
          <w:rFonts w:cs="Times New Roman"/>
          <w:szCs w:val="20"/>
          <w:lang w:val="en-US"/>
        </w:rPr>
        <w:t xml:space="preserve">Supreme Court </w:t>
      </w:r>
      <w:r w:rsidRPr="002433F3">
        <w:rPr>
          <w:rFonts w:cs="Times New Roman"/>
          <w:szCs w:val="20"/>
          <w:lang w:val="en-US"/>
        </w:rPr>
        <w:t xml:space="preserve">of Justice recognized the right </w:t>
      </w:r>
      <w:r w:rsidR="00161FB9" w:rsidRPr="002433F3">
        <w:rPr>
          <w:rFonts w:cs="Times New Roman"/>
          <w:szCs w:val="20"/>
          <w:lang w:val="en-US"/>
        </w:rPr>
        <w:t xml:space="preserve">of same-sex couples </w:t>
      </w:r>
      <w:r w:rsidRPr="002433F3">
        <w:rPr>
          <w:rFonts w:cs="Times New Roman"/>
          <w:szCs w:val="20"/>
          <w:lang w:val="en-US"/>
        </w:rPr>
        <w:t>to retroactive payment</w:t>
      </w:r>
      <w:r w:rsidR="00161FB9" w:rsidRPr="002433F3">
        <w:rPr>
          <w:rFonts w:cs="Times New Roman"/>
          <w:szCs w:val="20"/>
          <w:lang w:val="en-US"/>
        </w:rPr>
        <w:t>s</w:t>
      </w:r>
      <w:r w:rsidRPr="002433F3">
        <w:rPr>
          <w:rFonts w:cs="Times New Roman"/>
          <w:szCs w:val="20"/>
          <w:lang w:val="en-US"/>
        </w:rPr>
        <w:t xml:space="preserve"> of a </w:t>
      </w:r>
      <w:r w:rsidR="0012683A" w:rsidRPr="002433F3">
        <w:rPr>
          <w:rFonts w:cs="Times New Roman"/>
          <w:szCs w:val="20"/>
          <w:lang w:val="en-US"/>
        </w:rPr>
        <w:t xml:space="preserve">survivor’s </w:t>
      </w:r>
      <w:r w:rsidRPr="002433F3">
        <w:rPr>
          <w:rFonts w:cs="Times New Roman"/>
          <w:szCs w:val="20"/>
          <w:lang w:val="en-US"/>
        </w:rPr>
        <w:t xml:space="preserve">pension </w:t>
      </w:r>
      <w:r w:rsidR="00161FB9" w:rsidRPr="002433F3">
        <w:rPr>
          <w:rFonts w:cs="Times New Roman"/>
          <w:szCs w:val="20"/>
          <w:lang w:val="en-US"/>
        </w:rPr>
        <w:t xml:space="preserve">after </w:t>
      </w:r>
      <w:r w:rsidR="0012683A" w:rsidRPr="002433F3">
        <w:rPr>
          <w:rFonts w:cs="Times New Roman"/>
          <w:szCs w:val="20"/>
          <w:lang w:val="en-US"/>
        </w:rPr>
        <w:t xml:space="preserve">the </w:t>
      </w:r>
      <w:r w:rsidRPr="002433F3">
        <w:rPr>
          <w:rFonts w:cs="Times New Roman"/>
          <w:szCs w:val="20"/>
          <w:lang w:val="en-US"/>
        </w:rPr>
        <w:t xml:space="preserve">death of </w:t>
      </w:r>
      <w:r w:rsidR="000C307A" w:rsidRPr="002433F3">
        <w:rPr>
          <w:rFonts w:cs="Times New Roman"/>
          <w:szCs w:val="20"/>
          <w:lang w:val="en-US"/>
        </w:rPr>
        <w:t>their</w:t>
      </w:r>
      <w:r w:rsidR="0012683A" w:rsidRPr="002433F3">
        <w:rPr>
          <w:rFonts w:cs="Times New Roman"/>
          <w:szCs w:val="20"/>
          <w:lang w:val="en-US"/>
        </w:rPr>
        <w:t xml:space="preserve"> partner.</w:t>
      </w:r>
      <w:r w:rsidRPr="002433F3">
        <w:rPr>
          <w:rStyle w:val="Refdenotaalpie"/>
          <w:lang w:val="en-US"/>
        </w:rPr>
        <w:footnoteReference w:id="108"/>
      </w:r>
    </w:p>
    <w:p w14:paraId="12B7BE29" w14:textId="77777777" w:rsidR="007B0DE4" w:rsidRPr="002433F3" w:rsidRDefault="007B0DE4" w:rsidP="007B0DE4">
      <w:pPr>
        <w:pStyle w:val="PrrafodeSentencia0"/>
        <w:rPr>
          <w:noProof w:val="0"/>
          <w:lang w:val="en-US"/>
        </w:rPr>
      </w:pPr>
      <w:r w:rsidRPr="002433F3">
        <w:rPr>
          <w:noProof w:val="0"/>
          <w:lang w:val="en-US"/>
        </w:rPr>
        <w:lastRenderedPageBreak/>
        <w:t xml:space="preserve">In Brazil, </w:t>
      </w:r>
      <w:r w:rsidRPr="002433F3">
        <w:rPr>
          <w:rFonts w:cs="Arial"/>
          <w:noProof w:val="0"/>
          <w:lang w:val="en-US"/>
        </w:rPr>
        <w:t xml:space="preserve">an executive decree </w:t>
      </w:r>
      <w:r w:rsidR="00161FB9" w:rsidRPr="002433F3">
        <w:rPr>
          <w:noProof w:val="0"/>
          <w:lang w:val="en-US"/>
        </w:rPr>
        <w:t xml:space="preserve">dated December </w:t>
      </w:r>
      <w:r w:rsidR="00161FB9" w:rsidRPr="002433F3">
        <w:rPr>
          <w:rFonts w:cs="Arial"/>
          <w:noProof w:val="0"/>
          <w:lang w:val="en-US"/>
        </w:rPr>
        <w:t xml:space="preserve">10, 2010, </w:t>
      </w:r>
      <w:r w:rsidRPr="002433F3">
        <w:rPr>
          <w:rFonts w:cs="Arial"/>
          <w:noProof w:val="0"/>
          <w:lang w:val="en-US"/>
        </w:rPr>
        <w:t xml:space="preserve">recognized the right of </w:t>
      </w:r>
      <w:r w:rsidRPr="002433F3">
        <w:rPr>
          <w:noProof w:val="0"/>
          <w:lang w:val="en-US"/>
        </w:rPr>
        <w:t>same-sex couples to receive a pension upon the death of their partner.</w:t>
      </w:r>
      <w:r w:rsidRPr="002433F3">
        <w:rPr>
          <w:rStyle w:val="Refdenotaalpie"/>
          <w:noProof w:val="0"/>
          <w:lang w:val="en-US"/>
        </w:rPr>
        <w:footnoteReference w:id="109"/>
      </w:r>
      <w:r w:rsidRPr="002433F3">
        <w:rPr>
          <w:noProof w:val="0"/>
          <w:lang w:val="en-US"/>
        </w:rPr>
        <w:t xml:space="preserve"> In addition</w:t>
      </w:r>
      <w:r w:rsidR="0012683A" w:rsidRPr="002433F3">
        <w:rPr>
          <w:noProof w:val="0"/>
          <w:lang w:val="en-US"/>
        </w:rPr>
        <w:t xml:space="preserve">, on May 5, 2011, the </w:t>
      </w:r>
      <w:r w:rsidRPr="002433F3">
        <w:rPr>
          <w:noProof w:val="0"/>
          <w:lang w:val="en-US"/>
        </w:rPr>
        <w:t>Supreme Federal Court recognized same-sex couples and granted them the same rights as heterosexual couples</w:t>
      </w:r>
      <w:r w:rsidR="000A4655" w:rsidRPr="002433F3">
        <w:rPr>
          <w:noProof w:val="0"/>
          <w:lang w:val="en-US"/>
        </w:rPr>
        <w:t>.</w:t>
      </w:r>
      <w:r w:rsidRPr="002433F3">
        <w:rPr>
          <w:rStyle w:val="Refdenotaalpie"/>
          <w:noProof w:val="0"/>
          <w:lang w:val="en-US"/>
        </w:rPr>
        <w:footnoteReference w:id="110"/>
      </w:r>
      <w:r w:rsidRPr="002433F3">
        <w:rPr>
          <w:noProof w:val="0"/>
          <w:lang w:val="en-US"/>
        </w:rPr>
        <w:t xml:space="preserve"> </w:t>
      </w:r>
      <w:r w:rsidR="000A4655" w:rsidRPr="002433F3">
        <w:rPr>
          <w:noProof w:val="0"/>
          <w:lang w:val="en-US"/>
        </w:rPr>
        <w:t xml:space="preserve">Similarly, </w:t>
      </w:r>
      <w:r w:rsidRPr="002433F3">
        <w:rPr>
          <w:noProof w:val="0"/>
          <w:lang w:val="en-US"/>
        </w:rPr>
        <w:t xml:space="preserve">on May </w:t>
      </w:r>
      <w:r w:rsidRPr="002433F3">
        <w:rPr>
          <w:rFonts w:cs="Tahoma"/>
          <w:noProof w:val="0"/>
          <w:lang w:val="en-US"/>
        </w:rPr>
        <w:t xml:space="preserve">14, 2013, the </w:t>
      </w:r>
      <w:r w:rsidRPr="002433F3">
        <w:rPr>
          <w:rFonts w:eastAsia="Batang"/>
          <w:bCs w:val="0"/>
          <w:noProof w:val="0"/>
          <w:lang w:val="en-US" w:eastAsia="en-US"/>
        </w:rPr>
        <w:t>National Council of Justice</w:t>
      </w:r>
      <w:r w:rsidR="000A4655" w:rsidRPr="002433F3">
        <w:rPr>
          <w:noProof w:val="0"/>
          <w:lang w:val="en-US"/>
        </w:rPr>
        <w:t xml:space="preserve"> declared that</w:t>
      </w:r>
      <w:r w:rsidR="00660EE5" w:rsidRPr="002433F3">
        <w:rPr>
          <w:noProof w:val="0"/>
          <w:lang w:val="en-US"/>
        </w:rPr>
        <w:t>,</w:t>
      </w:r>
      <w:r w:rsidR="000A4655" w:rsidRPr="002433F3">
        <w:rPr>
          <w:noProof w:val="0"/>
          <w:lang w:val="en-US"/>
        </w:rPr>
        <w:t xml:space="preserve"> </w:t>
      </w:r>
      <w:r w:rsidRPr="002433F3">
        <w:rPr>
          <w:noProof w:val="0"/>
          <w:lang w:val="en-US"/>
        </w:rPr>
        <w:t xml:space="preserve">based on the </w:t>
      </w:r>
      <w:r w:rsidR="000A4655" w:rsidRPr="002433F3">
        <w:rPr>
          <w:noProof w:val="0"/>
          <w:lang w:val="en-US"/>
        </w:rPr>
        <w:t>principle of non-discrimination,</w:t>
      </w:r>
      <w:r w:rsidRPr="002433F3">
        <w:rPr>
          <w:rStyle w:val="Refdenotaalpie"/>
          <w:rFonts w:cs="Tahoma"/>
          <w:noProof w:val="0"/>
          <w:lang w:val="en-US"/>
        </w:rPr>
        <w:footnoteReference w:id="111"/>
      </w:r>
      <w:r w:rsidR="000A4655" w:rsidRPr="002433F3">
        <w:rPr>
          <w:noProof w:val="0"/>
          <w:lang w:val="en-US"/>
        </w:rPr>
        <w:t xml:space="preserve"> marriage or </w:t>
      </w:r>
      <w:r w:rsidR="000A4655" w:rsidRPr="002433F3">
        <w:rPr>
          <w:i/>
          <w:noProof w:val="0"/>
          <w:lang w:val="en-US"/>
        </w:rPr>
        <w:t xml:space="preserve">de facto </w:t>
      </w:r>
      <w:r w:rsidR="000A4655" w:rsidRPr="002433F3">
        <w:rPr>
          <w:noProof w:val="0"/>
          <w:lang w:val="en-US"/>
        </w:rPr>
        <w:t>unions c</w:t>
      </w:r>
      <w:r w:rsidR="00660EE5" w:rsidRPr="002433F3">
        <w:rPr>
          <w:noProof w:val="0"/>
          <w:lang w:val="en-US"/>
        </w:rPr>
        <w:t xml:space="preserve">ould </w:t>
      </w:r>
      <w:r w:rsidR="000A4655" w:rsidRPr="002433F3">
        <w:rPr>
          <w:noProof w:val="0"/>
          <w:lang w:val="en-US"/>
        </w:rPr>
        <w:t>not be denied to same-sex couples</w:t>
      </w:r>
      <w:r w:rsidR="00F07092" w:rsidRPr="002433F3">
        <w:rPr>
          <w:noProof w:val="0"/>
          <w:lang w:val="en-US"/>
        </w:rPr>
        <w:t>.</w:t>
      </w:r>
    </w:p>
    <w:p w14:paraId="2E06E3FE" w14:textId="77777777" w:rsidR="007B0DE4" w:rsidRPr="002433F3" w:rsidRDefault="0014578C" w:rsidP="007B0DE4">
      <w:pPr>
        <w:numPr>
          <w:ilvl w:val="0"/>
          <w:numId w:val="2"/>
        </w:numPr>
        <w:spacing w:before="120" w:after="120"/>
        <w:rPr>
          <w:rFonts w:cs="Times New Roman"/>
          <w:szCs w:val="20"/>
          <w:lang w:val="en-US"/>
        </w:rPr>
      </w:pPr>
      <w:r w:rsidRPr="002433F3">
        <w:rPr>
          <w:rFonts w:cs="Times New Roman"/>
          <w:szCs w:val="20"/>
          <w:lang w:val="en-US"/>
        </w:rPr>
        <w:t>Likewise, i</w:t>
      </w:r>
      <w:r w:rsidR="007B0DE4" w:rsidRPr="002433F3">
        <w:rPr>
          <w:rFonts w:cs="Times New Roman"/>
          <w:szCs w:val="20"/>
          <w:lang w:val="en-US"/>
        </w:rPr>
        <w:t xml:space="preserve">n Chile, </w:t>
      </w:r>
      <w:r w:rsidR="006540E8" w:rsidRPr="002433F3">
        <w:rPr>
          <w:rFonts w:cs="Times New Roman"/>
          <w:szCs w:val="20"/>
          <w:lang w:val="en-US"/>
        </w:rPr>
        <w:t xml:space="preserve">same-sex </w:t>
      </w:r>
      <w:r w:rsidR="007B0DE4" w:rsidRPr="002433F3">
        <w:rPr>
          <w:rFonts w:cs="Times New Roman"/>
          <w:szCs w:val="20"/>
          <w:lang w:val="en-US"/>
        </w:rPr>
        <w:t xml:space="preserve">civil partners have </w:t>
      </w:r>
      <w:r w:rsidR="00F604A2" w:rsidRPr="002433F3">
        <w:rPr>
          <w:rFonts w:cs="Times New Roman"/>
          <w:szCs w:val="20"/>
          <w:lang w:val="en-US"/>
        </w:rPr>
        <w:t xml:space="preserve">enjoyed </w:t>
      </w:r>
      <w:r w:rsidR="007B0DE4" w:rsidRPr="002433F3">
        <w:rPr>
          <w:rFonts w:cs="Times New Roman"/>
          <w:szCs w:val="20"/>
          <w:lang w:val="en-US"/>
        </w:rPr>
        <w:t>the same pension rights as heterosexual couples</w:t>
      </w:r>
      <w:r w:rsidR="00F604A2" w:rsidRPr="002433F3">
        <w:rPr>
          <w:rFonts w:cs="Times New Roman"/>
          <w:szCs w:val="20"/>
          <w:lang w:val="en-US"/>
        </w:rPr>
        <w:t xml:space="preserve"> since October 2015.</w:t>
      </w:r>
      <w:r w:rsidR="007B0DE4" w:rsidRPr="002433F3">
        <w:rPr>
          <w:rStyle w:val="Refdenotaalpie"/>
          <w:rFonts w:cs="Tahoma"/>
          <w:lang w:val="en-US"/>
        </w:rPr>
        <w:footnoteReference w:id="112"/>
      </w:r>
    </w:p>
    <w:p w14:paraId="59654A7C" w14:textId="77777777" w:rsidR="007B0DE4" w:rsidRPr="002433F3" w:rsidRDefault="00E12F20" w:rsidP="007B0DE4">
      <w:pPr>
        <w:numPr>
          <w:ilvl w:val="0"/>
          <w:numId w:val="2"/>
        </w:numPr>
        <w:spacing w:before="120" w:after="120"/>
        <w:rPr>
          <w:lang w:val="en-US"/>
        </w:rPr>
      </w:pPr>
      <w:r w:rsidRPr="002433F3">
        <w:rPr>
          <w:lang w:val="en-US"/>
        </w:rPr>
        <w:t>For its part</w:t>
      </w:r>
      <w:r w:rsidR="007B0DE4" w:rsidRPr="002433F3">
        <w:rPr>
          <w:lang w:val="en-US"/>
        </w:rPr>
        <w:t xml:space="preserve">, the Supreme Court of Justice of the United States has analyzed </w:t>
      </w:r>
      <w:r w:rsidR="006906A7" w:rsidRPr="002433F3">
        <w:rPr>
          <w:lang w:val="en-US"/>
        </w:rPr>
        <w:t xml:space="preserve">the </w:t>
      </w:r>
      <w:r w:rsidR="007B0DE4" w:rsidRPr="002433F3">
        <w:rPr>
          <w:lang w:val="en-US"/>
        </w:rPr>
        <w:t>principles and traditions</w:t>
      </w:r>
      <w:r w:rsidRPr="002433F3">
        <w:rPr>
          <w:lang w:val="en-US"/>
        </w:rPr>
        <w:t xml:space="preserve"> that </w:t>
      </w:r>
      <w:r w:rsidR="006906A7" w:rsidRPr="002433F3">
        <w:rPr>
          <w:lang w:val="en-US"/>
        </w:rPr>
        <w:t xml:space="preserve">must be </w:t>
      </w:r>
      <w:r w:rsidRPr="002433F3">
        <w:rPr>
          <w:lang w:val="en-US"/>
        </w:rPr>
        <w:t xml:space="preserve">considered </w:t>
      </w:r>
      <w:r w:rsidR="007B0DE4" w:rsidRPr="002433F3">
        <w:rPr>
          <w:lang w:val="en-US"/>
        </w:rPr>
        <w:t xml:space="preserve">to demonstrate that the protection of the right to marry applies equally to same-sex couples. In that </w:t>
      </w:r>
      <w:r w:rsidR="00AA77B3" w:rsidRPr="002433F3">
        <w:rPr>
          <w:lang w:val="en-US"/>
        </w:rPr>
        <w:t>regard</w:t>
      </w:r>
      <w:r w:rsidR="007B0DE4" w:rsidRPr="002433F3">
        <w:rPr>
          <w:szCs w:val="16"/>
          <w:lang w:val="en-US"/>
        </w:rPr>
        <w:t xml:space="preserve">, the Supreme Court has determined that </w:t>
      </w:r>
      <w:r w:rsidR="00FC5F11" w:rsidRPr="002433F3">
        <w:rPr>
          <w:szCs w:val="16"/>
          <w:lang w:val="en-US"/>
        </w:rPr>
        <w:t>while individual S</w:t>
      </w:r>
      <w:r w:rsidR="007B0DE4" w:rsidRPr="002433F3">
        <w:rPr>
          <w:szCs w:val="16"/>
          <w:lang w:val="en-US"/>
        </w:rPr>
        <w:t xml:space="preserve">tates within the </w:t>
      </w:r>
      <w:r w:rsidR="00F07092" w:rsidRPr="002433F3">
        <w:rPr>
          <w:szCs w:val="16"/>
          <w:lang w:val="en-US"/>
        </w:rPr>
        <w:t xml:space="preserve">territory of the </w:t>
      </w:r>
      <w:r w:rsidR="007B0DE4" w:rsidRPr="002433F3">
        <w:rPr>
          <w:szCs w:val="16"/>
          <w:lang w:val="en-US"/>
        </w:rPr>
        <w:t xml:space="preserve">United States </w:t>
      </w:r>
      <w:r w:rsidR="00F07092" w:rsidRPr="002433F3">
        <w:rPr>
          <w:szCs w:val="16"/>
          <w:lang w:val="en-US"/>
        </w:rPr>
        <w:t>“</w:t>
      </w:r>
      <w:r w:rsidR="00FC5F11" w:rsidRPr="002433F3">
        <w:rPr>
          <w:szCs w:val="16"/>
          <w:lang w:val="en-US"/>
        </w:rPr>
        <w:t xml:space="preserve">are, </w:t>
      </w:r>
      <w:r w:rsidR="007B0DE4" w:rsidRPr="002433F3">
        <w:rPr>
          <w:szCs w:val="16"/>
          <w:lang w:val="en-US"/>
        </w:rPr>
        <w:t xml:space="preserve">in general, free to vary the benefits </w:t>
      </w:r>
      <w:r w:rsidR="00FC5F11" w:rsidRPr="002433F3">
        <w:rPr>
          <w:szCs w:val="16"/>
          <w:lang w:val="en-US"/>
        </w:rPr>
        <w:t xml:space="preserve">they confer on </w:t>
      </w:r>
      <w:r w:rsidR="007B0DE4" w:rsidRPr="002433F3">
        <w:rPr>
          <w:szCs w:val="16"/>
          <w:lang w:val="en-US"/>
        </w:rPr>
        <w:t xml:space="preserve">all married couples, </w:t>
      </w:r>
      <w:r w:rsidR="00FC5F11" w:rsidRPr="002433F3">
        <w:rPr>
          <w:szCs w:val="16"/>
          <w:lang w:val="en-US"/>
        </w:rPr>
        <w:t xml:space="preserve">they have throughout our history made marriage the basis for an </w:t>
      </w:r>
      <w:r w:rsidR="007B2DC9" w:rsidRPr="002433F3">
        <w:rPr>
          <w:szCs w:val="16"/>
          <w:lang w:val="en-US"/>
        </w:rPr>
        <w:t>expanding</w:t>
      </w:r>
      <w:r w:rsidR="007B0DE4" w:rsidRPr="002433F3">
        <w:rPr>
          <w:szCs w:val="16"/>
          <w:lang w:val="en-US"/>
        </w:rPr>
        <w:t xml:space="preserve"> list of governmental</w:t>
      </w:r>
      <w:r w:rsidR="00F15571" w:rsidRPr="002433F3">
        <w:rPr>
          <w:szCs w:val="16"/>
          <w:lang w:val="en-US"/>
        </w:rPr>
        <w:t xml:space="preserve"> rights</w:t>
      </w:r>
      <w:r w:rsidR="007B0DE4" w:rsidRPr="002433F3">
        <w:rPr>
          <w:szCs w:val="16"/>
          <w:lang w:val="en-US"/>
        </w:rPr>
        <w:t>, benefits and responsibilities</w:t>
      </w:r>
      <w:r w:rsidR="00FC5F11" w:rsidRPr="002433F3">
        <w:rPr>
          <w:szCs w:val="16"/>
          <w:lang w:val="en-US"/>
        </w:rPr>
        <w:t>.</w:t>
      </w:r>
      <w:r w:rsidR="006906A7" w:rsidRPr="002433F3">
        <w:rPr>
          <w:szCs w:val="16"/>
          <w:lang w:val="en-US"/>
        </w:rPr>
        <w:t xml:space="preserve"> </w:t>
      </w:r>
      <w:r w:rsidR="00FC5F11" w:rsidRPr="002433F3">
        <w:rPr>
          <w:lang w:val="en-US"/>
        </w:rPr>
        <w:t>These aspects of marital status include: taxation; inheritance and property rights; rules of intestate succession; spousal privilege in the law of evidence; hospital access; medical decision-making authority; adoption rights; the rights and benefits of survivors; birth and death certificates; professional ethics rules; campaign finance restrictions; workers’ compensation benefits; health insurance; and child custody, support, and visitation rules.</w:t>
      </w:r>
      <w:r w:rsidR="00FC5F11" w:rsidRPr="002433F3">
        <w:rPr>
          <w:szCs w:val="16"/>
          <w:lang w:val="en-US"/>
        </w:rPr>
        <w:t>”</w:t>
      </w:r>
      <w:r w:rsidR="007B0DE4" w:rsidRPr="002433F3">
        <w:rPr>
          <w:rStyle w:val="Refdenotaalpie"/>
          <w:szCs w:val="16"/>
          <w:lang w:val="en-US"/>
        </w:rPr>
        <w:footnoteReference w:id="113"/>
      </w:r>
    </w:p>
    <w:p w14:paraId="1DE74E44" w14:textId="77777777" w:rsidR="007B0DE4" w:rsidRPr="002433F3" w:rsidRDefault="007B0DE4" w:rsidP="007B0DE4">
      <w:pPr>
        <w:numPr>
          <w:ilvl w:val="0"/>
          <w:numId w:val="2"/>
        </w:numPr>
        <w:spacing w:before="120" w:after="120"/>
        <w:rPr>
          <w:rFonts w:cs="Times New Roman"/>
          <w:szCs w:val="20"/>
          <w:lang w:val="en-US"/>
        </w:rPr>
      </w:pPr>
      <w:r w:rsidRPr="002433F3">
        <w:rPr>
          <w:szCs w:val="20"/>
          <w:lang w:val="en-US"/>
        </w:rPr>
        <w:t xml:space="preserve">In the case of Colombia, the Constitutional Court has </w:t>
      </w:r>
      <w:r w:rsidR="00D93217" w:rsidRPr="002433F3">
        <w:rPr>
          <w:szCs w:val="20"/>
          <w:lang w:val="en-US"/>
        </w:rPr>
        <w:t xml:space="preserve">stated </w:t>
      </w:r>
      <w:r w:rsidRPr="002433F3">
        <w:rPr>
          <w:szCs w:val="20"/>
          <w:lang w:val="en-US"/>
        </w:rPr>
        <w:t>that the possibility of obtain</w:t>
      </w:r>
      <w:r w:rsidR="006D43C3" w:rsidRPr="002433F3">
        <w:rPr>
          <w:szCs w:val="20"/>
          <w:lang w:val="en-US"/>
        </w:rPr>
        <w:t>ing</w:t>
      </w:r>
      <w:r w:rsidRPr="002433F3">
        <w:rPr>
          <w:szCs w:val="20"/>
          <w:lang w:val="en-US"/>
        </w:rPr>
        <w:t xml:space="preserve"> </w:t>
      </w:r>
      <w:r w:rsidR="00917A47" w:rsidRPr="002433F3">
        <w:rPr>
          <w:szCs w:val="20"/>
          <w:lang w:val="en-US"/>
        </w:rPr>
        <w:t xml:space="preserve">a dower (portion of the </w:t>
      </w:r>
      <w:r w:rsidR="00A25573" w:rsidRPr="002433F3">
        <w:rPr>
          <w:szCs w:val="20"/>
          <w:lang w:val="en-US"/>
        </w:rPr>
        <w:t xml:space="preserve">deceased person’s </w:t>
      </w:r>
      <w:r w:rsidR="00917A47" w:rsidRPr="002433F3">
        <w:rPr>
          <w:szCs w:val="20"/>
          <w:lang w:val="en-US"/>
        </w:rPr>
        <w:t>property</w:t>
      </w:r>
      <w:r w:rsidR="00A25573" w:rsidRPr="002433F3">
        <w:rPr>
          <w:szCs w:val="20"/>
          <w:lang w:val="en-US"/>
        </w:rPr>
        <w:t xml:space="preserve"> awarded to the spouse) cannot be conditioned by a</w:t>
      </w:r>
      <w:r w:rsidRPr="002433F3">
        <w:rPr>
          <w:szCs w:val="20"/>
          <w:lang w:val="en-US"/>
        </w:rPr>
        <w:t xml:space="preserve"> </w:t>
      </w:r>
      <w:r w:rsidR="00A25573" w:rsidRPr="002433F3">
        <w:rPr>
          <w:szCs w:val="20"/>
          <w:lang w:val="en-US"/>
        </w:rPr>
        <w:t xml:space="preserve">couple’s </w:t>
      </w:r>
      <w:r w:rsidRPr="002433F3">
        <w:rPr>
          <w:szCs w:val="20"/>
          <w:lang w:val="en-US"/>
        </w:rPr>
        <w:t xml:space="preserve">sexual orientation, </w:t>
      </w:r>
      <w:r w:rsidR="00287F0B" w:rsidRPr="002433F3">
        <w:rPr>
          <w:szCs w:val="20"/>
          <w:lang w:val="en-US"/>
        </w:rPr>
        <w:t xml:space="preserve">since the purpose of </w:t>
      </w:r>
      <w:r w:rsidRPr="002433F3">
        <w:rPr>
          <w:szCs w:val="20"/>
          <w:lang w:val="en-US"/>
        </w:rPr>
        <w:t xml:space="preserve">this </w:t>
      </w:r>
      <w:r w:rsidR="001F183D" w:rsidRPr="002433F3">
        <w:rPr>
          <w:szCs w:val="20"/>
          <w:lang w:val="en-US"/>
        </w:rPr>
        <w:t>mechanism is to balance</w:t>
      </w:r>
      <w:r w:rsidRPr="002433F3">
        <w:rPr>
          <w:szCs w:val="20"/>
          <w:lang w:val="en-US"/>
        </w:rPr>
        <w:t xml:space="preserve"> the </w:t>
      </w:r>
      <w:r w:rsidR="001F183D" w:rsidRPr="002433F3">
        <w:rPr>
          <w:szCs w:val="20"/>
          <w:lang w:val="en-US"/>
        </w:rPr>
        <w:t>burdens</w:t>
      </w:r>
      <w:r w:rsidRPr="002433F3">
        <w:rPr>
          <w:szCs w:val="20"/>
          <w:lang w:val="en-US"/>
        </w:rPr>
        <w:t xml:space="preserve"> </w:t>
      </w:r>
      <w:r w:rsidR="00EB1489" w:rsidRPr="002433F3">
        <w:rPr>
          <w:szCs w:val="20"/>
          <w:lang w:val="en-US"/>
        </w:rPr>
        <w:t xml:space="preserve">that accompany the </w:t>
      </w:r>
      <w:r w:rsidRPr="002433F3">
        <w:rPr>
          <w:szCs w:val="20"/>
          <w:lang w:val="en-US"/>
        </w:rPr>
        <w:t>decision to share a life in common.</w:t>
      </w:r>
      <w:r w:rsidRPr="002433F3">
        <w:rPr>
          <w:rStyle w:val="Refdenotaalpie"/>
          <w:lang w:val="en-US"/>
        </w:rPr>
        <w:footnoteReference w:id="114"/>
      </w:r>
    </w:p>
    <w:p w14:paraId="4DB24AAA" w14:textId="77777777" w:rsidR="007B0DE4" w:rsidRPr="002433F3" w:rsidRDefault="00FC5F11" w:rsidP="007B0DE4">
      <w:pPr>
        <w:numPr>
          <w:ilvl w:val="0"/>
          <w:numId w:val="2"/>
        </w:numPr>
        <w:spacing w:before="120" w:after="120"/>
        <w:rPr>
          <w:rFonts w:cs="Times New Roman"/>
          <w:szCs w:val="20"/>
          <w:lang w:val="en-US"/>
        </w:rPr>
      </w:pPr>
      <w:r w:rsidRPr="002433F3">
        <w:rPr>
          <w:szCs w:val="20"/>
          <w:lang w:val="en-US"/>
        </w:rPr>
        <w:t>In j</w:t>
      </w:r>
      <w:r w:rsidR="007B0DE4" w:rsidRPr="002433F3">
        <w:rPr>
          <w:szCs w:val="20"/>
          <w:lang w:val="en-US"/>
        </w:rPr>
        <w:t xml:space="preserve">udgment C-336 of 2008 </w:t>
      </w:r>
      <w:r w:rsidR="001F183D" w:rsidRPr="002433F3">
        <w:rPr>
          <w:szCs w:val="20"/>
          <w:lang w:val="en-US"/>
        </w:rPr>
        <w:t xml:space="preserve">concerning </w:t>
      </w:r>
      <w:r w:rsidR="007B0DE4" w:rsidRPr="002433F3">
        <w:rPr>
          <w:szCs w:val="20"/>
          <w:lang w:val="en-US"/>
        </w:rPr>
        <w:t xml:space="preserve">survivor’s pensions for same-sex couples </w:t>
      </w:r>
      <w:r w:rsidR="001F183D" w:rsidRPr="002433F3">
        <w:rPr>
          <w:szCs w:val="20"/>
          <w:lang w:val="en-US"/>
        </w:rPr>
        <w:t xml:space="preserve">the Constitutional Court </w:t>
      </w:r>
      <w:r w:rsidR="00E21C9F" w:rsidRPr="002433F3">
        <w:rPr>
          <w:szCs w:val="20"/>
          <w:lang w:val="en-US"/>
        </w:rPr>
        <w:t xml:space="preserve">stated </w:t>
      </w:r>
      <w:r w:rsidR="007B0DE4" w:rsidRPr="002433F3">
        <w:rPr>
          <w:szCs w:val="20"/>
          <w:lang w:val="en-US"/>
        </w:rPr>
        <w:t xml:space="preserve">that “the right to the free development of the personality implies autonomy for individuals </w:t>
      </w:r>
      <w:r w:rsidR="00BE4E7A" w:rsidRPr="002433F3">
        <w:rPr>
          <w:szCs w:val="20"/>
          <w:lang w:val="en-US"/>
        </w:rPr>
        <w:t xml:space="preserve">so </w:t>
      </w:r>
      <w:r w:rsidR="0089213D" w:rsidRPr="002433F3">
        <w:rPr>
          <w:szCs w:val="20"/>
          <w:lang w:val="en-US"/>
        </w:rPr>
        <w:t xml:space="preserve">that they </w:t>
      </w:r>
      <w:r w:rsidR="007B0DE4" w:rsidRPr="002433F3">
        <w:rPr>
          <w:szCs w:val="20"/>
          <w:lang w:val="en-US"/>
        </w:rPr>
        <w:t xml:space="preserve">can </w:t>
      </w:r>
      <w:r w:rsidR="0089213D" w:rsidRPr="002433F3">
        <w:rPr>
          <w:szCs w:val="20"/>
          <w:lang w:val="en-US"/>
        </w:rPr>
        <w:t xml:space="preserve">make their own </w:t>
      </w:r>
      <w:r w:rsidR="00E21C9F" w:rsidRPr="002433F3">
        <w:rPr>
          <w:szCs w:val="20"/>
          <w:lang w:val="en-US"/>
        </w:rPr>
        <w:t>life choices. T</w:t>
      </w:r>
      <w:r w:rsidR="007B0DE4" w:rsidRPr="002433F3">
        <w:rPr>
          <w:szCs w:val="20"/>
          <w:lang w:val="en-US"/>
        </w:rPr>
        <w:t xml:space="preserve">he State must </w:t>
      </w:r>
      <w:r w:rsidR="0089213D" w:rsidRPr="002433F3">
        <w:rPr>
          <w:szCs w:val="20"/>
          <w:lang w:val="en-US"/>
        </w:rPr>
        <w:t xml:space="preserve">provide </w:t>
      </w:r>
      <w:r w:rsidR="007B0DE4" w:rsidRPr="002433F3">
        <w:rPr>
          <w:szCs w:val="20"/>
          <w:lang w:val="en-US"/>
        </w:rPr>
        <w:t xml:space="preserve">conditions </w:t>
      </w:r>
      <w:r w:rsidR="0089213D" w:rsidRPr="002433F3">
        <w:rPr>
          <w:szCs w:val="20"/>
          <w:lang w:val="en-US"/>
        </w:rPr>
        <w:t xml:space="preserve">to </w:t>
      </w:r>
      <w:r w:rsidR="007B0DE4" w:rsidRPr="002433F3">
        <w:rPr>
          <w:szCs w:val="20"/>
          <w:lang w:val="en-US"/>
        </w:rPr>
        <w:t xml:space="preserve">exercise </w:t>
      </w:r>
      <w:r w:rsidR="00F07092" w:rsidRPr="002433F3">
        <w:rPr>
          <w:szCs w:val="20"/>
          <w:lang w:val="en-US"/>
        </w:rPr>
        <w:t>that</w:t>
      </w:r>
      <w:r w:rsidR="0089213D" w:rsidRPr="002433F3">
        <w:rPr>
          <w:szCs w:val="20"/>
          <w:lang w:val="en-US"/>
        </w:rPr>
        <w:t xml:space="preserve"> right, offering similar judicial treatment to</w:t>
      </w:r>
      <w:r w:rsidR="007B0DE4" w:rsidRPr="002433F3">
        <w:rPr>
          <w:szCs w:val="20"/>
          <w:lang w:val="en-US"/>
        </w:rPr>
        <w:t xml:space="preserve"> all persons regardless of their sexual orientation, </w:t>
      </w:r>
      <w:r w:rsidR="0089213D" w:rsidRPr="002433F3">
        <w:rPr>
          <w:szCs w:val="20"/>
          <w:lang w:val="en-US"/>
        </w:rPr>
        <w:t>given that a difference in</w:t>
      </w:r>
      <w:r w:rsidR="007B0DE4" w:rsidRPr="002433F3">
        <w:rPr>
          <w:szCs w:val="20"/>
          <w:lang w:val="en-US"/>
        </w:rPr>
        <w:t xml:space="preserve"> treatment before the law based exclusively o</w:t>
      </w:r>
      <w:r w:rsidR="0089213D" w:rsidRPr="002433F3">
        <w:rPr>
          <w:szCs w:val="20"/>
          <w:lang w:val="en-US"/>
        </w:rPr>
        <w:t xml:space="preserve">n a person’s sexual orientation </w:t>
      </w:r>
      <w:r w:rsidR="0089213D" w:rsidRPr="002433F3">
        <w:rPr>
          <w:szCs w:val="20"/>
          <w:lang w:val="en-GB"/>
        </w:rPr>
        <w:t xml:space="preserve">[…] </w:t>
      </w:r>
      <w:r w:rsidR="0089213D" w:rsidRPr="002433F3">
        <w:rPr>
          <w:szCs w:val="20"/>
          <w:lang w:val="en-US"/>
        </w:rPr>
        <w:t>implies the</w:t>
      </w:r>
      <w:r w:rsidR="007B0DE4" w:rsidRPr="002433F3">
        <w:rPr>
          <w:szCs w:val="20"/>
          <w:lang w:val="en-US"/>
        </w:rPr>
        <w:t xml:space="preserve"> denial of the validity of their life choices and</w:t>
      </w:r>
      <w:r w:rsidR="0089213D" w:rsidRPr="002433F3">
        <w:rPr>
          <w:szCs w:val="20"/>
          <w:lang w:val="en-US"/>
        </w:rPr>
        <w:t xml:space="preserve"> a </w:t>
      </w:r>
      <w:r w:rsidR="00BE4E7A" w:rsidRPr="002433F3">
        <w:rPr>
          <w:szCs w:val="20"/>
          <w:lang w:val="en-US"/>
        </w:rPr>
        <w:t>sanction for exercising</w:t>
      </w:r>
      <w:r w:rsidR="0089213D" w:rsidRPr="002433F3">
        <w:rPr>
          <w:szCs w:val="20"/>
          <w:lang w:val="en-US"/>
        </w:rPr>
        <w:t xml:space="preserve"> </w:t>
      </w:r>
      <w:r w:rsidR="007B0DE4" w:rsidRPr="002433F3">
        <w:rPr>
          <w:szCs w:val="20"/>
          <w:lang w:val="en-US"/>
        </w:rPr>
        <w:t>a legitimate alternative, directly derived from their right to self-determination and their human dignity.”</w:t>
      </w:r>
      <w:r w:rsidR="007B0DE4" w:rsidRPr="002433F3">
        <w:rPr>
          <w:rStyle w:val="Refdenotaalpie"/>
          <w:lang w:val="en-US"/>
        </w:rPr>
        <w:footnoteReference w:id="115"/>
      </w:r>
      <w:r w:rsidR="007B0DE4" w:rsidRPr="002433F3">
        <w:rPr>
          <w:szCs w:val="20"/>
          <w:lang w:val="en-US"/>
        </w:rPr>
        <w:t xml:space="preserve"> </w:t>
      </w:r>
    </w:p>
    <w:p w14:paraId="4BE72BEE" w14:textId="77777777" w:rsidR="007B0DE4" w:rsidRPr="002433F3" w:rsidRDefault="007B0DE4" w:rsidP="007B0DE4">
      <w:pPr>
        <w:numPr>
          <w:ilvl w:val="0"/>
          <w:numId w:val="2"/>
        </w:numPr>
        <w:spacing w:before="120" w:after="120"/>
        <w:rPr>
          <w:rFonts w:cs="Times New Roman"/>
          <w:szCs w:val="20"/>
          <w:lang w:val="en-US"/>
        </w:rPr>
      </w:pPr>
      <w:r w:rsidRPr="002433F3">
        <w:rPr>
          <w:szCs w:val="20"/>
          <w:lang w:val="en-US"/>
        </w:rPr>
        <w:t>With re</w:t>
      </w:r>
      <w:r w:rsidR="00D93217" w:rsidRPr="002433F3">
        <w:rPr>
          <w:szCs w:val="20"/>
          <w:lang w:val="en-US"/>
        </w:rPr>
        <w:t xml:space="preserve">gard </w:t>
      </w:r>
      <w:r w:rsidRPr="002433F3">
        <w:rPr>
          <w:szCs w:val="20"/>
          <w:lang w:val="en-US"/>
        </w:rPr>
        <w:t xml:space="preserve">to </w:t>
      </w:r>
      <w:r w:rsidR="00220743" w:rsidRPr="002433F3">
        <w:rPr>
          <w:szCs w:val="20"/>
          <w:lang w:val="en-US"/>
        </w:rPr>
        <w:t>survivor</w:t>
      </w:r>
      <w:r w:rsidR="001110F8" w:rsidRPr="002433F3">
        <w:rPr>
          <w:szCs w:val="20"/>
          <w:lang w:val="en-US"/>
        </w:rPr>
        <w:t>s</w:t>
      </w:r>
      <w:r w:rsidR="00220743" w:rsidRPr="002433F3">
        <w:rPr>
          <w:szCs w:val="20"/>
          <w:lang w:val="en-US"/>
        </w:rPr>
        <w:t>’</w:t>
      </w:r>
      <w:r w:rsidR="001110F8" w:rsidRPr="002433F3">
        <w:rPr>
          <w:szCs w:val="20"/>
          <w:lang w:val="en-US"/>
        </w:rPr>
        <w:t xml:space="preserve"> pension</w:t>
      </w:r>
      <w:r w:rsidR="00220743" w:rsidRPr="002433F3">
        <w:rPr>
          <w:szCs w:val="20"/>
          <w:lang w:val="en-US"/>
        </w:rPr>
        <w:t>s</w:t>
      </w:r>
      <w:r w:rsidRPr="002433F3">
        <w:rPr>
          <w:szCs w:val="20"/>
          <w:lang w:val="en-US"/>
        </w:rPr>
        <w:t xml:space="preserve"> it indicated that “</w:t>
      </w:r>
      <w:r w:rsidR="00220743" w:rsidRPr="002433F3">
        <w:rPr>
          <w:szCs w:val="20"/>
          <w:lang w:val="en-GB"/>
        </w:rPr>
        <w:t xml:space="preserve">these must be guaranteed by </w:t>
      </w:r>
      <w:r w:rsidRPr="002433F3">
        <w:rPr>
          <w:szCs w:val="20"/>
          <w:lang w:val="en-US"/>
        </w:rPr>
        <w:t>the social security system</w:t>
      </w:r>
      <w:r w:rsidR="0012683A" w:rsidRPr="002433F3">
        <w:rPr>
          <w:szCs w:val="20"/>
          <w:lang w:val="en-US"/>
        </w:rPr>
        <w:t xml:space="preserve">, </w:t>
      </w:r>
      <w:r w:rsidRPr="002433F3">
        <w:rPr>
          <w:szCs w:val="20"/>
          <w:lang w:val="en-US"/>
        </w:rPr>
        <w:t>based on vario</w:t>
      </w:r>
      <w:r w:rsidR="0012683A" w:rsidRPr="002433F3">
        <w:rPr>
          <w:szCs w:val="20"/>
          <w:lang w:val="en-US"/>
        </w:rPr>
        <w:t>u</w:t>
      </w:r>
      <w:r w:rsidRPr="002433F3">
        <w:rPr>
          <w:szCs w:val="20"/>
          <w:lang w:val="en-US"/>
        </w:rPr>
        <w:t xml:space="preserve">s constitutional principles, </w:t>
      </w:r>
      <w:r w:rsidR="00D93217" w:rsidRPr="002433F3">
        <w:rPr>
          <w:szCs w:val="20"/>
          <w:lang w:val="en-US"/>
        </w:rPr>
        <w:t xml:space="preserve">including </w:t>
      </w:r>
      <w:r w:rsidR="0012683A" w:rsidRPr="002433F3">
        <w:rPr>
          <w:szCs w:val="20"/>
          <w:lang w:val="en-US"/>
        </w:rPr>
        <w:t xml:space="preserve">the </w:t>
      </w:r>
      <w:r w:rsidRPr="002433F3">
        <w:rPr>
          <w:szCs w:val="20"/>
          <w:lang w:val="en-US"/>
        </w:rPr>
        <w:t xml:space="preserve">solidarity that </w:t>
      </w:r>
      <w:r w:rsidR="00220743" w:rsidRPr="002433F3">
        <w:rPr>
          <w:szCs w:val="20"/>
          <w:lang w:val="en-US"/>
        </w:rPr>
        <w:t xml:space="preserve">ensures </w:t>
      </w:r>
      <w:r w:rsidR="00D01ECF" w:rsidRPr="002433F3">
        <w:rPr>
          <w:szCs w:val="20"/>
          <w:lang w:val="en-US"/>
        </w:rPr>
        <w:t xml:space="preserve">the </w:t>
      </w:r>
      <w:r w:rsidRPr="002433F3">
        <w:rPr>
          <w:szCs w:val="20"/>
          <w:lang w:val="en-US"/>
        </w:rPr>
        <w:t xml:space="preserve">economic and social stability </w:t>
      </w:r>
      <w:r w:rsidR="00D01ECF" w:rsidRPr="002433F3">
        <w:rPr>
          <w:szCs w:val="20"/>
          <w:lang w:val="en-US"/>
        </w:rPr>
        <w:t xml:space="preserve">of </w:t>
      </w:r>
      <w:r w:rsidR="00EB1489" w:rsidRPr="002433F3">
        <w:rPr>
          <w:szCs w:val="20"/>
          <w:lang w:val="en-US"/>
        </w:rPr>
        <w:t xml:space="preserve">the next of kin </w:t>
      </w:r>
      <w:r w:rsidR="00D01ECF" w:rsidRPr="002433F3">
        <w:rPr>
          <w:szCs w:val="20"/>
          <w:lang w:val="en-US"/>
        </w:rPr>
        <w:t xml:space="preserve">of the </w:t>
      </w:r>
      <w:r w:rsidR="006540E8" w:rsidRPr="002433F3">
        <w:rPr>
          <w:szCs w:val="20"/>
          <w:lang w:val="en-US"/>
        </w:rPr>
        <w:t xml:space="preserve">predecessor in </w:t>
      </w:r>
      <w:r w:rsidR="00EB1489" w:rsidRPr="002433F3">
        <w:rPr>
          <w:szCs w:val="20"/>
          <w:lang w:val="en-US"/>
        </w:rPr>
        <w:t>title</w:t>
      </w:r>
      <w:r w:rsidRPr="002433F3">
        <w:rPr>
          <w:szCs w:val="20"/>
          <w:lang w:val="en-US"/>
        </w:rPr>
        <w:t>;</w:t>
      </w:r>
      <w:r w:rsidR="00220743" w:rsidRPr="002433F3">
        <w:rPr>
          <w:szCs w:val="20"/>
          <w:lang w:val="en-US"/>
        </w:rPr>
        <w:t xml:space="preserve"> </w:t>
      </w:r>
      <w:r w:rsidRPr="002433F3">
        <w:rPr>
          <w:szCs w:val="20"/>
          <w:lang w:val="en-US"/>
        </w:rPr>
        <w:lastRenderedPageBreak/>
        <w:t xml:space="preserve">reciprocity, </w:t>
      </w:r>
      <w:r w:rsidR="00220743" w:rsidRPr="002433F3">
        <w:rPr>
          <w:szCs w:val="20"/>
          <w:lang w:val="en-US"/>
        </w:rPr>
        <w:t xml:space="preserve">through which the law confers on </w:t>
      </w:r>
      <w:r w:rsidR="0012683A" w:rsidRPr="002433F3">
        <w:rPr>
          <w:szCs w:val="20"/>
          <w:lang w:val="en-US"/>
        </w:rPr>
        <w:t>c</w:t>
      </w:r>
      <w:r w:rsidRPr="002433F3">
        <w:rPr>
          <w:szCs w:val="20"/>
          <w:lang w:val="en-US"/>
        </w:rPr>
        <w:t>erta</w:t>
      </w:r>
      <w:r w:rsidR="0012683A" w:rsidRPr="002433F3">
        <w:rPr>
          <w:szCs w:val="20"/>
          <w:lang w:val="en-US"/>
        </w:rPr>
        <w:t xml:space="preserve">in </w:t>
      </w:r>
      <w:r w:rsidRPr="002433F3">
        <w:rPr>
          <w:szCs w:val="20"/>
          <w:lang w:val="en-US"/>
        </w:rPr>
        <w:t xml:space="preserve">persons a </w:t>
      </w:r>
      <w:r w:rsidR="006540E8" w:rsidRPr="002433F3">
        <w:rPr>
          <w:szCs w:val="20"/>
          <w:lang w:val="en-US"/>
        </w:rPr>
        <w:t>benefit</w:t>
      </w:r>
      <w:r w:rsidRPr="002433F3">
        <w:rPr>
          <w:szCs w:val="20"/>
          <w:lang w:val="en-US"/>
        </w:rPr>
        <w:t xml:space="preserve"> deriv</w:t>
      </w:r>
      <w:r w:rsidR="007B2DC9" w:rsidRPr="002433F3">
        <w:rPr>
          <w:szCs w:val="20"/>
          <w:lang w:val="en-US"/>
        </w:rPr>
        <w:t>ed from the</w:t>
      </w:r>
      <w:r w:rsidR="00D01ECF" w:rsidRPr="002433F3">
        <w:rPr>
          <w:szCs w:val="20"/>
          <w:lang w:val="en-US"/>
        </w:rPr>
        <w:t>ir</w:t>
      </w:r>
      <w:r w:rsidR="007B2DC9" w:rsidRPr="002433F3">
        <w:rPr>
          <w:szCs w:val="20"/>
          <w:lang w:val="en-US"/>
        </w:rPr>
        <w:t xml:space="preserve"> </w:t>
      </w:r>
      <w:r w:rsidR="00D92C06" w:rsidRPr="002433F3">
        <w:rPr>
          <w:szCs w:val="20"/>
          <w:lang w:val="en-US"/>
        </w:rPr>
        <w:t>affective</w:t>
      </w:r>
      <w:r w:rsidRPr="002433F3">
        <w:rPr>
          <w:szCs w:val="20"/>
          <w:lang w:val="en-US"/>
        </w:rPr>
        <w:t>, person</w:t>
      </w:r>
      <w:r w:rsidR="003E6BBD" w:rsidRPr="002433F3">
        <w:rPr>
          <w:szCs w:val="20"/>
          <w:lang w:val="en-US"/>
        </w:rPr>
        <w:t>a</w:t>
      </w:r>
      <w:r w:rsidR="00F25A23" w:rsidRPr="002433F3">
        <w:rPr>
          <w:szCs w:val="20"/>
          <w:lang w:val="en-US"/>
        </w:rPr>
        <w:t xml:space="preserve">l and </w:t>
      </w:r>
      <w:r w:rsidRPr="002433F3">
        <w:rPr>
          <w:szCs w:val="20"/>
          <w:lang w:val="en-US"/>
        </w:rPr>
        <w:t>support</w:t>
      </w:r>
      <w:r w:rsidR="00F25A23" w:rsidRPr="002433F3">
        <w:rPr>
          <w:szCs w:val="20"/>
          <w:lang w:val="en-US"/>
        </w:rPr>
        <w:t>ive</w:t>
      </w:r>
      <w:r w:rsidRPr="002433F3">
        <w:rPr>
          <w:szCs w:val="20"/>
          <w:lang w:val="en-US"/>
        </w:rPr>
        <w:t xml:space="preserve"> </w:t>
      </w:r>
      <w:r w:rsidR="00F25A23" w:rsidRPr="002433F3">
        <w:rPr>
          <w:szCs w:val="20"/>
          <w:lang w:val="en-US"/>
        </w:rPr>
        <w:t xml:space="preserve">relationship </w:t>
      </w:r>
      <w:r w:rsidRPr="002433F3">
        <w:rPr>
          <w:szCs w:val="20"/>
          <w:lang w:val="en-US"/>
        </w:rPr>
        <w:t xml:space="preserve">with the </w:t>
      </w:r>
      <w:r w:rsidR="006540E8" w:rsidRPr="002433F3">
        <w:rPr>
          <w:szCs w:val="20"/>
          <w:lang w:val="en-US"/>
        </w:rPr>
        <w:t xml:space="preserve">predecessor in </w:t>
      </w:r>
      <w:r w:rsidR="00220743" w:rsidRPr="002433F3">
        <w:rPr>
          <w:szCs w:val="20"/>
          <w:lang w:val="en-US"/>
        </w:rPr>
        <w:t xml:space="preserve">title </w:t>
      </w:r>
      <w:r w:rsidRPr="002433F3">
        <w:rPr>
          <w:szCs w:val="20"/>
          <w:lang w:val="en-US"/>
        </w:rPr>
        <w:t xml:space="preserve">[…]. For this reason, the legal system creates a </w:t>
      </w:r>
      <w:r w:rsidR="00220743" w:rsidRPr="002433F3">
        <w:rPr>
          <w:szCs w:val="20"/>
          <w:lang w:val="en-US"/>
        </w:rPr>
        <w:t xml:space="preserve">specific </w:t>
      </w:r>
      <w:r w:rsidRPr="002433F3">
        <w:rPr>
          <w:szCs w:val="20"/>
          <w:lang w:val="en-US"/>
        </w:rPr>
        <w:t>order of pre</w:t>
      </w:r>
      <w:r w:rsidR="00F25A23" w:rsidRPr="002433F3">
        <w:rPr>
          <w:szCs w:val="20"/>
          <w:lang w:val="en-US"/>
        </w:rPr>
        <w:t xml:space="preserve">cedence regarding </w:t>
      </w:r>
      <w:r w:rsidRPr="002433F3">
        <w:rPr>
          <w:szCs w:val="20"/>
          <w:lang w:val="en-US"/>
        </w:rPr>
        <w:t xml:space="preserve">the persons </w:t>
      </w:r>
      <w:r w:rsidR="007B2DC9" w:rsidRPr="002433F3">
        <w:rPr>
          <w:szCs w:val="20"/>
          <w:lang w:val="en-US"/>
        </w:rPr>
        <w:t xml:space="preserve">affectively </w:t>
      </w:r>
      <w:r w:rsidR="00D92C06" w:rsidRPr="002433F3">
        <w:rPr>
          <w:szCs w:val="20"/>
          <w:lang w:val="en-US"/>
        </w:rPr>
        <w:t xml:space="preserve">closest to the </w:t>
      </w:r>
      <w:r w:rsidR="006540E8" w:rsidRPr="002433F3">
        <w:rPr>
          <w:szCs w:val="20"/>
          <w:lang w:val="en-US"/>
        </w:rPr>
        <w:t xml:space="preserve">predecessor </w:t>
      </w:r>
      <w:r w:rsidR="00220743" w:rsidRPr="002433F3">
        <w:rPr>
          <w:szCs w:val="20"/>
          <w:lang w:val="en-US"/>
        </w:rPr>
        <w:t>in title</w:t>
      </w:r>
      <w:r w:rsidRPr="002433F3">
        <w:rPr>
          <w:szCs w:val="20"/>
          <w:lang w:val="en-US"/>
        </w:rPr>
        <w:t>, pri</w:t>
      </w:r>
      <w:r w:rsidR="003E6BBD" w:rsidRPr="002433F3">
        <w:rPr>
          <w:szCs w:val="20"/>
          <w:lang w:val="en-US"/>
        </w:rPr>
        <w:t xml:space="preserve">oritizing those </w:t>
      </w:r>
      <w:r w:rsidR="00220743" w:rsidRPr="002433F3">
        <w:rPr>
          <w:szCs w:val="20"/>
          <w:lang w:val="en-US"/>
        </w:rPr>
        <w:t>who we</w:t>
      </w:r>
      <w:r w:rsidRPr="002433F3">
        <w:rPr>
          <w:szCs w:val="20"/>
          <w:lang w:val="en-US"/>
        </w:rPr>
        <w:t>re most dependent emotionally and financially on him</w:t>
      </w:r>
      <w:r w:rsidR="00220743" w:rsidRPr="002433F3">
        <w:rPr>
          <w:szCs w:val="20"/>
          <w:lang w:val="en-US"/>
        </w:rPr>
        <w:t xml:space="preserve"> or her</w:t>
      </w:r>
      <w:r w:rsidRPr="002433F3">
        <w:rPr>
          <w:szCs w:val="20"/>
          <w:lang w:val="en-US"/>
        </w:rPr>
        <w:t>.” The Co</w:t>
      </w:r>
      <w:r w:rsidR="00220743" w:rsidRPr="002433F3">
        <w:rPr>
          <w:szCs w:val="20"/>
          <w:lang w:val="en-US"/>
        </w:rPr>
        <w:t>nstitutional Co</w:t>
      </w:r>
      <w:r w:rsidRPr="002433F3">
        <w:rPr>
          <w:szCs w:val="20"/>
          <w:lang w:val="en-US"/>
        </w:rPr>
        <w:t xml:space="preserve">urt concluded that “[i]n light of the higher provisions, </w:t>
      </w:r>
      <w:r w:rsidR="00F25A23" w:rsidRPr="002433F3">
        <w:rPr>
          <w:szCs w:val="20"/>
          <w:lang w:val="en-US"/>
        </w:rPr>
        <w:t xml:space="preserve">there </w:t>
      </w:r>
      <w:r w:rsidR="00A60B37" w:rsidRPr="002433F3">
        <w:rPr>
          <w:szCs w:val="20"/>
          <w:lang w:val="en-US"/>
        </w:rPr>
        <w:t xml:space="preserve">is no </w:t>
      </w:r>
      <w:r w:rsidRPr="002433F3">
        <w:rPr>
          <w:szCs w:val="20"/>
          <w:lang w:val="en-US"/>
        </w:rPr>
        <w:t>justification t</w:t>
      </w:r>
      <w:r w:rsidR="00F25A23" w:rsidRPr="002433F3">
        <w:rPr>
          <w:szCs w:val="20"/>
          <w:lang w:val="en-US"/>
        </w:rPr>
        <w:t xml:space="preserve">o </w:t>
      </w:r>
      <w:r w:rsidRPr="002433F3">
        <w:rPr>
          <w:szCs w:val="20"/>
          <w:lang w:val="en-US"/>
        </w:rPr>
        <w:t xml:space="preserve">authorize discriminatory treatment </w:t>
      </w:r>
      <w:r w:rsidR="00F25A23" w:rsidRPr="002433F3">
        <w:rPr>
          <w:szCs w:val="20"/>
          <w:lang w:val="en-US"/>
        </w:rPr>
        <w:t xml:space="preserve">whereby </w:t>
      </w:r>
      <w:r w:rsidR="00CB3741" w:rsidRPr="002433F3">
        <w:rPr>
          <w:szCs w:val="20"/>
          <w:lang w:val="en-US"/>
        </w:rPr>
        <w:t xml:space="preserve">persons who are in </w:t>
      </w:r>
      <w:r w:rsidRPr="002433F3">
        <w:rPr>
          <w:szCs w:val="20"/>
          <w:lang w:val="en-US"/>
        </w:rPr>
        <w:t xml:space="preserve">homosexual </w:t>
      </w:r>
      <w:r w:rsidR="00CB3741" w:rsidRPr="002433F3">
        <w:rPr>
          <w:szCs w:val="20"/>
          <w:lang w:val="en-US"/>
        </w:rPr>
        <w:t xml:space="preserve">relationships </w:t>
      </w:r>
      <w:r w:rsidR="008B3EA1" w:rsidRPr="002433F3">
        <w:rPr>
          <w:szCs w:val="20"/>
          <w:lang w:val="en-US"/>
        </w:rPr>
        <w:t xml:space="preserve">cannot have access </w:t>
      </w:r>
      <w:r w:rsidR="00F25A23" w:rsidRPr="002433F3">
        <w:rPr>
          <w:szCs w:val="20"/>
          <w:lang w:val="en-US"/>
        </w:rPr>
        <w:t>to a survivor’s pension</w:t>
      </w:r>
      <w:r w:rsidRPr="002433F3">
        <w:rPr>
          <w:szCs w:val="20"/>
          <w:lang w:val="en-US"/>
        </w:rPr>
        <w:t xml:space="preserve"> </w:t>
      </w:r>
      <w:r w:rsidR="00A60B37" w:rsidRPr="002433F3">
        <w:rPr>
          <w:szCs w:val="20"/>
          <w:lang w:val="en-US"/>
        </w:rPr>
        <w:t>under the same conditions applied in the case of heterosexual couples</w:t>
      </w:r>
      <w:r w:rsidRPr="002433F3">
        <w:rPr>
          <w:szCs w:val="20"/>
          <w:lang w:val="en-US"/>
        </w:rPr>
        <w:t xml:space="preserve">. In order to eliminate discriminatory treatment toward homosexual couples </w:t>
      </w:r>
      <w:r w:rsidR="00CB3741" w:rsidRPr="002433F3">
        <w:rPr>
          <w:szCs w:val="20"/>
          <w:lang w:val="en-US"/>
        </w:rPr>
        <w:t xml:space="preserve">as regards </w:t>
      </w:r>
      <w:r w:rsidR="005B2237" w:rsidRPr="002433F3">
        <w:rPr>
          <w:szCs w:val="20"/>
          <w:lang w:val="en-US"/>
        </w:rPr>
        <w:t>the benefit of the survivor’s pension</w:t>
      </w:r>
      <w:r w:rsidRPr="002433F3">
        <w:rPr>
          <w:szCs w:val="20"/>
          <w:lang w:val="en-US"/>
        </w:rPr>
        <w:t>, the protection afforded to the permanent partners of heterosexual couples must be extended to the permanent</w:t>
      </w:r>
      <w:r w:rsidR="005B2237" w:rsidRPr="002433F3">
        <w:rPr>
          <w:szCs w:val="20"/>
          <w:lang w:val="en-US"/>
        </w:rPr>
        <w:t xml:space="preserve"> partners of homosexual couples; there are not</w:t>
      </w:r>
      <w:r w:rsidR="007658CD" w:rsidRPr="002433F3">
        <w:rPr>
          <w:szCs w:val="20"/>
          <w:lang w:val="en-US"/>
        </w:rPr>
        <w:t xml:space="preserve"> sufficient </w:t>
      </w:r>
      <w:r w:rsidRPr="002433F3">
        <w:rPr>
          <w:szCs w:val="20"/>
          <w:lang w:val="en-US"/>
        </w:rPr>
        <w:t xml:space="preserve">reasonable and objective </w:t>
      </w:r>
      <w:r w:rsidR="007658CD" w:rsidRPr="002433F3">
        <w:rPr>
          <w:szCs w:val="20"/>
          <w:lang w:val="en-US"/>
        </w:rPr>
        <w:t xml:space="preserve">grounds to </w:t>
      </w:r>
      <w:r w:rsidRPr="002433F3">
        <w:rPr>
          <w:szCs w:val="20"/>
          <w:lang w:val="en-US"/>
        </w:rPr>
        <w:t xml:space="preserve">explain the unequal treatment </w:t>
      </w:r>
      <w:r w:rsidR="00E0209C" w:rsidRPr="002433F3">
        <w:rPr>
          <w:szCs w:val="20"/>
          <w:lang w:val="en-US"/>
        </w:rPr>
        <w:t>given to</w:t>
      </w:r>
      <w:r w:rsidRPr="002433F3">
        <w:rPr>
          <w:szCs w:val="20"/>
          <w:lang w:val="en-US"/>
        </w:rPr>
        <w:t xml:space="preserve">  persons</w:t>
      </w:r>
      <w:r w:rsidR="00E0209C" w:rsidRPr="002433F3">
        <w:rPr>
          <w:szCs w:val="20"/>
          <w:lang w:val="en-US"/>
        </w:rPr>
        <w:t xml:space="preserve"> who</w:t>
      </w:r>
      <w:r w:rsidRPr="002433F3">
        <w:rPr>
          <w:szCs w:val="20"/>
          <w:lang w:val="en-US"/>
        </w:rPr>
        <w:t xml:space="preserve">, in exercise of their rights to </w:t>
      </w:r>
      <w:r w:rsidR="00E0209C" w:rsidRPr="002433F3">
        <w:rPr>
          <w:szCs w:val="20"/>
          <w:lang w:val="en-US"/>
        </w:rPr>
        <w:t xml:space="preserve">the </w:t>
      </w:r>
      <w:r w:rsidRPr="002433F3">
        <w:rPr>
          <w:szCs w:val="20"/>
          <w:lang w:val="en-US"/>
        </w:rPr>
        <w:t>free development of the</w:t>
      </w:r>
      <w:r w:rsidR="00E0209C" w:rsidRPr="002433F3">
        <w:rPr>
          <w:szCs w:val="20"/>
          <w:lang w:val="en-US"/>
        </w:rPr>
        <w:t>ir</w:t>
      </w:r>
      <w:r w:rsidRPr="002433F3">
        <w:rPr>
          <w:szCs w:val="20"/>
          <w:lang w:val="en-US"/>
        </w:rPr>
        <w:t xml:space="preserve"> personality and to freedom of sexual</w:t>
      </w:r>
      <w:r w:rsidR="00E0209C" w:rsidRPr="002433F3">
        <w:rPr>
          <w:szCs w:val="20"/>
          <w:lang w:val="en-US"/>
        </w:rPr>
        <w:t xml:space="preserve"> preference</w:t>
      </w:r>
      <w:r w:rsidRPr="002433F3">
        <w:rPr>
          <w:szCs w:val="20"/>
          <w:lang w:val="en-US"/>
        </w:rPr>
        <w:t>, have decided to form a partnership with a person of the same gender.”</w:t>
      </w:r>
      <w:r w:rsidRPr="002433F3">
        <w:rPr>
          <w:rStyle w:val="Refdenotaalpie"/>
          <w:lang w:val="en-US"/>
        </w:rPr>
        <w:footnoteReference w:id="116"/>
      </w:r>
    </w:p>
    <w:p w14:paraId="7E8D30EF" w14:textId="77777777" w:rsidR="007B0DE4" w:rsidRPr="002433F3" w:rsidRDefault="005B2237" w:rsidP="007B0DE4">
      <w:pPr>
        <w:numPr>
          <w:ilvl w:val="0"/>
          <w:numId w:val="2"/>
        </w:numPr>
        <w:spacing w:before="120" w:after="120"/>
        <w:ind w:right="4"/>
        <w:rPr>
          <w:lang w:val="en-US"/>
        </w:rPr>
      </w:pPr>
      <w:r w:rsidRPr="002433F3">
        <w:rPr>
          <w:lang w:val="en-US"/>
        </w:rPr>
        <w:t xml:space="preserve">The Constitutional Court added </w:t>
      </w:r>
      <w:r w:rsidR="00D33C9C" w:rsidRPr="002433F3">
        <w:rPr>
          <w:lang w:val="en-US"/>
        </w:rPr>
        <w:t xml:space="preserve">that </w:t>
      </w:r>
      <w:r w:rsidR="007B0DE4" w:rsidRPr="002433F3">
        <w:rPr>
          <w:szCs w:val="20"/>
          <w:lang w:val="en-US"/>
        </w:rPr>
        <w:t>“</w:t>
      </w:r>
      <w:r w:rsidR="007E4AAF" w:rsidRPr="002433F3">
        <w:rPr>
          <w:szCs w:val="20"/>
          <w:lang w:val="en-US"/>
        </w:rPr>
        <w:t xml:space="preserve">there appears to be no </w:t>
      </w:r>
      <w:r w:rsidR="007B0DE4" w:rsidRPr="002433F3">
        <w:rPr>
          <w:szCs w:val="20"/>
          <w:lang w:val="en-US"/>
        </w:rPr>
        <w:t xml:space="preserve">justification </w:t>
      </w:r>
      <w:r w:rsidR="007658CD" w:rsidRPr="002433F3">
        <w:rPr>
          <w:szCs w:val="20"/>
          <w:lang w:val="en-US"/>
        </w:rPr>
        <w:t xml:space="preserve">for </w:t>
      </w:r>
      <w:r w:rsidR="007B0DE4" w:rsidRPr="002433F3">
        <w:rPr>
          <w:szCs w:val="20"/>
          <w:lang w:val="en-US"/>
        </w:rPr>
        <w:t>author</w:t>
      </w:r>
      <w:r w:rsidR="007658CD" w:rsidRPr="002433F3">
        <w:rPr>
          <w:szCs w:val="20"/>
          <w:lang w:val="en-US"/>
        </w:rPr>
        <w:t>izing</w:t>
      </w:r>
      <w:r w:rsidRPr="002433F3">
        <w:rPr>
          <w:szCs w:val="20"/>
          <w:lang w:val="en-US"/>
        </w:rPr>
        <w:t xml:space="preserve"> </w:t>
      </w:r>
      <w:r w:rsidR="007B0DE4" w:rsidRPr="002433F3">
        <w:rPr>
          <w:szCs w:val="20"/>
          <w:lang w:val="en-US"/>
        </w:rPr>
        <w:t xml:space="preserve">discriminatory treatment whereby </w:t>
      </w:r>
      <w:r w:rsidRPr="002433F3">
        <w:rPr>
          <w:szCs w:val="20"/>
          <w:lang w:val="en-US"/>
        </w:rPr>
        <w:t>persons who are in homosexual relationships cannot have access to a survivor’s pension under the same conditions applied in the case of heterosexual couples</w:t>
      </w:r>
      <w:r w:rsidR="00D33C9C" w:rsidRPr="002433F3">
        <w:rPr>
          <w:szCs w:val="20"/>
          <w:lang w:val="en-US"/>
        </w:rPr>
        <w:t>.”</w:t>
      </w:r>
    </w:p>
    <w:p w14:paraId="099B3B1C" w14:textId="77777777" w:rsidR="007B0DE4" w:rsidRPr="002433F3" w:rsidRDefault="00BC14EE" w:rsidP="007B0DE4">
      <w:pPr>
        <w:pStyle w:val="PrrafodeSentencia0"/>
        <w:rPr>
          <w:noProof w:val="0"/>
          <w:u w:val="single"/>
          <w:lang w:val="en-US"/>
        </w:rPr>
      </w:pPr>
      <w:r w:rsidRPr="002433F3">
        <w:rPr>
          <w:noProof w:val="0"/>
          <w:lang w:val="en-US"/>
        </w:rPr>
        <w:t>Likewise, t</w:t>
      </w:r>
      <w:r w:rsidR="007B0DE4" w:rsidRPr="002433F3">
        <w:rPr>
          <w:noProof w:val="0"/>
          <w:lang w:val="en-US"/>
        </w:rPr>
        <w:t>his Court has indicated that “</w:t>
      </w:r>
      <w:r w:rsidR="005B2237" w:rsidRPr="002433F3">
        <w:rPr>
          <w:rFonts w:cs="TimesNewRoman"/>
          <w:noProof w:val="0"/>
          <w:lang w:val="en-US"/>
        </w:rPr>
        <w:t xml:space="preserve">a </w:t>
      </w:r>
      <w:r w:rsidR="007B0DE4" w:rsidRPr="002433F3">
        <w:rPr>
          <w:rFonts w:cs="TimesNewRoman"/>
          <w:noProof w:val="0"/>
          <w:lang w:val="en-US"/>
        </w:rPr>
        <w:t xml:space="preserve">lack of consensus in some countries </w:t>
      </w:r>
      <w:r w:rsidR="005B2237" w:rsidRPr="002433F3">
        <w:rPr>
          <w:rFonts w:cs="TimesNewRoman"/>
          <w:noProof w:val="0"/>
          <w:lang w:val="en-US"/>
        </w:rPr>
        <w:t xml:space="preserve">regarding </w:t>
      </w:r>
      <w:r w:rsidR="007B0DE4" w:rsidRPr="002433F3">
        <w:rPr>
          <w:rFonts w:cs="TimesNewRoman"/>
          <w:noProof w:val="0"/>
          <w:lang w:val="en-US"/>
        </w:rPr>
        <w:t xml:space="preserve">full respect for the rights of sexual minorities cannot be considered a valid argument to deny or restrict their human rights or to perpetuate and reproduce the historical and structural discrimination that these minorities have suffered. The fact that this could be a controversial matter in some sectors and countries, and that it is not necessarily an issue on which there is consensus, cannot lead this Court to </w:t>
      </w:r>
      <w:r w:rsidRPr="002433F3">
        <w:rPr>
          <w:rFonts w:cs="TimesNewRoman"/>
          <w:noProof w:val="0"/>
          <w:lang w:val="en-US"/>
        </w:rPr>
        <w:t xml:space="preserve">refrain </w:t>
      </w:r>
      <w:r w:rsidR="007B0DE4" w:rsidRPr="002433F3">
        <w:rPr>
          <w:rFonts w:cs="TimesNewRoman"/>
          <w:noProof w:val="0"/>
          <w:lang w:val="en-US"/>
        </w:rPr>
        <w:t xml:space="preserve">from making a ruling, because, when doing so, it must refer only and exclusively to the international obligations that the States assumed by sovereign decision under </w:t>
      </w:r>
      <w:r w:rsidR="007B0DE4" w:rsidRPr="002433F3">
        <w:rPr>
          <w:noProof w:val="0"/>
          <w:lang w:val="en-US"/>
        </w:rPr>
        <w:t>the American Convention.</w:t>
      </w:r>
      <w:r w:rsidR="007B0DE4" w:rsidRPr="002433F3">
        <w:rPr>
          <w:noProof w:val="0"/>
          <w:szCs w:val="24"/>
          <w:lang w:val="en-US"/>
        </w:rPr>
        <w:t>”</w:t>
      </w:r>
      <w:r w:rsidR="007B0DE4" w:rsidRPr="002433F3">
        <w:rPr>
          <w:rStyle w:val="Refdenotaalpie"/>
          <w:noProof w:val="0"/>
          <w:lang w:val="en-US"/>
        </w:rPr>
        <w:footnoteReference w:id="117"/>
      </w:r>
    </w:p>
    <w:p w14:paraId="2337656F" w14:textId="77777777" w:rsidR="007B0DE4" w:rsidRPr="002433F3" w:rsidRDefault="007B0DE4" w:rsidP="007B0DE4">
      <w:pPr>
        <w:pStyle w:val="PrrafodeSentencia0"/>
        <w:rPr>
          <w:noProof w:val="0"/>
          <w:lang w:val="en-US"/>
        </w:rPr>
      </w:pPr>
      <w:r w:rsidRPr="002433F3">
        <w:rPr>
          <w:noProof w:val="0"/>
          <w:lang w:val="en-US"/>
        </w:rPr>
        <w:t xml:space="preserve">In the </w:t>
      </w:r>
      <w:r w:rsidR="005B2237" w:rsidRPr="002433F3">
        <w:rPr>
          <w:noProof w:val="0"/>
          <w:lang w:val="en-US"/>
        </w:rPr>
        <w:t xml:space="preserve">instant </w:t>
      </w:r>
      <w:r w:rsidRPr="002433F3">
        <w:rPr>
          <w:noProof w:val="0"/>
          <w:lang w:val="en-US"/>
        </w:rPr>
        <w:t xml:space="preserve">case, </w:t>
      </w:r>
      <w:r w:rsidR="005B2237" w:rsidRPr="002433F3">
        <w:rPr>
          <w:noProof w:val="0"/>
          <w:lang w:val="en-US"/>
        </w:rPr>
        <w:t xml:space="preserve">the Court </w:t>
      </w:r>
      <w:r w:rsidRPr="002433F3">
        <w:rPr>
          <w:noProof w:val="0"/>
          <w:lang w:val="en-US"/>
        </w:rPr>
        <w:t>conclude</w:t>
      </w:r>
      <w:r w:rsidR="005B2237" w:rsidRPr="002433F3">
        <w:rPr>
          <w:noProof w:val="0"/>
          <w:lang w:val="en-US"/>
        </w:rPr>
        <w:t>s</w:t>
      </w:r>
      <w:r w:rsidRPr="002433F3">
        <w:rPr>
          <w:noProof w:val="0"/>
          <w:lang w:val="en-US"/>
        </w:rPr>
        <w:t xml:space="preserve"> that the State has not provided an objective and reasonable </w:t>
      </w:r>
      <w:r w:rsidRPr="002433F3">
        <w:rPr>
          <w:rFonts w:eastAsia="Calibri"/>
          <w:noProof w:val="0"/>
          <w:lang w:val="en-US"/>
        </w:rPr>
        <w:t xml:space="preserve">justification for </w:t>
      </w:r>
      <w:r w:rsidR="005B2237" w:rsidRPr="002433F3">
        <w:rPr>
          <w:rFonts w:eastAsia="Calibri"/>
          <w:noProof w:val="0"/>
          <w:lang w:val="en-US"/>
        </w:rPr>
        <w:t xml:space="preserve">restricting </w:t>
      </w:r>
      <w:r w:rsidRPr="002433F3">
        <w:rPr>
          <w:rFonts w:eastAsia="Calibri"/>
          <w:noProof w:val="0"/>
          <w:lang w:val="en-US"/>
        </w:rPr>
        <w:t xml:space="preserve">access to a survivor’s pension </w:t>
      </w:r>
      <w:r w:rsidR="005B2237" w:rsidRPr="002433F3">
        <w:rPr>
          <w:rFonts w:eastAsia="Calibri"/>
          <w:noProof w:val="0"/>
          <w:lang w:val="en-US"/>
        </w:rPr>
        <w:t xml:space="preserve">on the basis of </w:t>
      </w:r>
      <w:r w:rsidRPr="002433F3">
        <w:rPr>
          <w:rFonts w:eastAsia="Calibri"/>
          <w:noProof w:val="0"/>
          <w:lang w:val="en-US"/>
        </w:rPr>
        <w:t>sexual orientation. Consequently, the Court finds that the differentiation</w:t>
      </w:r>
      <w:r w:rsidR="009F29F8" w:rsidRPr="002433F3">
        <w:rPr>
          <w:rFonts w:eastAsia="Calibri"/>
          <w:noProof w:val="0"/>
          <w:lang w:val="en-US"/>
        </w:rPr>
        <w:t xml:space="preserve"> based on sexual orientation</w:t>
      </w:r>
      <w:r w:rsidR="004722AE" w:rsidRPr="002433F3">
        <w:rPr>
          <w:rFonts w:eastAsia="Calibri"/>
          <w:noProof w:val="0"/>
          <w:lang w:val="en-US"/>
        </w:rPr>
        <w:t xml:space="preserve"> established</w:t>
      </w:r>
      <w:r w:rsidRPr="002433F3">
        <w:rPr>
          <w:rFonts w:eastAsia="Calibri"/>
          <w:noProof w:val="0"/>
          <w:lang w:val="en-US"/>
        </w:rPr>
        <w:t xml:space="preserve"> in </w:t>
      </w:r>
      <w:r w:rsidR="00EF7E24" w:rsidRPr="002433F3">
        <w:rPr>
          <w:rFonts w:eastAsia="Calibri" w:cs="Arial"/>
          <w:bCs w:val="0"/>
          <w:noProof w:val="0"/>
          <w:spacing w:val="-2"/>
          <w:lang w:val="en-US" w:eastAsia="en-US"/>
        </w:rPr>
        <w:t>Article</w:t>
      </w:r>
      <w:r w:rsidRPr="002433F3">
        <w:rPr>
          <w:rFonts w:eastAsia="Calibri" w:cs="Arial"/>
          <w:bCs w:val="0"/>
          <w:noProof w:val="0"/>
          <w:spacing w:val="-2"/>
          <w:lang w:val="en-US" w:eastAsia="en-US"/>
        </w:rPr>
        <w:t xml:space="preserve"> 1 of Law 54 of 1990 and </w:t>
      </w:r>
      <w:r w:rsidR="00EF7E24" w:rsidRPr="002433F3">
        <w:rPr>
          <w:rFonts w:eastAsia="Calibri" w:cs="Arial"/>
          <w:bCs w:val="0"/>
          <w:noProof w:val="0"/>
          <w:spacing w:val="-2"/>
          <w:lang w:val="en-US" w:eastAsia="en-US"/>
        </w:rPr>
        <w:t xml:space="preserve">Article </w:t>
      </w:r>
      <w:r w:rsidRPr="002433F3">
        <w:rPr>
          <w:rFonts w:eastAsia="Calibri" w:cs="Arial"/>
          <w:bCs w:val="0"/>
          <w:noProof w:val="0"/>
          <w:spacing w:val="-2"/>
          <w:lang w:val="en-US" w:eastAsia="en-US"/>
        </w:rPr>
        <w:t xml:space="preserve">10 of Decree 1889 of 1994 </w:t>
      </w:r>
      <w:r w:rsidR="009F29F8" w:rsidRPr="002433F3">
        <w:rPr>
          <w:rFonts w:eastAsia="Calibri" w:cs="Arial"/>
          <w:bCs w:val="0"/>
          <w:noProof w:val="0"/>
          <w:spacing w:val="-2"/>
          <w:lang w:val="en-US" w:eastAsia="en-US"/>
        </w:rPr>
        <w:t>regarding access to survivor</w:t>
      </w:r>
      <w:r w:rsidRPr="002433F3">
        <w:rPr>
          <w:rFonts w:eastAsia="Calibri" w:cs="Arial"/>
          <w:bCs w:val="0"/>
          <w:noProof w:val="0"/>
          <w:spacing w:val="-2"/>
          <w:lang w:val="en-US" w:eastAsia="en-US"/>
        </w:rPr>
        <w:t>s</w:t>
      </w:r>
      <w:r w:rsidR="009F29F8" w:rsidRPr="002433F3">
        <w:rPr>
          <w:rFonts w:eastAsia="Calibri" w:cs="Arial"/>
          <w:bCs w:val="0"/>
          <w:noProof w:val="0"/>
          <w:spacing w:val="-2"/>
          <w:lang w:val="en-US" w:eastAsia="en-US"/>
        </w:rPr>
        <w:t>’</w:t>
      </w:r>
      <w:r w:rsidRPr="002433F3">
        <w:rPr>
          <w:rFonts w:eastAsia="Calibri" w:cs="Arial"/>
          <w:bCs w:val="0"/>
          <w:noProof w:val="0"/>
          <w:spacing w:val="-2"/>
          <w:lang w:val="en-US" w:eastAsia="en-US"/>
        </w:rPr>
        <w:t xml:space="preserve"> pensions</w:t>
      </w:r>
      <w:r w:rsidR="005B2237" w:rsidRPr="002433F3">
        <w:rPr>
          <w:rFonts w:eastAsia="Calibri" w:cs="Arial"/>
          <w:bCs w:val="0"/>
          <w:noProof w:val="0"/>
          <w:spacing w:val="-2"/>
          <w:lang w:val="en-US" w:eastAsia="en-US"/>
        </w:rPr>
        <w:t>,</w:t>
      </w:r>
      <w:r w:rsidRPr="002433F3">
        <w:rPr>
          <w:rFonts w:eastAsia="Calibri" w:cs="Arial"/>
          <w:bCs w:val="0"/>
          <w:noProof w:val="0"/>
          <w:spacing w:val="-2"/>
          <w:lang w:val="en-US" w:eastAsia="en-US"/>
        </w:rPr>
        <w:t xml:space="preserve"> is discriminatory and violates Article 24 of the American Convention. </w:t>
      </w:r>
    </w:p>
    <w:p w14:paraId="1F3B1903" w14:textId="77777777" w:rsidR="007B0DE4" w:rsidRPr="002433F3" w:rsidRDefault="0038589D" w:rsidP="007B0DE4">
      <w:pPr>
        <w:pStyle w:val="PrrafodeSentencia0"/>
        <w:rPr>
          <w:noProof w:val="0"/>
          <w:lang w:val="en-US"/>
        </w:rPr>
      </w:pPr>
      <w:bookmarkStart w:id="124" w:name="_Toc320017680"/>
      <w:bookmarkStart w:id="125" w:name="_Toc433564907"/>
      <w:bookmarkEnd w:id="121"/>
      <w:bookmarkEnd w:id="122"/>
      <w:bookmarkEnd w:id="123"/>
      <w:r w:rsidRPr="002433F3">
        <w:rPr>
          <w:noProof w:val="0"/>
          <w:lang w:val="en-US"/>
        </w:rPr>
        <w:t>Consequently</w:t>
      </w:r>
      <w:r w:rsidR="007B0DE4" w:rsidRPr="002433F3">
        <w:rPr>
          <w:noProof w:val="0"/>
          <w:lang w:val="en-US"/>
        </w:rPr>
        <w:t xml:space="preserve">, the Court finds that the </w:t>
      </w:r>
      <w:r w:rsidR="003E6BBD" w:rsidRPr="002433F3">
        <w:rPr>
          <w:noProof w:val="0"/>
          <w:lang w:val="en-US"/>
        </w:rPr>
        <w:t xml:space="preserve">domestic laws in effect </w:t>
      </w:r>
      <w:r w:rsidR="007B0DE4" w:rsidRPr="002433F3">
        <w:rPr>
          <w:noProof w:val="0"/>
          <w:lang w:val="en-US"/>
        </w:rPr>
        <w:t xml:space="preserve">in 2002 that did not permit the payment of pensions to same-sex couples, </w:t>
      </w:r>
      <w:r w:rsidR="009F29F8" w:rsidRPr="002433F3">
        <w:rPr>
          <w:noProof w:val="0"/>
          <w:lang w:val="en-US"/>
        </w:rPr>
        <w:t xml:space="preserve">amounted to </w:t>
      </w:r>
      <w:r w:rsidR="007B0DE4" w:rsidRPr="002433F3">
        <w:rPr>
          <w:noProof w:val="0"/>
          <w:lang w:val="en-US"/>
        </w:rPr>
        <w:t>a difference of tr</w:t>
      </w:r>
      <w:r w:rsidR="007658CD" w:rsidRPr="002433F3">
        <w:rPr>
          <w:noProof w:val="0"/>
          <w:lang w:val="en-US"/>
        </w:rPr>
        <w:t xml:space="preserve">eatment that violated the </w:t>
      </w:r>
      <w:r w:rsidR="007B0DE4" w:rsidRPr="002433F3">
        <w:rPr>
          <w:noProof w:val="0"/>
          <w:lang w:val="en-US"/>
        </w:rPr>
        <w:t xml:space="preserve">right to equality and non-discrimination, </w:t>
      </w:r>
      <w:r w:rsidR="009F29F8" w:rsidRPr="002433F3">
        <w:rPr>
          <w:noProof w:val="0"/>
          <w:lang w:val="en-US"/>
        </w:rPr>
        <w:t xml:space="preserve">and therefore </w:t>
      </w:r>
      <w:r w:rsidR="007B0DE4" w:rsidRPr="002433F3">
        <w:rPr>
          <w:noProof w:val="0"/>
          <w:lang w:val="en-US"/>
        </w:rPr>
        <w:t xml:space="preserve">constituted an internationally wrongful act. </w:t>
      </w:r>
      <w:r w:rsidR="009F29F8" w:rsidRPr="002433F3">
        <w:rPr>
          <w:noProof w:val="0"/>
          <w:lang w:val="en-US"/>
        </w:rPr>
        <w:t>Furthermore</w:t>
      </w:r>
      <w:r w:rsidR="007B0DE4" w:rsidRPr="002433F3">
        <w:rPr>
          <w:noProof w:val="0"/>
          <w:lang w:val="en-US"/>
        </w:rPr>
        <w:t xml:space="preserve">, </w:t>
      </w:r>
      <w:r w:rsidR="005474BE" w:rsidRPr="002433F3">
        <w:rPr>
          <w:noProof w:val="0"/>
          <w:lang w:val="en-US"/>
        </w:rPr>
        <w:t xml:space="preserve">this </w:t>
      </w:r>
      <w:r w:rsidR="007B0DE4" w:rsidRPr="002433F3">
        <w:rPr>
          <w:noProof w:val="0"/>
          <w:lang w:val="en-US"/>
        </w:rPr>
        <w:t>internationally wrongful act affected Mr. Duque, inasmuch as these domestic provisions were applied to him</w:t>
      </w:r>
      <w:r w:rsidR="005474BE" w:rsidRPr="002433F3">
        <w:rPr>
          <w:noProof w:val="0"/>
          <w:lang w:val="en-US"/>
        </w:rPr>
        <w:t>, both</w:t>
      </w:r>
      <w:r w:rsidR="007B0DE4" w:rsidRPr="002433F3">
        <w:rPr>
          <w:noProof w:val="0"/>
          <w:lang w:val="en-US"/>
        </w:rPr>
        <w:t xml:space="preserve"> </w:t>
      </w:r>
      <w:r w:rsidR="005474BE" w:rsidRPr="002433F3">
        <w:rPr>
          <w:noProof w:val="0"/>
          <w:lang w:val="en-US"/>
        </w:rPr>
        <w:t xml:space="preserve">in </w:t>
      </w:r>
      <w:r w:rsidR="007B0DE4" w:rsidRPr="002433F3">
        <w:rPr>
          <w:noProof w:val="0"/>
          <w:lang w:val="en-US"/>
        </w:rPr>
        <w:t xml:space="preserve">the response </w:t>
      </w:r>
      <w:r w:rsidRPr="002433F3">
        <w:rPr>
          <w:noProof w:val="0"/>
          <w:lang w:val="en-US"/>
        </w:rPr>
        <w:t xml:space="preserve">of </w:t>
      </w:r>
      <w:r w:rsidR="007B0DE4" w:rsidRPr="002433F3">
        <w:rPr>
          <w:noProof w:val="0"/>
          <w:lang w:val="en-US"/>
        </w:rPr>
        <w:t xml:space="preserve">COLFONDOS to his </w:t>
      </w:r>
      <w:r w:rsidR="005474BE" w:rsidRPr="002433F3">
        <w:rPr>
          <w:noProof w:val="0"/>
          <w:lang w:val="en-US"/>
        </w:rPr>
        <w:t xml:space="preserve">pension </w:t>
      </w:r>
      <w:r w:rsidR="007B0DE4" w:rsidRPr="002433F3">
        <w:rPr>
          <w:noProof w:val="0"/>
          <w:lang w:val="en-US"/>
        </w:rPr>
        <w:t>application</w:t>
      </w:r>
      <w:r w:rsidR="005474BE" w:rsidRPr="002433F3">
        <w:rPr>
          <w:noProof w:val="0"/>
          <w:lang w:val="en-US"/>
        </w:rPr>
        <w:t xml:space="preserve"> and in the</w:t>
      </w:r>
      <w:r w:rsidR="007B0DE4" w:rsidRPr="002433F3">
        <w:rPr>
          <w:noProof w:val="0"/>
          <w:lang w:val="en-US"/>
        </w:rPr>
        <w:t xml:space="preserve"> </w:t>
      </w:r>
      <w:r w:rsidR="007B0DE4" w:rsidRPr="002433F3">
        <w:rPr>
          <w:i/>
          <w:noProof w:val="0"/>
          <w:lang w:val="en-US"/>
        </w:rPr>
        <w:t>tutela</w:t>
      </w:r>
      <w:r w:rsidR="007B0DE4" w:rsidRPr="002433F3">
        <w:rPr>
          <w:noProof w:val="0"/>
          <w:lang w:val="en-US"/>
        </w:rPr>
        <w:t xml:space="preserve"> </w:t>
      </w:r>
      <w:r w:rsidR="005474BE" w:rsidRPr="002433F3">
        <w:rPr>
          <w:noProof w:val="0"/>
          <w:lang w:val="en-US"/>
        </w:rPr>
        <w:t>ruling</w:t>
      </w:r>
      <w:r w:rsidR="005D73B2" w:rsidRPr="002433F3">
        <w:rPr>
          <w:noProof w:val="0"/>
          <w:lang w:val="en-US"/>
        </w:rPr>
        <w:t>s</w:t>
      </w:r>
      <w:r w:rsidR="005474BE" w:rsidRPr="002433F3">
        <w:rPr>
          <w:noProof w:val="0"/>
          <w:lang w:val="en-US"/>
        </w:rPr>
        <w:t xml:space="preserve"> </w:t>
      </w:r>
      <w:r w:rsidR="007B0DE4" w:rsidRPr="002433F3">
        <w:rPr>
          <w:noProof w:val="0"/>
          <w:lang w:val="en-US"/>
        </w:rPr>
        <w:t>by the Tenth Municipal</w:t>
      </w:r>
      <w:r w:rsidR="005474BE" w:rsidRPr="002433F3">
        <w:rPr>
          <w:noProof w:val="0"/>
          <w:lang w:val="en-US"/>
        </w:rPr>
        <w:t xml:space="preserve"> Civil Court of Bogotá and </w:t>
      </w:r>
      <w:r w:rsidR="007B0DE4" w:rsidRPr="002433F3">
        <w:rPr>
          <w:noProof w:val="0"/>
          <w:lang w:val="en-US"/>
        </w:rPr>
        <w:t xml:space="preserve">the </w:t>
      </w:r>
      <w:r w:rsidR="00E36174" w:rsidRPr="002433F3">
        <w:rPr>
          <w:rFonts w:eastAsia="Batang"/>
          <w:bCs w:val="0"/>
          <w:noProof w:val="0"/>
          <w:szCs w:val="24"/>
          <w:lang w:val="en-US" w:eastAsia="x-none"/>
        </w:rPr>
        <w:t>Twelfth Civil Court of the Bogotá Circuit</w:t>
      </w:r>
      <w:r w:rsidR="007B0DE4" w:rsidRPr="002433F3">
        <w:rPr>
          <w:rFonts w:eastAsia="Batang"/>
          <w:bCs w:val="0"/>
          <w:noProof w:val="0"/>
          <w:szCs w:val="24"/>
          <w:lang w:val="en-US" w:eastAsia="x-none"/>
        </w:rPr>
        <w:t xml:space="preserve"> </w:t>
      </w:r>
      <w:r w:rsidR="007B0DE4" w:rsidRPr="002433F3">
        <w:rPr>
          <w:noProof w:val="0"/>
          <w:lang w:val="en-US"/>
        </w:rPr>
        <w:t>(</w:t>
      </w:r>
      <w:r w:rsidR="007B0DE4" w:rsidRPr="002433F3">
        <w:rPr>
          <w:i/>
          <w:noProof w:val="0"/>
          <w:lang w:val="en-US"/>
        </w:rPr>
        <w:t>supra</w:t>
      </w:r>
      <w:r w:rsidR="007B0DE4" w:rsidRPr="002433F3">
        <w:rPr>
          <w:noProof w:val="0"/>
          <w:lang w:val="en-US"/>
        </w:rPr>
        <w:t xml:space="preserve"> para. 79). </w:t>
      </w:r>
    </w:p>
    <w:p w14:paraId="393B38B8" w14:textId="77777777" w:rsidR="007B0DE4" w:rsidRPr="002433F3" w:rsidRDefault="00391C8B" w:rsidP="007B0DE4">
      <w:pPr>
        <w:numPr>
          <w:ilvl w:val="0"/>
          <w:numId w:val="2"/>
        </w:numPr>
        <w:spacing w:before="120" w:after="120"/>
        <w:ind w:right="4"/>
        <w:rPr>
          <w:lang w:val="en-US"/>
        </w:rPr>
      </w:pPr>
      <w:r w:rsidRPr="002433F3">
        <w:rPr>
          <w:lang w:val="en-US"/>
        </w:rPr>
        <w:t>The Court will</w:t>
      </w:r>
      <w:r w:rsidR="007658CD" w:rsidRPr="002433F3">
        <w:rPr>
          <w:lang w:val="en-US"/>
        </w:rPr>
        <w:t xml:space="preserve"> </w:t>
      </w:r>
      <w:r w:rsidR="0038589D" w:rsidRPr="002433F3">
        <w:rPr>
          <w:lang w:val="en-US"/>
        </w:rPr>
        <w:t>now determine whether the</w:t>
      </w:r>
      <w:r w:rsidR="007B0DE4" w:rsidRPr="002433F3">
        <w:rPr>
          <w:lang w:val="en-US"/>
        </w:rPr>
        <w:t xml:space="preserve"> internationally wrongful act was subsequently rectified, </w:t>
      </w:r>
      <w:r w:rsidR="00AC1059" w:rsidRPr="002433F3">
        <w:rPr>
          <w:lang w:val="en-US"/>
        </w:rPr>
        <w:t xml:space="preserve">having been annulled and </w:t>
      </w:r>
      <w:r w:rsidR="007B0DE4" w:rsidRPr="002433F3">
        <w:rPr>
          <w:lang w:val="en-US"/>
        </w:rPr>
        <w:t>repa</w:t>
      </w:r>
      <w:r w:rsidR="007658CD" w:rsidRPr="002433F3">
        <w:rPr>
          <w:lang w:val="en-US"/>
        </w:rPr>
        <w:t>ired</w:t>
      </w:r>
      <w:r w:rsidR="00AC1059" w:rsidRPr="002433F3">
        <w:rPr>
          <w:lang w:val="en-US"/>
        </w:rPr>
        <w:t xml:space="preserve">, </w:t>
      </w:r>
      <w:r w:rsidR="007B0DE4" w:rsidRPr="002433F3">
        <w:rPr>
          <w:lang w:val="en-US"/>
        </w:rPr>
        <w:t xml:space="preserve">in which case it would not be necessary </w:t>
      </w:r>
      <w:r w:rsidR="00F21485" w:rsidRPr="002433F3">
        <w:rPr>
          <w:lang w:val="en-US"/>
        </w:rPr>
        <w:t xml:space="preserve">to </w:t>
      </w:r>
      <w:r w:rsidR="007B0DE4" w:rsidRPr="002433F3">
        <w:rPr>
          <w:lang w:val="en-US"/>
        </w:rPr>
        <w:t>recognize the international responsibility</w:t>
      </w:r>
      <w:r w:rsidR="00F21485" w:rsidRPr="002433F3">
        <w:rPr>
          <w:lang w:val="en-US"/>
        </w:rPr>
        <w:t xml:space="preserve"> of the State</w:t>
      </w:r>
      <w:r w:rsidR="007B0DE4" w:rsidRPr="002433F3">
        <w:rPr>
          <w:lang w:val="en-US"/>
        </w:rPr>
        <w:t xml:space="preserve">. </w:t>
      </w:r>
    </w:p>
    <w:p w14:paraId="2FFBC043" w14:textId="77777777" w:rsidR="007B0DE4" w:rsidRPr="002433F3" w:rsidRDefault="007B0DE4" w:rsidP="007B0DE4">
      <w:pPr>
        <w:pStyle w:val="Ttulo3"/>
        <w:spacing w:before="280" w:after="280"/>
        <w:ind w:left="1066"/>
        <w:rPr>
          <w:noProof w:val="0"/>
          <w:lang w:val="en-US"/>
        </w:rPr>
      </w:pPr>
      <w:bookmarkStart w:id="126" w:name="_Toc448482267"/>
      <w:r w:rsidRPr="002433F3">
        <w:rPr>
          <w:noProof w:val="0"/>
          <w:lang w:val="en-US"/>
        </w:rPr>
        <w:lastRenderedPageBreak/>
        <w:t xml:space="preserve">B.3. The </w:t>
      </w:r>
      <w:r w:rsidRPr="002433F3">
        <w:rPr>
          <w:noProof w:val="0"/>
          <w:lang w:val="en-US" w:eastAsia="es-ES"/>
        </w:rPr>
        <w:t>alleged</w:t>
      </w:r>
      <w:r w:rsidRPr="002433F3">
        <w:rPr>
          <w:noProof w:val="0"/>
          <w:lang w:val="en-US"/>
        </w:rPr>
        <w:t xml:space="preserve"> cessation and reparation of the internationally wrongful act in this case</w:t>
      </w:r>
      <w:bookmarkEnd w:id="126"/>
      <w:r w:rsidRPr="002433F3">
        <w:rPr>
          <w:noProof w:val="0"/>
          <w:lang w:val="en-US"/>
        </w:rPr>
        <w:t xml:space="preserve"> </w:t>
      </w:r>
    </w:p>
    <w:p w14:paraId="680BA6E0" w14:textId="77777777" w:rsidR="007B0DE4" w:rsidRPr="002433F3" w:rsidRDefault="007B0DE4" w:rsidP="007B0DE4">
      <w:pPr>
        <w:numPr>
          <w:ilvl w:val="0"/>
          <w:numId w:val="2"/>
        </w:numPr>
        <w:spacing w:before="120" w:after="120"/>
        <w:ind w:right="4"/>
        <w:rPr>
          <w:lang w:val="en-US"/>
        </w:rPr>
      </w:pPr>
      <w:r w:rsidRPr="002433F3">
        <w:rPr>
          <w:lang w:val="en-US"/>
        </w:rPr>
        <w:t xml:space="preserve">The Court </w:t>
      </w:r>
      <w:r w:rsidR="007658CD" w:rsidRPr="002433F3">
        <w:rPr>
          <w:lang w:val="en-US"/>
        </w:rPr>
        <w:t xml:space="preserve">has </w:t>
      </w:r>
      <w:r w:rsidRPr="002433F3">
        <w:rPr>
          <w:lang w:val="en-US"/>
        </w:rPr>
        <w:t xml:space="preserve">stated that the Inter-American System of Human Rights </w:t>
      </w:r>
      <w:r w:rsidR="00C94A68" w:rsidRPr="002433F3">
        <w:rPr>
          <w:lang w:val="en-US"/>
        </w:rPr>
        <w:t xml:space="preserve">includes </w:t>
      </w:r>
      <w:r w:rsidRPr="002433F3">
        <w:rPr>
          <w:lang w:val="en-US"/>
        </w:rPr>
        <w:t>“</w:t>
      </w:r>
      <w:r w:rsidR="00C94A68" w:rsidRPr="002433F3">
        <w:rPr>
          <w:lang w:val="en-US"/>
        </w:rPr>
        <w:t xml:space="preserve">a local or national tier, </w:t>
      </w:r>
      <w:r w:rsidRPr="002433F3">
        <w:rPr>
          <w:lang w:val="en-US"/>
        </w:rPr>
        <w:t>consist</w:t>
      </w:r>
      <w:r w:rsidR="003D073E" w:rsidRPr="002433F3">
        <w:rPr>
          <w:lang w:val="en-US"/>
        </w:rPr>
        <w:t xml:space="preserve">ing </w:t>
      </w:r>
      <w:r w:rsidRPr="002433F3">
        <w:rPr>
          <w:lang w:val="en-US"/>
        </w:rPr>
        <w:t>of each State</w:t>
      </w:r>
      <w:r w:rsidR="003D073E" w:rsidRPr="002433F3">
        <w:rPr>
          <w:lang w:val="en-US"/>
        </w:rPr>
        <w:t>’s obligation to guarantee the rights and freedoms recognized in the Convention and to punish violations committed</w:t>
      </w:r>
      <w:r w:rsidRPr="002433F3">
        <w:rPr>
          <w:lang w:val="en-US"/>
        </w:rPr>
        <w:t>” and that “</w:t>
      </w:r>
      <w:r w:rsidR="003D073E" w:rsidRPr="002433F3">
        <w:rPr>
          <w:lang w:val="en-US"/>
        </w:rPr>
        <w:t>if a specific case is not resolved at the local or national level, the Convention provides an international tier where the principal bodies are the Commission and this Court</w:t>
      </w:r>
      <w:r w:rsidR="007658CD" w:rsidRPr="002433F3">
        <w:rPr>
          <w:lang w:val="en-US"/>
        </w:rPr>
        <w:t>.”</w:t>
      </w:r>
      <w:r w:rsidRPr="002433F3">
        <w:rPr>
          <w:lang w:val="en-US"/>
        </w:rPr>
        <w:t xml:space="preserve"> </w:t>
      </w:r>
      <w:r w:rsidR="00C94A68" w:rsidRPr="002433F3">
        <w:rPr>
          <w:lang w:val="en-US"/>
        </w:rPr>
        <w:t>T</w:t>
      </w:r>
      <w:r w:rsidR="00B56D7A" w:rsidRPr="002433F3">
        <w:rPr>
          <w:lang w:val="en-US"/>
        </w:rPr>
        <w:t>he</w:t>
      </w:r>
      <w:r w:rsidRPr="002433F3">
        <w:rPr>
          <w:lang w:val="en-US"/>
        </w:rPr>
        <w:t xml:space="preserve"> Court </w:t>
      </w:r>
      <w:r w:rsidR="00C94A68" w:rsidRPr="002433F3">
        <w:rPr>
          <w:lang w:val="en-US"/>
        </w:rPr>
        <w:t xml:space="preserve">has </w:t>
      </w:r>
      <w:r w:rsidRPr="002433F3">
        <w:rPr>
          <w:lang w:val="en-US"/>
        </w:rPr>
        <w:t>also indicated that “</w:t>
      </w:r>
      <w:r w:rsidR="00C94A68" w:rsidRPr="002433F3">
        <w:rPr>
          <w:lang w:val="en-US"/>
        </w:rPr>
        <w:t xml:space="preserve">when a question has been definitively settled under domestic law, in accordance with </w:t>
      </w:r>
      <w:r w:rsidRPr="002433F3">
        <w:rPr>
          <w:lang w:val="en-US"/>
        </w:rPr>
        <w:t xml:space="preserve">the clauses of the Convention, </w:t>
      </w:r>
      <w:r w:rsidR="00C94A68" w:rsidRPr="002433F3">
        <w:rPr>
          <w:lang w:val="en-US"/>
        </w:rPr>
        <w:t>the matter need not be brought to this Court for “approval” or “confirmation.”</w:t>
      </w:r>
      <w:r w:rsidRPr="002433F3">
        <w:rPr>
          <w:rStyle w:val="Refdenotaalpie"/>
          <w:rFonts w:eastAsia="Calibri"/>
          <w:lang w:val="en-US"/>
        </w:rPr>
        <w:footnoteReference w:id="118"/>
      </w:r>
      <w:r w:rsidRPr="002433F3">
        <w:rPr>
          <w:lang w:val="en-US"/>
        </w:rPr>
        <w:t xml:space="preserve"> </w:t>
      </w:r>
    </w:p>
    <w:p w14:paraId="220DC5BB" w14:textId="77777777" w:rsidR="007B0DE4" w:rsidRPr="002433F3" w:rsidRDefault="00B56D7A" w:rsidP="007B0DE4">
      <w:pPr>
        <w:numPr>
          <w:ilvl w:val="0"/>
          <w:numId w:val="2"/>
        </w:numPr>
        <w:spacing w:before="120" w:after="120"/>
        <w:ind w:right="4"/>
        <w:rPr>
          <w:lang w:val="en-US"/>
        </w:rPr>
      </w:pPr>
      <w:r w:rsidRPr="002433F3">
        <w:rPr>
          <w:lang w:val="en-US"/>
        </w:rPr>
        <w:t>Similarly</w:t>
      </w:r>
      <w:r w:rsidR="007B0DE4" w:rsidRPr="002433F3">
        <w:rPr>
          <w:lang w:val="en-US"/>
        </w:rPr>
        <w:t xml:space="preserve">, this Court </w:t>
      </w:r>
      <w:r w:rsidR="00AC1059" w:rsidRPr="002433F3">
        <w:rPr>
          <w:lang w:val="en-US"/>
        </w:rPr>
        <w:t xml:space="preserve">has </w:t>
      </w:r>
      <w:r w:rsidR="007B0DE4" w:rsidRPr="002433F3">
        <w:rPr>
          <w:lang w:val="en-US"/>
        </w:rPr>
        <w:t xml:space="preserve">indicated that the State’s responsibility under the Convention </w:t>
      </w:r>
      <w:r w:rsidR="00C94A68" w:rsidRPr="002433F3">
        <w:rPr>
          <w:lang w:val="en-US"/>
        </w:rPr>
        <w:t xml:space="preserve">can only be </w:t>
      </w:r>
      <w:r w:rsidR="007E4AAF" w:rsidRPr="002433F3">
        <w:rPr>
          <w:lang w:val="en-US"/>
        </w:rPr>
        <w:t xml:space="preserve">required </w:t>
      </w:r>
      <w:r w:rsidR="007B0DE4" w:rsidRPr="002433F3">
        <w:rPr>
          <w:lang w:val="en-US"/>
        </w:rPr>
        <w:t>a</w:t>
      </w:r>
      <w:r w:rsidR="00C94A68" w:rsidRPr="002433F3">
        <w:rPr>
          <w:lang w:val="en-US"/>
        </w:rPr>
        <w:t>t</w:t>
      </w:r>
      <w:r w:rsidR="007B0DE4" w:rsidRPr="002433F3">
        <w:rPr>
          <w:lang w:val="en-US"/>
        </w:rPr>
        <w:t xml:space="preserve"> international le</w:t>
      </w:r>
      <w:r w:rsidR="004F6660" w:rsidRPr="002433F3">
        <w:rPr>
          <w:lang w:val="en-US"/>
        </w:rPr>
        <w:t xml:space="preserve">vel after the State has had an </w:t>
      </w:r>
      <w:r w:rsidR="007B0DE4" w:rsidRPr="002433F3">
        <w:rPr>
          <w:lang w:val="en-US"/>
        </w:rPr>
        <w:t xml:space="preserve">opportunity to recognize, </w:t>
      </w:r>
      <w:r w:rsidR="00AE49FE" w:rsidRPr="002433F3">
        <w:rPr>
          <w:lang w:val="en-US"/>
        </w:rPr>
        <w:t>as</w:t>
      </w:r>
      <w:r w:rsidR="007E4AAF" w:rsidRPr="002433F3">
        <w:rPr>
          <w:lang w:val="en-US"/>
        </w:rPr>
        <w:t xml:space="preserve"> appropriate</w:t>
      </w:r>
      <w:r w:rsidR="007B0DE4" w:rsidRPr="002433F3">
        <w:rPr>
          <w:lang w:val="en-US"/>
        </w:rPr>
        <w:t>, a violation of a right and repa</w:t>
      </w:r>
      <w:r w:rsidR="007E4AAF" w:rsidRPr="002433F3">
        <w:rPr>
          <w:lang w:val="en-US"/>
        </w:rPr>
        <w:t>ir</w:t>
      </w:r>
      <w:r w:rsidR="007B0DE4" w:rsidRPr="002433F3">
        <w:rPr>
          <w:lang w:val="en-US"/>
        </w:rPr>
        <w:t xml:space="preserve"> the harm caused by its own means. This is based on the principle of subsidiarity, </w:t>
      </w:r>
      <w:r w:rsidR="004F6660" w:rsidRPr="002433F3">
        <w:rPr>
          <w:lang w:val="en-US"/>
        </w:rPr>
        <w:t xml:space="preserve">which permeates </w:t>
      </w:r>
      <w:r w:rsidR="007E4AAF" w:rsidRPr="002433F3">
        <w:rPr>
          <w:lang w:val="en-US"/>
        </w:rPr>
        <w:t xml:space="preserve">the </w:t>
      </w:r>
      <w:r w:rsidR="007B0DE4" w:rsidRPr="002433F3">
        <w:rPr>
          <w:lang w:val="en-US"/>
        </w:rPr>
        <w:t xml:space="preserve">Inter-American System of Human Rights, </w:t>
      </w:r>
      <w:r w:rsidR="00AE49FE" w:rsidRPr="002433F3">
        <w:rPr>
          <w:lang w:val="en-US"/>
        </w:rPr>
        <w:t>“</w:t>
      </w:r>
      <w:r w:rsidR="00AE49FE" w:rsidRPr="002433F3">
        <w:rPr>
          <w:color w:val="000000"/>
          <w:lang w:val="en-US"/>
        </w:rPr>
        <w:t>reinforcing or complementing</w:t>
      </w:r>
      <w:r w:rsidR="00AE49FE" w:rsidRPr="002433F3">
        <w:rPr>
          <w:lang w:val="en-US"/>
        </w:rPr>
        <w:t xml:space="preserve"> the protection provided by the domestic law of the American States,” as stated </w:t>
      </w:r>
      <w:r w:rsidR="007B0DE4" w:rsidRPr="002433F3">
        <w:rPr>
          <w:lang w:val="en-US"/>
        </w:rPr>
        <w:t xml:space="preserve">in the Preamble of the American </w:t>
      </w:r>
      <w:r w:rsidR="00AE49FE" w:rsidRPr="002433F3">
        <w:rPr>
          <w:lang w:val="en-US"/>
        </w:rPr>
        <w:t>Convention.</w:t>
      </w:r>
      <w:r w:rsidR="007B0DE4" w:rsidRPr="002433F3">
        <w:rPr>
          <w:lang w:val="en-US"/>
        </w:rPr>
        <w:t xml:space="preserve"> </w:t>
      </w:r>
      <w:r w:rsidR="00CD3706" w:rsidRPr="002433F3">
        <w:rPr>
          <w:lang w:val="en-US"/>
        </w:rPr>
        <w:t xml:space="preserve">Thus, </w:t>
      </w:r>
      <w:r w:rsidR="007B0DE4" w:rsidRPr="002433F3">
        <w:rPr>
          <w:lang w:val="en-US"/>
        </w:rPr>
        <w:t>the State “</w:t>
      </w:r>
      <w:r w:rsidR="007B0DE4" w:rsidRPr="002433F3">
        <w:rPr>
          <w:rFonts w:cs="Arial"/>
          <w:szCs w:val="20"/>
          <w:shd w:val="clear" w:color="auto" w:fill="FFFFFF"/>
          <w:lang w:val="en-US"/>
        </w:rPr>
        <w:t xml:space="preserve">is  the  principal  guarantor of human rights and, as a consequence, if a violation of </w:t>
      </w:r>
      <w:r w:rsidR="00BC7677" w:rsidRPr="002433F3">
        <w:rPr>
          <w:rFonts w:cs="Arial"/>
          <w:szCs w:val="20"/>
          <w:shd w:val="clear" w:color="auto" w:fill="FFFFFF"/>
          <w:lang w:val="en-US"/>
        </w:rPr>
        <w:t xml:space="preserve">said </w:t>
      </w:r>
      <w:r w:rsidR="007B0DE4" w:rsidRPr="002433F3">
        <w:rPr>
          <w:rFonts w:cs="Arial"/>
          <w:szCs w:val="20"/>
          <w:shd w:val="clear" w:color="auto" w:fill="FFFFFF"/>
          <w:lang w:val="en-US"/>
        </w:rPr>
        <w:t xml:space="preserve">rights occurs, the State </w:t>
      </w:r>
      <w:r w:rsidR="00CD3706" w:rsidRPr="002433F3">
        <w:rPr>
          <w:rFonts w:cs="Arial"/>
          <w:szCs w:val="20"/>
          <w:shd w:val="clear" w:color="auto" w:fill="FFFFFF"/>
          <w:lang w:val="en-US"/>
        </w:rPr>
        <w:t xml:space="preserve"> must  resolve  th</w:t>
      </w:r>
      <w:r w:rsidR="00BC7677" w:rsidRPr="002433F3">
        <w:rPr>
          <w:rFonts w:cs="Arial"/>
          <w:szCs w:val="20"/>
          <w:shd w:val="clear" w:color="auto" w:fill="FFFFFF"/>
          <w:lang w:val="en-US"/>
        </w:rPr>
        <w:t xml:space="preserve">is issue </w:t>
      </w:r>
      <w:r w:rsidR="00CD3706" w:rsidRPr="002433F3">
        <w:rPr>
          <w:rFonts w:cs="Arial"/>
          <w:szCs w:val="20"/>
          <w:shd w:val="clear" w:color="auto" w:fill="FFFFFF"/>
          <w:lang w:val="en-US"/>
        </w:rPr>
        <w:t xml:space="preserve">in the domestic system </w:t>
      </w:r>
      <w:r w:rsidR="007B0DE4" w:rsidRPr="002433F3">
        <w:rPr>
          <w:rFonts w:cs="Arial"/>
          <w:szCs w:val="20"/>
          <w:shd w:val="clear" w:color="auto" w:fill="FFFFFF"/>
          <w:lang w:val="en-US"/>
        </w:rPr>
        <w:t>and redress  the  victim  before resorting  to  international  bodies such  as  the  Inter-American  Sy</w:t>
      </w:r>
      <w:r w:rsidR="00CD3706" w:rsidRPr="002433F3">
        <w:rPr>
          <w:rFonts w:cs="Arial"/>
          <w:szCs w:val="20"/>
          <w:shd w:val="clear" w:color="auto" w:fill="FFFFFF"/>
          <w:lang w:val="en-US"/>
        </w:rPr>
        <w:t xml:space="preserve">stem  for  the Protection of  Human </w:t>
      </w:r>
      <w:r w:rsidR="007B0DE4" w:rsidRPr="002433F3">
        <w:rPr>
          <w:rFonts w:cs="Arial"/>
          <w:szCs w:val="20"/>
          <w:shd w:val="clear" w:color="auto" w:fill="FFFFFF"/>
          <w:lang w:val="en-US"/>
        </w:rPr>
        <w:t>R</w:t>
      </w:r>
      <w:r w:rsidR="00CD3706" w:rsidRPr="002433F3">
        <w:rPr>
          <w:rFonts w:cs="Arial"/>
          <w:szCs w:val="20"/>
          <w:shd w:val="clear" w:color="auto" w:fill="FFFFFF"/>
          <w:lang w:val="en-US"/>
        </w:rPr>
        <w:t>ights</w:t>
      </w:r>
      <w:r w:rsidR="00BC7677" w:rsidRPr="002433F3">
        <w:rPr>
          <w:rFonts w:cs="Arial"/>
          <w:szCs w:val="20"/>
          <w:shd w:val="clear" w:color="auto" w:fill="FFFFFF"/>
          <w:lang w:val="en-US"/>
        </w:rPr>
        <w:t>,</w:t>
      </w:r>
      <w:r w:rsidR="00CD3706" w:rsidRPr="002433F3">
        <w:rPr>
          <w:rFonts w:cs="Arial"/>
          <w:szCs w:val="20"/>
          <w:shd w:val="clear" w:color="auto" w:fill="FFFFFF"/>
          <w:lang w:val="en-US"/>
        </w:rPr>
        <w:t xml:space="preserve">  as  it  derives  from  </w:t>
      </w:r>
      <w:r w:rsidR="007B0DE4" w:rsidRPr="002433F3">
        <w:rPr>
          <w:rFonts w:cs="Arial"/>
          <w:szCs w:val="20"/>
          <w:shd w:val="clear" w:color="auto" w:fill="FFFFFF"/>
          <w:lang w:val="en-US"/>
        </w:rPr>
        <w:t>the  ancillary  nature   of  the international system  in relation to local systems for the protection of  human rights</w:t>
      </w:r>
      <w:r w:rsidR="007B0DE4" w:rsidRPr="002433F3">
        <w:rPr>
          <w:lang w:val="en-US"/>
        </w:rPr>
        <w:t>.”</w:t>
      </w:r>
      <w:r w:rsidR="007B0DE4" w:rsidRPr="002433F3">
        <w:rPr>
          <w:rStyle w:val="Refdenotaalpie"/>
          <w:lang w:val="en-US"/>
        </w:rPr>
        <w:footnoteReference w:id="119"/>
      </w:r>
      <w:r w:rsidR="007B0DE4" w:rsidRPr="002433F3">
        <w:rPr>
          <w:lang w:val="en-US"/>
        </w:rPr>
        <w:t xml:space="preserve"> Th</w:t>
      </w:r>
      <w:r w:rsidR="00E0209C" w:rsidRPr="002433F3">
        <w:rPr>
          <w:lang w:val="en-US"/>
        </w:rPr>
        <w:t>e</w:t>
      </w:r>
      <w:r w:rsidR="00FB2572" w:rsidRPr="002433F3">
        <w:rPr>
          <w:lang w:val="en-US"/>
        </w:rPr>
        <w:t xml:space="preserve"> </w:t>
      </w:r>
      <w:r w:rsidR="00E0209C" w:rsidRPr="002433F3">
        <w:rPr>
          <w:lang w:val="en-US"/>
        </w:rPr>
        <w:t>complementary</w:t>
      </w:r>
      <w:r w:rsidR="007B0DE4" w:rsidRPr="002433F3">
        <w:rPr>
          <w:lang w:val="en-US"/>
        </w:rPr>
        <w:t xml:space="preserve"> </w:t>
      </w:r>
      <w:r w:rsidR="007E4AAF" w:rsidRPr="002433F3">
        <w:rPr>
          <w:lang w:val="en-US"/>
        </w:rPr>
        <w:t xml:space="preserve">nature </w:t>
      </w:r>
      <w:r w:rsidR="007B0DE4" w:rsidRPr="002433F3">
        <w:rPr>
          <w:lang w:val="en-US"/>
        </w:rPr>
        <w:t>of the international jurisdiction signifi</w:t>
      </w:r>
      <w:r w:rsidR="007658CD" w:rsidRPr="002433F3">
        <w:rPr>
          <w:lang w:val="en-US"/>
        </w:rPr>
        <w:t xml:space="preserve">es </w:t>
      </w:r>
      <w:r w:rsidR="00B612AF" w:rsidRPr="002433F3">
        <w:rPr>
          <w:lang w:val="en-US"/>
        </w:rPr>
        <w:t xml:space="preserve">that the </w:t>
      </w:r>
      <w:r w:rsidR="007B0DE4" w:rsidRPr="002433F3">
        <w:rPr>
          <w:lang w:val="en-US"/>
        </w:rPr>
        <w:t xml:space="preserve">system of protection </w:t>
      </w:r>
      <w:r w:rsidR="00B612AF" w:rsidRPr="002433F3">
        <w:rPr>
          <w:lang w:val="en-US"/>
        </w:rPr>
        <w:t xml:space="preserve">established </w:t>
      </w:r>
      <w:r w:rsidR="007B0DE4" w:rsidRPr="002433F3">
        <w:rPr>
          <w:lang w:val="en-US"/>
        </w:rPr>
        <w:t>by the American Convention on Human Rights does not replace the national jurisdiction</w:t>
      </w:r>
      <w:r w:rsidR="00DB39F1" w:rsidRPr="002433F3">
        <w:rPr>
          <w:lang w:val="en-US"/>
        </w:rPr>
        <w:t>, but rather complements it.</w:t>
      </w:r>
      <w:r w:rsidR="007B0DE4" w:rsidRPr="002433F3">
        <w:rPr>
          <w:rStyle w:val="Refdenotaalpie"/>
          <w:lang w:val="en-US"/>
        </w:rPr>
        <w:footnoteReference w:id="120"/>
      </w:r>
    </w:p>
    <w:p w14:paraId="05674F0F" w14:textId="77777777" w:rsidR="007B0DE4" w:rsidRPr="002433F3" w:rsidRDefault="00EA5000" w:rsidP="007B0DE4">
      <w:pPr>
        <w:numPr>
          <w:ilvl w:val="0"/>
          <w:numId w:val="2"/>
        </w:numPr>
        <w:spacing w:before="120" w:after="120"/>
        <w:ind w:right="4"/>
        <w:rPr>
          <w:lang w:val="en-US"/>
        </w:rPr>
      </w:pPr>
      <w:r w:rsidRPr="002433F3">
        <w:rPr>
          <w:lang w:val="en-US"/>
        </w:rPr>
        <w:t>In the instant</w:t>
      </w:r>
      <w:r w:rsidR="007B0DE4" w:rsidRPr="002433F3">
        <w:rPr>
          <w:lang w:val="en-US"/>
        </w:rPr>
        <w:t xml:space="preserve"> case, the State argued that the internationally wrongful act (</w:t>
      </w:r>
      <w:r w:rsidR="007B0DE4" w:rsidRPr="002433F3">
        <w:rPr>
          <w:i/>
          <w:lang w:val="en-US"/>
        </w:rPr>
        <w:t>supra</w:t>
      </w:r>
      <w:r w:rsidR="007B0DE4" w:rsidRPr="002433F3">
        <w:rPr>
          <w:lang w:val="en-US"/>
        </w:rPr>
        <w:t xml:space="preserve"> para. 56) ha</w:t>
      </w:r>
      <w:r w:rsidR="007658CD" w:rsidRPr="002433F3">
        <w:rPr>
          <w:lang w:val="en-US"/>
        </w:rPr>
        <w:t xml:space="preserve">d ceased </w:t>
      </w:r>
      <w:r w:rsidR="007B0DE4" w:rsidRPr="002433F3">
        <w:rPr>
          <w:lang w:val="en-US"/>
        </w:rPr>
        <w:t xml:space="preserve">and had been rectified or repaired. </w:t>
      </w:r>
      <w:r w:rsidR="00E0209C" w:rsidRPr="002433F3">
        <w:rPr>
          <w:lang w:val="en-US"/>
        </w:rPr>
        <w:t xml:space="preserve">It </w:t>
      </w:r>
      <w:r w:rsidR="00AE49FE" w:rsidRPr="002433F3">
        <w:rPr>
          <w:lang w:val="en-US"/>
        </w:rPr>
        <w:t>indicated that judgment C-336 of 2008 and j</w:t>
      </w:r>
      <w:r w:rsidR="007658CD" w:rsidRPr="002433F3">
        <w:rPr>
          <w:lang w:val="en-US"/>
        </w:rPr>
        <w:t xml:space="preserve">udgment T-051 </w:t>
      </w:r>
      <w:r w:rsidR="00AE49FE" w:rsidRPr="002433F3">
        <w:rPr>
          <w:lang w:val="en-US"/>
        </w:rPr>
        <w:t xml:space="preserve">of the Constitutional Court, </w:t>
      </w:r>
      <w:r w:rsidR="007658CD" w:rsidRPr="002433F3">
        <w:rPr>
          <w:lang w:val="en-US"/>
        </w:rPr>
        <w:t xml:space="preserve">as well as </w:t>
      </w:r>
      <w:r w:rsidR="00E0209C" w:rsidRPr="002433F3">
        <w:rPr>
          <w:lang w:val="en-US"/>
        </w:rPr>
        <w:t>subsequent judgments</w:t>
      </w:r>
      <w:r w:rsidR="00AE49FE" w:rsidRPr="002433F3">
        <w:rPr>
          <w:lang w:val="en-US"/>
        </w:rPr>
        <w:t>,</w:t>
      </w:r>
      <w:r w:rsidR="00E0209C" w:rsidRPr="002433F3">
        <w:rPr>
          <w:lang w:val="en-US"/>
        </w:rPr>
        <w:t xml:space="preserve"> </w:t>
      </w:r>
      <w:r w:rsidR="007B0DE4" w:rsidRPr="002433F3">
        <w:rPr>
          <w:lang w:val="en-US"/>
        </w:rPr>
        <w:t xml:space="preserve">had modified </w:t>
      </w:r>
      <w:r w:rsidR="007658CD" w:rsidRPr="002433F3">
        <w:rPr>
          <w:lang w:val="en-US"/>
        </w:rPr>
        <w:t>Colombia’s domestic legislation</w:t>
      </w:r>
      <w:r w:rsidR="007B0DE4" w:rsidRPr="002433F3">
        <w:rPr>
          <w:lang w:val="en-US"/>
        </w:rPr>
        <w:t xml:space="preserve"> </w:t>
      </w:r>
      <w:r w:rsidR="00E0209C" w:rsidRPr="002433F3">
        <w:rPr>
          <w:lang w:val="en-US"/>
        </w:rPr>
        <w:t>to allow</w:t>
      </w:r>
      <w:r w:rsidR="007B0DE4" w:rsidRPr="002433F3">
        <w:rPr>
          <w:lang w:val="en-US"/>
        </w:rPr>
        <w:t xml:space="preserve"> pensions to be paid to </w:t>
      </w:r>
      <w:r w:rsidR="00E0209C" w:rsidRPr="002433F3">
        <w:rPr>
          <w:lang w:val="en-US"/>
        </w:rPr>
        <w:t>same-sex couples;</w:t>
      </w:r>
      <w:r w:rsidR="007B0DE4" w:rsidRPr="002433F3">
        <w:rPr>
          <w:lang w:val="en-US"/>
        </w:rPr>
        <w:t xml:space="preserve"> </w:t>
      </w:r>
      <w:r w:rsidR="00E0209C" w:rsidRPr="002433F3">
        <w:rPr>
          <w:lang w:val="en-US"/>
        </w:rPr>
        <w:t xml:space="preserve">therefore, </w:t>
      </w:r>
      <w:r w:rsidR="007B0DE4" w:rsidRPr="002433F3">
        <w:rPr>
          <w:lang w:val="en-US"/>
        </w:rPr>
        <w:t xml:space="preserve">Mr. Duque </w:t>
      </w:r>
      <w:r w:rsidR="00E0209C" w:rsidRPr="002433F3">
        <w:rPr>
          <w:lang w:val="en-US"/>
        </w:rPr>
        <w:t xml:space="preserve">could now avail himself of </w:t>
      </w:r>
      <w:r w:rsidR="007B0DE4" w:rsidRPr="002433F3">
        <w:rPr>
          <w:lang w:val="en-US"/>
        </w:rPr>
        <w:t>a</w:t>
      </w:r>
      <w:r w:rsidR="00412D93" w:rsidRPr="002433F3">
        <w:rPr>
          <w:lang w:val="en-US"/>
        </w:rPr>
        <w:t>n</w:t>
      </w:r>
      <w:r w:rsidR="007B0DE4" w:rsidRPr="002433F3">
        <w:rPr>
          <w:lang w:val="en-US"/>
        </w:rPr>
        <w:t xml:space="preserve"> adequate and effective </w:t>
      </w:r>
      <w:r w:rsidR="007658CD" w:rsidRPr="002433F3">
        <w:rPr>
          <w:lang w:val="en-US"/>
        </w:rPr>
        <w:t xml:space="preserve">remedy to apply for the </w:t>
      </w:r>
      <w:r w:rsidR="007B0DE4" w:rsidRPr="002433F3">
        <w:rPr>
          <w:lang w:val="en-US"/>
        </w:rPr>
        <w:t>survivor’s pension (</w:t>
      </w:r>
      <w:r w:rsidR="007B0DE4" w:rsidRPr="002433F3">
        <w:rPr>
          <w:i/>
          <w:lang w:val="en-US"/>
        </w:rPr>
        <w:t>supra</w:t>
      </w:r>
      <w:r w:rsidR="007B0DE4" w:rsidRPr="002433F3">
        <w:rPr>
          <w:lang w:val="en-US"/>
        </w:rPr>
        <w:t xml:space="preserve"> para. 57).</w:t>
      </w:r>
    </w:p>
    <w:p w14:paraId="6750A7CC" w14:textId="77777777" w:rsidR="007B0DE4" w:rsidRPr="002433F3" w:rsidRDefault="007B0DE4" w:rsidP="007B0DE4">
      <w:pPr>
        <w:numPr>
          <w:ilvl w:val="0"/>
          <w:numId w:val="2"/>
        </w:numPr>
        <w:spacing w:before="120" w:after="120"/>
        <w:ind w:right="4"/>
        <w:rPr>
          <w:lang w:val="en-US"/>
        </w:rPr>
      </w:pPr>
      <w:r w:rsidRPr="002433F3">
        <w:rPr>
          <w:lang w:val="en-US"/>
        </w:rPr>
        <w:t xml:space="preserve">With respect to the foregoing, the Court finds that the parties and the Commission </w:t>
      </w:r>
      <w:r w:rsidR="00444462" w:rsidRPr="002433F3">
        <w:rPr>
          <w:lang w:val="en-US"/>
        </w:rPr>
        <w:t>ind</w:t>
      </w:r>
      <w:r w:rsidR="00EA5000" w:rsidRPr="002433F3">
        <w:rPr>
          <w:lang w:val="en-US"/>
        </w:rPr>
        <w:t xml:space="preserve">icted </w:t>
      </w:r>
      <w:r w:rsidRPr="002433F3">
        <w:rPr>
          <w:lang w:val="en-US"/>
        </w:rPr>
        <w:t xml:space="preserve">that the Constitutional Court of Colombia </w:t>
      </w:r>
      <w:r w:rsidR="00444462" w:rsidRPr="002433F3">
        <w:rPr>
          <w:lang w:val="en-US"/>
        </w:rPr>
        <w:t xml:space="preserve">had </w:t>
      </w:r>
      <w:r w:rsidRPr="002433F3">
        <w:rPr>
          <w:lang w:val="en-US"/>
        </w:rPr>
        <w:t>modifi</w:t>
      </w:r>
      <w:r w:rsidR="008B3EA1" w:rsidRPr="002433F3">
        <w:rPr>
          <w:lang w:val="en-US"/>
        </w:rPr>
        <w:t xml:space="preserve">ed </w:t>
      </w:r>
      <w:r w:rsidRPr="002433F3">
        <w:rPr>
          <w:lang w:val="en-US"/>
        </w:rPr>
        <w:t xml:space="preserve">the country’s domestic legislation by allowing same-sex couples </w:t>
      </w:r>
      <w:r w:rsidR="00C02D69" w:rsidRPr="002433F3">
        <w:rPr>
          <w:lang w:val="en-US"/>
        </w:rPr>
        <w:t xml:space="preserve">to obtain a </w:t>
      </w:r>
      <w:r w:rsidRPr="002433F3">
        <w:rPr>
          <w:lang w:val="en-US"/>
        </w:rPr>
        <w:t>survivor’</w:t>
      </w:r>
      <w:r w:rsidR="00C02D69" w:rsidRPr="002433F3">
        <w:rPr>
          <w:lang w:val="en-US"/>
        </w:rPr>
        <w:t>s pension</w:t>
      </w:r>
      <w:r w:rsidRPr="002433F3">
        <w:rPr>
          <w:lang w:val="en-US"/>
        </w:rPr>
        <w:t xml:space="preserve">. However, the Court also notes that disputes still persist with respect to a) the requirements </w:t>
      </w:r>
      <w:r w:rsidR="00444462" w:rsidRPr="002433F3">
        <w:rPr>
          <w:lang w:val="en-US"/>
        </w:rPr>
        <w:t xml:space="preserve">for proving </w:t>
      </w:r>
      <w:r w:rsidRPr="002433F3">
        <w:rPr>
          <w:lang w:val="en-US"/>
        </w:rPr>
        <w:t xml:space="preserve">permanent partner status and b) the retroactive effects of the regulatory changes. </w:t>
      </w:r>
    </w:p>
    <w:p w14:paraId="1C42238A" w14:textId="77777777" w:rsidR="007B0DE4" w:rsidRPr="002433F3" w:rsidRDefault="00444462" w:rsidP="007B0DE4">
      <w:pPr>
        <w:numPr>
          <w:ilvl w:val="0"/>
          <w:numId w:val="2"/>
        </w:numPr>
        <w:spacing w:before="120" w:after="120"/>
        <w:ind w:right="4"/>
        <w:rPr>
          <w:lang w:val="en-US"/>
        </w:rPr>
      </w:pPr>
      <w:r w:rsidRPr="002433F3">
        <w:rPr>
          <w:lang w:val="en-US"/>
        </w:rPr>
        <w:t xml:space="preserve">In relation to </w:t>
      </w:r>
      <w:r w:rsidR="005A1B16" w:rsidRPr="002433F3">
        <w:rPr>
          <w:lang w:val="en-US"/>
        </w:rPr>
        <w:t xml:space="preserve">the </w:t>
      </w:r>
      <w:r w:rsidR="007B0DE4" w:rsidRPr="002433F3">
        <w:rPr>
          <w:lang w:val="en-US"/>
        </w:rPr>
        <w:t xml:space="preserve">first point, the Court </w:t>
      </w:r>
      <w:r w:rsidR="002B2BA8" w:rsidRPr="002433F3">
        <w:rPr>
          <w:lang w:val="en-US"/>
        </w:rPr>
        <w:t>confirms that</w:t>
      </w:r>
      <w:r w:rsidR="005A1B16" w:rsidRPr="002433F3">
        <w:rPr>
          <w:lang w:val="en-US"/>
        </w:rPr>
        <w:t>: a) j</w:t>
      </w:r>
      <w:r w:rsidR="007B0DE4" w:rsidRPr="002433F3">
        <w:rPr>
          <w:lang w:val="en-US"/>
        </w:rPr>
        <w:t xml:space="preserve">udgment C-336 of 2008 established that </w:t>
      </w:r>
      <w:r w:rsidR="007B0DE4" w:rsidRPr="002433F3">
        <w:rPr>
          <w:i/>
          <w:lang w:val="en-US"/>
        </w:rPr>
        <w:t>de facto</w:t>
      </w:r>
      <w:r w:rsidR="007B0DE4" w:rsidRPr="002433F3">
        <w:rPr>
          <w:lang w:val="en-US"/>
        </w:rPr>
        <w:t xml:space="preserve"> union</w:t>
      </w:r>
      <w:r w:rsidR="002B2BA8" w:rsidRPr="002433F3">
        <w:rPr>
          <w:lang w:val="en-US"/>
        </w:rPr>
        <w:t>s</w:t>
      </w:r>
      <w:r w:rsidR="007B0DE4" w:rsidRPr="002433F3">
        <w:rPr>
          <w:lang w:val="en-US"/>
        </w:rPr>
        <w:t xml:space="preserve"> between same-sex couples could be certified </w:t>
      </w:r>
      <w:r w:rsidR="002B2BA8" w:rsidRPr="002433F3">
        <w:rPr>
          <w:lang w:val="en-US"/>
        </w:rPr>
        <w:t xml:space="preserve">by means of </w:t>
      </w:r>
      <w:r w:rsidR="007B0DE4" w:rsidRPr="002433F3">
        <w:rPr>
          <w:lang w:val="en-US"/>
        </w:rPr>
        <w:t>a joint sworn statement before a notary by the i</w:t>
      </w:r>
      <w:r w:rsidR="005A1B16" w:rsidRPr="002433F3">
        <w:rPr>
          <w:lang w:val="en-US"/>
        </w:rPr>
        <w:t>nterested parties, and b) j</w:t>
      </w:r>
      <w:r w:rsidR="007B0DE4" w:rsidRPr="002433F3">
        <w:rPr>
          <w:lang w:val="en-US"/>
        </w:rPr>
        <w:t>udgment T-051 of 2010 stipulated t</w:t>
      </w:r>
      <w:r w:rsidR="005A1B16" w:rsidRPr="002433F3">
        <w:rPr>
          <w:lang w:val="en-US"/>
        </w:rPr>
        <w:t>hat the reforms</w:t>
      </w:r>
      <w:r w:rsidR="00B950F8" w:rsidRPr="002433F3">
        <w:rPr>
          <w:lang w:val="en-US"/>
        </w:rPr>
        <w:t xml:space="preserve"> i</w:t>
      </w:r>
      <w:r w:rsidR="00EA5000" w:rsidRPr="002433F3">
        <w:rPr>
          <w:lang w:val="en-US"/>
        </w:rPr>
        <w:t xml:space="preserve">mplemented </w:t>
      </w:r>
      <w:r w:rsidR="005A1B16" w:rsidRPr="002433F3">
        <w:rPr>
          <w:lang w:val="en-US"/>
        </w:rPr>
        <w:t>by j</w:t>
      </w:r>
      <w:r w:rsidR="007B0DE4" w:rsidRPr="002433F3">
        <w:rPr>
          <w:lang w:val="en-US"/>
        </w:rPr>
        <w:t xml:space="preserve">udgment C-336 of 2008, </w:t>
      </w:r>
      <w:r w:rsidR="00B950F8" w:rsidRPr="002433F3">
        <w:rPr>
          <w:lang w:val="en-US"/>
        </w:rPr>
        <w:t xml:space="preserve">which recognized </w:t>
      </w:r>
      <w:r w:rsidR="007B0DE4" w:rsidRPr="002433F3">
        <w:rPr>
          <w:lang w:val="en-US"/>
        </w:rPr>
        <w:t xml:space="preserve">that same-sex couples have the right to a survivor’s pension </w:t>
      </w:r>
      <w:r w:rsidR="005A1B16" w:rsidRPr="002433F3">
        <w:rPr>
          <w:lang w:val="en-US"/>
        </w:rPr>
        <w:t xml:space="preserve">under the same conditions </w:t>
      </w:r>
      <w:r w:rsidR="002A579A" w:rsidRPr="002433F3">
        <w:rPr>
          <w:lang w:val="en-US"/>
        </w:rPr>
        <w:t xml:space="preserve">as a </w:t>
      </w:r>
      <w:r w:rsidR="002A579A" w:rsidRPr="002433F3">
        <w:rPr>
          <w:lang w:val="en-US"/>
        </w:rPr>
        <w:lastRenderedPageBreak/>
        <w:t>heterosexual couple, would also apply in</w:t>
      </w:r>
      <w:r w:rsidR="007B0DE4" w:rsidRPr="002433F3">
        <w:rPr>
          <w:lang w:val="en-US"/>
        </w:rPr>
        <w:t xml:space="preserve"> </w:t>
      </w:r>
      <w:r w:rsidR="00EA5000" w:rsidRPr="002433F3">
        <w:rPr>
          <w:lang w:val="en-US"/>
        </w:rPr>
        <w:t xml:space="preserve">the </w:t>
      </w:r>
      <w:r w:rsidR="007B0DE4" w:rsidRPr="002433F3">
        <w:rPr>
          <w:lang w:val="en-US"/>
        </w:rPr>
        <w:t xml:space="preserve">cases </w:t>
      </w:r>
      <w:r w:rsidR="002A579A" w:rsidRPr="002433F3">
        <w:rPr>
          <w:lang w:val="en-US"/>
        </w:rPr>
        <w:t xml:space="preserve">of </w:t>
      </w:r>
      <w:r w:rsidR="00EA5000" w:rsidRPr="002433F3">
        <w:rPr>
          <w:lang w:val="en-US"/>
        </w:rPr>
        <w:t xml:space="preserve">persons </w:t>
      </w:r>
      <w:r w:rsidR="002A579A" w:rsidRPr="002433F3">
        <w:rPr>
          <w:lang w:val="en-US"/>
        </w:rPr>
        <w:t xml:space="preserve">whose partner had died </w:t>
      </w:r>
      <w:r w:rsidR="00B612AF" w:rsidRPr="002433F3">
        <w:rPr>
          <w:lang w:val="en-US"/>
        </w:rPr>
        <w:t xml:space="preserve">prior to its </w:t>
      </w:r>
      <w:r w:rsidR="00B950F8" w:rsidRPr="002433F3">
        <w:rPr>
          <w:lang w:val="en-US"/>
        </w:rPr>
        <w:t>issuance</w:t>
      </w:r>
      <w:r w:rsidR="007B0DE4" w:rsidRPr="002433F3">
        <w:rPr>
          <w:lang w:val="en-US"/>
        </w:rPr>
        <w:t xml:space="preserve">, even if the claim was made </w:t>
      </w:r>
      <w:r w:rsidR="002A579A" w:rsidRPr="002433F3">
        <w:rPr>
          <w:lang w:val="en-US"/>
        </w:rPr>
        <w:t xml:space="preserve">before </w:t>
      </w:r>
      <w:r w:rsidR="007B0DE4" w:rsidRPr="002433F3">
        <w:rPr>
          <w:lang w:val="en-US"/>
        </w:rPr>
        <w:t xml:space="preserve">that date. </w:t>
      </w:r>
      <w:r w:rsidR="00B612AF" w:rsidRPr="002433F3">
        <w:rPr>
          <w:lang w:val="en-US"/>
        </w:rPr>
        <w:t xml:space="preserve">It also </w:t>
      </w:r>
      <w:r w:rsidR="007B0DE4" w:rsidRPr="002433F3">
        <w:rPr>
          <w:lang w:val="en-US"/>
        </w:rPr>
        <w:t xml:space="preserve">established that a permanent union </w:t>
      </w:r>
      <w:r w:rsidR="00B950F8" w:rsidRPr="002433F3">
        <w:rPr>
          <w:lang w:val="en-US"/>
        </w:rPr>
        <w:t>between persons of the same sex</w:t>
      </w:r>
      <w:r w:rsidR="007B0DE4" w:rsidRPr="002433F3">
        <w:rPr>
          <w:lang w:val="en-US"/>
        </w:rPr>
        <w:t xml:space="preserve"> could be </w:t>
      </w:r>
      <w:r w:rsidR="00EA5000" w:rsidRPr="002433F3">
        <w:rPr>
          <w:lang w:val="en-US"/>
        </w:rPr>
        <w:t>proved</w:t>
      </w:r>
      <w:r w:rsidR="00B950F8" w:rsidRPr="002433F3">
        <w:rPr>
          <w:lang w:val="en-US"/>
        </w:rPr>
        <w:t xml:space="preserve"> using </w:t>
      </w:r>
      <w:r w:rsidR="007B0DE4" w:rsidRPr="002433F3">
        <w:rPr>
          <w:lang w:val="en-US"/>
        </w:rPr>
        <w:t>me</w:t>
      </w:r>
      <w:r w:rsidR="002A579A" w:rsidRPr="002433F3">
        <w:rPr>
          <w:lang w:val="en-US"/>
        </w:rPr>
        <w:t xml:space="preserve">thods </w:t>
      </w:r>
      <w:r w:rsidR="00B950F8" w:rsidRPr="002433F3">
        <w:rPr>
          <w:lang w:val="en-US"/>
        </w:rPr>
        <w:t xml:space="preserve">other than a </w:t>
      </w:r>
      <w:r w:rsidR="00B612AF" w:rsidRPr="002433F3">
        <w:rPr>
          <w:lang w:val="en-US"/>
        </w:rPr>
        <w:t>joint sworn</w:t>
      </w:r>
      <w:r w:rsidR="007B0DE4" w:rsidRPr="002433F3">
        <w:rPr>
          <w:lang w:val="en-US"/>
        </w:rPr>
        <w:t xml:space="preserve"> statement </w:t>
      </w:r>
      <w:r w:rsidR="00B612AF" w:rsidRPr="002433F3">
        <w:rPr>
          <w:lang w:val="en-US"/>
        </w:rPr>
        <w:t xml:space="preserve">before a notary by the </w:t>
      </w:r>
      <w:r w:rsidR="007B0DE4" w:rsidRPr="002433F3">
        <w:rPr>
          <w:lang w:val="en-US"/>
        </w:rPr>
        <w:t>interes</w:t>
      </w:r>
      <w:r w:rsidR="00B612AF" w:rsidRPr="002433F3">
        <w:rPr>
          <w:lang w:val="en-US"/>
        </w:rPr>
        <w:t>ted parties</w:t>
      </w:r>
      <w:r w:rsidR="007B0DE4" w:rsidRPr="002433F3">
        <w:rPr>
          <w:lang w:val="en-US"/>
        </w:rPr>
        <w:t xml:space="preserve">. </w:t>
      </w:r>
    </w:p>
    <w:p w14:paraId="305A2439" w14:textId="77777777" w:rsidR="007B0DE4" w:rsidRPr="002433F3" w:rsidRDefault="007B0DE4" w:rsidP="007B0DE4">
      <w:pPr>
        <w:pStyle w:val="PrrafodeSentencia0"/>
        <w:rPr>
          <w:noProof w:val="0"/>
          <w:lang w:val="en-US"/>
        </w:rPr>
      </w:pPr>
      <w:r w:rsidRPr="002433F3">
        <w:rPr>
          <w:noProof w:val="0"/>
          <w:lang w:val="en-US"/>
        </w:rPr>
        <w:t xml:space="preserve">Consequently, the State </w:t>
      </w:r>
      <w:r w:rsidR="002A579A" w:rsidRPr="002433F3">
        <w:rPr>
          <w:noProof w:val="0"/>
          <w:lang w:val="en-US"/>
        </w:rPr>
        <w:t xml:space="preserve">pointed out </w:t>
      </w:r>
      <w:r w:rsidRPr="002433F3">
        <w:rPr>
          <w:noProof w:val="0"/>
          <w:lang w:val="en-US"/>
        </w:rPr>
        <w:t xml:space="preserve">that following that precedent, </w:t>
      </w:r>
      <w:r w:rsidR="002A579A" w:rsidRPr="002433F3">
        <w:rPr>
          <w:noProof w:val="0"/>
          <w:lang w:val="en-US"/>
        </w:rPr>
        <w:t>as of 2010</w:t>
      </w:r>
      <w:r w:rsidRPr="002433F3">
        <w:rPr>
          <w:noProof w:val="0"/>
          <w:lang w:val="en-US"/>
        </w:rPr>
        <w:t xml:space="preserve"> Mr. Duque was in a position to submit a request for a survi</w:t>
      </w:r>
      <w:r w:rsidR="00C02D69" w:rsidRPr="002433F3">
        <w:rPr>
          <w:noProof w:val="0"/>
          <w:lang w:val="en-US"/>
        </w:rPr>
        <w:t xml:space="preserve">vor’s pension </w:t>
      </w:r>
      <w:r w:rsidR="00EA5000" w:rsidRPr="002433F3">
        <w:rPr>
          <w:noProof w:val="0"/>
          <w:lang w:val="en-US"/>
        </w:rPr>
        <w:t xml:space="preserve">to </w:t>
      </w:r>
      <w:r w:rsidR="00C02D69" w:rsidRPr="002433F3">
        <w:rPr>
          <w:noProof w:val="0"/>
          <w:lang w:val="en-US"/>
        </w:rPr>
        <w:t xml:space="preserve">COLFONDOS </w:t>
      </w:r>
      <w:r w:rsidR="00EA5000" w:rsidRPr="002433F3">
        <w:rPr>
          <w:noProof w:val="0"/>
          <w:lang w:val="en-US"/>
        </w:rPr>
        <w:t xml:space="preserve">on </w:t>
      </w:r>
      <w:r w:rsidR="00C02D69" w:rsidRPr="002433F3">
        <w:rPr>
          <w:noProof w:val="0"/>
          <w:lang w:val="en-US"/>
        </w:rPr>
        <w:t xml:space="preserve">equal </w:t>
      </w:r>
      <w:r w:rsidR="00EA5000" w:rsidRPr="002433F3">
        <w:rPr>
          <w:noProof w:val="0"/>
          <w:lang w:val="en-US"/>
        </w:rPr>
        <w:t xml:space="preserve">terms </w:t>
      </w:r>
      <w:r w:rsidRPr="002433F3">
        <w:rPr>
          <w:noProof w:val="0"/>
          <w:lang w:val="en-US"/>
        </w:rPr>
        <w:t xml:space="preserve">with </w:t>
      </w:r>
      <w:r w:rsidR="00C02D69" w:rsidRPr="002433F3">
        <w:rPr>
          <w:noProof w:val="0"/>
          <w:lang w:val="en-US"/>
        </w:rPr>
        <w:t>the</w:t>
      </w:r>
      <w:r w:rsidRPr="002433F3">
        <w:rPr>
          <w:noProof w:val="0"/>
          <w:lang w:val="en-US"/>
        </w:rPr>
        <w:t xml:space="preserve"> surviving spouse of a heterosexual couple. </w:t>
      </w:r>
      <w:r w:rsidR="00C02D69" w:rsidRPr="002433F3">
        <w:rPr>
          <w:noProof w:val="0"/>
          <w:lang w:val="en-US"/>
        </w:rPr>
        <w:t xml:space="preserve">In this regard, </w:t>
      </w:r>
      <w:r w:rsidRPr="002433F3">
        <w:rPr>
          <w:noProof w:val="0"/>
          <w:lang w:val="en-US"/>
        </w:rPr>
        <w:t xml:space="preserve">COLFONDOS sent two communications </w:t>
      </w:r>
      <w:r w:rsidR="00C02D69" w:rsidRPr="002433F3">
        <w:rPr>
          <w:noProof w:val="0"/>
          <w:lang w:val="en-US"/>
        </w:rPr>
        <w:t xml:space="preserve">to </w:t>
      </w:r>
      <w:r w:rsidRPr="002433F3">
        <w:rPr>
          <w:noProof w:val="0"/>
          <w:lang w:val="en-US"/>
        </w:rPr>
        <w:t>Mr. Duque</w:t>
      </w:r>
      <w:r w:rsidR="002A579A" w:rsidRPr="002433F3">
        <w:rPr>
          <w:noProof w:val="0"/>
          <w:lang w:val="en-US"/>
        </w:rPr>
        <w:t>,</w:t>
      </w:r>
      <w:r w:rsidRPr="002433F3">
        <w:rPr>
          <w:noProof w:val="0"/>
          <w:lang w:val="en-US"/>
        </w:rPr>
        <w:t xml:space="preserve"> in 2014 and 2015, </w:t>
      </w:r>
      <w:r w:rsidR="00C02D69" w:rsidRPr="002433F3">
        <w:rPr>
          <w:noProof w:val="0"/>
          <w:lang w:val="en-US"/>
        </w:rPr>
        <w:t xml:space="preserve">asking him to submit </w:t>
      </w:r>
      <w:r w:rsidRPr="002433F3">
        <w:rPr>
          <w:noProof w:val="0"/>
          <w:lang w:val="en-US"/>
        </w:rPr>
        <w:t xml:space="preserve">the necessary </w:t>
      </w:r>
      <w:r w:rsidR="00C02D69" w:rsidRPr="002433F3">
        <w:rPr>
          <w:noProof w:val="0"/>
          <w:lang w:val="en-US"/>
        </w:rPr>
        <w:t xml:space="preserve">documentation </w:t>
      </w:r>
      <w:r w:rsidRPr="002433F3">
        <w:rPr>
          <w:noProof w:val="0"/>
          <w:lang w:val="en-US"/>
        </w:rPr>
        <w:t>“</w:t>
      </w:r>
      <w:r w:rsidR="00BE31AB" w:rsidRPr="002433F3">
        <w:rPr>
          <w:noProof w:val="0"/>
          <w:lang w:val="en-US"/>
        </w:rPr>
        <w:t xml:space="preserve">to </w:t>
      </w:r>
      <w:r w:rsidR="006D122C" w:rsidRPr="002433F3">
        <w:rPr>
          <w:noProof w:val="0"/>
          <w:lang w:val="en-US"/>
        </w:rPr>
        <w:t xml:space="preserve">formally begin the </w:t>
      </w:r>
      <w:r w:rsidR="00BE31AB" w:rsidRPr="002433F3">
        <w:rPr>
          <w:noProof w:val="0"/>
          <w:lang w:val="en-US"/>
        </w:rPr>
        <w:t xml:space="preserve">process </w:t>
      </w:r>
      <w:r w:rsidR="006D122C" w:rsidRPr="002433F3">
        <w:rPr>
          <w:noProof w:val="0"/>
          <w:lang w:val="en-US"/>
        </w:rPr>
        <w:t xml:space="preserve">of applying for </w:t>
      </w:r>
      <w:r w:rsidR="00BE31AB" w:rsidRPr="002433F3">
        <w:rPr>
          <w:rFonts w:eastAsia="Batang" w:cs="Times"/>
          <w:bCs w:val="0"/>
          <w:noProof w:val="0"/>
          <w:szCs w:val="24"/>
          <w:lang w:val="en-US" w:eastAsia="en-US"/>
        </w:rPr>
        <w:t xml:space="preserve">the </w:t>
      </w:r>
      <w:r w:rsidR="006D122C" w:rsidRPr="002433F3">
        <w:rPr>
          <w:rFonts w:eastAsia="Batang" w:cs="Times"/>
          <w:bCs w:val="0"/>
          <w:noProof w:val="0"/>
          <w:szCs w:val="24"/>
          <w:lang w:val="en-US" w:eastAsia="en-US"/>
        </w:rPr>
        <w:t xml:space="preserve">survivor’s </w:t>
      </w:r>
      <w:r w:rsidR="00BE31AB" w:rsidRPr="002433F3">
        <w:rPr>
          <w:rFonts w:eastAsia="Batang" w:cs="Times"/>
          <w:bCs w:val="0"/>
          <w:noProof w:val="0"/>
          <w:szCs w:val="24"/>
          <w:lang w:val="en-US" w:eastAsia="en-US"/>
        </w:rPr>
        <w:t>pension</w:t>
      </w:r>
      <w:r w:rsidR="00C02D69" w:rsidRPr="002433F3">
        <w:rPr>
          <w:rFonts w:eastAsia="Batang" w:cs="Times"/>
          <w:bCs w:val="0"/>
          <w:noProof w:val="0"/>
          <w:szCs w:val="24"/>
          <w:lang w:val="en-US" w:eastAsia="en-US"/>
        </w:rPr>
        <w:t>.</w:t>
      </w:r>
      <w:r w:rsidRPr="002433F3">
        <w:rPr>
          <w:rFonts w:eastAsia="Batang" w:cs="Times"/>
          <w:bCs w:val="0"/>
          <w:noProof w:val="0"/>
          <w:szCs w:val="24"/>
          <w:lang w:val="en-US" w:eastAsia="en-US"/>
        </w:rPr>
        <w:t>”</w:t>
      </w:r>
      <w:r w:rsidRPr="002433F3">
        <w:rPr>
          <w:rStyle w:val="Refdenotaalpie"/>
          <w:noProof w:val="0"/>
          <w:lang w:val="en-US"/>
        </w:rPr>
        <w:footnoteReference w:id="121"/>
      </w:r>
      <w:r w:rsidRPr="002433F3">
        <w:rPr>
          <w:rFonts w:eastAsia="Batang" w:cs="Times"/>
          <w:b/>
          <w:bCs w:val="0"/>
          <w:noProof w:val="0"/>
          <w:szCs w:val="24"/>
          <w:lang w:val="en-US" w:eastAsia="en-US"/>
        </w:rPr>
        <w:t xml:space="preserve"> </w:t>
      </w:r>
    </w:p>
    <w:p w14:paraId="0D2C764D" w14:textId="77777777" w:rsidR="007B0DE4" w:rsidRPr="002433F3" w:rsidRDefault="007B0DE4" w:rsidP="007B0DE4">
      <w:pPr>
        <w:numPr>
          <w:ilvl w:val="0"/>
          <w:numId w:val="2"/>
        </w:numPr>
        <w:spacing w:before="120" w:after="120"/>
        <w:ind w:right="4"/>
        <w:rPr>
          <w:lang w:val="en-US"/>
        </w:rPr>
      </w:pPr>
      <w:r w:rsidRPr="002433F3">
        <w:rPr>
          <w:lang w:val="en-US"/>
        </w:rPr>
        <w:t xml:space="preserve">The Court </w:t>
      </w:r>
      <w:r w:rsidR="00EA5000" w:rsidRPr="002433F3">
        <w:rPr>
          <w:lang w:val="en-US"/>
        </w:rPr>
        <w:t xml:space="preserve">highlights </w:t>
      </w:r>
      <w:r w:rsidRPr="002433F3">
        <w:rPr>
          <w:lang w:val="en-US"/>
        </w:rPr>
        <w:t xml:space="preserve">the significant </w:t>
      </w:r>
      <w:r w:rsidR="00EA5000" w:rsidRPr="002433F3">
        <w:rPr>
          <w:lang w:val="en-US"/>
        </w:rPr>
        <w:t xml:space="preserve">advances made in the jurisprudence of </w:t>
      </w:r>
      <w:r w:rsidR="00FB2E53" w:rsidRPr="002433F3">
        <w:rPr>
          <w:lang w:val="en-US"/>
        </w:rPr>
        <w:t>Colombia</w:t>
      </w:r>
      <w:r w:rsidR="002A579A" w:rsidRPr="002433F3">
        <w:rPr>
          <w:lang w:val="en-US"/>
        </w:rPr>
        <w:t>’s</w:t>
      </w:r>
      <w:r w:rsidR="00FB2E53" w:rsidRPr="002433F3">
        <w:rPr>
          <w:lang w:val="en-US"/>
        </w:rPr>
        <w:t xml:space="preserve"> </w:t>
      </w:r>
      <w:r w:rsidRPr="002433F3">
        <w:rPr>
          <w:lang w:val="en-US"/>
        </w:rPr>
        <w:t xml:space="preserve">Constitutional Court since 2008. </w:t>
      </w:r>
      <w:r w:rsidR="006621D2" w:rsidRPr="002433F3">
        <w:rPr>
          <w:lang w:val="en-US"/>
        </w:rPr>
        <w:t>S</w:t>
      </w:r>
      <w:r w:rsidRPr="002433F3">
        <w:rPr>
          <w:lang w:val="en-US"/>
        </w:rPr>
        <w:t>p</w:t>
      </w:r>
      <w:r w:rsidR="00FB2E53" w:rsidRPr="002433F3">
        <w:rPr>
          <w:lang w:val="en-US"/>
        </w:rPr>
        <w:t xml:space="preserve">ecifically, </w:t>
      </w:r>
      <w:r w:rsidR="00EA5000" w:rsidRPr="002433F3">
        <w:rPr>
          <w:lang w:val="en-US"/>
        </w:rPr>
        <w:t xml:space="preserve">with regard to </w:t>
      </w:r>
      <w:r w:rsidR="00FB2E53" w:rsidRPr="002433F3">
        <w:rPr>
          <w:lang w:val="en-US"/>
        </w:rPr>
        <w:t xml:space="preserve">the </w:t>
      </w:r>
      <w:r w:rsidRPr="002433F3">
        <w:rPr>
          <w:lang w:val="en-US"/>
        </w:rPr>
        <w:t xml:space="preserve">retroactive effects of the </w:t>
      </w:r>
      <w:r w:rsidR="00BE31AB" w:rsidRPr="002433F3">
        <w:rPr>
          <w:lang w:val="en-US"/>
        </w:rPr>
        <w:t xml:space="preserve">regulatory </w:t>
      </w:r>
      <w:r w:rsidRPr="002433F3">
        <w:rPr>
          <w:lang w:val="en-US"/>
        </w:rPr>
        <w:t>change</w:t>
      </w:r>
      <w:r w:rsidR="00FB2E53" w:rsidRPr="002433F3">
        <w:rPr>
          <w:lang w:val="en-US"/>
        </w:rPr>
        <w:t>s</w:t>
      </w:r>
      <w:r w:rsidRPr="002433F3">
        <w:rPr>
          <w:lang w:val="en-US"/>
        </w:rPr>
        <w:t xml:space="preserve">, </w:t>
      </w:r>
      <w:r w:rsidR="006621D2" w:rsidRPr="002433F3">
        <w:rPr>
          <w:lang w:val="en-US"/>
        </w:rPr>
        <w:t>this Court</w:t>
      </w:r>
      <w:r w:rsidR="00FB2E53" w:rsidRPr="002433F3">
        <w:rPr>
          <w:lang w:val="en-US"/>
        </w:rPr>
        <w:t xml:space="preserve"> notes </w:t>
      </w:r>
      <w:r w:rsidR="00D41D0C" w:rsidRPr="002433F3">
        <w:rPr>
          <w:lang w:val="en-US"/>
        </w:rPr>
        <w:t>that</w:t>
      </w:r>
      <w:r w:rsidR="00B00506" w:rsidRPr="002433F3">
        <w:rPr>
          <w:lang w:val="en-US"/>
        </w:rPr>
        <w:t>: a) j</w:t>
      </w:r>
      <w:r w:rsidRPr="002433F3">
        <w:rPr>
          <w:lang w:val="en-US"/>
        </w:rPr>
        <w:t xml:space="preserve">udgment C-336 of 2008 </w:t>
      </w:r>
      <w:r w:rsidR="00FB2E53" w:rsidRPr="002433F3">
        <w:rPr>
          <w:lang w:val="en-US"/>
        </w:rPr>
        <w:t xml:space="preserve">did not expressly refer to </w:t>
      </w:r>
      <w:r w:rsidR="006621D2" w:rsidRPr="002433F3">
        <w:rPr>
          <w:lang w:val="en-US"/>
        </w:rPr>
        <w:t xml:space="preserve">the </w:t>
      </w:r>
      <w:r w:rsidR="00FB2E53" w:rsidRPr="002433F3">
        <w:rPr>
          <w:lang w:val="en-US"/>
        </w:rPr>
        <w:t>retroactive effects</w:t>
      </w:r>
      <w:r w:rsidR="006621D2" w:rsidRPr="002433F3">
        <w:rPr>
          <w:lang w:val="en-US"/>
        </w:rPr>
        <w:t xml:space="preserve"> of its provisions</w:t>
      </w:r>
      <w:r w:rsidR="00B00506" w:rsidRPr="002433F3">
        <w:rPr>
          <w:lang w:val="en-US"/>
        </w:rPr>
        <w:t xml:space="preserve">, </w:t>
      </w:r>
      <w:r w:rsidR="00EA5000" w:rsidRPr="002433F3">
        <w:rPr>
          <w:lang w:val="en-US"/>
        </w:rPr>
        <w:t xml:space="preserve">but </w:t>
      </w:r>
      <w:r w:rsidR="00B00506" w:rsidRPr="002433F3">
        <w:rPr>
          <w:lang w:val="en-US"/>
        </w:rPr>
        <w:t>b) j</w:t>
      </w:r>
      <w:r w:rsidRPr="002433F3">
        <w:rPr>
          <w:lang w:val="en-US"/>
        </w:rPr>
        <w:t xml:space="preserve">udgment T-051 of 2010 </w:t>
      </w:r>
      <w:r w:rsidR="00D41D0C" w:rsidRPr="002433F3">
        <w:rPr>
          <w:lang w:val="en-US"/>
        </w:rPr>
        <w:t xml:space="preserve">clarified </w:t>
      </w:r>
      <w:r w:rsidR="006621D2" w:rsidRPr="002433F3">
        <w:rPr>
          <w:lang w:val="en-US"/>
        </w:rPr>
        <w:t>that j</w:t>
      </w:r>
      <w:r w:rsidRPr="002433F3">
        <w:rPr>
          <w:lang w:val="en-US"/>
        </w:rPr>
        <w:t xml:space="preserve">udgment C-336 </w:t>
      </w:r>
      <w:r w:rsidR="006621D2" w:rsidRPr="002433F3">
        <w:rPr>
          <w:lang w:val="en-US"/>
        </w:rPr>
        <w:t xml:space="preserve">does indeed have </w:t>
      </w:r>
      <w:r w:rsidRPr="002433F3">
        <w:rPr>
          <w:lang w:val="en-US"/>
        </w:rPr>
        <w:t>retroactive</w:t>
      </w:r>
      <w:r w:rsidR="00D41D0C" w:rsidRPr="002433F3">
        <w:rPr>
          <w:lang w:val="en-US"/>
        </w:rPr>
        <w:t xml:space="preserve"> effects</w:t>
      </w:r>
      <w:r w:rsidRPr="002433F3">
        <w:rPr>
          <w:lang w:val="en-US"/>
        </w:rPr>
        <w:t xml:space="preserve">, </w:t>
      </w:r>
      <w:r w:rsidR="006621D2" w:rsidRPr="002433F3">
        <w:rPr>
          <w:lang w:val="en-US"/>
        </w:rPr>
        <w:t xml:space="preserve">a fact that </w:t>
      </w:r>
      <w:r w:rsidRPr="002433F3">
        <w:rPr>
          <w:lang w:val="en-US"/>
        </w:rPr>
        <w:t>was confirm</w:t>
      </w:r>
      <w:r w:rsidR="004527B9" w:rsidRPr="002433F3">
        <w:rPr>
          <w:lang w:val="en-US"/>
        </w:rPr>
        <w:t xml:space="preserve">ed in </w:t>
      </w:r>
      <w:r w:rsidRPr="002433F3">
        <w:rPr>
          <w:lang w:val="en-US"/>
        </w:rPr>
        <w:t xml:space="preserve">other </w:t>
      </w:r>
      <w:r w:rsidR="00B00506" w:rsidRPr="002433F3">
        <w:rPr>
          <w:lang w:val="en-US"/>
        </w:rPr>
        <w:t xml:space="preserve">rulings by </w:t>
      </w:r>
      <w:r w:rsidRPr="002433F3">
        <w:rPr>
          <w:lang w:val="en-US"/>
        </w:rPr>
        <w:t xml:space="preserve">the Constitutional </w:t>
      </w:r>
      <w:r w:rsidR="00B00506" w:rsidRPr="002433F3">
        <w:rPr>
          <w:lang w:val="en-US"/>
        </w:rPr>
        <w:t>Court of Colombia</w:t>
      </w:r>
      <w:r w:rsidR="006621D2" w:rsidRPr="002433F3">
        <w:rPr>
          <w:lang w:val="en-US"/>
        </w:rPr>
        <w:t>,</w:t>
      </w:r>
      <w:r w:rsidR="00B00506" w:rsidRPr="002433F3">
        <w:rPr>
          <w:lang w:val="en-US"/>
        </w:rPr>
        <w:t xml:space="preserve"> such as j</w:t>
      </w:r>
      <w:r w:rsidR="00FB2E53" w:rsidRPr="002433F3">
        <w:rPr>
          <w:lang w:val="en-US"/>
        </w:rPr>
        <w:t>udgment T-860 of 2011. These</w:t>
      </w:r>
      <w:r w:rsidRPr="002433F3">
        <w:rPr>
          <w:lang w:val="en-US"/>
        </w:rPr>
        <w:t xml:space="preserve"> case law development</w:t>
      </w:r>
      <w:r w:rsidR="00FB2E53" w:rsidRPr="002433F3">
        <w:rPr>
          <w:lang w:val="en-US"/>
        </w:rPr>
        <w:t xml:space="preserve">s </w:t>
      </w:r>
      <w:r w:rsidR="00D44EFF" w:rsidRPr="002433F3">
        <w:rPr>
          <w:lang w:val="en-US"/>
        </w:rPr>
        <w:t xml:space="preserve">mark </w:t>
      </w:r>
      <w:r w:rsidRPr="002433F3">
        <w:rPr>
          <w:lang w:val="en-US"/>
        </w:rPr>
        <w:t xml:space="preserve">an important step forward toward the cessation of discriminatory treatment that </w:t>
      </w:r>
      <w:r w:rsidR="006621D2" w:rsidRPr="002433F3">
        <w:rPr>
          <w:lang w:val="en-US"/>
        </w:rPr>
        <w:t xml:space="preserve">contravened </w:t>
      </w:r>
      <w:r w:rsidRPr="002433F3">
        <w:rPr>
          <w:lang w:val="en-US"/>
        </w:rPr>
        <w:t>conventional</w:t>
      </w:r>
      <w:r w:rsidR="00D41D0C" w:rsidRPr="002433F3">
        <w:rPr>
          <w:lang w:val="en-US"/>
        </w:rPr>
        <w:t xml:space="preserve"> rights</w:t>
      </w:r>
      <w:r w:rsidRPr="002433F3">
        <w:rPr>
          <w:lang w:val="en-US"/>
        </w:rPr>
        <w:t>.</w:t>
      </w:r>
    </w:p>
    <w:p w14:paraId="7DC32868" w14:textId="77777777" w:rsidR="007B0DE4" w:rsidRPr="002433F3" w:rsidRDefault="007B0DE4" w:rsidP="007B0DE4">
      <w:pPr>
        <w:numPr>
          <w:ilvl w:val="0"/>
          <w:numId w:val="2"/>
        </w:numPr>
        <w:spacing w:before="120" w:after="120"/>
        <w:ind w:right="4"/>
        <w:rPr>
          <w:lang w:val="en-US"/>
        </w:rPr>
      </w:pPr>
      <w:r w:rsidRPr="002433F3">
        <w:rPr>
          <w:lang w:val="en-US"/>
        </w:rPr>
        <w:t xml:space="preserve">However, </w:t>
      </w:r>
      <w:r w:rsidR="00FB2E53" w:rsidRPr="002433F3">
        <w:rPr>
          <w:lang w:val="en-US"/>
        </w:rPr>
        <w:t xml:space="preserve">the Court </w:t>
      </w:r>
      <w:r w:rsidR="00D44EFF" w:rsidRPr="002433F3">
        <w:rPr>
          <w:lang w:val="en-US"/>
        </w:rPr>
        <w:t xml:space="preserve">confirms </w:t>
      </w:r>
      <w:r w:rsidR="00FB2E53" w:rsidRPr="002433F3">
        <w:rPr>
          <w:lang w:val="en-US"/>
        </w:rPr>
        <w:t xml:space="preserve">that </w:t>
      </w:r>
      <w:r w:rsidRPr="002433F3">
        <w:rPr>
          <w:lang w:val="en-US"/>
        </w:rPr>
        <w:t>Article 488</w:t>
      </w:r>
      <w:r w:rsidR="00FB2E53" w:rsidRPr="002433F3">
        <w:rPr>
          <w:lang w:val="en-US"/>
        </w:rPr>
        <w:t xml:space="preserve"> of the</w:t>
      </w:r>
      <w:r w:rsidRPr="002433F3">
        <w:rPr>
          <w:lang w:val="en-US"/>
        </w:rPr>
        <w:t xml:space="preserve"> </w:t>
      </w:r>
      <w:r w:rsidR="00FB2E53" w:rsidRPr="002433F3">
        <w:rPr>
          <w:lang w:val="en-US"/>
        </w:rPr>
        <w:t xml:space="preserve">Labor Code provides that </w:t>
      </w:r>
      <w:r w:rsidRPr="002433F3">
        <w:rPr>
          <w:lang w:val="en-US"/>
        </w:rPr>
        <w:t>“[t]h</w:t>
      </w:r>
      <w:r w:rsidR="00FB2E53" w:rsidRPr="002433F3">
        <w:rPr>
          <w:lang w:val="en-US"/>
        </w:rPr>
        <w:t>os</w:t>
      </w:r>
      <w:r w:rsidR="00884353" w:rsidRPr="002433F3">
        <w:rPr>
          <w:lang w:val="en-US"/>
        </w:rPr>
        <w:t xml:space="preserve">e actions </w:t>
      </w:r>
      <w:r w:rsidR="00FB2E53" w:rsidRPr="002433F3">
        <w:rPr>
          <w:lang w:val="en-US"/>
        </w:rPr>
        <w:t xml:space="preserve">related to </w:t>
      </w:r>
      <w:r w:rsidR="006621D2" w:rsidRPr="002433F3">
        <w:rPr>
          <w:lang w:val="en-US"/>
        </w:rPr>
        <w:t xml:space="preserve">the </w:t>
      </w:r>
      <w:r w:rsidRPr="002433F3">
        <w:rPr>
          <w:lang w:val="en-US"/>
        </w:rPr>
        <w:t xml:space="preserve">rights </w:t>
      </w:r>
      <w:r w:rsidR="002B2BA8" w:rsidRPr="002433F3">
        <w:rPr>
          <w:lang w:val="en-US"/>
        </w:rPr>
        <w:t>regulated</w:t>
      </w:r>
      <w:r w:rsidRPr="002433F3">
        <w:rPr>
          <w:lang w:val="en-US"/>
        </w:rPr>
        <w:t xml:space="preserve"> in this c</w:t>
      </w:r>
      <w:r w:rsidR="00884353" w:rsidRPr="002433F3">
        <w:rPr>
          <w:lang w:val="en-US"/>
        </w:rPr>
        <w:t xml:space="preserve">ode expire </w:t>
      </w:r>
      <w:r w:rsidR="006621D2" w:rsidRPr="002433F3">
        <w:rPr>
          <w:lang w:val="en-US"/>
        </w:rPr>
        <w:t>with</w:t>
      </w:r>
      <w:r w:rsidRPr="002433F3">
        <w:rPr>
          <w:lang w:val="en-US"/>
        </w:rPr>
        <w:t>in t</w:t>
      </w:r>
      <w:r w:rsidR="00884353" w:rsidRPr="002433F3">
        <w:rPr>
          <w:lang w:val="en-US"/>
        </w:rPr>
        <w:t xml:space="preserve">hree </w:t>
      </w:r>
      <w:r w:rsidRPr="002433F3">
        <w:rPr>
          <w:lang w:val="en-US"/>
        </w:rPr>
        <w:t>(3) years</w:t>
      </w:r>
      <w:r w:rsidR="00884353" w:rsidRPr="002433F3">
        <w:rPr>
          <w:lang w:val="en-US"/>
        </w:rPr>
        <w:t xml:space="preserve"> from </w:t>
      </w:r>
      <w:r w:rsidRPr="002433F3">
        <w:rPr>
          <w:lang w:val="en-US"/>
        </w:rPr>
        <w:t>th</w:t>
      </w:r>
      <w:r w:rsidR="00FB2E53" w:rsidRPr="002433F3">
        <w:rPr>
          <w:lang w:val="en-US"/>
        </w:rPr>
        <w:t xml:space="preserve">e moment that the </w:t>
      </w:r>
      <w:r w:rsidRPr="002433F3">
        <w:rPr>
          <w:lang w:val="en-US"/>
        </w:rPr>
        <w:t xml:space="preserve">respective obligation </w:t>
      </w:r>
      <w:r w:rsidR="00E233D8" w:rsidRPr="002433F3">
        <w:rPr>
          <w:lang w:val="en-US"/>
        </w:rPr>
        <w:t>has been made enforceable</w:t>
      </w:r>
      <w:r w:rsidR="00884353" w:rsidRPr="002433F3">
        <w:rPr>
          <w:lang w:val="en-US"/>
        </w:rPr>
        <w:t xml:space="preserve">, except in </w:t>
      </w:r>
      <w:r w:rsidR="006621D2" w:rsidRPr="002433F3">
        <w:rPr>
          <w:lang w:val="en-US"/>
        </w:rPr>
        <w:t xml:space="preserve">the special </w:t>
      </w:r>
      <w:r w:rsidRPr="002433F3">
        <w:rPr>
          <w:lang w:val="en-US"/>
        </w:rPr>
        <w:t>cases</w:t>
      </w:r>
      <w:r w:rsidR="00FB2E53" w:rsidRPr="002433F3">
        <w:rPr>
          <w:lang w:val="en-US"/>
        </w:rPr>
        <w:t xml:space="preserve"> established in the Labor Procedural Rules </w:t>
      </w:r>
      <w:r w:rsidRPr="002433F3">
        <w:rPr>
          <w:lang w:val="en-US"/>
        </w:rPr>
        <w:t>or in th</w:t>
      </w:r>
      <w:r w:rsidR="00884353" w:rsidRPr="002433F3">
        <w:rPr>
          <w:lang w:val="en-US"/>
        </w:rPr>
        <w:t>is statute</w:t>
      </w:r>
      <w:r w:rsidR="00D41D0C" w:rsidRPr="002433F3">
        <w:rPr>
          <w:lang w:val="en-US"/>
        </w:rPr>
        <w:t>.”</w:t>
      </w:r>
      <w:r w:rsidRPr="002433F3">
        <w:rPr>
          <w:lang w:val="en-US"/>
        </w:rPr>
        <w:t xml:space="preserve"> </w:t>
      </w:r>
      <w:r w:rsidR="00D41D0C" w:rsidRPr="002433F3">
        <w:rPr>
          <w:lang w:val="en-US"/>
        </w:rPr>
        <w:t xml:space="preserve">Therefore, </w:t>
      </w:r>
      <w:r w:rsidRPr="002433F3">
        <w:rPr>
          <w:lang w:val="en-US"/>
        </w:rPr>
        <w:t>the</w:t>
      </w:r>
      <w:r w:rsidR="00D41D0C" w:rsidRPr="002433F3">
        <w:rPr>
          <w:lang w:val="en-US"/>
        </w:rPr>
        <w:t xml:space="preserve"> </w:t>
      </w:r>
      <w:r w:rsidR="00467B6B" w:rsidRPr="002433F3">
        <w:rPr>
          <w:lang w:val="en-US"/>
        </w:rPr>
        <w:t xml:space="preserve">payments owed for </w:t>
      </w:r>
      <w:r w:rsidR="006D43C3" w:rsidRPr="002433F3">
        <w:rPr>
          <w:lang w:val="en-US"/>
        </w:rPr>
        <w:t xml:space="preserve">unpaid </w:t>
      </w:r>
      <w:r w:rsidR="006540E8" w:rsidRPr="002433F3">
        <w:rPr>
          <w:lang w:val="en-US"/>
        </w:rPr>
        <w:t>benefit</w:t>
      </w:r>
      <w:r w:rsidR="007940CF" w:rsidRPr="002433F3">
        <w:rPr>
          <w:lang w:val="en-US"/>
        </w:rPr>
        <w:t>s</w:t>
      </w:r>
      <w:r w:rsidRPr="002433F3">
        <w:rPr>
          <w:lang w:val="en-US"/>
        </w:rPr>
        <w:t xml:space="preserve"> </w:t>
      </w:r>
      <w:r w:rsidR="00467B6B" w:rsidRPr="002433F3">
        <w:rPr>
          <w:lang w:val="en-US"/>
        </w:rPr>
        <w:t xml:space="preserve">due </w:t>
      </w:r>
      <w:r w:rsidR="006D43C3" w:rsidRPr="002433F3">
        <w:rPr>
          <w:lang w:val="en-US"/>
        </w:rPr>
        <w:t xml:space="preserve">to </w:t>
      </w:r>
      <w:r w:rsidRPr="002433F3">
        <w:rPr>
          <w:lang w:val="en-US"/>
        </w:rPr>
        <w:t xml:space="preserve">Ángel Alberto Duque in </w:t>
      </w:r>
      <w:r w:rsidR="00FB2E53" w:rsidRPr="002433F3">
        <w:rPr>
          <w:lang w:val="en-US"/>
        </w:rPr>
        <w:t xml:space="preserve">the </w:t>
      </w:r>
      <w:r w:rsidR="007940CF" w:rsidRPr="002433F3">
        <w:rPr>
          <w:lang w:val="en-US"/>
        </w:rPr>
        <w:t>e</w:t>
      </w:r>
      <w:r w:rsidR="00FB2E53" w:rsidRPr="002433F3">
        <w:rPr>
          <w:lang w:val="en-US"/>
        </w:rPr>
        <w:t xml:space="preserve">vent of being granted </w:t>
      </w:r>
      <w:r w:rsidR="007940CF" w:rsidRPr="002433F3">
        <w:rPr>
          <w:lang w:val="en-US"/>
        </w:rPr>
        <w:t>the survivor’s</w:t>
      </w:r>
      <w:r w:rsidRPr="002433F3">
        <w:rPr>
          <w:lang w:val="en-US"/>
        </w:rPr>
        <w:t xml:space="preserve"> pension </w:t>
      </w:r>
      <w:r w:rsidR="00884353" w:rsidRPr="002433F3">
        <w:rPr>
          <w:lang w:val="en-US"/>
        </w:rPr>
        <w:t xml:space="preserve">would </w:t>
      </w:r>
      <w:r w:rsidRPr="002433F3">
        <w:rPr>
          <w:lang w:val="en-US"/>
        </w:rPr>
        <w:t xml:space="preserve">only </w:t>
      </w:r>
      <w:r w:rsidR="00884353" w:rsidRPr="002433F3">
        <w:rPr>
          <w:lang w:val="en-US"/>
        </w:rPr>
        <w:t xml:space="preserve">cover </w:t>
      </w:r>
      <w:r w:rsidRPr="002433F3">
        <w:rPr>
          <w:lang w:val="en-US"/>
        </w:rPr>
        <w:t xml:space="preserve">the </w:t>
      </w:r>
      <w:r w:rsidR="00884353" w:rsidRPr="002433F3">
        <w:rPr>
          <w:lang w:val="en-US"/>
        </w:rPr>
        <w:t xml:space="preserve">last three years prior to </w:t>
      </w:r>
      <w:r w:rsidR="007940CF" w:rsidRPr="002433F3">
        <w:rPr>
          <w:lang w:val="en-US"/>
        </w:rPr>
        <w:t>the filing</w:t>
      </w:r>
      <w:r w:rsidR="00884353" w:rsidRPr="002433F3">
        <w:rPr>
          <w:lang w:val="en-US"/>
        </w:rPr>
        <w:t xml:space="preserve"> </w:t>
      </w:r>
      <w:r w:rsidRPr="002433F3">
        <w:rPr>
          <w:lang w:val="en-US"/>
        </w:rPr>
        <w:t>of the claim</w:t>
      </w:r>
      <w:r w:rsidR="00467B6B" w:rsidRPr="002433F3">
        <w:rPr>
          <w:lang w:val="en-US"/>
        </w:rPr>
        <w:t xml:space="preserve">, given that any other payments </w:t>
      </w:r>
      <w:r w:rsidRPr="002433F3">
        <w:rPr>
          <w:lang w:val="en-US"/>
        </w:rPr>
        <w:t xml:space="preserve"> </w:t>
      </w:r>
      <w:r w:rsidR="00FB2E53" w:rsidRPr="002433F3">
        <w:rPr>
          <w:lang w:val="en-US"/>
        </w:rPr>
        <w:t>would</w:t>
      </w:r>
      <w:r w:rsidRPr="002433F3">
        <w:rPr>
          <w:lang w:val="en-US"/>
        </w:rPr>
        <w:t xml:space="preserve"> </w:t>
      </w:r>
      <w:r w:rsidR="00FB2E53" w:rsidRPr="002433F3">
        <w:rPr>
          <w:lang w:val="en-US"/>
        </w:rPr>
        <w:t xml:space="preserve">expire </w:t>
      </w:r>
      <w:r w:rsidR="00467B6B" w:rsidRPr="002433F3">
        <w:rPr>
          <w:lang w:val="en-US"/>
        </w:rPr>
        <w:t xml:space="preserve">under </w:t>
      </w:r>
      <w:r w:rsidR="00FB2E53" w:rsidRPr="002433F3">
        <w:rPr>
          <w:lang w:val="en-US"/>
        </w:rPr>
        <w:t xml:space="preserve">the </w:t>
      </w:r>
      <w:r w:rsidRPr="002433F3">
        <w:rPr>
          <w:lang w:val="en-US"/>
        </w:rPr>
        <w:t>r</w:t>
      </w:r>
      <w:r w:rsidR="00D41D0C" w:rsidRPr="002433F3">
        <w:rPr>
          <w:lang w:val="en-US"/>
        </w:rPr>
        <w:t>ule</w:t>
      </w:r>
      <w:r w:rsidR="00FB2E53" w:rsidRPr="002433F3">
        <w:rPr>
          <w:lang w:val="en-US"/>
        </w:rPr>
        <w:t>s</w:t>
      </w:r>
      <w:r w:rsidR="00D41D0C" w:rsidRPr="002433F3">
        <w:rPr>
          <w:lang w:val="en-US"/>
        </w:rPr>
        <w:t xml:space="preserve"> </w:t>
      </w:r>
      <w:r w:rsidRPr="002433F3">
        <w:rPr>
          <w:lang w:val="en-US"/>
        </w:rPr>
        <w:t xml:space="preserve">of Article 488 of the </w:t>
      </w:r>
      <w:r w:rsidR="00884353" w:rsidRPr="002433F3">
        <w:rPr>
          <w:lang w:val="en-US"/>
        </w:rPr>
        <w:t>Labor Code</w:t>
      </w:r>
      <w:r w:rsidRPr="002433F3">
        <w:rPr>
          <w:lang w:val="en-US"/>
        </w:rPr>
        <w:t>.</w:t>
      </w:r>
    </w:p>
    <w:p w14:paraId="42F22613" w14:textId="77777777" w:rsidR="007B0DE4" w:rsidRPr="002433F3" w:rsidRDefault="00D44EFF" w:rsidP="007B0DE4">
      <w:pPr>
        <w:numPr>
          <w:ilvl w:val="0"/>
          <w:numId w:val="2"/>
        </w:numPr>
        <w:spacing w:before="120" w:after="120"/>
        <w:ind w:right="4"/>
        <w:rPr>
          <w:lang w:val="en-US"/>
        </w:rPr>
      </w:pPr>
      <w:r w:rsidRPr="002433F3">
        <w:rPr>
          <w:lang w:val="en-US"/>
        </w:rPr>
        <w:t>At the same time, t</w:t>
      </w:r>
      <w:r w:rsidR="007B0DE4" w:rsidRPr="002433F3">
        <w:rPr>
          <w:lang w:val="en-US"/>
        </w:rPr>
        <w:t xml:space="preserve">he Court </w:t>
      </w:r>
      <w:r w:rsidR="00D41D0C" w:rsidRPr="002433F3">
        <w:rPr>
          <w:lang w:val="en-US"/>
        </w:rPr>
        <w:t xml:space="preserve">notes </w:t>
      </w:r>
      <w:r w:rsidR="007B0DE4" w:rsidRPr="002433F3">
        <w:rPr>
          <w:lang w:val="en-US"/>
        </w:rPr>
        <w:t xml:space="preserve">that the State </w:t>
      </w:r>
      <w:r w:rsidR="002B2BA8" w:rsidRPr="002433F3">
        <w:rPr>
          <w:lang w:val="en-US"/>
        </w:rPr>
        <w:t xml:space="preserve">cast doubt </w:t>
      </w:r>
      <w:r w:rsidR="006F76AB" w:rsidRPr="002433F3">
        <w:rPr>
          <w:lang w:val="en-US"/>
        </w:rPr>
        <w:t xml:space="preserve">as to whether </w:t>
      </w:r>
      <w:r w:rsidR="00884353" w:rsidRPr="002433F3">
        <w:rPr>
          <w:lang w:val="en-US"/>
        </w:rPr>
        <w:t xml:space="preserve">the </w:t>
      </w:r>
      <w:r w:rsidR="007B0DE4" w:rsidRPr="002433F3">
        <w:rPr>
          <w:lang w:val="en-US"/>
        </w:rPr>
        <w:t xml:space="preserve">pension that Mr. Duque </w:t>
      </w:r>
      <w:r w:rsidR="00884353" w:rsidRPr="002433F3">
        <w:rPr>
          <w:lang w:val="en-US"/>
        </w:rPr>
        <w:t xml:space="preserve">could have claimed </w:t>
      </w:r>
      <w:r w:rsidR="007940CF" w:rsidRPr="002433F3">
        <w:rPr>
          <w:lang w:val="en-US"/>
        </w:rPr>
        <w:t xml:space="preserve">would </w:t>
      </w:r>
      <w:r w:rsidR="006F76AB" w:rsidRPr="002433F3">
        <w:rPr>
          <w:lang w:val="en-US"/>
        </w:rPr>
        <w:t xml:space="preserve">entail </w:t>
      </w:r>
      <w:r w:rsidR="000625F4" w:rsidRPr="002433F3">
        <w:rPr>
          <w:lang w:val="en-US"/>
        </w:rPr>
        <w:t xml:space="preserve">the </w:t>
      </w:r>
      <w:r w:rsidR="007B0DE4" w:rsidRPr="002433F3">
        <w:rPr>
          <w:lang w:val="en-US"/>
        </w:rPr>
        <w:t xml:space="preserve">application of Article 488 of the </w:t>
      </w:r>
      <w:r w:rsidR="00D41D0C" w:rsidRPr="002433F3">
        <w:rPr>
          <w:lang w:val="en-US"/>
        </w:rPr>
        <w:t>Labor Code</w:t>
      </w:r>
      <w:r w:rsidR="00393554" w:rsidRPr="002433F3">
        <w:rPr>
          <w:lang w:val="en-US"/>
        </w:rPr>
        <w:t>,</w:t>
      </w:r>
      <w:r w:rsidR="00D41D0C" w:rsidRPr="002433F3">
        <w:rPr>
          <w:lang w:val="en-US"/>
        </w:rPr>
        <w:t xml:space="preserve"> </w:t>
      </w:r>
      <w:r w:rsidR="003F162C" w:rsidRPr="002433F3">
        <w:rPr>
          <w:lang w:val="en-US"/>
        </w:rPr>
        <w:t xml:space="preserve">preventing </w:t>
      </w:r>
      <w:r w:rsidR="00D41D0C" w:rsidRPr="002433F3">
        <w:rPr>
          <w:lang w:val="en-US"/>
        </w:rPr>
        <w:t xml:space="preserve">Mr. Duque </w:t>
      </w:r>
      <w:r w:rsidR="003F162C" w:rsidRPr="002433F3">
        <w:rPr>
          <w:lang w:val="en-US"/>
        </w:rPr>
        <w:t xml:space="preserve">from receiving the </w:t>
      </w:r>
      <w:r w:rsidR="007B0DE4" w:rsidRPr="002433F3">
        <w:rPr>
          <w:lang w:val="en-US"/>
        </w:rPr>
        <w:t>pensions no</w:t>
      </w:r>
      <w:r w:rsidR="002B2BA8" w:rsidRPr="002433F3">
        <w:rPr>
          <w:lang w:val="en-US"/>
        </w:rPr>
        <w:t>t</w:t>
      </w:r>
      <w:r w:rsidR="007B0DE4" w:rsidRPr="002433F3">
        <w:rPr>
          <w:lang w:val="en-US"/>
        </w:rPr>
        <w:t xml:space="preserve"> </w:t>
      </w:r>
      <w:r w:rsidR="003F162C" w:rsidRPr="002433F3">
        <w:rPr>
          <w:lang w:val="en-US"/>
        </w:rPr>
        <w:t xml:space="preserve">paid </w:t>
      </w:r>
      <w:r w:rsidR="007B0DE4" w:rsidRPr="002433F3">
        <w:rPr>
          <w:lang w:val="en-US"/>
        </w:rPr>
        <w:t xml:space="preserve">since 2002. In that </w:t>
      </w:r>
      <w:r w:rsidR="00393554" w:rsidRPr="002433F3">
        <w:rPr>
          <w:lang w:val="en-US"/>
        </w:rPr>
        <w:t>regard</w:t>
      </w:r>
      <w:r w:rsidR="007B0DE4" w:rsidRPr="002433F3">
        <w:rPr>
          <w:lang w:val="en-US"/>
        </w:rPr>
        <w:t xml:space="preserve">, </w:t>
      </w:r>
      <w:r w:rsidR="007940CF" w:rsidRPr="002433F3">
        <w:rPr>
          <w:lang w:val="en-US"/>
        </w:rPr>
        <w:t xml:space="preserve">it referred to the </w:t>
      </w:r>
      <w:r w:rsidR="00393554" w:rsidRPr="002433F3">
        <w:rPr>
          <w:lang w:val="en-US"/>
        </w:rPr>
        <w:t xml:space="preserve">statement of </w:t>
      </w:r>
      <w:r w:rsidR="003F162C" w:rsidRPr="002433F3">
        <w:rPr>
          <w:lang w:val="en-US"/>
        </w:rPr>
        <w:t xml:space="preserve">the </w:t>
      </w:r>
      <w:r w:rsidR="007B0DE4" w:rsidRPr="002433F3">
        <w:rPr>
          <w:lang w:val="en-US"/>
        </w:rPr>
        <w:t xml:space="preserve">witness proposed by the State, Mr. Juan Manuel Trujillo, Secretary General of COLFONDOS, </w:t>
      </w:r>
      <w:r w:rsidR="003F162C" w:rsidRPr="002433F3">
        <w:rPr>
          <w:lang w:val="en-US"/>
        </w:rPr>
        <w:t xml:space="preserve">indicating that </w:t>
      </w:r>
      <w:r w:rsidR="007B0DE4" w:rsidRPr="002433F3">
        <w:rPr>
          <w:lang w:val="en-US"/>
        </w:rPr>
        <w:t>“</w:t>
      </w:r>
      <w:r w:rsidR="007940CF" w:rsidRPr="002433F3">
        <w:rPr>
          <w:lang w:val="en-US"/>
        </w:rPr>
        <w:t xml:space="preserve">the denial </w:t>
      </w:r>
      <w:r w:rsidR="003F162C" w:rsidRPr="002433F3">
        <w:rPr>
          <w:lang w:val="en-US"/>
        </w:rPr>
        <w:t>in [the</w:t>
      </w:r>
      <w:r w:rsidR="007B0DE4" w:rsidRPr="002433F3">
        <w:rPr>
          <w:lang w:val="en-US"/>
        </w:rPr>
        <w:t xml:space="preserve">] </w:t>
      </w:r>
      <w:r w:rsidR="003F162C" w:rsidRPr="002433F3">
        <w:rPr>
          <w:lang w:val="en-US"/>
        </w:rPr>
        <w:t xml:space="preserve">letter of </w:t>
      </w:r>
      <w:r w:rsidR="007B0DE4" w:rsidRPr="002433F3">
        <w:rPr>
          <w:lang w:val="en-US"/>
        </w:rPr>
        <w:t>April 3, 2002</w:t>
      </w:r>
      <w:r w:rsidR="003F162C" w:rsidRPr="002433F3">
        <w:rPr>
          <w:lang w:val="en-US"/>
        </w:rPr>
        <w:t>, from</w:t>
      </w:r>
      <w:r w:rsidR="007B0DE4" w:rsidRPr="002433F3">
        <w:rPr>
          <w:lang w:val="en-US"/>
        </w:rPr>
        <w:t xml:space="preserve"> COLFONDOS </w:t>
      </w:r>
      <w:r w:rsidR="00842795" w:rsidRPr="002433F3">
        <w:rPr>
          <w:lang w:val="en-US"/>
        </w:rPr>
        <w:t>stopped</w:t>
      </w:r>
      <w:r w:rsidR="003F162C" w:rsidRPr="002433F3">
        <w:rPr>
          <w:lang w:val="en-US"/>
        </w:rPr>
        <w:t xml:space="preserve"> </w:t>
      </w:r>
      <w:r w:rsidR="007B0DE4" w:rsidRPr="002433F3">
        <w:rPr>
          <w:lang w:val="en-US"/>
        </w:rPr>
        <w:t xml:space="preserve">or </w:t>
      </w:r>
      <w:r w:rsidR="00842795" w:rsidRPr="002433F3">
        <w:rPr>
          <w:lang w:val="en-US"/>
        </w:rPr>
        <w:t xml:space="preserve">deterred or discouraged </w:t>
      </w:r>
      <w:r w:rsidR="007B0DE4" w:rsidRPr="002433F3">
        <w:rPr>
          <w:lang w:val="en-US"/>
        </w:rPr>
        <w:t xml:space="preserve">[…] </w:t>
      </w:r>
      <w:r w:rsidR="00842795" w:rsidRPr="002433F3">
        <w:rPr>
          <w:lang w:val="en-US"/>
        </w:rPr>
        <w:t xml:space="preserve">Mr. </w:t>
      </w:r>
      <w:r w:rsidR="007B0DE4" w:rsidRPr="002433F3">
        <w:rPr>
          <w:lang w:val="en-US"/>
        </w:rPr>
        <w:t xml:space="preserve">Duque </w:t>
      </w:r>
      <w:r w:rsidR="00842795" w:rsidRPr="002433F3">
        <w:rPr>
          <w:lang w:val="en-US"/>
        </w:rPr>
        <w:t xml:space="preserve">from taking the steps </w:t>
      </w:r>
      <w:r w:rsidR="007B0DE4" w:rsidRPr="002433F3">
        <w:rPr>
          <w:lang w:val="en-US"/>
        </w:rPr>
        <w:t xml:space="preserve">that </w:t>
      </w:r>
      <w:r w:rsidR="004562C7" w:rsidRPr="002433F3">
        <w:rPr>
          <w:lang w:val="en-US"/>
        </w:rPr>
        <w:t xml:space="preserve">he was </w:t>
      </w:r>
      <w:r w:rsidR="00842795" w:rsidRPr="002433F3">
        <w:rPr>
          <w:lang w:val="en-US"/>
        </w:rPr>
        <w:t xml:space="preserve">inquiring </w:t>
      </w:r>
      <w:r w:rsidR="004562C7" w:rsidRPr="002433F3">
        <w:rPr>
          <w:lang w:val="en-US"/>
        </w:rPr>
        <w:t xml:space="preserve">about </w:t>
      </w:r>
      <w:r w:rsidR="007B0DE4" w:rsidRPr="002433F3">
        <w:rPr>
          <w:lang w:val="en-US"/>
        </w:rPr>
        <w:t xml:space="preserve">in </w:t>
      </w:r>
      <w:r w:rsidR="00D41D0C" w:rsidRPr="002433F3">
        <w:rPr>
          <w:lang w:val="en-US"/>
        </w:rPr>
        <w:t xml:space="preserve">his </w:t>
      </w:r>
      <w:r w:rsidR="007B0DE4" w:rsidRPr="002433F3">
        <w:rPr>
          <w:lang w:val="en-US"/>
        </w:rPr>
        <w:t xml:space="preserve">communication of March 19. </w:t>
      </w:r>
      <w:r w:rsidR="007940CF" w:rsidRPr="002433F3">
        <w:rPr>
          <w:lang w:val="en-US"/>
        </w:rPr>
        <w:t>U</w:t>
      </w:r>
      <w:r w:rsidR="007B0DE4" w:rsidRPr="002433F3">
        <w:rPr>
          <w:lang w:val="en-US"/>
        </w:rPr>
        <w:t xml:space="preserve">nder that </w:t>
      </w:r>
      <w:r w:rsidR="00842795" w:rsidRPr="002433F3">
        <w:rPr>
          <w:lang w:val="en-US"/>
        </w:rPr>
        <w:t>assumption</w:t>
      </w:r>
      <w:r w:rsidR="007B0DE4" w:rsidRPr="002433F3">
        <w:rPr>
          <w:lang w:val="en-US"/>
        </w:rPr>
        <w:t xml:space="preserve">, </w:t>
      </w:r>
      <w:r w:rsidR="007940CF" w:rsidRPr="002433F3">
        <w:rPr>
          <w:lang w:val="en-US"/>
        </w:rPr>
        <w:t xml:space="preserve">we could say </w:t>
      </w:r>
      <w:r w:rsidR="007B0DE4" w:rsidRPr="002433F3">
        <w:rPr>
          <w:lang w:val="en-US"/>
        </w:rPr>
        <w:t xml:space="preserve">that </w:t>
      </w:r>
      <w:r w:rsidR="00842795" w:rsidRPr="002433F3">
        <w:rPr>
          <w:lang w:val="en-US"/>
        </w:rPr>
        <w:t>although this</w:t>
      </w:r>
      <w:r w:rsidR="007940CF" w:rsidRPr="002433F3">
        <w:rPr>
          <w:lang w:val="en-US"/>
        </w:rPr>
        <w:t xml:space="preserve"> was not </w:t>
      </w:r>
      <w:r w:rsidR="00D41D0C" w:rsidRPr="002433F3">
        <w:rPr>
          <w:lang w:val="en-US"/>
        </w:rPr>
        <w:t xml:space="preserve">a formal request in </w:t>
      </w:r>
      <w:r w:rsidR="00842795" w:rsidRPr="002433F3">
        <w:rPr>
          <w:lang w:val="en-US"/>
        </w:rPr>
        <w:t xml:space="preserve">legal </w:t>
      </w:r>
      <w:r w:rsidR="007B0DE4" w:rsidRPr="002433F3">
        <w:rPr>
          <w:lang w:val="en-US"/>
        </w:rPr>
        <w:t>terms</w:t>
      </w:r>
      <w:r w:rsidR="00842795" w:rsidRPr="002433F3">
        <w:rPr>
          <w:lang w:val="en-US"/>
        </w:rPr>
        <w:t xml:space="preserve">, </w:t>
      </w:r>
      <w:r w:rsidR="003F162C" w:rsidRPr="002433F3">
        <w:rPr>
          <w:lang w:val="en-US"/>
        </w:rPr>
        <w:t xml:space="preserve">there was </w:t>
      </w:r>
      <w:r w:rsidR="00D41D0C" w:rsidRPr="002433F3">
        <w:rPr>
          <w:lang w:val="en-US"/>
        </w:rPr>
        <w:t xml:space="preserve">a direct and express intention by </w:t>
      </w:r>
      <w:r w:rsidR="007B0DE4" w:rsidRPr="002433F3">
        <w:rPr>
          <w:lang w:val="en-US"/>
        </w:rPr>
        <w:t xml:space="preserve">Mr. […] Duque </w:t>
      </w:r>
      <w:r w:rsidR="003F162C" w:rsidRPr="002433F3">
        <w:rPr>
          <w:lang w:val="en-US"/>
        </w:rPr>
        <w:t xml:space="preserve">to </w:t>
      </w:r>
      <w:r w:rsidR="00842795" w:rsidRPr="002433F3">
        <w:rPr>
          <w:lang w:val="en-US"/>
        </w:rPr>
        <w:t xml:space="preserve">prevent the </w:t>
      </w:r>
      <w:r w:rsidR="003F162C" w:rsidRPr="002433F3">
        <w:rPr>
          <w:lang w:val="en-US"/>
        </w:rPr>
        <w:t>expiry of the allowances</w:t>
      </w:r>
      <w:r w:rsidR="007B0DE4" w:rsidRPr="002433F3">
        <w:rPr>
          <w:lang w:val="en-US"/>
        </w:rPr>
        <w:t xml:space="preserve"> and </w:t>
      </w:r>
      <w:r w:rsidR="00D41D0C" w:rsidRPr="002433F3">
        <w:rPr>
          <w:lang w:val="en-US"/>
        </w:rPr>
        <w:t xml:space="preserve">to claim his </w:t>
      </w:r>
      <w:r w:rsidR="007B0DE4" w:rsidRPr="002433F3">
        <w:rPr>
          <w:lang w:val="en-US"/>
        </w:rPr>
        <w:t>right</w:t>
      </w:r>
      <w:r w:rsidR="00D41D0C" w:rsidRPr="002433F3">
        <w:rPr>
          <w:lang w:val="en-US"/>
        </w:rPr>
        <w:t>.</w:t>
      </w:r>
      <w:r w:rsidR="007B0DE4" w:rsidRPr="002433F3">
        <w:rPr>
          <w:lang w:val="en-US"/>
        </w:rPr>
        <w:t>”</w:t>
      </w:r>
      <w:r w:rsidR="007B0DE4" w:rsidRPr="002433F3">
        <w:rPr>
          <w:rStyle w:val="Refdenotaalpie"/>
          <w:lang w:val="en-US"/>
        </w:rPr>
        <w:footnoteReference w:id="122"/>
      </w:r>
      <w:r w:rsidR="00956025" w:rsidRPr="002433F3">
        <w:rPr>
          <w:lang w:val="en-US"/>
        </w:rPr>
        <w:t xml:space="preserve"> However, the </w:t>
      </w:r>
      <w:r w:rsidR="007B0DE4" w:rsidRPr="002433F3">
        <w:rPr>
          <w:lang w:val="en-US"/>
        </w:rPr>
        <w:t xml:space="preserve">State itself added that </w:t>
      </w:r>
      <w:r w:rsidRPr="002433F3">
        <w:rPr>
          <w:lang w:val="en-US"/>
        </w:rPr>
        <w:t xml:space="preserve">this </w:t>
      </w:r>
      <w:r w:rsidR="007B0DE4" w:rsidRPr="002433F3">
        <w:rPr>
          <w:lang w:val="en-US"/>
        </w:rPr>
        <w:t xml:space="preserve">“decision </w:t>
      </w:r>
      <w:r w:rsidR="00956025" w:rsidRPr="002433F3">
        <w:rPr>
          <w:lang w:val="en-US"/>
        </w:rPr>
        <w:t xml:space="preserve">is not only a matter </w:t>
      </w:r>
      <w:r w:rsidRPr="002433F3">
        <w:rPr>
          <w:lang w:val="en-US"/>
        </w:rPr>
        <w:t xml:space="preserve">that concerns </w:t>
      </w:r>
      <w:r w:rsidR="007940CF" w:rsidRPr="002433F3">
        <w:rPr>
          <w:lang w:val="en-US"/>
        </w:rPr>
        <w:t xml:space="preserve">the </w:t>
      </w:r>
      <w:r w:rsidR="007B0DE4" w:rsidRPr="002433F3">
        <w:rPr>
          <w:lang w:val="en-US"/>
        </w:rPr>
        <w:t>pension fund</w:t>
      </w:r>
      <w:r w:rsidR="00D41D0C" w:rsidRPr="002433F3">
        <w:rPr>
          <w:lang w:val="en-US"/>
        </w:rPr>
        <w:t xml:space="preserve">, </w:t>
      </w:r>
      <w:r w:rsidR="000674F4" w:rsidRPr="002433F3">
        <w:rPr>
          <w:lang w:val="en-US"/>
        </w:rPr>
        <w:t xml:space="preserve">but also </w:t>
      </w:r>
      <w:r w:rsidR="00D41D0C" w:rsidRPr="002433F3">
        <w:rPr>
          <w:lang w:val="en-US"/>
        </w:rPr>
        <w:t>requi</w:t>
      </w:r>
      <w:r w:rsidR="007B0DE4" w:rsidRPr="002433F3">
        <w:rPr>
          <w:lang w:val="en-US"/>
        </w:rPr>
        <w:t xml:space="preserve">res the intervention of the </w:t>
      </w:r>
      <w:r w:rsidR="00904907" w:rsidRPr="002433F3">
        <w:rPr>
          <w:lang w:val="en-US"/>
        </w:rPr>
        <w:t>insurer</w:t>
      </w:r>
      <w:r w:rsidR="007B0DE4" w:rsidRPr="002433F3">
        <w:rPr>
          <w:lang w:val="en-US"/>
        </w:rPr>
        <w:t xml:space="preserve">, </w:t>
      </w:r>
      <w:r w:rsidR="00502F32" w:rsidRPr="002433F3">
        <w:rPr>
          <w:lang w:val="en-US"/>
        </w:rPr>
        <w:t xml:space="preserve">and </w:t>
      </w:r>
      <w:r w:rsidR="00335403" w:rsidRPr="002433F3">
        <w:rPr>
          <w:lang w:val="en-US"/>
        </w:rPr>
        <w:t xml:space="preserve">there is no evidence to suggest </w:t>
      </w:r>
      <w:r w:rsidR="007B0DE4" w:rsidRPr="002433F3">
        <w:rPr>
          <w:lang w:val="en-US"/>
        </w:rPr>
        <w:t xml:space="preserve">that </w:t>
      </w:r>
      <w:r w:rsidR="00502F32" w:rsidRPr="002433F3">
        <w:rPr>
          <w:lang w:val="en-US"/>
        </w:rPr>
        <w:t>this entity would refuse</w:t>
      </w:r>
      <w:r w:rsidR="00D41D0C" w:rsidRPr="002433F3">
        <w:rPr>
          <w:lang w:val="en-US"/>
        </w:rPr>
        <w:t xml:space="preserve"> to </w:t>
      </w:r>
      <w:r w:rsidR="007940CF" w:rsidRPr="002433F3">
        <w:rPr>
          <w:lang w:val="en-US"/>
        </w:rPr>
        <w:t xml:space="preserve">cover the </w:t>
      </w:r>
      <w:r w:rsidR="00502F32" w:rsidRPr="002433F3">
        <w:rPr>
          <w:lang w:val="en-US"/>
        </w:rPr>
        <w:t>pension insurance</w:t>
      </w:r>
      <w:r w:rsidR="007B0DE4" w:rsidRPr="002433F3">
        <w:rPr>
          <w:lang w:val="en-US"/>
        </w:rPr>
        <w:t xml:space="preserve">.” </w:t>
      </w:r>
    </w:p>
    <w:p w14:paraId="5EAB9053" w14:textId="77777777" w:rsidR="007B0DE4" w:rsidRPr="002433F3" w:rsidRDefault="007B0DE4" w:rsidP="007B0DE4">
      <w:pPr>
        <w:numPr>
          <w:ilvl w:val="0"/>
          <w:numId w:val="2"/>
        </w:numPr>
        <w:spacing w:before="120" w:after="120"/>
        <w:ind w:right="4"/>
        <w:rPr>
          <w:lang w:val="en-US"/>
        </w:rPr>
      </w:pPr>
      <w:r w:rsidRPr="002433F3">
        <w:rPr>
          <w:lang w:val="en-US"/>
        </w:rPr>
        <w:t>With respect to</w:t>
      </w:r>
      <w:r w:rsidR="002B2BA8" w:rsidRPr="002433F3">
        <w:rPr>
          <w:lang w:val="en-US"/>
        </w:rPr>
        <w:t xml:space="preserve"> the foregoing</w:t>
      </w:r>
      <w:r w:rsidRPr="002433F3">
        <w:rPr>
          <w:lang w:val="en-US"/>
        </w:rPr>
        <w:t xml:space="preserve">, the Court </w:t>
      </w:r>
      <w:r w:rsidR="003F162C" w:rsidRPr="002433F3">
        <w:rPr>
          <w:lang w:val="en-US"/>
        </w:rPr>
        <w:t xml:space="preserve">considers </w:t>
      </w:r>
      <w:r w:rsidRPr="002433F3">
        <w:rPr>
          <w:lang w:val="en-US"/>
        </w:rPr>
        <w:t xml:space="preserve">that, </w:t>
      </w:r>
      <w:r w:rsidR="00E63E39" w:rsidRPr="002433F3">
        <w:rPr>
          <w:lang w:val="en-US"/>
        </w:rPr>
        <w:t xml:space="preserve">despite </w:t>
      </w:r>
      <w:r w:rsidR="002B2BA8" w:rsidRPr="002433F3">
        <w:rPr>
          <w:lang w:val="en-US"/>
        </w:rPr>
        <w:t xml:space="preserve">the State’s </w:t>
      </w:r>
      <w:r w:rsidRPr="002433F3">
        <w:rPr>
          <w:lang w:val="en-US"/>
        </w:rPr>
        <w:t>a</w:t>
      </w:r>
      <w:r w:rsidR="003F162C" w:rsidRPr="002433F3">
        <w:rPr>
          <w:lang w:val="en-US"/>
        </w:rPr>
        <w:t>rgument</w:t>
      </w:r>
      <w:r w:rsidR="00502F32" w:rsidRPr="002433F3">
        <w:rPr>
          <w:lang w:val="en-US"/>
        </w:rPr>
        <w:t>s</w:t>
      </w:r>
      <w:r w:rsidRPr="002433F3">
        <w:rPr>
          <w:lang w:val="en-US"/>
        </w:rPr>
        <w:t xml:space="preserve">, </w:t>
      </w:r>
      <w:r w:rsidR="00502F32" w:rsidRPr="002433F3">
        <w:rPr>
          <w:lang w:val="en-US"/>
        </w:rPr>
        <w:t xml:space="preserve">there is no certainty </w:t>
      </w:r>
      <w:r w:rsidR="00EC2BA0" w:rsidRPr="002433F3">
        <w:rPr>
          <w:lang w:val="en-US"/>
        </w:rPr>
        <w:t xml:space="preserve">that </w:t>
      </w:r>
      <w:r w:rsidRPr="002433F3">
        <w:rPr>
          <w:lang w:val="en-US"/>
        </w:rPr>
        <w:t>th</w:t>
      </w:r>
      <w:r w:rsidR="00502F32" w:rsidRPr="002433F3">
        <w:rPr>
          <w:lang w:val="en-US"/>
        </w:rPr>
        <w:t xml:space="preserve">e insurance company would </w:t>
      </w:r>
      <w:r w:rsidR="0037220F" w:rsidRPr="002433F3">
        <w:rPr>
          <w:lang w:val="en-US"/>
        </w:rPr>
        <w:t xml:space="preserve">indeed </w:t>
      </w:r>
      <w:r w:rsidR="00502F32" w:rsidRPr="002433F3">
        <w:rPr>
          <w:lang w:val="en-US"/>
        </w:rPr>
        <w:t>take this position</w:t>
      </w:r>
      <w:r w:rsidR="00956025" w:rsidRPr="002433F3">
        <w:rPr>
          <w:lang w:val="en-US"/>
        </w:rPr>
        <w:t>. Therefore,</w:t>
      </w:r>
      <w:r w:rsidRPr="002433F3">
        <w:rPr>
          <w:lang w:val="en-US"/>
        </w:rPr>
        <w:t xml:space="preserve"> </w:t>
      </w:r>
      <w:r w:rsidR="00EC2BA0" w:rsidRPr="002433F3">
        <w:rPr>
          <w:lang w:val="en-US"/>
        </w:rPr>
        <w:t xml:space="preserve">even </w:t>
      </w:r>
      <w:r w:rsidR="00327FD4" w:rsidRPr="002433F3">
        <w:rPr>
          <w:lang w:val="en-US"/>
        </w:rPr>
        <w:t xml:space="preserve">if </w:t>
      </w:r>
      <w:r w:rsidRPr="002433F3">
        <w:rPr>
          <w:lang w:val="en-US"/>
        </w:rPr>
        <w:t xml:space="preserve">Mr. Duque </w:t>
      </w:r>
      <w:r w:rsidR="00327FD4" w:rsidRPr="002433F3">
        <w:rPr>
          <w:lang w:val="en-US"/>
        </w:rPr>
        <w:t xml:space="preserve">were </w:t>
      </w:r>
      <w:r w:rsidR="00E63E39" w:rsidRPr="002433F3">
        <w:rPr>
          <w:lang w:val="en-US"/>
        </w:rPr>
        <w:t xml:space="preserve">able </w:t>
      </w:r>
      <w:r w:rsidR="00D41D0C" w:rsidRPr="002433F3">
        <w:rPr>
          <w:lang w:val="en-US"/>
        </w:rPr>
        <w:t xml:space="preserve">to </w:t>
      </w:r>
      <w:r w:rsidR="00502F32" w:rsidRPr="002433F3">
        <w:rPr>
          <w:lang w:val="en-US"/>
        </w:rPr>
        <w:t xml:space="preserve">claim </w:t>
      </w:r>
      <w:r w:rsidR="00956025" w:rsidRPr="002433F3">
        <w:rPr>
          <w:lang w:val="en-US"/>
        </w:rPr>
        <w:t>a</w:t>
      </w:r>
      <w:r w:rsidRPr="002433F3">
        <w:rPr>
          <w:lang w:val="en-US"/>
        </w:rPr>
        <w:t xml:space="preserve"> survivor’s pension </w:t>
      </w:r>
      <w:r w:rsidR="00956025" w:rsidRPr="002433F3">
        <w:rPr>
          <w:lang w:val="en-US"/>
        </w:rPr>
        <w:t xml:space="preserve">from </w:t>
      </w:r>
      <w:r w:rsidRPr="002433F3">
        <w:rPr>
          <w:lang w:val="en-US"/>
        </w:rPr>
        <w:t xml:space="preserve">COLFONDOS </w:t>
      </w:r>
      <w:r w:rsidR="00327FD4" w:rsidRPr="002433F3">
        <w:rPr>
          <w:lang w:val="en-US"/>
        </w:rPr>
        <w:t xml:space="preserve">from 2010, </w:t>
      </w:r>
      <w:r w:rsidR="00E63E39" w:rsidRPr="002433F3">
        <w:rPr>
          <w:lang w:val="en-US"/>
        </w:rPr>
        <w:t xml:space="preserve">under the same conditions </w:t>
      </w:r>
      <w:r w:rsidR="00956025" w:rsidRPr="002433F3">
        <w:rPr>
          <w:lang w:val="en-US"/>
        </w:rPr>
        <w:t xml:space="preserve">as </w:t>
      </w:r>
      <w:r w:rsidR="00EC2BA0" w:rsidRPr="002433F3">
        <w:rPr>
          <w:lang w:val="en-US"/>
        </w:rPr>
        <w:t>the</w:t>
      </w:r>
      <w:r w:rsidRPr="002433F3">
        <w:rPr>
          <w:lang w:val="en-US"/>
        </w:rPr>
        <w:t xml:space="preserve"> </w:t>
      </w:r>
      <w:r w:rsidR="00EC2BA0" w:rsidRPr="002433F3">
        <w:rPr>
          <w:lang w:val="en-US"/>
        </w:rPr>
        <w:t xml:space="preserve">surviving </w:t>
      </w:r>
      <w:r w:rsidRPr="002433F3">
        <w:rPr>
          <w:lang w:val="en-US"/>
        </w:rPr>
        <w:t xml:space="preserve">spouse </w:t>
      </w:r>
      <w:r w:rsidR="00EC2BA0" w:rsidRPr="002433F3">
        <w:rPr>
          <w:lang w:val="en-US"/>
        </w:rPr>
        <w:t xml:space="preserve">of a </w:t>
      </w:r>
      <w:r w:rsidRPr="002433F3">
        <w:rPr>
          <w:lang w:val="en-US"/>
        </w:rPr>
        <w:t xml:space="preserve">heterosexual </w:t>
      </w:r>
      <w:r w:rsidR="00EC2BA0" w:rsidRPr="002433F3">
        <w:rPr>
          <w:lang w:val="en-US"/>
        </w:rPr>
        <w:t>couple</w:t>
      </w:r>
      <w:r w:rsidR="003F162C" w:rsidRPr="002433F3">
        <w:rPr>
          <w:lang w:val="en-US"/>
        </w:rPr>
        <w:t>,</w:t>
      </w:r>
      <w:r w:rsidR="00EC2BA0" w:rsidRPr="002433F3">
        <w:rPr>
          <w:lang w:val="en-US"/>
        </w:rPr>
        <w:t xml:space="preserve"> </w:t>
      </w:r>
      <w:r w:rsidRPr="002433F3">
        <w:rPr>
          <w:lang w:val="en-US"/>
        </w:rPr>
        <w:t xml:space="preserve">as </w:t>
      </w:r>
      <w:r w:rsidR="00E63E39" w:rsidRPr="002433F3">
        <w:rPr>
          <w:lang w:val="en-US"/>
        </w:rPr>
        <w:t xml:space="preserve">the State has </w:t>
      </w:r>
      <w:r w:rsidR="00EC2BA0" w:rsidRPr="002433F3">
        <w:rPr>
          <w:lang w:val="en-US"/>
        </w:rPr>
        <w:t>affirmed</w:t>
      </w:r>
      <w:r w:rsidRPr="002433F3">
        <w:rPr>
          <w:lang w:val="en-US"/>
        </w:rPr>
        <w:t xml:space="preserve">, </w:t>
      </w:r>
      <w:r w:rsidR="00502F32" w:rsidRPr="002433F3">
        <w:rPr>
          <w:lang w:val="en-US"/>
        </w:rPr>
        <w:t xml:space="preserve">it is not </w:t>
      </w:r>
      <w:r w:rsidR="00956025" w:rsidRPr="002433F3">
        <w:rPr>
          <w:lang w:val="en-US"/>
        </w:rPr>
        <w:t xml:space="preserve">certain whether </w:t>
      </w:r>
      <w:r w:rsidRPr="002433F3">
        <w:rPr>
          <w:lang w:val="en-US"/>
        </w:rPr>
        <w:t>that re</w:t>
      </w:r>
      <w:r w:rsidR="00B612AF" w:rsidRPr="002433F3">
        <w:rPr>
          <w:lang w:val="en-US"/>
        </w:rPr>
        <w:t xml:space="preserve">medy, if approved, would be </w:t>
      </w:r>
      <w:r w:rsidRPr="002433F3">
        <w:rPr>
          <w:lang w:val="en-US"/>
        </w:rPr>
        <w:t xml:space="preserve">effective </w:t>
      </w:r>
      <w:r w:rsidR="00EC2BA0" w:rsidRPr="002433F3">
        <w:rPr>
          <w:lang w:val="en-US"/>
        </w:rPr>
        <w:t xml:space="preserve">to </w:t>
      </w:r>
      <w:r w:rsidRPr="002433F3">
        <w:rPr>
          <w:lang w:val="en-US"/>
        </w:rPr>
        <w:t>rest</w:t>
      </w:r>
      <w:r w:rsidR="006776DF" w:rsidRPr="002433F3">
        <w:rPr>
          <w:lang w:val="en-US"/>
        </w:rPr>
        <w:t>ore</w:t>
      </w:r>
      <w:r w:rsidR="003F162C" w:rsidRPr="002433F3">
        <w:rPr>
          <w:lang w:val="en-US"/>
        </w:rPr>
        <w:t>,</w:t>
      </w:r>
      <w:r w:rsidR="006776DF" w:rsidRPr="002433F3">
        <w:rPr>
          <w:lang w:val="en-US"/>
        </w:rPr>
        <w:t xml:space="preserve"> </w:t>
      </w:r>
      <w:r w:rsidR="003F162C" w:rsidRPr="002433F3">
        <w:rPr>
          <w:lang w:val="en-US"/>
        </w:rPr>
        <w:t xml:space="preserve">in full, the pensions not paid to </w:t>
      </w:r>
      <w:r w:rsidR="006776DF" w:rsidRPr="002433F3">
        <w:rPr>
          <w:lang w:val="en-US"/>
        </w:rPr>
        <w:t>Mr. Duque</w:t>
      </w:r>
      <w:r w:rsidRPr="002433F3">
        <w:rPr>
          <w:lang w:val="en-US"/>
        </w:rPr>
        <w:t xml:space="preserve"> since 2002, </w:t>
      </w:r>
      <w:r w:rsidR="00B612AF" w:rsidRPr="002433F3">
        <w:rPr>
          <w:lang w:val="en-US"/>
        </w:rPr>
        <w:t>owing to the discrimination to</w:t>
      </w:r>
      <w:r w:rsidRPr="002433F3">
        <w:rPr>
          <w:lang w:val="en-US"/>
        </w:rPr>
        <w:t xml:space="preserve"> which </w:t>
      </w:r>
      <w:r w:rsidR="00B612AF" w:rsidRPr="002433F3">
        <w:rPr>
          <w:lang w:val="en-US"/>
        </w:rPr>
        <w:t>he was subjected</w:t>
      </w:r>
      <w:r w:rsidRPr="002433F3">
        <w:rPr>
          <w:lang w:val="en-US"/>
        </w:rPr>
        <w:t>.</w:t>
      </w:r>
    </w:p>
    <w:p w14:paraId="76CCAFCB" w14:textId="77777777" w:rsidR="007B0DE4" w:rsidRPr="002433F3" w:rsidRDefault="00443800" w:rsidP="007B0DE4">
      <w:pPr>
        <w:numPr>
          <w:ilvl w:val="0"/>
          <w:numId w:val="2"/>
        </w:numPr>
        <w:spacing w:before="120" w:after="120"/>
        <w:ind w:right="4"/>
        <w:rPr>
          <w:lang w:val="en-US"/>
        </w:rPr>
      </w:pPr>
      <w:r w:rsidRPr="002433F3">
        <w:rPr>
          <w:lang w:val="en-US"/>
        </w:rPr>
        <w:t xml:space="preserve">Thus, the Court </w:t>
      </w:r>
      <w:r w:rsidR="00684533" w:rsidRPr="002433F3">
        <w:rPr>
          <w:lang w:val="en-US"/>
        </w:rPr>
        <w:t xml:space="preserve">confirms </w:t>
      </w:r>
      <w:r w:rsidRPr="002433F3">
        <w:rPr>
          <w:lang w:val="en-US"/>
        </w:rPr>
        <w:t xml:space="preserve">that, </w:t>
      </w:r>
      <w:r w:rsidR="00684533" w:rsidRPr="002433F3">
        <w:rPr>
          <w:lang w:val="en-US"/>
        </w:rPr>
        <w:t xml:space="preserve">according to </w:t>
      </w:r>
      <w:r w:rsidR="00327FD4" w:rsidRPr="002433F3">
        <w:rPr>
          <w:lang w:val="en-US"/>
        </w:rPr>
        <w:t xml:space="preserve">the State’s arguments, </w:t>
      </w:r>
      <w:r w:rsidR="00A27D1F" w:rsidRPr="002433F3">
        <w:rPr>
          <w:lang w:val="en-US"/>
        </w:rPr>
        <w:t xml:space="preserve">the </w:t>
      </w:r>
      <w:r w:rsidR="004722AE" w:rsidRPr="002433F3">
        <w:rPr>
          <w:iCs/>
          <w:szCs w:val="20"/>
          <w:lang w:val="en-US"/>
        </w:rPr>
        <w:t>issuance</w:t>
      </w:r>
      <w:r w:rsidR="00327FD4" w:rsidRPr="002433F3">
        <w:rPr>
          <w:iCs/>
          <w:szCs w:val="20"/>
          <w:lang w:val="en-US"/>
        </w:rPr>
        <w:t xml:space="preserve"> </w:t>
      </w:r>
      <w:r w:rsidR="004722AE" w:rsidRPr="002433F3">
        <w:rPr>
          <w:iCs/>
          <w:szCs w:val="20"/>
          <w:lang w:val="en-US"/>
        </w:rPr>
        <w:t>of judgment</w:t>
      </w:r>
      <w:r w:rsidR="00327FD4" w:rsidRPr="002433F3">
        <w:rPr>
          <w:iCs/>
          <w:szCs w:val="20"/>
          <w:lang w:val="en-US"/>
        </w:rPr>
        <w:t xml:space="preserve"> T-051 2010 </w:t>
      </w:r>
      <w:r w:rsidR="0037220F" w:rsidRPr="002433F3">
        <w:rPr>
          <w:iCs/>
          <w:szCs w:val="20"/>
          <w:lang w:val="en-US"/>
        </w:rPr>
        <w:t xml:space="preserve">modifying </w:t>
      </w:r>
      <w:r w:rsidR="00327FD4" w:rsidRPr="002433F3">
        <w:rPr>
          <w:szCs w:val="20"/>
          <w:lang w:val="en-US"/>
        </w:rPr>
        <w:t xml:space="preserve">the rules for proving the status of </w:t>
      </w:r>
      <w:r w:rsidR="00327FD4" w:rsidRPr="002433F3">
        <w:rPr>
          <w:i/>
          <w:szCs w:val="20"/>
          <w:lang w:val="en-US"/>
        </w:rPr>
        <w:t>de facto</w:t>
      </w:r>
      <w:r w:rsidR="00327FD4" w:rsidRPr="002433F3">
        <w:rPr>
          <w:szCs w:val="20"/>
          <w:lang w:val="en-US"/>
        </w:rPr>
        <w:t xml:space="preserve"> unions</w:t>
      </w:r>
      <w:r w:rsidR="00327FD4" w:rsidRPr="002433F3">
        <w:rPr>
          <w:iCs/>
          <w:szCs w:val="20"/>
          <w:lang w:val="en-US"/>
        </w:rPr>
        <w:t xml:space="preserve"> would </w:t>
      </w:r>
      <w:r w:rsidR="00327FD4" w:rsidRPr="002433F3">
        <w:rPr>
          <w:iCs/>
          <w:szCs w:val="20"/>
          <w:lang w:val="en-US"/>
        </w:rPr>
        <w:lastRenderedPageBreak/>
        <w:t xml:space="preserve">have fully repaired the </w:t>
      </w:r>
      <w:r w:rsidR="00327FD4" w:rsidRPr="002433F3">
        <w:rPr>
          <w:szCs w:val="20"/>
          <w:lang w:val="en-US"/>
        </w:rPr>
        <w:t>internationally wrongful act</w:t>
      </w:r>
      <w:r w:rsidRPr="002433F3">
        <w:rPr>
          <w:iCs/>
          <w:szCs w:val="20"/>
          <w:lang w:val="en-US"/>
        </w:rPr>
        <w:t xml:space="preserve"> </w:t>
      </w:r>
      <w:r w:rsidRPr="002433F3">
        <w:t>(</w:t>
      </w:r>
      <w:r w:rsidRPr="002433F3">
        <w:rPr>
          <w:i/>
        </w:rPr>
        <w:t>supra</w:t>
      </w:r>
      <w:r w:rsidR="00684533" w:rsidRPr="002433F3">
        <w:t xml:space="preserve"> para</w:t>
      </w:r>
      <w:r w:rsidRPr="002433F3">
        <w:t>.82).</w:t>
      </w:r>
      <w:r w:rsidR="00327FD4" w:rsidRPr="002433F3">
        <w:rPr>
          <w:iCs/>
          <w:szCs w:val="20"/>
          <w:lang w:val="en-US"/>
        </w:rPr>
        <w:t xml:space="preserve"> </w:t>
      </w:r>
      <w:r w:rsidRPr="002433F3">
        <w:rPr>
          <w:iCs/>
          <w:szCs w:val="20"/>
          <w:lang w:val="en-US"/>
        </w:rPr>
        <w:t xml:space="preserve">However, </w:t>
      </w:r>
      <w:r w:rsidR="00684533" w:rsidRPr="002433F3">
        <w:rPr>
          <w:iCs/>
          <w:szCs w:val="20"/>
          <w:lang w:val="en-US"/>
        </w:rPr>
        <w:t xml:space="preserve">even if that were true in the sense that Mr. Duque could have requested a </w:t>
      </w:r>
      <w:r w:rsidR="00327FD4" w:rsidRPr="002433F3">
        <w:rPr>
          <w:iCs/>
          <w:szCs w:val="20"/>
          <w:lang w:val="en-US"/>
        </w:rPr>
        <w:t xml:space="preserve">survivor’s pension without discrimination, it </w:t>
      </w:r>
      <w:r w:rsidR="00684533" w:rsidRPr="002433F3">
        <w:rPr>
          <w:iCs/>
          <w:szCs w:val="20"/>
          <w:lang w:val="en-US"/>
        </w:rPr>
        <w:t xml:space="preserve">is also true that, had this pension been granted, there is no certainty that it would have retroactive effects </w:t>
      </w:r>
      <w:r w:rsidR="0037220F" w:rsidRPr="002433F3">
        <w:rPr>
          <w:iCs/>
          <w:szCs w:val="20"/>
          <w:lang w:val="en-US"/>
        </w:rPr>
        <w:t xml:space="preserve">from </w:t>
      </w:r>
      <w:r w:rsidR="001E4418" w:rsidRPr="002433F3">
        <w:rPr>
          <w:iCs/>
          <w:szCs w:val="20"/>
          <w:lang w:val="en-US"/>
        </w:rPr>
        <w:t xml:space="preserve">the time </w:t>
      </w:r>
      <w:r w:rsidR="0037220F" w:rsidRPr="002433F3">
        <w:rPr>
          <w:iCs/>
          <w:szCs w:val="20"/>
          <w:lang w:val="en-US"/>
        </w:rPr>
        <w:t>during</w:t>
      </w:r>
      <w:r w:rsidR="00684533" w:rsidRPr="002433F3">
        <w:rPr>
          <w:iCs/>
          <w:szCs w:val="20"/>
          <w:lang w:val="en-US"/>
        </w:rPr>
        <w:t xml:space="preserve"> which </w:t>
      </w:r>
      <w:r w:rsidR="001E4418" w:rsidRPr="002433F3">
        <w:rPr>
          <w:iCs/>
          <w:szCs w:val="20"/>
          <w:lang w:val="en-US"/>
        </w:rPr>
        <w:t>he was</w:t>
      </w:r>
      <w:r w:rsidR="00327FD4" w:rsidRPr="002433F3">
        <w:rPr>
          <w:iCs/>
          <w:szCs w:val="20"/>
          <w:lang w:val="en-US"/>
        </w:rPr>
        <w:t xml:space="preserve"> </w:t>
      </w:r>
      <w:r w:rsidR="00956025" w:rsidRPr="002433F3">
        <w:rPr>
          <w:lang w:val="en-US"/>
        </w:rPr>
        <w:t>subject</w:t>
      </w:r>
      <w:r w:rsidR="001E4418" w:rsidRPr="002433F3">
        <w:rPr>
          <w:lang w:val="en-US"/>
        </w:rPr>
        <w:t>ed</w:t>
      </w:r>
      <w:r w:rsidR="00956025" w:rsidRPr="002433F3">
        <w:rPr>
          <w:lang w:val="en-US"/>
        </w:rPr>
        <w:t xml:space="preserve"> to a </w:t>
      </w:r>
      <w:r w:rsidR="00335403" w:rsidRPr="002433F3">
        <w:rPr>
          <w:lang w:val="en-US"/>
        </w:rPr>
        <w:t>different treatment</w:t>
      </w:r>
      <w:r w:rsidR="007B0DE4" w:rsidRPr="002433F3">
        <w:rPr>
          <w:lang w:val="en-US"/>
        </w:rPr>
        <w:t xml:space="preserve"> in 2002. </w:t>
      </w:r>
      <w:r w:rsidR="00E63E39" w:rsidRPr="002433F3">
        <w:rPr>
          <w:lang w:val="en-US"/>
        </w:rPr>
        <w:t>Th</w:t>
      </w:r>
      <w:r w:rsidR="00684533" w:rsidRPr="002433F3">
        <w:rPr>
          <w:lang w:val="en-US"/>
        </w:rPr>
        <w:t>erefore</w:t>
      </w:r>
      <w:r w:rsidR="007B0DE4" w:rsidRPr="002433F3">
        <w:rPr>
          <w:lang w:val="en-US"/>
        </w:rPr>
        <w:t>, i</w:t>
      </w:r>
      <w:r w:rsidR="00E63E39" w:rsidRPr="002433F3">
        <w:rPr>
          <w:lang w:val="en-US"/>
        </w:rPr>
        <w:t>t i</w:t>
      </w:r>
      <w:r w:rsidR="007B0DE4" w:rsidRPr="002433F3">
        <w:rPr>
          <w:lang w:val="en-US"/>
        </w:rPr>
        <w:t xml:space="preserve">s reasonable </w:t>
      </w:r>
      <w:r w:rsidR="00037B03" w:rsidRPr="002433F3">
        <w:rPr>
          <w:lang w:val="en-US"/>
        </w:rPr>
        <w:t xml:space="preserve">to conclude that the </w:t>
      </w:r>
      <w:r w:rsidR="007B0DE4" w:rsidRPr="002433F3">
        <w:rPr>
          <w:lang w:val="en-US"/>
        </w:rPr>
        <w:t xml:space="preserve">internationally wrongful act of </w:t>
      </w:r>
      <w:r w:rsidR="00EC2BA0" w:rsidRPr="002433F3">
        <w:rPr>
          <w:lang w:val="en-US"/>
        </w:rPr>
        <w:t xml:space="preserve">which </w:t>
      </w:r>
      <w:r w:rsidR="007B0DE4" w:rsidRPr="002433F3">
        <w:rPr>
          <w:lang w:val="en-US"/>
        </w:rPr>
        <w:t xml:space="preserve">Mr. Duque </w:t>
      </w:r>
      <w:r w:rsidR="00EC2BA0" w:rsidRPr="002433F3">
        <w:rPr>
          <w:lang w:val="en-US"/>
        </w:rPr>
        <w:t xml:space="preserve">was a victim </w:t>
      </w:r>
      <w:r w:rsidR="00037B03" w:rsidRPr="002433F3">
        <w:rPr>
          <w:lang w:val="en-US"/>
        </w:rPr>
        <w:t xml:space="preserve">still would not </w:t>
      </w:r>
      <w:r w:rsidR="007B0DE4" w:rsidRPr="002433F3">
        <w:rPr>
          <w:lang w:val="en-US"/>
        </w:rPr>
        <w:t>ha</w:t>
      </w:r>
      <w:r w:rsidR="00037B03" w:rsidRPr="002433F3">
        <w:rPr>
          <w:lang w:val="en-US"/>
        </w:rPr>
        <w:t>ve been completely corrected</w:t>
      </w:r>
      <w:r w:rsidR="007B0DE4" w:rsidRPr="002433F3">
        <w:rPr>
          <w:lang w:val="en-US"/>
        </w:rPr>
        <w:t xml:space="preserve">, since </w:t>
      </w:r>
      <w:r w:rsidR="00037B03" w:rsidRPr="002433F3">
        <w:rPr>
          <w:lang w:val="en-US"/>
        </w:rPr>
        <w:t xml:space="preserve">the </w:t>
      </w:r>
      <w:r w:rsidR="007B0DE4" w:rsidRPr="002433F3">
        <w:rPr>
          <w:lang w:val="en-US"/>
        </w:rPr>
        <w:t xml:space="preserve">retroactive </w:t>
      </w:r>
      <w:r w:rsidR="00150825" w:rsidRPr="002433F3">
        <w:rPr>
          <w:lang w:val="en-US"/>
        </w:rPr>
        <w:t xml:space="preserve">payments </w:t>
      </w:r>
      <w:r w:rsidR="007B0DE4" w:rsidRPr="002433F3">
        <w:rPr>
          <w:lang w:val="en-US"/>
        </w:rPr>
        <w:t xml:space="preserve">that </w:t>
      </w:r>
      <w:r w:rsidR="00150825" w:rsidRPr="002433F3">
        <w:rPr>
          <w:lang w:val="en-US"/>
        </w:rPr>
        <w:t xml:space="preserve">he could </w:t>
      </w:r>
      <w:r w:rsidR="00037B03" w:rsidRPr="002433F3">
        <w:rPr>
          <w:lang w:val="en-US"/>
        </w:rPr>
        <w:t xml:space="preserve">have received </w:t>
      </w:r>
      <w:r w:rsidR="00EC2BA0" w:rsidRPr="002433F3">
        <w:rPr>
          <w:lang w:val="en-US"/>
        </w:rPr>
        <w:t xml:space="preserve">would not be </w:t>
      </w:r>
      <w:r w:rsidR="007B0DE4" w:rsidRPr="002433F3">
        <w:rPr>
          <w:lang w:val="en-US"/>
        </w:rPr>
        <w:t xml:space="preserve">equivalent to </w:t>
      </w:r>
      <w:r w:rsidR="00037B03" w:rsidRPr="002433F3">
        <w:rPr>
          <w:lang w:val="en-US"/>
        </w:rPr>
        <w:t xml:space="preserve">those he would have </w:t>
      </w:r>
      <w:r w:rsidR="00150825" w:rsidRPr="002433F3">
        <w:rPr>
          <w:lang w:val="en-US"/>
        </w:rPr>
        <w:t xml:space="preserve">received </w:t>
      </w:r>
      <w:r w:rsidR="00037B03" w:rsidRPr="002433F3">
        <w:rPr>
          <w:lang w:val="en-US"/>
        </w:rPr>
        <w:t xml:space="preserve">had he not been </w:t>
      </w:r>
      <w:r w:rsidR="007B0DE4" w:rsidRPr="002433F3">
        <w:rPr>
          <w:lang w:val="en-US"/>
        </w:rPr>
        <w:t>tr</w:t>
      </w:r>
      <w:r w:rsidR="00EC2BA0" w:rsidRPr="002433F3">
        <w:rPr>
          <w:lang w:val="en-US"/>
        </w:rPr>
        <w:t>e</w:t>
      </w:r>
      <w:r w:rsidR="007B0DE4" w:rsidRPr="002433F3">
        <w:rPr>
          <w:lang w:val="en-US"/>
        </w:rPr>
        <w:t>at</w:t>
      </w:r>
      <w:r w:rsidR="00EC2BA0" w:rsidRPr="002433F3">
        <w:rPr>
          <w:lang w:val="en-US"/>
        </w:rPr>
        <w:t>ed</w:t>
      </w:r>
      <w:r w:rsidR="007B0DE4" w:rsidRPr="002433F3">
        <w:rPr>
          <w:lang w:val="en-US"/>
        </w:rPr>
        <w:t xml:space="preserve"> different</w:t>
      </w:r>
      <w:r w:rsidR="00EC2BA0" w:rsidRPr="002433F3">
        <w:rPr>
          <w:lang w:val="en-US"/>
        </w:rPr>
        <w:t xml:space="preserve">ly </w:t>
      </w:r>
      <w:r w:rsidR="00037B03" w:rsidRPr="002433F3">
        <w:rPr>
          <w:lang w:val="en-US"/>
        </w:rPr>
        <w:t xml:space="preserve">in a </w:t>
      </w:r>
      <w:r w:rsidR="007B0DE4" w:rsidRPr="002433F3">
        <w:rPr>
          <w:lang w:val="en-US"/>
        </w:rPr>
        <w:t>discriminatory</w:t>
      </w:r>
      <w:r w:rsidR="00037B03" w:rsidRPr="002433F3">
        <w:rPr>
          <w:lang w:val="en-US"/>
        </w:rPr>
        <w:t xml:space="preserve"> </w:t>
      </w:r>
      <w:r w:rsidR="001E4418" w:rsidRPr="002433F3">
        <w:rPr>
          <w:lang w:val="en-US"/>
        </w:rPr>
        <w:t>manner</w:t>
      </w:r>
      <w:r w:rsidR="007B0DE4" w:rsidRPr="002433F3">
        <w:rPr>
          <w:lang w:val="en-US"/>
        </w:rPr>
        <w:t>.</w:t>
      </w:r>
    </w:p>
    <w:p w14:paraId="2580F150" w14:textId="77777777" w:rsidR="007B0DE4" w:rsidRPr="002433F3" w:rsidRDefault="007B0DE4" w:rsidP="007B0DE4">
      <w:pPr>
        <w:pStyle w:val="Ttulo3"/>
        <w:spacing w:before="280" w:after="280"/>
        <w:ind w:left="1066"/>
        <w:rPr>
          <w:noProof w:val="0"/>
          <w:lang w:val="en-US"/>
        </w:rPr>
      </w:pPr>
      <w:bookmarkStart w:id="127" w:name="_Toc448482268"/>
      <w:r w:rsidRPr="002433F3">
        <w:rPr>
          <w:noProof w:val="0"/>
          <w:lang w:val="en-US"/>
        </w:rPr>
        <w:t xml:space="preserve">B.4. </w:t>
      </w:r>
      <w:r w:rsidRPr="002433F3">
        <w:rPr>
          <w:noProof w:val="0"/>
          <w:lang w:val="en-US" w:eastAsia="es-ES"/>
        </w:rPr>
        <w:t>Conclusion</w:t>
      </w:r>
      <w:bookmarkEnd w:id="124"/>
      <w:bookmarkEnd w:id="125"/>
      <w:bookmarkEnd w:id="127"/>
      <w:r w:rsidRPr="002433F3">
        <w:rPr>
          <w:noProof w:val="0"/>
          <w:lang w:val="en-US"/>
        </w:rPr>
        <w:t xml:space="preserve"> </w:t>
      </w:r>
    </w:p>
    <w:p w14:paraId="5EB6598F" w14:textId="77777777" w:rsidR="007B0DE4" w:rsidRPr="002433F3" w:rsidRDefault="002D3ACD" w:rsidP="007B0DE4">
      <w:pPr>
        <w:numPr>
          <w:ilvl w:val="0"/>
          <w:numId w:val="2"/>
        </w:numPr>
        <w:spacing w:before="120" w:after="120"/>
        <w:ind w:right="4"/>
        <w:rPr>
          <w:lang w:val="en-US"/>
        </w:rPr>
      </w:pPr>
      <w:r w:rsidRPr="002433F3">
        <w:rPr>
          <w:lang w:val="en-US"/>
        </w:rPr>
        <w:t>B</w:t>
      </w:r>
      <w:r w:rsidR="00EB60AB" w:rsidRPr="002433F3">
        <w:rPr>
          <w:lang w:val="en-US"/>
        </w:rPr>
        <w:t xml:space="preserve">ased on </w:t>
      </w:r>
      <w:r w:rsidRPr="002433F3">
        <w:rPr>
          <w:lang w:val="en-US"/>
        </w:rPr>
        <w:t>the foregoing considerations</w:t>
      </w:r>
      <w:r w:rsidR="007B0DE4" w:rsidRPr="002433F3">
        <w:rPr>
          <w:lang w:val="en-US"/>
        </w:rPr>
        <w:t>, this Court concludes that th</w:t>
      </w:r>
      <w:r w:rsidRPr="002433F3">
        <w:rPr>
          <w:lang w:val="en-US"/>
        </w:rPr>
        <w:t xml:space="preserve">e State is responsible for the </w:t>
      </w:r>
      <w:r w:rsidR="007B0DE4" w:rsidRPr="002433F3">
        <w:rPr>
          <w:lang w:val="en-US"/>
        </w:rPr>
        <w:t xml:space="preserve">violation </w:t>
      </w:r>
      <w:r w:rsidRPr="002433F3">
        <w:rPr>
          <w:lang w:val="en-US"/>
        </w:rPr>
        <w:t xml:space="preserve">of the </w:t>
      </w:r>
      <w:r w:rsidR="007B0DE4" w:rsidRPr="002433F3">
        <w:rPr>
          <w:lang w:val="en-US"/>
        </w:rPr>
        <w:t>right to equal</w:t>
      </w:r>
      <w:r w:rsidR="00037B03" w:rsidRPr="002433F3">
        <w:rPr>
          <w:lang w:val="en-US"/>
        </w:rPr>
        <w:t xml:space="preserve">ity </w:t>
      </w:r>
      <w:r w:rsidR="007B0DE4" w:rsidRPr="002433F3">
        <w:rPr>
          <w:lang w:val="en-US"/>
        </w:rPr>
        <w:t xml:space="preserve">and non-discrimination </w:t>
      </w:r>
      <w:r w:rsidR="00037B03" w:rsidRPr="002433F3">
        <w:rPr>
          <w:lang w:val="en-US"/>
        </w:rPr>
        <w:t xml:space="preserve">established </w:t>
      </w:r>
      <w:r w:rsidR="007B0DE4" w:rsidRPr="002433F3">
        <w:rPr>
          <w:lang w:val="en-US"/>
        </w:rPr>
        <w:t>in Article 24 of the Conven</w:t>
      </w:r>
      <w:r w:rsidRPr="002433F3">
        <w:rPr>
          <w:lang w:val="en-US"/>
        </w:rPr>
        <w:t xml:space="preserve">tion, in relation to </w:t>
      </w:r>
      <w:r w:rsidR="007B0DE4" w:rsidRPr="002433F3">
        <w:rPr>
          <w:lang w:val="en-US"/>
        </w:rPr>
        <w:t>Article 1(1) thereof, to the detriment of Mr. Angel Duque</w:t>
      </w:r>
      <w:r w:rsidR="00037B03" w:rsidRPr="002433F3">
        <w:rPr>
          <w:lang w:val="en-US"/>
        </w:rPr>
        <w:t>,</w:t>
      </w:r>
      <w:r w:rsidR="007B0DE4" w:rsidRPr="002433F3">
        <w:rPr>
          <w:lang w:val="en-US"/>
        </w:rPr>
        <w:t xml:space="preserve"> </w:t>
      </w:r>
      <w:r w:rsidR="006B0B77" w:rsidRPr="002433F3">
        <w:rPr>
          <w:lang w:val="en-US"/>
        </w:rPr>
        <w:t xml:space="preserve">given </w:t>
      </w:r>
      <w:r w:rsidR="00037B03" w:rsidRPr="002433F3">
        <w:rPr>
          <w:lang w:val="en-US"/>
        </w:rPr>
        <w:t xml:space="preserve">that he </w:t>
      </w:r>
      <w:r w:rsidRPr="002433F3">
        <w:rPr>
          <w:lang w:val="en-US"/>
        </w:rPr>
        <w:t xml:space="preserve">was not permitted to apply for a </w:t>
      </w:r>
      <w:r w:rsidR="007B0DE4" w:rsidRPr="002433F3">
        <w:rPr>
          <w:lang w:val="en-US"/>
        </w:rPr>
        <w:t>survivor’s pension</w:t>
      </w:r>
      <w:r w:rsidRPr="002433F3">
        <w:rPr>
          <w:lang w:val="en-US"/>
        </w:rPr>
        <w:t xml:space="preserve"> </w:t>
      </w:r>
      <w:r w:rsidR="00EB60AB" w:rsidRPr="002433F3">
        <w:rPr>
          <w:lang w:val="en-US"/>
        </w:rPr>
        <w:t>under</w:t>
      </w:r>
      <w:r w:rsidR="00037B03" w:rsidRPr="002433F3">
        <w:rPr>
          <w:lang w:val="en-US"/>
        </w:rPr>
        <w:t xml:space="preserve"> conditions of equality</w:t>
      </w:r>
      <w:r w:rsidRPr="002433F3">
        <w:rPr>
          <w:lang w:val="en-US"/>
        </w:rPr>
        <w:t>,</w:t>
      </w:r>
      <w:r w:rsidR="007B0DE4" w:rsidRPr="002433F3">
        <w:rPr>
          <w:lang w:val="en-US"/>
        </w:rPr>
        <w:t xml:space="preserve"> </w:t>
      </w:r>
      <w:r w:rsidRPr="002433F3">
        <w:rPr>
          <w:lang w:val="en-US"/>
        </w:rPr>
        <w:t xml:space="preserve">as </w:t>
      </w:r>
      <w:r w:rsidR="00EB60AB" w:rsidRPr="002433F3">
        <w:rPr>
          <w:lang w:val="en-US"/>
        </w:rPr>
        <w:t>established in Colombia’s</w:t>
      </w:r>
      <w:r w:rsidRPr="002433F3">
        <w:rPr>
          <w:lang w:val="en-US"/>
        </w:rPr>
        <w:t xml:space="preserve"> domestic legislation</w:t>
      </w:r>
      <w:r w:rsidR="007B0DE4" w:rsidRPr="002433F3">
        <w:rPr>
          <w:lang w:val="en-US"/>
        </w:rPr>
        <w:t xml:space="preserve">. </w:t>
      </w:r>
    </w:p>
    <w:p w14:paraId="1496B871" w14:textId="77777777" w:rsidR="007B0DE4" w:rsidRPr="002433F3" w:rsidRDefault="00037B03" w:rsidP="007B0DE4">
      <w:pPr>
        <w:numPr>
          <w:ilvl w:val="0"/>
          <w:numId w:val="2"/>
        </w:numPr>
        <w:spacing w:before="120" w:after="120"/>
        <w:ind w:right="4"/>
        <w:rPr>
          <w:lang w:val="en-US"/>
        </w:rPr>
      </w:pPr>
      <w:r w:rsidRPr="002433F3">
        <w:rPr>
          <w:lang w:val="en-US"/>
        </w:rPr>
        <w:t>As to the alleged violation of</w:t>
      </w:r>
      <w:r w:rsidR="007B0DE4" w:rsidRPr="002433F3">
        <w:rPr>
          <w:lang w:val="en-US"/>
        </w:rPr>
        <w:t xml:space="preserve"> Article 2 of the Convention, the Court </w:t>
      </w:r>
      <w:r w:rsidR="00150825" w:rsidRPr="002433F3">
        <w:rPr>
          <w:lang w:val="en-US"/>
        </w:rPr>
        <w:t>considers that</w:t>
      </w:r>
      <w:r w:rsidR="00462978" w:rsidRPr="002433F3">
        <w:rPr>
          <w:lang w:val="en-US"/>
        </w:rPr>
        <w:t>,</w:t>
      </w:r>
      <w:r w:rsidR="00150825" w:rsidRPr="002433F3">
        <w:rPr>
          <w:lang w:val="en-US"/>
        </w:rPr>
        <w:t xml:space="preserve"> </w:t>
      </w:r>
      <w:r w:rsidR="00462978" w:rsidRPr="002433F3">
        <w:rPr>
          <w:lang w:val="en-US"/>
        </w:rPr>
        <w:t xml:space="preserve">in light of Colombia’s </w:t>
      </w:r>
      <w:r w:rsidR="00150825" w:rsidRPr="002433F3">
        <w:rPr>
          <w:lang w:val="en-US"/>
        </w:rPr>
        <w:t xml:space="preserve">legislative </w:t>
      </w:r>
      <w:r w:rsidR="006B0B77" w:rsidRPr="002433F3">
        <w:rPr>
          <w:lang w:val="en-US"/>
        </w:rPr>
        <w:t xml:space="preserve">and </w:t>
      </w:r>
      <w:r w:rsidRPr="002433F3">
        <w:rPr>
          <w:lang w:val="en-US"/>
        </w:rPr>
        <w:t xml:space="preserve">case law developments </w:t>
      </w:r>
      <w:r w:rsidR="00150825" w:rsidRPr="002433F3">
        <w:rPr>
          <w:lang w:val="en-US"/>
        </w:rPr>
        <w:t xml:space="preserve">regarding </w:t>
      </w:r>
      <w:r w:rsidRPr="002433F3">
        <w:rPr>
          <w:lang w:val="en-US"/>
        </w:rPr>
        <w:t xml:space="preserve">the </w:t>
      </w:r>
      <w:r w:rsidR="002D3ACD" w:rsidRPr="002433F3">
        <w:rPr>
          <w:lang w:val="en-US"/>
        </w:rPr>
        <w:t xml:space="preserve">recognition and </w:t>
      </w:r>
      <w:r w:rsidR="007B0DE4" w:rsidRPr="002433F3">
        <w:rPr>
          <w:lang w:val="en-US"/>
        </w:rPr>
        <w:t xml:space="preserve">protection of </w:t>
      </w:r>
      <w:r w:rsidR="00EC2BA0" w:rsidRPr="002433F3">
        <w:rPr>
          <w:lang w:val="en-US"/>
        </w:rPr>
        <w:t>same-</w:t>
      </w:r>
      <w:r w:rsidR="007B0DE4" w:rsidRPr="002433F3">
        <w:rPr>
          <w:lang w:val="en-US"/>
        </w:rPr>
        <w:t>sex</w:t>
      </w:r>
      <w:r w:rsidR="00EC2BA0" w:rsidRPr="002433F3">
        <w:rPr>
          <w:lang w:val="en-US"/>
        </w:rPr>
        <w:t xml:space="preserve"> couples</w:t>
      </w:r>
      <w:r w:rsidR="007B0DE4" w:rsidRPr="002433F3">
        <w:rPr>
          <w:lang w:val="en-US"/>
        </w:rPr>
        <w:t xml:space="preserve">, </w:t>
      </w:r>
      <w:r w:rsidRPr="002433F3">
        <w:rPr>
          <w:lang w:val="en-US"/>
        </w:rPr>
        <w:t xml:space="preserve">it </w:t>
      </w:r>
      <w:r w:rsidR="00150825" w:rsidRPr="002433F3">
        <w:rPr>
          <w:lang w:val="en-US"/>
        </w:rPr>
        <w:t xml:space="preserve">does </w:t>
      </w:r>
      <w:r w:rsidR="002D3ACD" w:rsidRPr="002433F3">
        <w:rPr>
          <w:lang w:val="en-US"/>
        </w:rPr>
        <w:t xml:space="preserve">not </w:t>
      </w:r>
      <w:r w:rsidR="00462978" w:rsidRPr="002433F3">
        <w:rPr>
          <w:lang w:val="en-US"/>
        </w:rPr>
        <w:t xml:space="preserve">find the elements necessary </w:t>
      </w:r>
      <w:r w:rsidR="007B0DE4" w:rsidRPr="002433F3">
        <w:rPr>
          <w:lang w:val="en-US"/>
        </w:rPr>
        <w:t xml:space="preserve">to consider that the State violated the obligation to adopt provisions of domestic law. Consequently, the Court concludes that the State is not </w:t>
      </w:r>
      <w:r w:rsidR="00150825" w:rsidRPr="002433F3">
        <w:rPr>
          <w:lang w:val="en-US"/>
        </w:rPr>
        <w:t xml:space="preserve">responsible for the </w:t>
      </w:r>
      <w:r w:rsidR="007B0DE4" w:rsidRPr="002433F3">
        <w:rPr>
          <w:lang w:val="en-US"/>
        </w:rPr>
        <w:t xml:space="preserve">violation of Article 2 of the American Convention, </w:t>
      </w:r>
      <w:r w:rsidR="00150825" w:rsidRPr="002433F3">
        <w:rPr>
          <w:lang w:val="en-US"/>
        </w:rPr>
        <w:t xml:space="preserve">in relation to </w:t>
      </w:r>
      <w:r w:rsidR="007B0DE4" w:rsidRPr="002433F3">
        <w:rPr>
          <w:lang w:val="en-US"/>
        </w:rPr>
        <w:t>Articles 24 and 1(1) thereof.</w:t>
      </w:r>
    </w:p>
    <w:p w14:paraId="752E7355" w14:textId="77777777" w:rsidR="007B0DE4" w:rsidRPr="002433F3" w:rsidRDefault="007B0DE4" w:rsidP="007B0DE4">
      <w:pPr>
        <w:pStyle w:val="Ttulo1"/>
        <w:spacing w:before="460" w:after="460"/>
        <w:rPr>
          <w:noProof w:val="0"/>
          <w:lang w:val="en-US"/>
        </w:rPr>
      </w:pPr>
      <w:bookmarkStart w:id="128" w:name="_Toc448482269"/>
      <w:r w:rsidRPr="002433F3">
        <w:rPr>
          <w:bCs w:val="0"/>
          <w:noProof w:val="0"/>
          <w:lang w:val="en-US"/>
        </w:rPr>
        <w:t>VIII-2.</w:t>
      </w:r>
      <w:r w:rsidRPr="002433F3">
        <w:rPr>
          <w:bCs w:val="0"/>
          <w:noProof w:val="0"/>
          <w:lang w:val="en-US"/>
        </w:rPr>
        <w:br/>
      </w:r>
      <w:r w:rsidRPr="002433F3">
        <w:rPr>
          <w:caps w:val="0"/>
          <w:noProof w:val="0"/>
          <w:lang w:val="en-US"/>
        </w:rPr>
        <w:t>RIGHTS TO JUDICIAL GUARANTEES AND JUDICIAL PROTECTION</w:t>
      </w:r>
      <w:bookmarkEnd w:id="128"/>
      <w:r w:rsidRPr="002433F3">
        <w:rPr>
          <w:caps w:val="0"/>
          <w:noProof w:val="0"/>
          <w:lang w:val="en-US"/>
        </w:rPr>
        <w:t xml:space="preserve"> </w:t>
      </w:r>
    </w:p>
    <w:p w14:paraId="120B6B22" w14:textId="77777777" w:rsidR="007B0DE4" w:rsidRPr="002433F3" w:rsidRDefault="007B0DE4" w:rsidP="007B0DE4">
      <w:pPr>
        <w:pStyle w:val="Ttulo2"/>
        <w:numPr>
          <w:ilvl w:val="0"/>
          <w:numId w:val="11"/>
        </w:numPr>
        <w:spacing w:before="280" w:after="280"/>
        <w:rPr>
          <w:noProof w:val="0"/>
          <w:lang w:val="en-US"/>
        </w:rPr>
      </w:pPr>
      <w:bookmarkStart w:id="129" w:name="_Toc448482270"/>
      <w:r w:rsidRPr="002433F3">
        <w:rPr>
          <w:noProof w:val="0"/>
          <w:lang w:val="en-US" w:eastAsia="es-ES"/>
        </w:rPr>
        <w:t>Arguments of the parties and of the Commission</w:t>
      </w:r>
      <w:bookmarkEnd w:id="129"/>
    </w:p>
    <w:p w14:paraId="5B19B684" w14:textId="77777777" w:rsidR="007B0DE4" w:rsidRPr="002433F3" w:rsidRDefault="007B0DE4" w:rsidP="007B0DE4">
      <w:pPr>
        <w:numPr>
          <w:ilvl w:val="0"/>
          <w:numId w:val="2"/>
        </w:numPr>
        <w:spacing w:before="120" w:after="120"/>
        <w:rPr>
          <w:rFonts w:eastAsia="Calibri"/>
          <w:lang w:val="en-US"/>
        </w:rPr>
      </w:pPr>
      <w:r w:rsidRPr="002433F3">
        <w:rPr>
          <w:lang w:val="en-US" w:eastAsia="es-ES"/>
        </w:rPr>
        <w:t xml:space="preserve">The </w:t>
      </w:r>
      <w:r w:rsidRPr="002433F3">
        <w:rPr>
          <w:i/>
          <w:lang w:val="en-US" w:eastAsia="es-ES"/>
        </w:rPr>
        <w:t>Commission</w:t>
      </w:r>
      <w:r w:rsidRPr="002433F3">
        <w:rPr>
          <w:b/>
          <w:lang w:val="en-US" w:eastAsia="es-ES"/>
        </w:rPr>
        <w:t xml:space="preserve"> </w:t>
      </w:r>
      <w:r w:rsidR="00956025" w:rsidRPr="002433F3">
        <w:rPr>
          <w:lang w:val="en-US" w:eastAsia="es-ES"/>
        </w:rPr>
        <w:t>noted</w:t>
      </w:r>
      <w:r w:rsidR="00956025" w:rsidRPr="002433F3">
        <w:rPr>
          <w:b/>
          <w:lang w:val="en-US" w:eastAsia="es-ES"/>
        </w:rPr>
        <w:t xml:space="preserve"> </w:t>
      </w:r>
      <w:r w:rsidRPr="002433F3">
        <w:rPr>
          <w:lang w:val="en-US" w:eastAsia="es-ES"/>
        </w:rPr>
        <w:t xml:space="preserve">that the purpose of the </w:t>
      </w:r>
      <w:r w:rsidRPr="002433F3">
        <w:rPr>
          <w:i/>
          <w:lang w:val="en-US" w:eastAsia="es-ES"/>
        </w:rPr>
        <w:t>tutela</w:t>
      </w:r>
      <w:r w:rsidRPr="002433F3">
        <w:rPr>
          <w:lang w:val="en-US" w:eastAsia="es-ES"/>
        </w:rPr>
        <w:t xml:space="preserve"> action filed by Mr. Duque was to </w:t>
      </w:r>
      <w:r w:rsidR="0041427B" w:rsidRPr="002433F3">
        <w:rPr>
          <w:lang w:val="en-US" w:eastAsia="es-ES"/>
        </w:rPr>
        <w:t xml:space="preserve">challenge </w:t>
      </w:r>
      <w:r w:rsidRPr="002433F3">
        <w:rPr>
          <w:lang w:val="en-US" w:eastAsia="es-ES"/>
        </w:rPr>
        <w:t xml:space="preserve">the validity of </w:t>
      </w:r>
      <w:r w:rsidR="0041427B" w:rsidRPr="002433F3">
        <w:rPr>
          <w:lang w:val="en-US" w:eastAsia="es-ES"/>
        </w:rPr>
        <w:t xml:space="preserve">excluding </w:t>
      </w:r>
      <w:r w:rsidR="0041427B" w:rsidRPr="002433F3">
        <w:rPr>
          <w:lang w:val="en-US"/>
        </w:rPr>
        <w:t>same-sex couples from</w:t>
      </w:r>
      <w:r w:rsidRPr="002433F3">
        <w:rPr>
          <w:lang w:val="en-US"/>
        </w:rPr>
        <w:t xml:space="preserve"> the right to </w:t>
      </w:r>
      <w:r w:rsidR="003D498D" w:rsidRPr="002433F3">
        <w:rPr>
          <w:lang w:val="en-US"/>
        </w:rPr>
        <w:t xml:space="preserve">claim </w:t>
      </w:r>
      <w:r w:rsidR="0041427B" w:rsidRPr="002433F3">
        <w:rPr>
          <w:lang w:val="en-US"/>
        </w:rPr>
        <w:t xml:space="preserve">a </w:t>
      </w:r>
      <w:r w:rsidR="008C5886" w:rsidRPr="002433F3">
        <w:rPr>
          <w:lang w:val="en-US"/>
        </w:rPr>
        <w:t>survivor’s</w:t>
      </w:r>
      <w:r w:rsidRPr="002433F3">
        <w:rPr>
          <w:lang w:val="en-US"/>
        </w:rPr>
        <w:t xml:space="preserve"> pension. However, </w:t>
      </w:r>
      <w:r w:rsidR="0041427B" w:rsidRPr="002433F3">
        <w:rPr>
          <w:lang w:val="en-US"/>
        </w:rPr>
        <w:t>the judges</w:t>
      </w:r>
      <w:r w:rsidR="003D498D" w:rsidRPr="002433F3">
        <w:rPr>
          <w:lang w:val="en-US"/>
        </w:rPr>
        <w:t xml:space="preserve"> presiding over the </w:t>
      </w:r>
      <w:r w:rsidR="003D498D" w:rsidRPr="002433F3">
        <w:rPr>
          <w:i/>
          <w:lang w:val="en-US"/>
        </w:rPr>
        <w:t xml:space="preserve">tutela </w:t>
      </w:r>
      <w:r w:rsidR="003D498D" w:rsidRPr="002433F3">
        <w:rPr>
          <w:lang w:val="en-US"/>
        </w:rPr>
        <w:t xml:space="preserve">action </w:t>
      </w:r>
      <w:r w:rsidR="0041427B" w:rsidRPr="002433F3">
        <w:rPr>
          <w:lang w:val="en-US"/>
        </w:rPr>
        <w:t>“</w:t>
      </w:r>
      <w:r w:rsidR="00956025" w:rsidRPr="002433F3">
        <w:rPr>
          <w:lang w:val="en-US"/>
        </w:rPr>
        <w:t xml:space="preserve">neglected their duty to examine </w:t>
      </w:r>
      <w:r w:rsidR="0086364C" w:rsidRPr="002433F3">
        <w:rPr>
          <w:lang w:val="en-US"/>
        </w:rPr>
        <w:t xml:space="preserve">the </w:t>
      </w:r>
      <w:r w:rsidRPr="002433F3">
        <w:rPr>
          <w:lang w:val="en-US"/>
        </w:rPr>
        <w:t xml:space="preserve">questions </w:t>
      </w:r>
      <w:r w:rsidR="00956025" w:rsidRPr="002433F3">
        <w:rPr>
          <w:lang w:val="en-US"/>
        </w:rPr>
        <w:t xml:space="preserve">put to them and instead narrowed the scope of </w:t>
      </w:r>
      <w:r w:rsidR="008C5886" w:rsidRPr="002433F3">
        <w:rPr>
          <w:lang w:val="en-US"/>
        </w:rPr>
        <w:t xml:space="preserve">the </w:t>
      </w:r>
      <w:r w:rsidRPr="002433F3">
        <w:rPr>
          <w:i/>
          <w:lang w:val="en-US"/>
        </w:rPr>
        <w:t>tutela</w:t>
      </w:r>
      <w:r w:rsidR="00956025" w:rsidRPr="002433F3">
        <w:rPr>
          <w:i/>
          <w:lang w:val="en-US"/>
        </w:rPr>
        <w:t>,</w:t>
      </w:r>
      <w:r w:rsidRPr="002433F3">
        <w:rPr>
          <w:lang w:val="en-US"/>
        </w:rPr>
        <w:t xml:space="preserve"> </w:t>
      </w:r>
      <w:r w:rsidR="00956025" w:rsidRPr="002433F3">
        <w:rPr>
          <w:lang w:val="en-US"/>
        </w:rPr>
        <w:t xml:space="preserve">which </w:t>
      </w:r>
      <w:r w:rsidRPr="002433F3">
        <w:rPr>
          <w:lang w:val="en-US"/>
        </w:rPr>
        <w:t xml:space="preserve">is contrary to the Convention and </w:t>
      </w:r>
      <w:r w:rsidR="00956025" w:rsidRPr="002433F3">
        <w:rPr>
          <w:lang w:val="en-US"/>
        </w:rPr>
        <w:t xml:space="preserve">to </w:t>
      </w:r>
      <w:r w:rsidRPr="002433F3">
        <w:rPr>
          <w:lang w:val="en-US"/>
        </w:rPr>
        <w:t xml:space="preserve">the constitutional case law </w:t>
      </w:r>
      <w:r w:rsidR="00956025" w:rsidRPr="002433F3">
        <w:rPr>
          <w:lang w:val="en-US"/>
        </w:rPr>
        <w:t xml:space="preserve">that </w:t>
      </w:r>
      <w:r w:rsidRPr="002433F3">
        <w:rPr>
          <w:lang w:val="en-US"/>
        </w:rPr>
        <w:t>the State</w:t>
      </w:r>
      <w:r w:rsidR="00956025" w:rsidRPr="002433F3">
        <w:rPr>
          <w:lang w:val="en-US"/>
        </w:rPr>
        <w:t xml:space="preserve"> itself cited</w:t>
      </w:r>
      <w:r w:rsidR="0041427B" w:rsidRPr="002433F3">
        <w:rPr>
          <w:lang w:val="en-US"/>
        </w:rPr>
        <w:t>.”</w:t>
      </w:r>
      <w:r w:rsidRPr="002433F3">
        <w:rPr>
          <w:lang w:val="en-US"/>
        </w:rPr>
        <w:t xml:space="preserve"> The Commission co</w:t>
      </w:r>
      <w:r w:rsidR="00150825" w:rsidRPr="002433F3">
        <w:rPr>
          <w:lang w:val="en-US"/>
        </w:rPr>
        <w:t xml:space="preserve">nsidered that </w:t>
      </w:r>
      <w:r w:rsidR="008C5886" w:rsidRPr="002433F3">
        <w:rPr>
          <w:lang w:val="en-US"/>
        </w:rPr>
        <w:t>b</w:t>
      </w:r>
      <w:r w:rsidR="00956025" w:rsidRPr="002433F3">
        <w:rPr>
          <w:lang w:val="en-US"/>
        </w:rPr>
        <w:t xml:space="preserve">ecause </w:t>
      </w:r>
      <w:r w:rsidR="003D498D" w:rsidRPr="002433F3">
        <w:rPr>
          <w:lang w:val="en-US"/>
        </w:rPr>
        <w:t xml:space="preserve">the judges referred the matter to </w:t>
      </w:r>
      <w:r w:rsidR="00956025" w:rsidRPr="002433F3">
        <w:rPr>
          <w:lang w:val="en-US"/>
        </w:rPr>
        <w:t xml:space="preserve">the </w:t>
      </w:r>
      <w:r w:rsidRPr="002433F3">
        <w:rPr>
          <w:lang w:val="en-US"/>
        </w:rPr>
        <w:t>ordinar</w:t>
      </w:r>
      <w:r w:rsidR="002D3ACD" w:rsidRPr="002433F3">
        <w:rPr>
          <w:lang w:val="en-US"/>
        </w:rPr>
        <w:t xml:space="preserve">y </w:t>
      </w:r>
      <w:r w:rsidR="00956025" w:rsidRPr="002433F3">
        <w:rPr>
          <w:lang w:val="en-US"/>
        </w:rPr>
        <w:t xml:space="preserve">courts </w:t>
      </w:r>
      <w:r w:rsidRPr="002433F3">
        <w:rPr>
          <w:lang w:val="en-US"/>
        </w:rPr>
        <w:t xml:space="preserve">and </w:t>
      </w:r>
      <w:r w:rsidR="00C940D4" w:rsidRPr="002433F3">
        <w:rPr>
          <w:lang w:val="en-US"/>
        </w:rPr>
        <w:t xml:space="preserve">failed </w:t>
      </w:r>
      <w:r w:rsidR="003D5D65" w:rsidRPr="002433F3">
        <w:rPr>
          <w:lang w:val="en-US"/>
        </w:rPr>
        <w:t>to address the</w:t>
      </w:r>
      <w:r w:rsidR="00150825" w:rsidRPr="002433F3">
        <w:rPr>
          <w:lang w:val="en-US"/>
        </w:rPr>
        <w:t xml:space="preserve"> question</w:t>
      </w:r>
      <w:r w:rsidRPr="002433F3">
        <w:rPr>
          <w:lang w:val="en-US"/>
        </w:rPr>
        <w:t xml:space="preserve">s </w:t>
      </w:r>
      <w:r w:rsidR="003D5D65" w:rsidRPr="002433F3">
        <w:rPr>
          <w:lang w:val="en-US"/>
        </w:rPr>
        <w:t>raised</w:t>
      </w:r>
      <w:r w:rsidRPr="002433F3">
        <w:rPr>
          <w:lang w:val="en-US"/>
        </w:rPr>
        <w:t xml:space="preserve">, Mr. Duque </w:t>
      </w:r>
      <w:r w:rsidR="008624EB" w:rsidRPr="002433F3">
        <w:rPr>
          <w:lang w:val="en-US"/>
        </w:rPr>
        <w:t xml:space="preserve">did not have </w:t>
      </w:r>
      <w:r w:rsidRPr="002433F3">
        <w:rPr>
          <w:lang w:val="en-US"/>
        </w:rPr>
        <w:t xml:space="preserve">an effective judicial remedy to </w:t>
      </w:r>
      <w:r w:rsidR="003D5D65" w:rsidRPr="002433F3">
        <w:rPr>
          <w:lang w:val="en-US"/>
        </w:rPr>
        <w:t xml:space="preserve">challenge </w:t>
      </w:r>
      <w:r w:rsidRPr="002433F3">
        <w:rPr>
          <w:lang w:val="en-US"/>
        </w:rPr>
        <w:t>the r</w:t>
      </w:r>
      <w:r w:rsidR="003D5D65" w:rsidRPr="002433F3">
        <w:rPr>
          <w:lang w:val="en-US"/>
        </w:rPr>
        <w:t xml:space="preserve">ationality, reasonableness </w:t>
      </w:r>
      <w:r w:rsidRPr="002433F3">
        <w:rPr>
          <w:lang w:val="en-US"/>
        </w:rPr>
        <w:t>and proportionali</w:t>
      </w:r>
      <w:r w:rsidR="002D3ACD" w:rsidRPr="002433F3">
        <w:rPr>
          <w:lang w:val="en-US"/>
        </w:rPr>
        <w:t xml:space="preserve">ty </w:t>
      </w:r>
      <w:r w:rsidR="008624EB" w:rsidRPr="002433F3">
        <w:rPr>
          <w:lang w:val="en-US"/>
        </w:rPr>
        <w:t xml:space="preserve">of the provision that </w:t>
      </w:r>
      <w:r w:rsidRPr="002433F3">
        <w:rPr>
          <w:lang w:val="en-US"/>
        </w:rPr>
        <w:t xml:space="preserve">excluded </w:t>
      </w:r>
      <w:r w:rsidR="008624EB" w:rsidRPr="002433F3">
        <w:rPr>
          <w:lang w:val="en-US"/>
        </w:rPr>
        <w:t xml:space="preserve">him </w:t>
      </w:r>
      <w:r w:rsidRPr="002433F3">
        <w:rPr>
          <w:lang w:val="en-US"/>
        </w:rPr>
        <w:t xml:space="preserve">as </w:t>
      </w:r>
      <w:r w:rsidR="003D498D" w:rsidRPr="002433F3">
        <w:rPr>
          <w:lang w:val="en-US"/>
        </w:rPr>
        <w:t xml:space="preserve">a </w:t>
      </w:r>
      <w:r w:rsidRPr="002433F3">
        <w:rPr>
          <w:lang w:val="en-US"/>
        </w:rPr>
        <w:t xml:space="preserve">beneficiary of </w:t>
      </w:r>
      <w:r w:rsidR="003D5D65" w:rsidRPr="002433F3">
        <w:rPr>
          <w:lang w:val="en-US"/>
        </w:rPr>
        <w:t xml:space="preserve">his partner’s </w:t>
      </w:r>
      <w:r w:rsidRPr="002433F3">
        <w:rPr>
          <w:lang w:val="en-US"/>
        </w:rPr>
        <w:t xml:space="preserve">survivor’s pension. </w:t>
      </w:r>
    </w:p>
    <w:p w14:paraId="047BC484" w14:textId="77777777" w:rsidR="007B0DE4" w:rsidRPr="002433F3" w:rsidRDefault="003D498D" w:rsidP="007B0DE4">
      <w:pPr>
        <w:numPr>
          <w:ilvl w:val="0"/>
          <w:numId w:val="2"/>
        </w:numPr>
        <w:spacing w:before="120" w:after="120"/>
        <w:rPr>
          <w:lang w:val="en-US"/>
        </w:rPr>
      </w:pPr>
      <w:r w:rsidRPr="002433F3">
        <w:rPr>
          <w:lang w:val="en-US"/>
        </w:rPr>
        <w:t xml:space="preserve">The </w:t>
      </w:r>
      <w:r w:rsidRPr="002433F3">
        <w:rPr>
          <w:i/>
          <w:lang w:val="en-US"/>
        </w:rPr>
        <w:t>C</w:t>
      </w:r>
      <w:r w:rsidR="00931D54" w:rsidRPr="002433F3">
        <w:rPr>
          <w:i/>
          <w:lang w:val="en-US"/>
        </w:rPr>
        <w:t>ommission</w:t>
      </w:r>
      <w:r w:rsidR="00931D54" w:rsidRPr="002433F3">
        <w:rPr>
          <w:lang w:val="en-US"/>
        </w:rPr>
        <w:t xml:space="preserve"> further</w:t>
      </w:r>
      <w:r w:rsidRPr="002433F3">
        <w:rPr>
          <w:lang w:val="en-US"/>
        </w:rPr>
        <w:t xml:space="preserve"> noted </w:t>
      </w:r>
      <w:r w:rsidR="007B0DE4" w:rsidRPr="002433F3">
        <w:rPr>
          <w:lang w:val="en-US"/>
        </w:rPr>
        <w:t xml:space="preserve">that the merits of the </w:t>
      </w:r>
      <w:r w:rsidR="007B0DE4" w:rsidRPr="002433F3">
        <w:rPr>
          <w:i/>
          <w:lang w:val="en-US"/>
        </w:rPr>
        <w:t>tutela</w:t>
      </w:r>
      <w:r w:rsidR="007B0DE4" w:rsidRPr="002433F3">
        <w:rPr>
          <w:lang w:val="en-US"/>
        </w:rPr>
        <w:t xml:space="preserve"> action</w:t>
      </w:r>
      <w:r w:rsidR="00FD3B41" w:rsidRPr="002433F3">
        <w:rPr>
          <w:lang w:val="en-US"/>
        </w:rPr>
        <w:t xml:space="preserve"> -</w:t>
      </w:r>
      <w:r w:rsidRPr="002433F3">
        <w:rPr>
          <w:lang w:val="en-US"/>
        </w:rPr>
        <w:t xml:space="preserve"> that is,</w:t>
      </w:r>
      <w:r w:rsidR="007B0DE4" w:rsidRPr="002433F3">
        <w:rPr>
          <w:lang w:val="en-US"/>
        </w:rPr>
        <w:t xml:space="preserve"> </w:t>
      </w:r>
      <w:r w:rsidRPr="002433F3">
        <w:rPr>
          <w:lang w:val="en-US"/>
        </w:rPr>
        <w:t xml:space="preserve">the </w:t>
      </w:r>
      <w:r w:rsidR="007B0DE4" w:rsidRPr="002433F3">
        <w:rPr>
          <w:lang w:val="en-US"/>
        </w:rPr>
        <w:t>justification, reasonability and proportionality o</w:t>
      </w:r>
      <w:r w:rsidRPr="002433F3">
        <w:rPr>
          <w:lang w:val="en-US"/>
        </w:rPr>
        <w:t>f the provisions being</w:t>
      </w:r>
      <w:r w:rsidR="00FD3B41" w:rsidRPr="002433F3">
        <w:rPr>
          <w:lang w:val="en-US"/>
        </w:rPr>
        <w:t xml:space="preserve"> challenged-</w:t>
      </w:r>
      <w:r w:rsidR="007B0DE4" w:rsidRPr="002433F3">
        <w:rPr>
          <w:lang w:val="en-US"/>
        </w:rPr>
        <w:t xml:space="preserve"> “were not </w:t>
      </w:r>
      <w:r w:rsidR="00686EFC" w:rsidRPr="002433F3">
        <w:rPr>
          <w:lang w:val="en-US"/>
        </w:rPr>
        <w:t xml:space="preserve">duly analyzed </w:t>
      </w:r>
      <w:r w:rsidR="007B0DE4" w:rsidRPr="002433F3">
        <w:rPr>
          <w:lang w:val="en-US"/>
        </w:rPr>
        <w:t xml:space="preserve">by the </w:t>
      </w:r>
      <w:r w:rsidR="00150825" w:rsidRPr="002433F3">
        <w:rPr>
          <w:lang w:val="en-US"/>
        </w:rPr>
        <w:t>courts</w:t>
      </w:r>
      <w:r w:rsidR="00686EFC" w:rsidRPr="002433F3">
        <w:rPr>
          <w:lang w:val="en-US"/>
        </w:rPr>
        <w:t>;</w:t>
      </w:r>
      <w:r w:rsidR="00150825" w:rsidRPr="002433F3">
        <w:rPr>
          <w:lang w:val="en-US"/>
        </w:rPr>
        <w:t xml:space="preserve"> </w:t>
      </w:r>
      <w:r w:rsidR="00686EFC" w:rsidRPr="002433F3">
        <w:rPr>
          <w:lang w:val="en-US"/>
        </w:rPr>
        <w:t xml:space="preserve">instead, the courts rejected them </w:t>
      </w:r>
      <w:r w:rsidR="007B0DE4" w:rsidRPr="002433F3">
        <w:rPr>
          <w:lang w:val="en-US"/>
        </w:rPr>
        <w:t xml:space="preserve">based on a </w:t>
      </w:r>
      <w:r w:rsidR="00150825" w:rsidRPr="002433F3">
        <w:rPr>
          <w:lang w:val="en-US"/>
        </w:rPr>
        <w:t xml:space="preserve">dogmatic </w:t>
      </w:r>
      <w:r w:rsidR="007B0DE4" w:rsidRPr="002433F3">
        <w:rPr>
          <w:lang w:val="en-US"/>
        </w:rPr>
        <w:t>and formalist</w:t>
      </w:r>
      <w:r w:rsidR="00150825" w:rsidRPr="002433F3">
        <w:rPr>
          <w:lang w:val="en-US"/>
        </w:rPr>
        <w:t xml:space="preserve">ic interpretation </w:t>
      </w:r>
      <w:r w:rsidR="007B0DE4" w:rsidRPr="002433F3">
        <w:rPr>
          <w:lang w:val="en-US"/>
        </w:rPr>
        <w:t xml:space="preserve">of the </w:t>
      </w:r>
      <w:r w:rsidR="00686EFC" w:rsidRPr="002433F3">
        <w:rPr>
          <w:lang w:val="en-US"/>
        </w:rPr>
        <w:t>provision in force</w:t>
      </w:r>
      <w:r w:rsidR="00150825" w:rsidRPr="002433F3">
        <w:rPr>
          <w:lang w:val="en-US"/>
        </w:rPr>
        <w:t>.”</w:t>
      </w:r>
      <w:r w:rsidR="007B0DE4" w:rsidRPr="002433F3">
        <w:rPr>
          <w:lang w:val="en-US"/>
        </w:rPr>
        <w:t xml:space="preserve"> </w:t>
      </w:r>
      <w:r w:rsidR="00931D54" w:rsidRPr="002433F3">
        <w:rPr>
          <w:lang w:val="en-US"/>
        </w:rPr>
        <w:t>It also c</w:t>
      </w:r>
      <w:r w:rsidR="007B0DE4" w:rsidRPr="002433F3">
        <w:rPr>
          <w:lang w:val="en-US"/>
        </w:rPr>
        <w:t>onsidered that “</w:t>
      </w:r>
      <w:r w:rsidR="00FD3B41" w:rsidRPr="002433F3">
        <w:rPr>
          <w:lang w:val="en-US"/>
        </w:rPr>
        <w:t xml:space="preserve">with </w:t>
      </w:r>
      <w:r w:rsidR="00BB700D" w:rsidRPr="002433F3">
        <w:rPr>
          <w:lang w:val="en-US"/>
        </w:rPr>
        <w:t xml:space="preserve">their decisions, </w:t>
      </w:r>
      <w:r w:rsidR="0086364C" w:rsidRPr="002433F3">
        <w:rPr>
          <w:lang w:val="en-US"/>
        </w:rPr>
        <w:t xml:space="preserve">the </w:t>
      </w:r>
      <w:r w:rsidR="007B0DE4" w:rsidRPr="002433F3">
        <w:rPr>
          <w:lang w:val="en-US"/>
        </w:rPr>
        <w:t xml:space="preserve">judicial </w:t>
      </w:r>
      <w:r w:rsidR="0086364C" w:rsidRPr="002433F3">
        <w:rPr>
          <w:lang w:val="en-US"/>
        </w:rPr>
        <w:t xml:space="preserve">proceedings </w:t>
      </w:r>
      <w:r w:rsidR="007B0DE4" w:rsidRPr="002433F3">
        <w:rPr>
          <w:lang w:val="en-US"/>
        </w:rPr>
        <w:t>perpetua</w:t>
      </w:r>
      <w:r w:rsidR="00150825" w:rsidRPr="002433F3">
        <w:rPr>
          <w:lang w:val="en-US"/>
        </w:rPr>
        <w:t xml:space="preserve">ted the prejudices </w:t>
      </w:r>
      <w:r w:rsidR="002D3ACD" w:rsidRPr="002433F3">
        <w:rPr>
          <w:lang w:val="en-US"/>
        </w:rPr>
        <w:t xml:space="preserve">and </w:t>
      </w:r>
      <w:r w:rsidR="007B0DE4" w:rsidRPr="002433F3">
        <w:rPr>
          <w:lang w:val="en-US"/>
        </w:rPr>
        <w:t>sti</w:t>
      </w:r>
      <w:r w:rsidR="00BB700D" w:rsidRPr="002433F3">
        <w:rPr>
          <w:lang w:val="en-US"/>
        </w:rPr>
        <w:t>gmatization of same-sex couples</w:t>
      </w:r>
      <w:r w:rsidR="007B0DE4" w:rsidRPr="002433F3">
        <w:rPr>
          <w:lang w:val="en-US"/>
        </w:rPr>
        <w:t xml:space="preserve"> </w:t>
      </w:r>
      <w:r w:rsidR="0086364C" w:rsidRPr="002433F3">
        <w:rPr>
          <w:lang w:val="en-US"/>
        </w:rPr>
        <w:t xml:space="preserve">by reaffirming </w:t>
      </w:r>
      <w:r w:rsidR="007B0DE4" w:rsidRPr="002433F3">
        <w:rPr>
          <w:lang w:val="en-US"/>
        </w:rPr>
        <w:t xml:space="preserve">a </w:t>
      </w:r>
      <w:r w:rsidR="00BB700D" w:rsidRPr="002433F3">
        <w:rPr>
          <w:lang w:val="en-US"/>
        </w:rPr>
        <w:t xml:space="preserve">narrow </w:t>
      </w:r>
      <w:r w:rsidR="006B0B77" w:rsidRPr="002433F3">
        <w:rPr>
          <w:lang w:val="en-US"/>
        </w:rPr>
        <w:t>and stereotyped</w:t>
      </w:r>
      <w:r w:rsidR="007B0DE4" w:rsidRPr="002433F3">
        <w:rPr>
          <w:lang w:val="en-US"/>
        </w:rPr>
        <w:t xml:space="preserve"> </w:t>
      </w:r>
      <w:r w:rsidR="0086364C" w:rsidRPr="002433F3">
        <w:rPr>
          <w:lang w:val="en-US"/>
        </w:rPr>
        <w:t xml:space="preserve">view of the </w:t>
      </w:r>
      <w:r w:rsidR="00BB700D" w:rsidRPr="002433F3">
        <w:rPr>
          <w:lang w:val="en-US"/>
        </w:rPr>
        <w:t xml:space="preserve">concept of </w:t>
      </w:r>
      <w:r w:rsidR="007B0DE4" w:rsidRPr="002433F3">
        <w:rPr>
          <w:lang w:val="en-US"/>
        </w:rPr>
        <w:t>family</w:t>
      </w:r>
      <w:r w:rsidR="00BB700D" w:rsidRPr="002433F3">
        <w:rPr>
          <w:lang w:val="en-US"/>
        </w:rPr>
        <w:t>,”</w:t>
      </w:r>
      <w:r w:rsidR="007B0DE4" w:rsidRPr="002433F3">
        <w:rPr>
          <w:lang w:val="en-US"/>
        </w:rPr>
        <w:t xml:space="preserve"> </w:t>
      </w:r>
      <w:r w:rsidR="00BB700D" w:rsidRPr="002433F3">
        <w:rPr>
          <w:lang w:val="en-US"/>
        </w:rPr>
        <w:t xml:space="preserve">the sole purpose of which was </w:t>
      </w:r>
      <w:r w:rsidR="00FD3B41" w:rsidRPr="002433F3">
        <w:rPr>
          <w:lang w:val="en-US"/>
        </w:rPr>
        <w:t xml:space="preserve">to </w:t>
      </w:r>
      <w:r w:rsidR="007B0DE4" w:rsidRPr="002433F3">
        <w:rPr>
          <w:lang w:val="en-US"/>
        </w:rPr>
        <w:t>“</w:t>
      </w:r>
      <w:r w:rsidR="00150825" w:rsidRPr="002433F3">
        <w:rPr>
          <w:lang w:val="en-US"/>
        </w:rPr>
        <w:t>preserv</w:t>
      </w:r>
      <w:r w:rsidR="00FD3B41" w:rsidRPr="002433F3">
        <w:rPr>
          <w:lang w:val="en-US"/>
        </w:rPr>
        <w:t>e</w:t>
      </w:r>
      <w:r w:rsidR="00BB700D" w:rsidRPr="002433F3">
        <w:rPr>
          <w:lang w:val="en-US"/>
        </w:rPr>
        <w:t xml:space="preserve"> </w:t>
      </w:r>
      <w:r w:rsidR="007B0DE4" w:rsidRPr="002433F3">
        <w:rPr>
          <w:lang w:val="en-US"/>
        </w:rPr>
        <w:t xml:space="preserve">the species </w:t>
      </w:r>
      <w:r w:rsidR="00BB700D" w:rsidRPr="002433F3">
        <w:rPr>
          <w:lang w:val="en-US"/>
        </w:rPr>
        <w:t xml:space="preserve">through </w:t>
      </w:r>
      <w:r w:rsidR="007B0DE4" w:rsidRPr="002433F3">
        <w:rPr>
          <w:lang w:val="en-US"/>
        </w:rPr>
        <w:t xml:space="preserve">the procreation of children.” </w:t>
      </w:r>
      <w:r w:rsidR="00BB700D" w:rsidRPr="002433F3">
        <w:rPr>
          <w:lang w:val="en-US"/>
        </w:rPr>
        <w:t>It c</w:t>
      </w:r>
      <w:r w:rsidR="007B0DE4" w:rsidRPr="002433F3">
        <w:rPr>
          <w:lang w:val="en-US"/>
        </w:rPr>
        <w:t>oncluded that the State viol</w:t>
      </w:r>
      <w:r w:rsidR="00E20ADC" w:rsidRPr="002433F3">
        <w:rPr>
          <w:lang w:val="en-US"/>
        </w:rPr>
        <w:t>ated the right to judicial guarantees and judicial protection</w:t>
      </w:r>
      <w:r w:rsidR="00BB700D" w:rsidRPr="002433F3">
        <w:rPr>
          <w:lang w:val="en-US"/>
        </w:rPr>
        <w:t>,</w:t>
      </w:r>
      <w:r w:rsidR="007B0DE4" w:rsidRPr="002433F3">
        <w:rPr>
          <w:lang w:val="en-US"/>
        </w:rPr>
        <w:t xml:space="preserve"> </w:t>
      </w:r>
      <w:r w:rsidR="00FD3B41" w:rsidRPr="002433F3">
        <w:rPr>
          <w:lang w:val="en-US"/>
        </w:rPr>
        <w:t xml:space="preserve">enshrined </w:t>
      </w:r>
      <w:r w:rsidR="007B0DE4" w:rsidRPr="002433F3">
        <w:rPr>
          <w:lang w:val="en-US"/>
        </w:rPr>
        <w:t>in Articles 8(1) and 25 of the Ameri</w:t>
      </w:r>
      <w:r w:rsidR="008C5886" w:rsidRPr="002433F3">
        <w:rPr>
          <w:lang w:val="en-US"/>
        </w:rPr>
        <w:t xml:space="preserve">can Convention, in relation to the </w:t>
      </w:r>
      <w:r w:rsidR="00E20ADC" w:rsidRPr="002433F3">
        <w:rPr>
          <w:lang w:val="en-US"/>
        </w:rPr>
        <w:t>obligation to respect</w:t>
      </w:r>
      <w:r w:rsidR="007B0DE4" w:rsidRPr="002433F3">
        <w:rPr>
          <w:lang w:val="en-US"/>
        </w:rPr>
        <w:t xml:space="preserve"> </w:t>
      </w:r>
      <w:r w:rsidR="008C5886" w:rsidRPr="002433F3">
        <w:rPr>
          <w:lang w:val="en-US"/>
        </w:rPr>
        <w:t>rights</w:t>
      </w:r>
      <w:r w:rsidR="00BB700D" w:rsidRPr="002433F3">
        <w:rPr>
          <w:lang w:val="en-US"/>
        </w:rPr>
        <w:t>, stipulated</w:t>
      </w:r>
      <w:r w:rsidR="007B0DE4" w:rsidRPr="002433F3">
        <w:rPr>
          <w:lang w:val="en-US"/>
        </w:rPr>
        <w:t xml:space="preserve"> in Article 1(1) </w:t>
      </w:r>
      <w:r w:rsidR="00BB700D" w:rsidRPr="002433F3">
        <w:rPr>
          <w:lang w:val="en-US"/>
        </w:rPr>
        <w:t>there</w:t>
      </w:r>
      <w:r w:rsidR="007B0DE4" w:rsidRPr="002433F3">
        <w:rPr>
          <w:lang w:val="en-US"/>
        </w:rPr>
        <w:t>of.</w:t>
      </w:r>
    </w:p>
    <w:p w14:paraId="1B2EB846" w14:textId="77777777" w:rsidR="007B0DE4" w:rsidRPr="002433F3" w:rsidRDefault="007B0DE4" w:rsidP="007B0DE4">
      <w:pPr>
        <w:numPr>
          <w:ilvl w:val="0"/>
          <w:numId w:val="2"/>
        </w:numPr>
        <w:spacing w:before="120" w:after="120"/>
        <w:rPr>
          <w:lang w:val="en-US"/>
        </w:rPr>
      </w:pPr>
      <w:r w:rsidRPr="002433F3">
        <w:rPr>
          <w:lang w:val="en-US"/>
        </w:rPr>
        <w:t xml:space="preserve">The </w:t>
      </w:r>
      <w:r w:rsidRPr="002433F3">
        <w:rPr>
          <w:i/>
          <w:lang w:val="en-US"/>
        </w:rPr>
        <w:t>representatives</w:t>
      </w:r>
      <w:r w:rsidR="00775E47" w:rsidRPr="002433F3">
        <w:rPr>
          <w:lang w:val="en-US"/>
        </w:rPr>
        <w:t xml:space="preserve"> pointed out </w:t>
      </w:r>
      <w:r w:rsidRPr="002433F3">
        <w:rPr>
          <w:lang w:val="en-US"/>
        </w:rPr>
        <w:t xml:space="preserve">that </w:t>
      </w:r>
      <w:r w:rsidR="00E20ADC" w:rsidRPr="002433F3">
        <w:rPr>
          <w:lang w:val="en-US"/>
        </w:rPr>
        <w:t xml:space="preserve">the </w:t>
      </w:r>
      <w:r w:rsidRPr="002433F3">
        <w:rPr>
          <w:lang w:val="en-US"/>
        </w:rPr>
        <w:t>claim</w:t>
      </w:r>
      <w:r w:rsidR="00E20ADC" w:rsidRPr="002433F3">
        <w:rPr>
          <w:lang w:val="en-US"/>
        </w:rPr>
        <w:t>s</w:t>
      </w:r>
      <w:r w:rsidRPr="002433F3">
        <w:rPr>
          <w:lang w:val="en-US"/>
        </w:rPr>
        <w:t xml:space="preserve"> p</w:t>
      </w:r>
      <w:r w:rsidR="00E20ADC" w:rsidRPr="002433F3">
        <w:rPr>
          <w:lang w:val="en-US"/>
        </w:rPr>
        <w:t xml:space="preserve">ursued </w:t>
      </w:r>
      <w:r w:rsidRPr="002433F3">
        <w:rPr>
          <w:lang w:val="en-US"/>
        </w:rPr>
        <w:t>by Mr. Duq</w:t>
      </w:r>
      <w:r w:rsidR="002D3ACD" w:rsidRPr="002433F3">
        <w:rPr>
          <w:lang w:val="en-US"/>
        </w:rPr>
        <w:t xml:space="preserve">ue </w:t>
      </w:r>
      <w:r w:rsidR="00E20ADC" w:rsidRPr="002433F3">
        <w:rPr>
          <w:lang w:val="en-US"/>
        </w:rPr>
        <w:t xml:space="preserve">before </w:t>
      </w:r>
      <w:r w:rsidR="002D3ACD" w:rsidRPr="002433F3">
        <w:rPr>
          <w:lang w:val="en-US"/>
        </w:rPr>
        <w:t xml:space="preserve">the </w:t>
      </w:r>
      <w:r w:rsidR="00C940D4" w:rsidRPr="002433F3">
        <w:rPr>
          <w:lang w:val="en-US"/>
        </w:rPr>
        <w:t xml:space="preserve">public </w:t>
      </w:r>
      <w:r w:rsidRPr="002433F3">
        <w:rPr>
          <w:lang w:val="en-US"/>
        </w:rPr>
        <w:t xml:space="preserve">authorities </w:t>
      </w:r>
      <w:r w:rsidR="00775E47" w:rsidRPr="002433F3">
        <w:rPr>
          <w:lang w:val="en-US"/>
        </w:rPr>
        <w:t xml:space="preserve">show </w:t>
      </w:r>
      <w:r w:rsidRPr="002433F3">
        <w:rPr>
          <w:lang w:val="en-US"/>
        </w:rPr>
        <w:t xml:space="preserve">that </w:t>
      </w:r>
      <w:r w:rsidR="00775E47" w:rsidRPr="002433F3">
        <w:rPr>
          <w:lang w:val="en-US"/>
        </w:rPr>
        <w:t xml:space="preserve">he was not guaranteed </w:t>
      </w:r>
      <w:r w:rsidRPr="002433F3">
        <w:rPr>
          <w:lang w:val="en-US"/>
        </w:rPr>
        <w:t>access to d</w:t>
      </w:r>
      <w:r w:rsidR="002D3ACD" w:rsidRPr="002433F3">
        <w:rPr>
          <w:lang w:val="en-US"/>
        </w:rPr>
        <w:t>ue process</w:t>
      </w:r>
      <w:r w:rsidRPr="002433F3">
        <w:rPr>
          <w:lang w:val="en-US"/>
        </w:rPr>
        <w:t xml:space="preserve">, first </w:t>
      </w:r>
      <w:r w:rsidR="00775E47" w:rsidRPr="002433F3">
        <w:rPr>
          <w:lang w:val="en-US"/>
        </w:rPr>
        <w:t xml:space="preserve">because they </w:t>
      </w:r>
      <w:r w:rsidRPr="002433F3">
        <w:rPr>
          <w:lang w:val="en-US"/>
        </w:rPr>
        <w:lastRenderedPageBreak/>
        <w:t>“</w:t>
      </w:r>
      <w:r w:rsidR="002D3ACD" w:rsidRPr="002433F3">
        <w:rPr>
          <w:lang w:val="en-US"/>
        </w:rPr>
        <w:t xml:space="preserve">reaffirmed </w:t>
      </w:r>
      <w:r w:rsidR="008C5886" w:rsidRPr="002433F3">
        <w:rPr>
          <w:lang w:val="en-US"/>
        </w:rPr>
        <w:t xml:space="preserve">the </w:t>
      </w:r>
      <w:r w:rsidR="00775E47" w:rsidRPr="002433F3">
        <w:rPr>
          <w:lang w:val="en-US"/>
        </w:rPr>
        <w:t xml:space="preserve">ineligibility of </w:t>
      </w:r>
      <w:r w:rsidRPr="002433F3">
        <w:rPr>
          <w:lang w:val="en-US"/>
        </w:rPr>
        <w:t xml:space="preserve">same-sex couples </w:t>
      </w:r>
      <w:r w:rsidR="00E20ADC" w:rsidRPr="002433F3">
        <w:rPr>
          <w:lang w:val="en-US"/>
        </w:rPr>
        <w:t xml:space="preserve">to access </w:t>
      </w:r>
      <w:r w:rsidR="00775E47" w:rsidRPr="002433F3">
        <w:rPr>
          <w:lang w:val="en-US"/>
        </w:rPr>
        <w:t>a survivor’s pension,”</w:t>
      </w:r>
      <w:r w:rsidRPr="002433F3">
        <w:rPr>
          <w:lang w:val="en-US"/>
        </w:rPr>
        <w:t xml:space="preserve"> and second</w:t>
      </w:r>
      <w:r w:rsidR="00A03281" w:rsidRPr="002433F3">
        <w:rPr>
          <w:lang w:val="en-US"/>
        </w:rPr>
        <w:t>ly</w:t>
      </w:r>
      <w:r w:rsidR="002D3ACD" w:rsidRPr="002433F3">
        <w:rPr>
          <w:lang w:val="en-US"/>
        </w:rPr>
        <w:t xml:space="preserve"> </w:t>
      </w:r>
      <w:r w:rsidR="00775E47" w:rsidRPr="002433F3">
        <w:rPr>
          <w:lang w:val="en-US"/>
        </w:rPr>
        <w:t>they</w:t>
      </w:r>
      <w:r w:rsidR="00415B98" w:rsidRPr="002433F3">
        <w:rPr>
          <w:lang w:val="en-US"/>
        </w:rPr>
        <w:t xml:space="preserve"> </w:t>
      </w:r>
      <w:r w:rsidRPr="002433F3">
        <w:rPr>
          <w:lang w:val="en-US"/>
        </w:rPr>
        <w:t>“a</w:t>
      </w:r>
      <w:r w:rsidR="004722AE" w:rsidRPr="002433F3">
        <w:rPr>
          <w:lang w:val="en-US"/>
        </w:rPr>
        <w:t>rgued the lack of legitimacy</w:t>
      </w:r>
      <w:r w:rsidRPr="002433F3">
        <w:rPr>
          <w:lang w:val="en-US"/>
        </w:rPr>
        <w:t xml:space="preserve"> </w:t>
      </w:r>
      <w:r w:rsidR="004722AE" w:rsidRPr="002433F3">
        <w:rPr>
          <w:lang w:val="en-US"/>
        </w:rPr>
        <w:t xml:space="preserve">in claiming the </w:t>
      </w:r>
      <w:r w:rsidR="0062047F" w:rsidRPr="002433F3">
        <w:rPr>
          <w:lang w:val="en-US"/>
        </w:rPr>
        <w:t xml:space="preserve">social benefits </w:t>
      </w:r>
      <w:r w:rsidRPr="002433F3">
        <w:rPr>
          <w:lang w:val="en-US"/>
        </w:rPr>
        <w:t>requested, a</w:t>
      </w:r>
      <w:r w:rsidR="0062047F" w:rsidRPr="002433F3">
        <w:rPr>
          <w:lang w:val="en-US"/>
        </w:rPr>
        <w:t xml:space="preserve">dding </w:t>
      </w:r>
      <w:r w:rsidRPr="002433F3">
        <w:rPr>
          <w:lang w:val="en-US"/>
        </w:rPr>
        <w:t xml:space="preserve">that </w:t>
      </w:r>
      <w:r w:rsidR="004722AE" w:rsidRPr="002433F3">
        <w:rPr>
          <w:lang w:val="en-US"/>
        </w:rPr>
        <w:t xml:space="preserve">this </w:t>
      </w:r>
      <w:r w:rsidR="00DB6C48" w:rsidRPr="002433F3">
        <w:rPr>
          <w:lang w:val="en-US"/>
        </w:rPr>
        <w:t xml:space="preserve">was aimed at </w:t>
      </w:r>
      <w:r w:rsidR="002D3ACD" w:rsidRPr="002433F3">
        <w:rPr>
          <w:lang w:val="en-US"/>
        </w:rPr>
        <w:t xml:space="preserve">safeguarding </w:t>
      </w:r>
      <w:r w:rsidRPr="002433F3">
        <w:rPr>
          <w:lang w:val="en-US"/>
        </w:rPr>
        <w:t xml:space="preserve">the family </w:t>
      </w:r>
      <w:r w:rsidR="002E3976" w:rsidRPr="002433F3">
        <w:rPr>
          <w:lang w:val="en-US"/>
        </w:rPr>
        <w:t xml:space="preserve">comprised of </w:t>
      </w:r>
      <w:r w:rsidR="00DB6C48" w:rsidRPr="002433F3">
        <w:rPr>
          <w:lang w:val="en-US"/>
        </w:rPr>
        <w:t>a man and a woman</w:t>
      </w:r>
      <w:r w:rsidR="0062047F" w:rsidRPr="002433F3">
        <w:rPr>
          <w:lang w:val="en-US"/>
        </w:rPr>
        <w:t>.”</w:t>
      </w:r>
      <w:r w:rsidR="00DB6C48" w:rsidRPr="002433F3">
        <w:rPr>
          <w:lang w:val="en-US"/>
        </w:rPr>
        <w:t xml:space="preserve"> T</w:t>
      </w:r>
      <w:r w:rsidR="0062047F" w:rsidRPr="002433F3">
        <w:rPr>
          <w:lang w:val="en-US"/>
        </w:rPr>
        <w:t xml:space="preserve">he </w:t>
      </w:r>
      <w:r w:rsidRPr="002433F3">
        <w:rPr>
          <w:lang w:val="en-US"/>
        </w:rPr>
        <w:t>representatives conclude</w:t>
      </w:r>
      <w:r w:rsidR="00DB6C48" w:rsidRPr="002433F3">
        <w:rPr>
          <w:lang w:val="en-US"/>
        </w:rPr>
        <w:t xml:space="preserve">d </w:t>
      </w:r>
      <w:r w:rsidRPr="002433F3">
        <w:rPr>
          <w:lang w:val="en-US"/>
        </w:rPr>
        <w:t>that Mr. Duque “</w:t>
      </w:r>
      <w:r w:rsidR="0062047F" w:rsidRPr="002433F3">
        <w:rPr>
          <w:lang w:val="en-US"/>
        </w:rPr>
        <w:t xml:space="preserve">had no </w:t>
      </w:r>
      <w:r w:rsidRPr="002433F3">
        <w:rPr>
          <w:lang w:val="en-US"/>
        </w:rPr>
        <w:t xml:space="preserve">possibility of </w:t>
      </w:r>
      <w:r w:rsidR="002E3976" w:rsidRPr="002433F3">
        <w:rPr>
          <w:lang w:val="en-US"/>
        </w:rPr>
        <w:t xml:space="preserve">having access to </w:t>
      </w:r>
      <w:r w:rsidRPr="002433F3">
        <w:rPr>
          <w:lang w:val="en-US"/>
        </w:rPr>
        <w:t>a</w:t>
      </w:r>
      <w:r w:rsidR="00DB6C48" w:rsidRPr="002433F3">
        <w:rPr>
          <w:lang w:val="en-US"/>
        </w:rPr>
        <w:t>n</w:t>
      </w:r>
      <w:r w:rsidRPr="002433F3">
        <w:rPr>
          <w:lang w:val="en-US"/>
        </w:rPr>
        <w:t xml:space="preserve"> effective remedy t</w:t>
      </w:r>
      <w:r w:rsidR="00DB6C48" w:rsidRPr="002433F3">
        <w:rPr>
          <w:lang w:val="en-US"/>
        </w:rPr>
        <w:t xml:space="preserve">o adequately </w:t>
      </w:r>
      <w:r w:rsidR="004722AE" w:rsidRPr="002433F3">
        <w:rPr>
          <w:lang w:val="en-US"/>
        </w:rPr>
        <w:t xml:space="preserve">challenge </w:t>
      </w:r>
      <w:r w:rsidR="00DB6C48" w:rsidRPr="002433F3">
        <w:rPr>
          <w:lang w:val="en-US"/>
        </w:rPr>
        <w:t xml:space="preserve">the </w:t>
      </w:r>
      <w:r w:rsidRPr="002433F3">
        <w:rPr>
          <w:lang w:val="en-US"/>
        </w:rPr>
        <w:t xml:space="preserve">exclusion and </w:t>
      </w:r>
      <w:r w:rsidR="00DB6C48" w:rsidRPr="002433F3">
        <w:rPr>
          <w:lang w:val="en-US"/>
        </w:rPr>
        <w:t xml:space="preserve">differentiated </w:t>
      </w:r>
      <w:r w:rsidRPr="002433F3">
        <w:rPr>
          <w:lang w:val="en-US"/>
        </w:rPr>
        <w:t xml:space="preserve">treatment </w:t>
      </w:r>
      <w:r w:rsidR="002E3976" w:rsidRPr="002433F3">
        <w:rPr>
          <w:lang w:val="en-US"/>
        </w:rPr>
        <w:t xml:space="preserve">given to </w:t>
      </w:r>
      <w:r w:rsidR="00DB6C48" w:rsidRPr="002433F3">
        <w:rPr>
          <w:lang w:val="en-US"/>
        </w:rPr>
        <w:t xml:space="preserve">his </w:t>
      </w:r>
      <w:r w:rsidRPr="002433F3">
        <w:rPr>
          <w:lang w:val="en-US"/>
        </w:rPr>
        <w:t xml:space="preserve">petition </w:t>
      </w:r>
      <w:r w:rsidR="00DB6C48" w:rsidRPr="002433F3">
        <w:rPr>
          <w:lang w:val="en-US"/>
        </w:rPr>
        <w:t xml:space="preserve">owing to his </w:t>
      </w:r>
      <w:r w:rsidRPr="002433F3">
        <w:rPr>
          <w:lang w:val="en-US"/>
        </w:rPr>
        <w:t>sexual</w:t>
      </w:r>
      <w:r w:rsidR="00DB6C48" w:rsidRPr="002433F3">
        <w:rPr>
          <w:lang w:val="en-US"/>
        </w:rPr>
        <w:t xml:space="preserve"> orientation.”</w:t>
      </w:r>
      <w:r w:rsidRPr="002433F3">
        <w:rPr>
          <w:b/>
          <w:lang w:val="en-US"/>
        </w:rPr>
        <w:t xml:space="preserve"> </w:t>
      </w:r>
    </w:p>
    <w:p w14:paraId="6A60115F" w14:textId="77777777" w:rsidR="007B0DE4" w:rsidRPr="002433F3" w:rsidRDefault="007B0DE4" w:rsidP="007B0DE4">
      <w:pPr>
        <w:numPr>
          <w:ilvl w:val="0"/>
          <w:numId w:val="2"/>
        </w:numPr>
        <w:spacing w:before="120" w:after="120"/>
        <w:rPr>
          <w:rFonts w:eastAsia="Calibri"/>
          <w:lang w:val="en-US"/>
        </w:rPr>
      </w:pPr>
      <w:r w:rsidRPr="002433F3">
        <w:rPr>
          <w:szCs w:val="22"/>
          <w:lang w:val="en-US"/>
        </w:rPr>
        <w:t xml:space="preserve">The </w:t>
      </w:r>
      <w:r w:rsidRPr="002433F3">
        <w:rPr>
          <w:i/>
          <w:szCs w:val="22"/>
          <w:lang w:val="en-US"/>
        </w:rPr>
        <w:t>State</w:t>
      </w:r>
      <w:r w:rsidRPr="002433F3">
        <w:rPr>
          <w:b/>
          <w:szCs w:val="22"/>
          <w:lang w:val="en-US"/>
        </w:rPr>
        <w:t xml:space="preserve"> </w:t>
      </w:r>
      <w:r w:rsidRPr="002433F3">
        <w:rPr>
          <w:szCs w:val="22"/>
          <w:lang w:val="en-US"/>
        </w:rPr>
        <w:t xml:space="preserve">argued that </w:t>
      </w:r>
      <w:r w:rsidR="003F7D38" w:rsidRPr="002433F3">
        <w:rPr>
          <w:szCs w:val="22"/>
          <w:lang w:val="en-US"/>
        </w:rPr>
        <w:t xml:space="preserve">it was not internationally responsible </w:t>
      </w:r>
      <w:r w:rsidR="0082253F" w:rsidRPr="002433F3">
        <w:rPr>
          <w:szCs w:val="22"/>
          <w:lang w:val="en-US"/>
        </w:rPr>
        <w:t xml:space="preserve">as a </w:t>
      </w:r>
      <w:r w:rsidR="00B305BB" w:rsidRPr="002433F3">
        <w:rPr>
          <w:szCs w:val="22"/>
          <w:lang w:val="en-US"/>
        </w:rPr>
        <w:t xml:space="preserve">consequence </w:t>
      </w:r>
      <w:r w:rsidR="0082253F" w:rsidRPr="002433F3">
        <w:rPr>
          <w:szCs w:val="22"/>
          <w:lang w:val="en-US"/>
        </w:rPr>
        <w:t xml:space="preserve">of </w:t>
      </w:r>
      <w:r w:rsidR="0062047F" w:rsidRPr="002433F3">
        <w:rPr>
          <w:lang w:val="en-US"/>
        </w:rPr>
        <w:t xml:space="preserve">the </w:t>
      </w:r>
      <w:r w:rsidR="003F7D38" w:rsidRPr="002433F3">
        <w:rPr>
          <w:lang w:val="en-US"/>
        </w:rPr>
        <w:t xml:space="preserve">rulings of </w:t>
      </w:r>
      <w:r w:rsidRPr="002433F3">
        <w:rPr>
          <w:lang w:val="en-US"/>
        </w:rPr>
        <w:t xml:space="preserve">the </w:t>
      </w:r>
      <w:r w:rsidRPr="002433F3">
        <w:rPr>
          <w:i/>
          <w:lang w:val="en-US"/>
        </w:rPr>
        <w:t>tutela</w:t>
      </w:r>
      <w:r w:rsidRPr="002433F3">
        <w:rPr>
          <w:lang w:val="en-US"/>
        </w:rPr>
        <w:t xml:space="preserve"> action</w:t>
      </w:r>
      <w:r w:rsidR="003F7D38" w:rsidRPr="002433F3">
        <w:rPr>
          <w:lang w:val="en-US"/>
        </w:rPr>
        <w:t>s</w:t>
      </w:r>
      <w:r w:rsidRPr="002433F3">
        <w:rPr>
          <w:lang w:val="en-US"/>
        </w:rPr>
        <w:t xml:space="preserve"> filed</w:t>
      </w:r>
      <w:r w:rsidR="0062047F" w:rsidRPr="002433F3">
        <w:rPr>
          <w:lang w:val="en-US"/>
        </w:rPr>
        <w:t xml:space="preserve"> by the </w:t>
      </w:r>
      <w:r w:rsidRPr="002433F3">
        <w:rPr>
          <w:lang w:val="en-US"/>
        </w:rPr>
        <w:t>alleged victim in 2002, since</w:t>
      </w:r>
      <w:r w:rsidR="0082253F" w:rsidRPr="002433F3">
        <w:rPr>
          <w:lang w:val="en-US"/>
        </w:rPr>
        <w:t xml:space="preserve"> there w</w:t>
      </w:r>
      <w:r w:rsidR="007574AE" w:rsidRPr="002433F3">
        <w:rPr>
          <w:lang w:val="en-US"/>
        </w:rPr>
        <w:t xml:space="preserve">ere </w:t>
      </w:r>
      <w:r w:rsidR="0082253F" w:rsidRPr="002433F3">
        <w:rPr>
          <w:lang w:val="en-US"/>
        </w:rPr>
        <w:t xml:space="preserve">no </w:t>
      </w:r>
      <w:r w:rsidR="007574AE" w:rsidRPr="002433F3">
        <w:rPr>
          <w:lang w:val="en-US"/>
        </w:rPr>
        <w:t xml:space="preserve">elements of </w:t>
      </w:r>
      <w:r w:rsidRPr="002433F3">
        <w:rPr>
          <w:lang w:val="en-US"/>
        </w:rPr>
        <w:t xml:space="preserve">international law </w:t>
      </w:r>
      <w:r w:rsidR="0082253F" w:rsidRPr="002433F3">
        <w:rPr>
          <w:lang w:val="en-US"/>
        </w:rPr>
        <w:t xml:space="preserve">requiring it to exercise </w:t>
      </w:r>
      <w:r w:rsidRPr="002433F3">
        <w:rPr>
          <w:lang w:val="en-US"/>
        </w:rPr>
        <w:t xml:space="preserve">conventionality control or </w:t>
      </w:r>
      <w:r w:rsidR="0082253F" w:rsidRPr="002433F3">
        <w:rPr>
          <w:lang w:val="en-US"/>
        </w:rPr>
        <w:t xml:space="preserve">to </w:t>
      </w:r>
      <w:r w:rsidRPr="002433F3">
        <w:rPr>
          <w:lang w:val="en-US"/>
        </w:rPr>
        <w:t xml:space="preserve">apply international standards to rule favorably on </w:t>
      </w:r>
      <w:r w:rsidR="0005208B" w:rsidRPr="002433F3">
        <w:rPr>
          <w:lang w:val="en-US"/>
        </w:rPr>
        <w:t>the claims</w:t>
      </w:r>
      <w:r w:rsidRPr="002433F3">
        <w:rPr>
          <w:lang w:val="en-US"/>
        </w:rPr>
        <w:t xml:space="preserve"> of the alleged victim. </w:t>
      </w:r>
    </w:p>
    <w:p w14:paraId="02874F58" w14:textId="77777777" w:rsidR="007B0DE4" w:rsidRPr="002433F3" w:rsidRDefault="007B0DE4" w:rsidP="007B0DE4">
      <w:pPr>
        <w:numPr>
          <w:ilvl w:val="0"/>
          <w:numId w:val="2"/>
        </w:numPr>
        <w:spacing w:before="120" w:after="120"/>
        <w:rPr>
          <w:rFonts w:eastAsia="Calibri"/>
          <w:lang w:val="en-US"/>
        </w:rPr>
      </w:pPr>
      <w:r w:rsidRPr="002433F3">
        <w:rPr>
          <w:lang w:val="en-US"/>
        </w:rPr>
        <w:t xml:space="preserve">The </w:t>
      </w:r>
      <w:r w:rsidRPr="002433F3">
        <w:rPr>
          <w:i/>
          <w:lang w:val="en-US"/>
        </w:rPr>
        <w:t>State</w:t>
      </w:r>
      <w:r w:rsidRPr="002433F3">
        <w:rPr>
          <w:lang w:val="en-US"/>
        </w:rPr>
        <w:t xml:space="preserve"> </w:t>
      </w:r>
      <w:r w:rsidR="007574AE" w:rsidRPr="002433F3">
        <w:rPr>
          <w:lang w:val="en-US"/>
        </w:rPr>
        <w:t xml:space="preserve">also </w:t>
      </w:r>
      <w:r w:rsidR="00B305BB" w:rsidRPr="002433F3">
        <w:rPr>
          <w:lang w:val="en-US"/>
        </w:rPr>
        <w:t xml:space="preserve">pointed out </w:t>
      </w:r>
      <w:r w:rsidRPr="002433F3">
        <w:rPr>
          <w:lang w:val="en-US"/>
        </w:rPr>
        <w:t xml:space="preserve">that the judges </w:t>
      </w:r>
      <w:r w:rsidR="00B305BB" w:rsidRPr="002433F3">
        <w:rPr>
          <w:lang w:val="en-US"/>
        </w:rPr>
        <w:t xml:space="preserve">who </w:t>
      </w:r>
      <w:r w:rsidRPr="002433F3">
        <w:rPr>
          <w:lang w:val="en-US"/>
        </w:rPr>
        <w:t>issued th</w:t>
      </w:r>
      <w:r w:rsidR="00B305BB" w:rsidRPr="002433F3">
        <w:rPr>
          <w:lang w:val="en-US"/>
        </w:rPr>
        <w:t>os</w:t>
      </w:r>
      <w:r w:rsidRPr="002433F3">
        <w:rPr>
          <w:lang w:val="en-US"/>
        </w:rPr>
        <w:t xml:space="preserve">e rulings were applying the </w:t>
      </w:r>
      <w:r w:rsidR="00B305BB" w:rsidRPr="002433F3">
        <w:rPr>
          <w:lang w:val="en-US"/>
        </w:rPr>
        <w:t xml:space="preserve">provisions </w:t>
      </w:r>
      <w:r w:rsidRPr="002433F3">
        <w:rPr>
          <w:lang w:val="en-US"/>
        </w:rPr>
        <w:t xml:space="preserve">that were in force in Colombia at the time </w:t>
      </w:r>
      <w:r w:rsidR="00B305BB" w:rsidRPr="002433F3">
        <w:rPr>
          <w:lang w:val="en-US"/>
        </w:rPr>
        <w:t xml:space="preserve">when </w:t>
      </w:r>
      <w:r w:rsidRPr="002433F3">
        <w:rPr>
          <w:lang w:val="en-US"/>
        </w:rPr>
        <w:t xml:space="preserve">the </w:t>
      </w:r>
      <w:r w:rsidRPr="002433F3">
        <w:rPr>
          <w:i/>
          <w:lang w:val="en-US"/>
        </w:rPr>
        <w:t>tutela</w:t>
      </w:r>
      <w:r w:rsidRPr="002433F3">
        <w:rPr>
          <w:lang w:val="en-US"/>
        </w:rPr>
        <w:t xml:space="preserve"> action</w:t>
      </w:r>
      <w:r w:rsidR="00B305BB" w:rsidRPr="002433F3">
        <w:rPr>
          <w:lang w:val="en-US"/>
        </w:rPr>
        <w:t>s were</w:t>
      </w:r>
      <w:r w:rsidRPr="002433F3">
        <w:rPr>
          <w:lang w:val="en-US"/>
        </w:rPr>
        <w:t xml:space="preserve"> filed</w:t>
      </w:r>
      <w:r w:rsidR="00B305BB" w:rsidRPr="002433F3">
        <w:rPr>
          <w:lang w:val="en-US"/>
        </w:rPr>
        <w:t>.</w:t>
      </w:r>
      <w:r w:rsidRPr="002433F3">
        <w:rPr>
          <w:lang w:val="en-US"/>
        </w:rPr>
        <w:t xml:space="preserve"> </w:t>
      </w:r>
      <w:r w:rsidR="00B305BB" w:rsidRPr="002433F3">
        <w:rPr>
          <w:lang w:val="en-US"/>
        </w:rPr>
        <w:t xml:space="preserve">Furthermore, </w:t>
      </w:r>
      <w:r w:rsidRPr="002433F3">
        <w:rPr>
          <w:lang w:val="en-US"/>
        </w:rPr>
        <w:t>when th</w:t>
      </w:r>
      <w:r w:rsidR="00B305BB" w:rsidRPr="002433F3">
        <w:rPr>
          <w:lang w:val="en-US"/>
        </w:rPr>
        <w:t>os</w:t>
      </w:r>
      <w:r w:rsidRPr="002433F3">
        <w:rPr>
          <w:lang w:val="en-US"/>
        </w:rPr>
        <w:t xml:space="preserve">e </w:t>
      </w:r>
      <w:r w:rsidR="00B305BB" w:rsidRPr="002433F3">
        <w:rPr>
          <w:lang w:val="en-US"/>
        </w:rPr>
        <w:t xml:space="preserve">decisions were issued, </w:t>
      </w:r>
      <w:r w:rsidR="00287C55" w:rsidRPr="002433F3">
        <w:rPr>
          <w:lang w:val="en-US"/>
        </w:rPr>
        <w:t xml:space="preserve">neither </w:t>
      </w:r>
      <w:r w:rsidR="00B305BB" w:rsidRPr="002433F3">
        <w:rPr>
          <w:lang w:val="en-US"/>
        </w:rPr>
        <w:t xml:space="preserve">the </w:t>
      </w:r>
      <w:r w:rsidR="00287C55" w:rsidRPr="002433F3">
        <w:rPr>
          <w:lang w:val="en-US"/>
        </w:rPr>
        <w:t xml:space="preserve">domestic </w:t>
      </w:r>
      <w:r w:rsidR="00B305BB" w:rsidRPr="002433F3">
        <w:rPr>
          <w:lang w:val="en-US"/>
        </w:rPr>
        <w:t xml:space="preserve">laws </w:t>
      </w:r>
      <w:r w:rsidR="00287C55" w:rsidRPr="002433F3">
        <w:rPr>
          <w:lang w:val="en-US"/>
        </w:rPr>
        <w:t xml:space="preserve">nor the existing </w:t>
      </w:r>
      <w:r w:rsidR="00B305BB" w:rsidRPr="002433F3">
        <w:rPr>
          <w:lang w:val="en-US"/>
        </w:rPr>
        <w:t xml:space="preserve">jurisprudence </w:t>
      </w:r>
      <w:r w:rsidR="00287C55" w:rsidRPr="002433F3">
        <w:rPr>
          <w:lang w:val="en-US"/>
        </w:rPr>
        <w:t xml:space="preserve">allowed </w:t>
      </w:r>
      <w:r w:rsidRPr="002433F3">
        <w:rPr>
          <w:lang w:val="en-US"/>
        </w:rPr>
        <w:t xml:space="preserve">judges to deviate from the current </w:t>
      </w:r>
      <w:r w:rsidR="00B305BB" w:rsidRPr="002433F3">
        <w:rPr>
          <w:lang w:val="en-US"/>
        </w:rPr>
        <w:t>interpretation</w:t>
      </w:r>
      <w:r w:rsidR="00287C55" w:rsidRPr="002433F3">
        <w:rPr>
          <w:lang w:val="en-US"/>
        </w:rPr>
        <w:t>,</w:t>
      </w:r>
      <w:r w:rsidRPr="002433F3">
        <w:rPr>
          <w:lang w:val="en-US"/>
        </w:rPr>
        <w:t xml:space="preserve"> according to which same-sex couple</w:t>
      </w:r>
      <w:r w:rsidR="00B305BB" w:rsidRPr="002433F3">
        <w:rPr>
          <w:lang w:val="en-US"/>
        </w:rPr>
        <w:t>s</w:t>
      </w:r>
      <w:r w:rsidRPr="002433F3">
        <w:rPr>
          <w:lang w:val="en-US"/>
        </w:rPr>
        <w:t xml:space="preserve"> did not have the right to a survivor’s pension. In addition, the State argued that </w:t>
      </w:r>
      <w:r w:rsidR="00287C55" w:rsidRPr="002433F3">
        <w:rPr>
          <w:lang w:val="en-US"/>
        </w:rPr>
        <w:t xml:space="preserve">when the judges of the </w:t>
      </w:r>
      <w:r w:rsidR="00B305BB" w:rsidRPr="002433F3">
        <w:rPr>
          <w:lang w:val="en-US"/>
        </w:rPr>
        <w:t xml:space="preserve">courts </w:t>
      </w:r>
      <w:r w:rsidRPr="002433F3">
        <w:rPr>
          <w:lang w:val="en-US"/>
        </w:rPr>
        <w:t xml:space="preserve">of first and second instance </w:t>
      </w:r>
      <w:r w:rsidR="00287C55" w:rsidRPr="002433F3">
        <w:rPr>
          <w:lang w:val="en-US"/>
        </w:rPr>
        <w:t xml:space="preserve">issued their decisions </w:t>
      </w:r>
      <w:r w:rsidR="007574AE" w:rsidRPr="002433F3">
        <w:rPr>
          <w:lang w:val="en-US"/>
        </w:rPr>
        <w:t xml:space="preserve">in </w:t>
      </w:r>
      <w:r w:rsidRPr="002433F3">
        <w:rPr>
          <w:lang w:val="en-US"/>
        </w:rPr>
        <w:t xml:space="preserve">Mr. Duque’s case, </w:t>
      </w:r>
      <w:r w:rsidR="00B305BB" w:rsidRPr="002433F3">
        <w:rPr>
          <w:lang w:val="en-US"/>
        </w:rPr>
        <w:t xml:space="preserve">Colombia </w:t>
      </w:r>
      <w:r w:rsidR="0005208B" w:rsidRPr="002433F3">
        <w:rPr>
          <w:lang w:val="en-US"/>
        </w:rPr>
        <w:t xml:space="preserve">had not developed </w:t>
      </w:r>
      <w:r w:rsidRPr="002433F3">
        <w:rPr>
          <w:lang w:val="en-US"/>
        </w:rPr>
        <w:t>a</w:t>
      </w:r>
      <w:r w:rsidR="002D3ACD" w:rsidRPr="002433F3">
        <w:rPr>
          <w:lang w:val="en-US"/>
        </w:rPr>
        <w:t>n</w:t>
      </w:r>
      <w:r w:rsidRPr="002433F3">
        <w:rPr>
          <w:lang w:val="en-US"/>
        </w:rPr>
        <w:t xml:space="preserve"> </w:t>
      </w:r>
      <w:r w:rsidR="00DB6C48" w:rsidRPr="002433F3">
        <w:rPr>
          <w:lang w:val="en-US"/>
        </w:rPr>
        <w:t xml:space="preserve">evolutive </w:t>
      </w:r>
      <w:r w:rsidRPr="002433F3">
        <w:rPr>
          <w:lang w:val="en-US"/>
        </w:rPr>
        <w:t xml:space="preserve">interpretation </w:t>
      </w:r>
      <w:r w:rsidR="0005208B" w:rsidRPr="002433F3">
        <w:rPr>
          <w:lang w:val="en-US"/>
        </w:rPr>
        <w:t xml:space="preserve">of the </w:t>
      </w:r>
      <w:r w:rsidR="00B305BB" w:rsidRPr="002433F3">
        <w:rPr>
          <w:lang w:val="en-US"/>
        </w:rPr>
        <w:t xml:space="preserve">binding </w:t>
      </w:r>
      <w:r w:rsidR="0005208B" w:rsidRPr="002433F3">
        <w:rPr>
          <w:lang w:val="en-US"/>
        </w:rPr>
        <w:t>human</w:t>
      </w:r>
      <w:r w:rsidRPr="002433F3">
        <w:rPr>
          <w:lang w:val="en-US"/>
        </w:rPr>
        <w:t xml:space="preserve"> rights</w:t>
      </w:r>
      <w:r w:rsidR="002D3ACD" w:rsidRPr="002433F3">
        <w:rPr>
          <w:lang w:val="en-US"/>
        </w:rPr>
        <w:t xml:space="preserve"> treaties</w:t>
      </w:r>
      <w:r w:rsidRPr="002433F3">
        <w:rPr>
          <w:lang w:val="en-US"/>
        </w:rPr>
        <w:t xml:space="preserve"> </w:t>
      </w:r>
      <w:r w:rsidR="00B305BB" w:rsidRPr="002433F3">
        <w:rPr>
          <w:lang w:val="en-US"/>
        </w:rPr>
        <w:t>that allowed</w:t>
      </w:r>
      <w:r w:rsidR="0005208B" w:rsidRPr="002433F3">
        <w:rPr>
          <w:lang w:val="en-US"/>
        </w:rPr>
        <w:t xml:space="preserve"> for </w:t>
      </w:r>
      <w:r w:rsidRPr="002433F3">
        <w:rPr>
          <w:lang w:val="en-US"/>
        </w:rPr>
        <w:t xml:space="preserve">recognition of pension rights </w:t>
      </w:r>
      <w:r w:rsidR="0005208B" w:rsidRPr="002433F3">
        <w:rPr>
          <w:lang w:val="en-US"/>
        </w:rPr>
        <w:t xml:space="preserve">for </w:t>
      </w:r>
      <w:r w:rsidRPr="002433F3">
        <w:rPr>
          <w:lang w:val="en-US"/>
        </w:rPr>
        <w:t>same-sex couples.</w:t>
      </w:r>
    </w:p>
    <w:p w14:paraId="1BFB90AD" w14:textId="77777777" w:rsidR="007B0DE4" w:rsidRPr="002433F3" w:rsidRDefault="007B0DE4" w:rsidP="007B0DE4">
      <w:pPr>
        <w:pStyle w:val="Ttulo2"/>
        <w:numPr>
          <w:ilvl w:val="0"/>
          <w:numId w:val="11"/>
        </w:numPr>
        <w:spacing w:before="280" w:after="280"/>
        <w:rPr>
          <w:rFonts w:eastAsia="Calibri"/>
          <w:noProof w:val="0"/>
          <w:lang w:val="en-US"/>
        </w:rPr>
      </w:pPr>
      <w:bookmarkStart w:id="130" w:name="_Toc448482271"/>
      <w:r w:rsidRPr="002433F3">
        <w:rPr>
          <w:noProof w:val="0"/>
          <w:lang w:val="en-US" w:eastAsia="es-ES"/>
        </w:rPr>
        <w:t>Considerations</w:t>
      </w:r>
      <w:r w:rsidRPr="002433F3">
        <w:rPr>
          <w:rFonts w:eastAsia="Calibri"/>
          <w:noProof w:val="0"/>
          <w:lang w:val="en-US"/>
        </w:rPr>
        <w:t xml:space="preserve"> of the Court</w:t>
      </w:r>
      <w:bookmarkEnd w:id="130"/>
    </w:p>
    <w:p w14:paraId="1CEA0F0C" w14:textId="77777777" w:rsidR="007B0DE4" w:rsidRPr="002433F3" w:rsidRDefault="007B0DE4" w:rsidP="007B0DE4">
      <w:pPr>
        <w:numPr>
          <w:ilvl w:val="0"/>
          <w:numId w:val="2"/>
        </w:numPr>
        <w:spacing w:before="120" w:after="120"/>
        <w:rPr>
          <w:lang w:val="en-US"/>
        </w:rPr>
      </w:pPr>
      <w:r w:rsidRPr="002433F3">
        <w:rPr>
          <w:lang w:val="en-US"/>
        </w:rPr>
        <w:t xml:space="preserve">The Court </w:t>
      </w:r>
      <w:r w:rsidR="0062047F" w:rsidRPr="002433F3">
        <w:rPr>
          <w:lang w:val="en-US"/>
        </w:rPr>
        <w:t>has considered</w:t>
      </w:r>
      <w:r w:rsidR="00287C55" w:rsidRPr="002433F3">
        <w:rPr>
          <w:lang w:val="en-US"/>
        </w:rPr>
        <w:t xml:space="preserve"> that under the American Convention, the State has an obligation to provide effective judicial remedies to victims of human rights violations, pursuant to Article 25. These remedies must be substantiated in accordance with the rules of due process of law established in Article 8 (1)</w:t>
      </w:r>
      <w:r w:rsidR="00464324" w:rsidRPr="002433F3">
        <w:rPr>
          <w:lang w:val="en-US"/>
        </w:rPr>
        <w:t xml:space="preserve"> of the Convention</w:t>
      </w:r>
      <w:r w:rsidR="00287C55" w:rsidRPr="002433F3">
        <w:rPr>
          <w:lang w:val="en-US"/>
        </w:rPr>
        <w:t xml:space="preserve">, in keeping with the State’s general obligation to guarantee the free and full exercise of the rights recognized by the Convention </w:t>
      </w:r>
      <w:r w:rsidR="00464324" w:rsidRPr="002433F3">
        <w:rPr>
          <w:lang w:val="en-US"/>
        </w:rPr>
        <w:t xml:space="preserve">in Article 1(1) </w:t>
      </w:r>
      <w:r w:rsidR="00287C55" w:rsidRPr="002433F3">
        <w:rPr>
          <w:lang w:val="en-US"/>
        </w:rPr>
        <w:t>to all persons subject to their jurisdiction</w:t>
      </w:r>
      <w:r w:rsidR="00C31DD5" w:rsidRPr="002433F3">
        <w:rPr>
          <w:lang w:val="en-US"/>
        </w:rPr>
        <w:t>.</w:t>
      </w:r>
      <w:r w:rsidRPr="002433F3">
        <w:rPr>
          <w:vertAlign w:val="superscript"/>
          <w:lang w:val="en-US"/>
        </w:rPr>
        <w:footnoteReference w:id="123"/>
      </w:r>
    </w:p>
    <w:p w14:paraId="5A5013CD" w14:textId="77777777" w:rsidR="007B0DE4" w:rsidRPr="002433F3" w:rsidRDefault="007B0DE4" w:rsidP="007B0DE4">
      <w:pPr>
        <w:numPr>
          <w:ilvl w:val="0"/>
          <w:numId w:val="2"/>
        </w:numPr>
        <w:spacing w:before="120" w:after="120"/>
        <w:rPr>
          <w:lang w:val="en-US"/>
        </w:rPr>
      </w:pPr>
      <w:r w:rsidRPr="002433F3">
        <w:rPr>
          <w:lang w:val="en-US"/>
        </w:rPr>
        <w:t xml:space="preserve">The Court will now </w:t>
      </w:r>
      <w:r w:rsidR="00464324" w:rsidRPr="002433F3">
        <w:rPr>
          <w:lang w:val="en-US"/>
        </w:rPr>
        <w:t xml:space="preserve">examine </w:t>
      </w:r>
      <w:r w:rsidRPr="002433F3">
        <w:rPr>
          <w:lang w:val="en-US"/>
        </w:rPr>
        <w:t xml:space="preserve">the alleged violations of judicial guarantees and judicial protection, </w:t>
      </w:r>
      <w:r w:rsidR="00464324" w:rsidRPr="002433F3">
        <w:rPr>
          <w:lang w:val="en-US"/>
        </w:rPr>
        <w:t>as follows</w:t>
      </w:r>
      <w:r w:rsidRPr="002433F3">
        <w:rPr>
          <w:lang w:val="en-US"/>
        </w:rPr>
        <w:t xml:space="preserve">: 1) the alleged violation of Article 25 of the Convention </w:t>
      </w:r>
      <w:r w:rsidR="00464324" w:rsidRPr="002433F3">
        <w:rPr>
          <w:lang w:val="en-US"/>
        </w:rPr>
        <w:t xml:space="preserve">based on </w:t>
      </w:r>
      <w:r w:rsidR="0036187B" w:rsidRPr="002433F3">
        <w:rPr>
          <w:lang w:val="en-US"/>
        </w:rPr>
        <w:t>the alleged</w:t>
      </w:r>
      <w:r w:rsidRPr="002433F3">
        <w:rPr>
          <w:lang w:val="en-US"/>
        </w:rPr>
        <w:t xml:space="preserve"> </w:t>
      </w:r>
      <w:r w:rsidR="007574AE" w:rsidRPr="002433F3">
        <w:rPr>
          <w:lang w:val="en-US"/>
        </w:rPr>
        <w:t xml:space="preserve">lack </w:t>
      </w:r>
      <w:r w:rsidRPr="002433F3">
        <w:rPr>
          <w:lang w:val="en-US"/>
        </w:rPr>
        <w:t xml:space="preserve">of an effective remedy in Colombia to claim a survivor’s pension, and 2) the alleged violation of Article 8(1) of the Convention </w:t>
      </w:r>
      <w:r w:rsidR="005C3919" w:rsidRPr="002433F3">
        <w:rPr>
          <w:lang w:val="en-US"/>
        </w:rPr>
        <w:t xml:space="preserve">owing </w:t>
      </w:r>
      <w:r w:rsidRPr="002433F3">
        <w:rPr>
          <w:lang w:val="en-US"/>
        </w:rPr>
        <w:t>the alleged application of discriminatory stereotypes in judicial rulings.</w:t>
      </w:r>
    </w:p>
    <w:p w14:paraId="4D149483" w14:textId="77777777" w:rsidR="007B0DE4" w:rsidRPr="002433F3" w:rsidRDefault="00070DEE" w:rsidP="007B0DE4">
      <w:pPr>
        <w:pStyle w:val="Ttulo3"/>
        <w:spacing w:before="280" w:after="280"/>
        <w:ind w:left="1066"/>
        <w:rPr>
          <w:noProof w:val="0"/>
          <w:lang w:val="en-US" w:eastAsia="es-ES"/>
        </w:rPr>
      </w:pPr>
      <w:bookmarkStart w:id="131" w:name="_Toc433564911"/>
      <w:bookmarkStart w:id="132" w:name="_Toc448482272"/>
      <w:r w:rsidRPr="002433F3">
        <w:rPr>
          <w:noProof w:val="0"/>
          <w:lang w:val="en-US" w:eastAsia="es-ES"/>
        </w:rPr>
        <w:t xml:space="preserve">B.1. Existence </w:t>
      </w:r>
      <w:r w:rsidR="007B0DE4" w:rsidRPr="002433F3">
        <w:rPr>
          <w:noProof w:val="0"/>
          <w:lang w:val="en-US"/>
        </w:rPr>
        <w:t>of an effective</w:t>
      </w:r>
      <w:r w:rsidR="005C3919" w:rsidRPr="002433F3">
        <w:rPr>
          <w:noProof w:val="0"/>
          <w:lang w:val="en-US"/>
        </w:rPr>
        <w:t xml:space="preserve"> remedy in Colombia to claim a</w:t>
      </w:r>
      <w:r w:rsidR="007B0DE4" w:rsidRPr="002433F3">
        <w:rPr>
          <w:noProof w:val="0"/>
          <w:lang w:val="en-US"/>
        </w:rPr>
        <w:t xml:space="preserve"> survivor’s pension</w:t>
      </w:r>
      <w:bookmarkEnd w:id="131"/>
      <w:bookmarkEnd w:id="132"/>
    </w:p>
    <w:p w14:paraId="299234CA" w14:textId="77777777" w:rsidR="007B0DE4" w:rsidRPr="002433F3" w:rsidRDefault="00070DEE" w:rsidP="007B0DE4">
      <w:pPr>
        <w:numPr>
          <w:ilvl w:val="0"/>
          <w:numId w:val="2"/>
        </w:numPr>
        <w:spacing w:before="120" w:after="120"/>
        <w:rPr>
          <w:lang w:val="en-US"/>
        </w:rPr>
      </w:pPr>
      <w:r w:rsidRPr="002433F3">
        <w:rPr>
          <w:lang w:val="en-US"/>
        </w:rPr>
        <w:t>With respect</w:t>
      </w:r>
      <w:r w:rsidR="0062047F" w:rsidRPr="002433F3">
        <w:rPr>
          <w:lang w:val="en-US"/>
        </w:rPr>
        <w:t xml:space="preserve"> to </w:t>
      </w:r>
      <w:r w:rsidR="007B0DE4" w:rsidRPr="002433F3">
        <w:rPr>
          <w:lang w:val="en-US"/>
        </w:rPr>
        <w:t xml:space="preserve">Article 25(1) of the Convention, this Court has indicated that </w:t>
      </w:r>
      <w:r w:rsidR="0062047F" w:rsidRPr="002433F3">
        <w:rPr>
          <w:lang w:val="en-US"/>
        </w:rPr>
        <w:t xml:space="preserve">this </w:t>
      </w:r>
      <w:r w:rsidRPr="002433F3">
        <w:rPr>
          <w:lang w:val="en-US"/>
        </w:rPr>
        <w:t xml:space="preserve">provision </w:t>
      </w:r>
      <w:r w:rsidR="0062047F" w:rsidRPr="002433F3">
        <w:rPr>
          <w:lang w:val="en-US"/>
        </w:rPr>
        <w:t>establishes</w:t>
      </w:r>
      <w:r w:rsidR="007B0DE4" w:rsidRPr="002433F3">
        <w:rPr>
          <w:lang w:val="en-US"/>
        </w:rPr>
        <w:t xml:space="preserve">, in </w:t>
      </w:r>
      <w:r w:rsidR="0062047F" w:rsidRPr="002433F3">
        <w:rPr>
          <w:lang w:val="en-US"/>
        </w:rPr>
        <w:t xml:space="preserve">broad </w:t>
      </w:r>
      <w:r w:rsidR="007B0DE4" w:rsidRPr="002433F3">
        <w:rPr>
          <w:lang w:val="en-US"/>
        </w:rPr>
        <w:t>terms</w:t>
      </w:r>
      <w:r w:rsidR="0062047F" w:rsidRPr="002433F3">
        <w:rPr>
          <w:lang w:val="en-US"/>
        </w:rPr>
        <w:t xml:space="preserve">, the </w:t>
      </w:r>
      <w:r w:rsidR="007B0DE4" w:rsidRPr="002433F3">
        <w:rPr>
          <w:lang w:val="en-US"/>
        </w:rPr>
        <w:t xml:space="preserve">obligation </w:t>
      </w:r>
      <w:r w:rsidR="0062047F" w:rsidRPr="002433F3">
        <w:rPr>
          <w:lang w:val="en-US"/>
        </w:rPr>
        <w:t xml:space="preserve">of States to </w:t>
      </w:r>
      <w:r w:rsidR="005C3919" w:rsidRPr="002433F3">
        <w:rPr>
          <w:lang w:val="en-US"/>
        </w:rPr>
        <w:t xml:space="preserve">guarantee to </w:t>
      </w:r>
      <w:r w:rsidR="007B0DE4" w:rsidRPr="002433F3">
        <w:rPr>
          <w:lang w:val="en-US"/>
        </w:rPr>
        <w:t>all persons s</w:t>
      </w:r>
      <w:r w:rsidR="0062047F" w:rsidRPr="002433F3">
        <w:rPr>
          <w:lang w:val="en-US"/>
        </w:rPr>
        <w:t xml:space="preserve">ubject to their </w:t>
      </w:r>
      <w:r w:rsidR="007B0DE4" w:rsidRPr="002433F3">
        <w:rPr>
          <w:lang w:val="en-US"/>
        </w:rPr>
        <w:t>jurisdiction, a</w:t>
      </w:r>
      <w:r w:rsidR="0062047F" w:rsidRPr="002433F3">
        <w:rPr>
          <w:lang w:val="en-US"/>
        </w:rPr>
        <w:t>n</w:t>
      </w:r>
      <w:r w:rsidR="007B0DE4" w:rsidRPr="002433F3">
        <w:rPr>
          <w:lang w:val="en-US"/>
        </w:rPr>
        <w:t xml:space="preserve"> effective </w:t>
      </w:r>
      <w:r w:rsidR="0062047F" w:rsidRPr="002433F3">
        <w:rPr>
          <w:lang w:val="en-US"/>
        </w:rPr>
        <w:t>judicial re</w:t>
      </w:r>
      <w:r w:rsidR="005C3919" w:rsidRPr="002433F3">
        <w:rPr>
          <w:lang w:val="en-US"/>
        </w:rPr>
        <w:t xml:space="preserve">medy </w:t>
      </w:r>
      <w:r w:rsidR="007B0DE4" w:rsidRPr="002433F3">
        <w:rPr>
          <w:lang w:val="en-US"/>
        </w:rPr>
        <w:t>again</w:t>
      </w:r>
      <w:r w:rsidR="0062047F" w:rsidRPr="002433F3">
        <w:rPr>
          <w:lang w:val="en-US"/>
        </w:rPr>
        <w:t>st act</w:t>
      </w:r>
      <w:r w:rsidR="007B0DE4" w:rsidRPr="002433F3">
        <w:rPr>
          <w:lang w:val="en-US"/>
        </w:rPr>
        <w:t xml:space="preserve">s </w:t>
      </w:r>
      <w:r w:rsidR="0062047F" w:rsidRPr="002433F3">
        <w:rPr>
          <w:lang w:val="en-US"/>
        </w:rPr>
        <w:t xml:space="preserve">that violate their fundamental </w:t>
      </w:r>
      <w:r w:rsidR="007B0DE4" w:rsidRPr="002433F3">
        <w:rPr>
          <w:lang w:val="en-US"/>
        </w:rPr>
        <w:t>rights</w:t>
      </w:r>
      <w:r w:rsidR="0062047F" w:rsidRPr="002433F3">
        <w:rPr>
          <w:lang w:val="en-US"/>
        </w:rPr>
        <w:t>.</w:t>
      </w:r>
      <w:r w:rsidR="007B0DE4" w:rsidRPr="002433F3">
        <w:rPr>
          <w:rStyle w:val="Refdenotaalpie"/>
          <w:lang w:val="en-US"/>
        </w:rPr>
        <w:footnoteReference w:id="124"/>
      </w:r>
      <w:r w:rsidR="007B0DE4" w:rsidRPr="002433F3">
        <w:rPr>
          <w:lang w:val="en-US"/>
        </w:rPr>
        <w:t xml:space="preserve"> </w:t>
      </w:r>
      <w:r w:rsidR="0062047F" w:rsidRPr="002433F3">
        <w:rPr>
          <w:lang w:val="en-US"/>
        </w:rPr>
        <w:t>Furthermore</w:t>
      </w:r>
      <w:r w:rsidR="007B0DE4" w:rsidRPr="002433F3">
        <w:rPr>
          <w:lang w:val="en-US"/>
        </w:rPr>
        <w:t xml:space="preserve">, the Court has </w:t>
      </w:r>
      <w:r w:rsidRPr="002433F3">
        <w:rPr>
          <w:lang w:val="en-US"/>
        </w:rPr>
        <w:t xml:space="preserve">established </w:t>
      </w:r>
      <w:r w:rsidR="0062047F" w:rsidRPr="002433F3">
        <w:rPr>
          <w:lang w:val="en-US"/>
        </w:rPr>
        <w:t xml:space="preserve">that </w:t>
      </w:r>
      <w:r w:rsidR="00770AC4" w:rsidRPr="002433F3">
        <w:rPr>
          <w:lang w:val="en-US"/>
        </w:rPr>
        <w:t>the State has the obligation to design and embody in legislation an effe</w:t>
      </w:r>
      <w:r w:rsidR="003B6B43" w:rsidRPr="002433F3">
        <w:rPr>
          <w:lang w:val="en-US"/>
        </w:rPr>
        <w:t>ctive remedy</w:t>
      </w:r>
      <w:r w:rsidR="00770AC4" w:rsidRPr="002433F3">
        <w:rPr>
          <w:lang w:val="en-US"/>
        </w:rPr>
        <w:t xml:space="preserve"> and to ensure the </w:t>
      </w:r>
      <w:r w:rsidR="005C3919" w:rsidRPr="002433F3">
        <w:rPr>
          <w:lang w:val="en-US"/>
        </w:rPr>
        <w:t xml:space="preserve">proper </w:t>
      </w:r>
      <w:r w:rsidR="00770AC4" w:rsidRPr="002433F3">
        <w:rPr>
          <w:lang w:val="en-US"/>
        </w:rPr>
        <w:t>application of that remedy by its judicial authorities</w:t>
      </w:r>
      <w:r w:rsidR="007B0DE4" w:rsidRPr="002433F3">
        <w:rPr>
          <w:lang w:val="en-US"/>
        </w:rPr>
        <w:t xml:space="preserve">, </w:t>
      </w:r>
      <w:r w:rsidR="00770AC4" w:rsidRPr="002433F3">
        <w:rPr>
          <w:lang w:val="en-US"/>
        </w:rPr>
        <w:t xml:space="preserve">in order to </w:t>
      </w:r>
      <w:r w:rsidR="0062047F" w:rsidRPr="002433F3">
        <w:rPr>
          <w:lang w:val="en-US"/>
        </w:rPr>
        <w:t xml:space="preserve">protect </w:t>
      </w:r>
      <w:r w:rsidR="007B0DE4" w:rsidRPr="002433F3">
        <w:rPr>
          <w:lang w:val="en-US"/>
        </w:rPr>
        <w:t xml:space="preserve">all persons under </w:t>
      </w:r>
      <w:r w:rsidR="003B6B43" w:rsidRPr="002433F3">
        <w:rPr>
          <w:lang w:val="en-US"/>
        </w:rPr>
        <w:t xml:space="preserve">its </w:t>
      </w:r>
      <w:r w:rsidR="0062047F" w:rsidRPr="002433F3">
        <w:rPr>
          <w:lang w:val="en-US"/>
        </w:rPr>
        <w:lastRenderedPageBreak/>
        <w:t>jurisdiction against act</w:t>
      </w:r>
      <w:r w:rsidR="007B0DE4" w:rsidRPr="002433F3">
        <w:rPr>
          <w:lang w:val="en-US"/>
        </w:rPr>
        <w:t>s that viol</w:t>
      </w:r>
      <w:r w:rsidR="0062047F" w:rsidRPr="002433F3">
        <w:rPr>
          <w:lang w:val="en-US"/>
        </w:rPr>
        <w:t xml:space="preserve">ate their </w:t>
      </w:r>
      <w:r w:rsidR="007B0DE4" w:rsidRPr="002433F3">
        <w:rPr>
          <w:lang w:val="en-US"/>
        </w:rPr>
        <w:t xml:space="preserve">fundamental </w:t>
      </w:r>
      <w:r w:rsidR="0062047F" w:rsidRPr="002433F3">
        <w:rPr>
          <w:lang w:val="en-US"/>
        </w:rPr>
        <w:t>rights</w:t>
      </w:r>
      <w:r w:rsidRPr="002433F3">
        <w:rPr>
          <w:lang w:val="en-US"/>
        </w:rPr>
        <w:t>,</w:t>
      </w:r>
      <w:r w:rsidR="0062047F" w:rsidRPr="002433F3">
        <w:rPr>
          <w:lang w:val="en-US"/>
        </w:rPr>
        <w:t xml:space="preserve"> </w:t>
      </w:r>
      <w:r w:rsidR="00597BDC" w:rsidRPr="002433F3">
        <w:rPr>
          <w:lang w:val="en-US"/>
        </w:rPr>
        <w:t xml:space="preserve">or </w:t>
      </w:r>
      <w:r w:rsidR="00770AC4" w:rsidRPr="002433F3">
        <w:rPr>
          <w:lang w:val="en-US"/>
        </w:rPr>
        <w:t>t</w:t>
      </w:r>
      <w:r w:rsidR="003B6B43" w:rsidRPr="002433F3">
        <w:rPr>
          <w:lang w:val="en-US"/>
        </w:rPr>
        <w:t>o determine</w:t>
      </w:r>
      <w:r w:rsidR="007B0DE4" w:rsidRPr="002433F3">
        <w:rPr>
          <w:lang w:val="en-US"/>
        </w:rPr>
        <w:t xml:space="preserve"> th</w:t>
      </w:r>
      <w:r w:rsidRPr="002433F3">
        <w:rPr>
          <w:lang w:val="en-US"/>
        </w:rPr>
        <w:t xml:space="preserve">ose </w:t>
      </w:r>
      <w:r w:rsidR="007B0DE4" w:rsidRPr="002433F3">
        <w:rPr>
          <w:lang w:val="en-US"/>
        </w:rPr>
        <w:t>rights and obligations</w:t>
      </w:r>
      <w:r w:rsidR="0062047F" w:rsidRPr="002433F3">
        <w:rPr>
          <w:lang w:val="en-US"/>
        </w:rPr>
        <w:t>.</w:t>
      </w:r>
      <w:r w:rsidR="007B0DE4" w:rsidRPr="002433F3">
        <w:rPr>
          <w:rStyle w:val="Refdenotaalpie"/>
          <w:iCs/>
          <w:szCs w:val="22"/>
          <w:lang w:val="en-US"/>
        </w:rPr>
        <w:footnoteReference w:id="125"/>
      </w:r>
    </w:p>
    <w:p w14:paraId="690002FF" w14:textId="77777777" w:rsidR="007B0DE4" w:rsidRPr="002433F3" w:rsidRDefault="005C3919" w:rsidP="007B0DE4">
      <w:pPr>
        <w:numPr>
          <w:ilvl w:val="0"/>
          <w:numId w:val="2"/>
        </w:numPr>
        <w:spacing w:before="120" w:after="120"/>
        <w:rPr>
          <w:lang w:val="en-US"/>
        </w:rPr>
      </w:pPr>
      <w:r w:rsidRPr="002433F3">
        <w:rPr>
          <w:lang w:val="en-US"/>
        </w:rPr>
        <w:t>This</w:t>
      </w:r>
      <w:r w:rsidR="007B0DE4" w:rsidRPr="002433F3">
        <w:rPr>
          <w:lang w:val="en-US"/>
        </w:rPr>
        <w:t xml:space="preserve"> Court </w:t>
      </w:r>
      <w:r w:rsidR="00597BDC" w:rsidRPr="002433F3">
        <w:rPr>
          <w:lang w:val="en-US"/>
        </w:rPr>
        <w:t xml:space="preserve">has </w:t>
      </w:r>
      <w:r w:rsidR="007B0DE4" w:rsidRPr="002433F3">
        <w:rPr>
          <w:lang w:val="en-US"/>
        </w:rPr>
        <w:t xml:space="preserve">also </w:t>
      </w:r>
      <w:r w:rsidR="00706E25" w:rsidRPr="002433F3">
        <w:rPr>
          <w:lang w:val="en-US"/>
        </w:rPr>
        <w:t xml:space="preserve">determined </w:t>
      </w:r>
      <w:r w:rsidR="00070DEE" w:rsidRPr="002433F3">
        <w:rPr>
          <w:lang w:val="en-US"/>
        </w:rPr>
        <w:t>that</w:t>
      </w:r>
      <w:r w:rsidRPr="002433F3">
        <w:rPr>
          <w:lang w:val="en-US"/>
        </w:rPr>
        <w:t xml:space="preserve"> in order </w:t>
      </w:r>
      <w:r w:rsidR="00A940C6" w:rsidRPr="002433F3">
        <w:rPr>
          <w:lang w:val="en-US"/>
        </w:rPr>
        <w:t xml:space="preserve">for the State to fulfill its obligations under </w:t>
      </w:r>
      <w:r w:rsidR="007B0DE4" w:rsidRPr="002433F3">
        <w:rPr>
          <w:rFonts w:eastAsiaTheme="minorHAnsi" w:cs="Arial"/>
          <w:lang w:val="en-US"/>
        </w:rPr>
        <w:t xml:space="preserve">Article 25 </w:t>
      </w:r>
      <w:r w:rsidR="00A940C6" w:rsidRPr="002433F3">
        <w:rPr>
          <w:rFonts w:eastAsiaTheme="minorHAnsi" w:cs="Arial"/>
          <w:lang w:val="en-US"/>
        </w:rPr>
        <w:t xml:space="preserve">of the Convention, </w:t>
      </w:r>
      <w:r w:rsidR="00284E39" w:rsidRPr="002433F3">
        <w:rPr>
          <w:lang w:val="en-US"/>
        </w:rPr>
        <w:t>it is not sufficient t</w:t>
      </w:r>
      <w:r w:rsidR="00A940C6" w:rsidRPr="002433F3">
        <w:rPr>
          <w:lang w:val="en-US"/>
        </w:rPr>
        <w:t>hat it provide a remedy</w:t>
      </w:r>
      <w:r w:rsidR="00284E39" w:rsidRPr="002433F3">
        <w:rPr>
          <w:lang w:val="en-US"/>
        </w:rPr>
        <w:t xml:space="preserve"> </w:t>
      </w:r>
      <w:r w:rsidR="00A940C6" w:rsidRPr="002433F3">
        <w:rPr>
          <w:lang w:val="en-US"/>
        </w:rPr>
        <w:t xml:space="preserve">through </w:t>
      </w:r>
      <w:r w:rsidR="00284E39" w:rsidRPr="002433F3">
        <w:rPr>
          <w:lang w:val="en-US"/>
        </w:rPr>
        <w:t xml:space="preserve">the Constitution or by law or that it be formally recognized, but </w:t>
      </w:r>
      <w:r w:rsidRPr="002433F3">
        <w:rPr>
          <w:lang w:val="en-US"/>
        </w:rPr>
        <w:t xml:space="preserve">that </w:t>
      </w:r>
      <w:r w:rsidR="00284E39" w:rsidRPr="002433F3">
        <w:rPr>
          <w:lang w:val="en-US"/>
        </w:rPr>
        <w:t>it must be truly effective</w:t>
      </w:r>
      <w:r w:rsidR="007B0DE4" w:rsidRPr="002433F3">
        <w:rPr>
          <w:rFonts w:eastAsiaTheme="minorHAnsi" w:cs="Arial"/>
          <w:lang w:val="en-US"/>
        </w:rPr>
        <w:t>.</w:t>
      </w:r>
      <w:r w:rsidR="007B0DE4" w:rsidRPr="002433F3">
        <w:rPr>
          <w:rStyle w:val="Refdenotaalpie"/>
          <w:szCs w:val="22"/>
          <w:lang w:val="en-US"/>
        </w:rPr>
        <w:footnoteReference w:id="126"/>
      </w:r>
      <w:r w:rsidR="007B0DE4" w:rsidRPr="002433F3">
        <w:rPr>
          <w:lang w:val="en-US"/>
        </w:rPr>
        <w:t xml:space="preserve"> </w:t>
      </w:r>
      <w:r w:rsidR="007B0DE4" w:rsidRPr="002433F3">
        <w:rPr>
          <w:rFonts w:eastAsiaTheme="minorHAnsi" w:cs="Arial"/>
          <w:lang w:val="en-US"/>
        </w:rPr>
        <w:t xml:space="preserve">In other words, </w:t>
      </w:r>
      <w:r w:rsidR="00A940C6" w:rsidRPr="002433F3">
        <w:rPr>
          <w:rFonts w:eastAsiaTheme="minorHAnsi" w:cs="Arial"/>
          <w:lang w:val="en-US"/>
        </w:rPr>
        <w:t xml:space="preserve">such a remedy must </w:t>
      </w:r>
      <w:r w:rsidR="007B0DE4" w:rsidRPr="002433F3">
        <w:rPr>
          <w:lang w:val="en-US"/>
        </w:rPr>
        <w:t>provide results or answers to the violations of rights established in the Convention</w:t>
      </w:r>
      <w:r w:rsidR="007B0DE4" w:rsidRPr="002433F3">
        <w:rPr>
          <w:rFonts w:eastAsiaTheme="minorHAnsi" w:cs="Arial"/>
          <w:lang w:val="en-US"/>
        </w:rPr>
        <w:t>, in the Constitution or by law</w:t>
      </w:r>
      <w:r w:rsidR="007B0DE4" w:rsidRPr="002433F3">
        <w:rPr>
          <w:lang w:val="en-US"/>
        </w:rPr>
        <w:t>.</w:t>
      </w:r>
      <w:r w:rsidR="007B0DE4" w:rsidRPr="002433F3">
        <w:rPr>
          <w:rStyle w:val="Refdenotaalpie"/>
          <w:szCs w:val="22"/>
          <w:lang w:val="en-US"/>
        </w:rPr>
        <w:footnoteReference w:id="127"/>
      </w:r>
      <w:r w:rsidR="007B0DE4" w:rsidRPr="002433F3">
        <w:rPr>
          <w:lang w:val="en-US"/>
        </w:rPr>
        <w:t xml:space="preserve"> This </w:t>
      </w:r>
      <w:r w:rsidR="00706E25" w:rsidRPr="002433F3">
        <w:rPr>
          <w:lang w:val="en-US"/>
        </w:rPr>
        <w:t xml:space="preserve">means </w:t>
      </w:r>
      <w:r w:rsidR="007B0DE4" w:rsidRPr="002433F3">
        <w:rPr>
          <w:lang w:val="en-US"/>
        </w:rPr>
        <w:t xml:space="preserve">that the remedy must be appropriate to </w:t>
      </w:r>
      <w:r w:rsidR="008B05E0" w:rsidRPr="002433F3">
        <w:rPr>
          <w:lang w:val="en-US"/>
        </w:rPr>
        <w:t xml:space="preserve">address </w:t>
      </w:r>
      <w:r w:rsidR="007B0DE4" w:rsidRPr="002433F3">
        <w:rPr>
          <w:lang w:val="en-US"/>
        </w:rPr>
        <w:t xml:space="preserve">the violation and </w:t>
      </w:r>
      <w:r w:rsidR="008B05E0" w:rsidRPr="002433F3">
        <w:rPr>
          <w:lang w:val="en-US"/>
        </w:rPr>
        <w:t xml:space="preserve">must </w:t>
      </w:r>
      <w:r w:rsidR="007B0DE4" w:rsidRPr="002433F3">
        <w:rPr>
          <w:lang w:val="en-US"/>
        </w:rPr>
        <w:t xml:space="preserve">be effectively applied </w:t>
      </w:r>
      <w:r w:rsidR="008B05E0" w:rsidRPr="002433F3">
        <w:rPr>
          <w:lang w:val="en-US"/>
        </w:rPr>
        <w:t>by the</w:t>
      </w:r>
      <w:r w:rsidR="0062047F" w:rsidRPr="002433F3">
        <w:rPr>
          <w:lang w:val="en-US"/>
        </w:rPr>
        <w:t xml:space="preserve"> </w:t>
      </w:r>
      <w:r w:rsidR="007B0DE4" w:rsidRPr="002433F3">
        <w:rPr>
          <w:lang w:val="en-US"/>
        </w:rPr>
        <w:t>competent authority.</w:t>
      </w:r>
      <w:r w:rsidR="007B0DE4" w:rsidRPr="002433F3">
        <w:rPr>
          <w:rStyle w:val="Refdenotaalpie"/>
          <w:szCs w:val="22"/>
          <w:lang w:val="en-US"/>
        </w:rPr>
        <w:footnoteReference w:id="128"/>
      </w:r>
      <w:r w:rsidR="00706E25" w:rsidRPr="002433F3">
        <w:rPr>
          <w:lang w:val="en-US"/>
        </w:rPr>
        <w:t>Furthermore</w:t>
      </w:r>
      <w:r w:rsidR="007B0DE4" w:rsidRPr="002433F3">
        <w:rPr>
          <w:lang w:val="en-US"/>
        </w:rPr>
        <w:t xml:space="preserve">, </w:t>
      </w:r>
      <w:r w:rsidR="0005208B" w:rsidRPr="002433F3">
        <w:rPr>
          <w:lang w:val="en-US"/>
        </w:rPr>
        <w:t xml:space="preserve">the analysis of an </w:t>
      </w:r>
      <w:r w:rsidR="007B0DE4" w:rsidRPr="002433F3">
        <w:rPr>
          <w:lang w:val="en-US"/>
        </w:rPr>
        <w:t xml:space="preserve">effective remedy </w:t>
      </w:r>
      <w:r w:rsidR="008B05E0" w:rsidRPr="002433F3">
        <w:rPr>
          <w:lang w:val="en-US"/>
        </w:rPr>
        <w:t xml:space="preserve">by the competent authority </w:t>
      </w:r>
      <w:r w:rsidR="007B0DE4" w:rsidRPr="002433F3">
        <w:rPr>
          <w:lang w:val="en-US"/>
        </w:rPr>
        <w:t>cannot</w:t>
      </w:r>
      <w:r w:rsidR="0005208B" w:rsidRPr="002433F3">
        <w:rPr>
          <w:lang w:val="en-US"/>
        </w:rPr>
        <w:t xml:space="preserve"> be reduced to a mere formality; instead it must examine the reasons invoked by the claimant and make express statements </w:t>
      </w:r>
      <w:r w:rsidR="00443656" w:rsidRPr="002433F3">
        <w:rPr>
          <w:lang w:val="en-US"/>
        </w:rPr>
        <w:t>in that regard</w:t>
      </w:r>
      <w:r w:rsidR="007B0DE4" w:rsidRPr="002433F3">
        <w:rPr>
          <w:lang w:val="en-US"/>
        </w:rPr>
        <w:t>.</w:t>
      </w:r>
      <w:r w:rsidR="007B0DE4" w:rsidRPr="002433F3">
        <w:rPr>
          <w:rStyle w:val="Refdenotaalpie"/>
          <w:lang w:val="en-US"/>
        </w:rPr>
        <w:footnoteReference w:id="129"/>
      </w:r>
    </w:p>
    <w:p w14:paraId="407FD3C4" w14:textId="77777777" w:rsidR="007B0DE4" w:rsidRPr="002433F3" w:rsidRDefault="007940CF" w:rsidP="007B0DE4">
      <w:pPr>
        <w:numPr>
          <w:ilvl w:val="0"/>
          <w:numId w:val="2"/>
        </w:numPr>
        <w:spacing w:before="120" w:after="120"/>
        <w:rPr>
          <w:lang w:val="en-US"/>
        </w:rPr>
      </w:pPr>
      <w:r w:rsidRPr="002433F3">
        <w:rPr>
          <w:lang w:val="en-US"/>
        </w:rPr>
        <w:t>T</w:t>
      </w:r>
      <w:r w:rsidR="007B0DE4" w:rsidRPr="002433F3">
        <w:rPr>
          <w:lang w:val="en-US"/>
        </w:rPr>
        <w:t xml:space="preserve">his Court has </w:t>
      </w:r>
      <w:r w:rsidR="00C17BEE" w:rsidRPr="002433F3">
        <w:rPr>
          <w:lang w:val="en-US"/>
        </w:rPr>
        <w:t xml:space="preserve">also </w:t>
      </w:r>
      <w:r w:rsidR="007B0DE4" w:rsidRPr="002433F3">
        <w:rPr>
          <w:lang w:val="en-US"/>
        </w:rPr>
        <w:t>determined that</w:t>
      </w:r>
      <w:r w:rsidR="007B0DE4" w:rsidRPr="002433F3">
        <w:rPr>
          <w:szCs w:val="20"/>
          <w:lang w:val="en-US"/>
        </w:rPr>
        <w:t xml:space="preserve"> for a remedy to be effective, it is not sufficient </w:t>
      </w:r>
      <w:r w:rsidRPr="002433F3">
        <w:rPr>
          <w:szCs w:val="20"/>
          <w:lang w:val="en-US"/>
        </w:rPr>
        <w:t xml:space="preserve">that it be provided by the </w:t>
      </w:r>
      <w:r w:rsidR="007B0DE4" w:rsidRPr="002433F3">
        <w:rPr>
          <w:szCs w:val="20"/>
          <w:lang w:val="en-US"/>
        </w:rPr>
        <w:t xml:space="preserve">Constitution or </w:t>
      </w:r>
      <w:r w:rsidRPr="002433F3">
        <w:rPr>
          <w:szCs w:val="20"/>
          <w:lang w:val="en-US"/>
        </w:rPr>
        <w:t xml:space="preserve">by </w:t>
      </w:r>
      <w:r w:rsidR="007B0DE4" w:rsidRPr="002433F3">
        <w:rPr>
          <w:szCs w:val="20"/>
          <w:lang w:val="en-US"/>
        </w:rPr>
        <w:t xml:space="preserve">law, or that </w:t>
      </w:r>
      <w:r w:rsidRPr="002433F3">
        <w:rPr>
          <w:szCs w:val="20"/>
          <w:lang w:val="en-US"/>
        </w:rPr>
        <w:t xml:space="preserve">it be </w:t>
      </w:r>
      <w:r w:rsidR="007B0DE4" w:rsidRPr="002433F3">
        <w:rPr>
          <w:szCs w:val="20"/>
          <w:lang w:val="en-US"/>
        </w:rPr>
        <w:t xml:space="preserve">formally </w:t>
      </w:r>
      <w:r w:rsidRPr="002433F3">
        <w:rPr>
          <w:szCs w:val="20"/>
          <w:lang w:val="en-US"/>
        </w:rPr>
        <w:t>recognized; rather,</w:t>
      </w:r>
      <w:r w:rsidR="0036187B" w:rsidRPr="002433F3">
        <w:rPr>
          <w:szCs w:val="20"/>
          <w:lang w:val="en-US"/>
        </w:rPr>
        <w:t xml:space="preserve"> it must </w:t>
      </w:r>
      <w:r w:rsidRPr="002433F3">
        <w:rPr>
          <w:szCs w:val="20"/>
          <w:lang w:val="en-US"/>
        </w:rPr>
        <w:t xml:space="preserve">also be truly effective in establishing </w:t>
      </w:r>
      <w:r w:rsidR="007B0DE4" w:rsidRPr="002433F3">
        <w:rPr>
          <w:rFonts w:eastAsiaTheme="minorHAnsi" w:cs="Arial"/>
          <w:lang w:val="en-US"/>
        </w:rPr>
        <w:t xml:space="preserve">whether or not there has been a violation </w:t>
      </w:r>
      <w:r w:rsidRPr="002433F3">
        <w:rPr>
          <w:rFonts w:eastAsiaTheme="minorHAnsi" w:cs="Arial"/>
          <w:lang w:val="en-US"/>
        </w:rPr>
        <w:t xml:space="preserve">of human rights </w:t>
      </w:r>
      <w:r w:rsidR="007B0DE4" w:rsidRPr="002433F3">
        <w:rPr>
          <w:rFonts w:eastAsiaTheme="minorHAnsi" w:cs="Arial"/>
          <w:lang w:val="en-US"/>
        </w:rPr>
        <w:t xml:space="preserve">and, if so, </w:t>
      </w:r>
      <w:r w:rsidRPr="002433F3">
        <w:rPr>
          <w:rFonts w:eastAsiaTheme="minorHAnsi" w:cs="Arial"/>
          <w:lang w:val="en-US"/>
        </w:rPr>
        <w:t>providing</w:t>
      </w:r>
      <w:r w:rsidR="007B0DE4" w:rsidRPr="002433F3">
        <w:rPr>
          <w:rFonts w:eastAsiaTheme="minorHAnsi" w:cs="Arial"/>
          <w:lang w:val="en-US"/>
        </w:rPr>
        <w:t xml:space="preserve"> redress</w:t>
      </w:r>
      <w:r w:rsidR="007B0DE4" w:rsidRPr="002433F3">
        <w:rPr>
          <w:szCs w:val="20"/>
          <w:lang w:val="en-US"/>
        </w:rPr>
        <w:t xml:space="preserve">. </w:t>
      </w:r>
      <w:r w:rsidRPr="002433F3">
        <w:rPr>
          <w:lang w:val="en-US"/>
        </w:rPr>
        <w:t>The</w:t>
      </w:r>
      <w:r w:rsidR="007B0DE4" w:rsidRPr="002433F3">
        <w:rPr>
          <w:lang w:val="en-US"/>
        </w:rPr>
        <w:t xml:space="preserve"> Court has also held that a remedy </w:t>
      </w:r>
      <w:r w:rsidR="008B05E0" w:rsidRPr="002433F3">
        <w:rPr>
          <w:lang w:val="en-US"/>
        </w:rPr>
        <w:t xml:space="preserve">that </w:t>
      </w:r>
      <w:r w:rsidR="007B0DE4" w:rsidRPr="002433F3">
        <w:rPr>
          <w:lang w:val="en-US"/>
        </w:rPr>
        <w:t>proves illusory because of the general conditions prevailing in the country, or even in the particular circumstances of a given case, cannot be considered effective</w:t>
      </w:r>
      <w:r w:rsidR="007B0DE4" w:rsidRPr="002433F3">
        <w:rPr>
          <w:szCs w:val="20"/>
          <w:lang w:val="en-US"/>
        </w:rPr>
        <w:t>.</w:t>
      </w:r>
      <w:r w:rsidR="007B0DE4" w:rsidRPr="002433F3">
        <w:rPr>
          <w:szCs w:val="20"/>
          <w:vertAlign w:val="superscript"/>
          <w:lang w:val="en-US"/>
        </w:rPr>
        <w:footnoteReference w:id="130"/>
      </w:r>
      <w:r w:rsidR="007B0DE4" w:rsidRPr="002433F3">
        <w:rPr>
          <w:szCs w:val="20"/>
          <w:lang w:val="en-US"/>
        </w:rPr>
        <w:t xml:space="preserve"> </w:t>
      </w:r>
      <w:r w:rsidR="0036187B" w:rsidRPr="002433F3">
        <w:rPr>
          <w:szCs w:val="20"/>
          <w:lang w:val="en-US"/>
        </w:rPr>
        <w:t xml:space="preserve">Consequently, the State has </w:t>
      </w:r>
      <w:r w:rsidR="008B05E0" w:rsidRPr="002433F3">
        <w:rPr>
          <w:lang w:val="en-US"/>
        </w:rPr>
        <w:t>the obligation to design and embody in legislation an effective recourse, and also to ensure the due application o</w:t>
      </w:r>
      <w:r w:rsidR="00C17BEE" w:rsidRPr="002433F3">
        <w:rPr>
          <w:lang w:val="en-US"/>
        </w:rPr>
        <w:t xml:space="preserve">f </w:t>
      </w:r>
      <w:r w:rsidR="008B05E0" w:rsidRPr="002433F3">
        <w:rPr>
          <w:lang w:val="en-US"/>
        </w:rPr>
        <w:t>said recourse by its judicial authorities</w:t>
      </w:r>
      <w:r w:rsidR="008B05E0" w:rsidRPr="002433F3">
        <w:t>.</w:t>
      </w:r>
      <w:r w:rsidR="007B0DE4" w:rsidRPr="002433F3">
        <w:rPr>
          <w:szCs w:val="20"/>
          <w:vertAlign w:val="superscript"/>
          <w:lang w:val="en-US"/>
        </w:rPr>
        <w:footnoteReference w:id="131"/>
      </w:r>
    </w:p>
    <w:p w14:paraId="02EBEBF6" w14:textId="77777777" w:rsidR="007B0DE4" w:rsidRPr="002433F3" w:rsidRDefault="007B0DE4" w:rsidP="007B0DE4">
      <w:pPr>
        <w:numPr>
          <w:ilvl w:val="0"/>
          <w:numId w:val="2"/>
        </w:numPr>
        <w:spacing w:before="120" w:after="120"/>
        <w:rPr>
          <w:lang w:val="en-US"/>
        </w:rPr>
      </w:pPr>
      <w:r w:rsidRPr="002433F3">
        <w:rPr>
          <w:lang w:val="en-US"/>
        </w:rPr>
        <w:t xml:space="preserve">In the instant case, the Court recalls that on March 19, 2002, Mr. Duque sent a request to COLFONDOS asking </w:t>
      </w:r>
      <w:r w:rsidR="00904907" w:rsidRPr="002433F3">
        <w:rPr>
          <w:lang w:val="en-US"/>
        </w:rPr>
        <w:t xml:space="preserve">for information on </w:t>
      </w:r>
      <w:r w:rsidR="005E60DB" w:rsidRPr="002433F3">
        <w:rPr>
          <w:lang w:val="en-US"/>
        </w:rPr>
        <w:t xml:space="preserve">the </w:t>
      </w:r>
      <w:r w:rsidRPr="002433F3">
        <w:rPr>
          <w:lang w:val="en-US"/>
        </w:rPr>
        <w:t xml:space="preserve">requirements </w:t>
      </w:r>
      <w:r w:rsidR="00A940C6" w:rsidRPr="002433F3">
        <w:rPr>
          <w:lang w:val="en-US"/>
        </w:rPr>
        <w:t xml:space="preserve">he would have to satisfy to apply for the </w:t>
      </w:r>
      <w:r w:rsidRPr="002433F3">
        <w:rPr>
          <w:lang w:val="en-US"/>
        </w:rPr>
        <w:t xml:space="preserve">survivor’s pension of </w:t>
      </w:r>
      <w:r w:rsidR="007661E0" w:rsidRPr="002433F3">
        <w:rPr>
          <w:lang w:val="en-US"/>
        </w:rPr>
        <w:t xml:space="preserve">his </w:t>
      </w:r>
      <w:r w:rsidRPr="002433F3">
        <w:rPr>
          <w:lang w:val="en-US"/>
        </w:rPr>
        <w:t xml:space="preserve">partner </w:t>
      </w:r>
      <w:r w:rsidR="00DA1CFE" w:rsidRPr="002433F3">
        <w:rPr>
          <w:lang w:val="en-US"/>
        </w:rPr>
        <w:t>JOJG</w:t>
      </w:r>
      <w:r w:rsidRPr="002433F3">
        <w:rPr>
          <w:lang w:val="en-US"/>
        </w:rPr>
        <w:t xml:space="preserve"> (</w:t>
      </w:r>
      <w:r w:rsidRPr="002433F3">
        <w:rPr>
          <w:i/>
          <w:lang w:val="en-US"/>
        </w:rPr>
        <w:t>supra</w:t>
      </w:r>
      <w:r w:rsidRPr="002433F3">
        <w:rPr>
          <w:lang w:val="en-US"/>
        </w:rPr>
        <w:t xml:space="preserve"> para. 70). </w:t>
      </w:r>
      <w:r w:rsidR="007661E0" w:rsidRPr="002433F3">
        <w:rPr>
          <w:lang w:val="en-US"/>
        </w:rPr>
        <w:t>O</w:t>
      </w:r>
      <w:r w:rsidRPr="002433F3">
        <w:rPr>
          <w:lang w:val="en-US"/>
        </w:rPr>
        <w:t>n April 3, 2002, COLFONDOS re</w:t>
      </w:r>
      <w:r w:rsidR="00A940C6" w:rsidRPr="002433F3">
        <w:rPr>
          <w:lang w:val="en-US"/>
        </w:rPr>
        <w:t xml:space="preserve">sponded to </w:t>
      </w:r>
      <w:r w:rsidRPr="002433F3">
        <w:rPr>
          <w:lang w:val="en-US"/>
        </w:rPr>
        <w:t xml:space="preserve">Mr. Duque’s inquiry </w:t>
      </w:r>
      <w:r w:rsidR="00D94600" w:rsidRPr="002433F3">
        <w:rPr>
          <w:lang w:val="en-US"/>
        </w:rPr>
        <w:t xml:space="preserve">stating </w:t>
      </w:r>
      <w:r w:rsidRPr="002433F3">
        <w:rPr>
          <w:lang w:val="en-US"/>
        </w:rPr>
        <w:t>that he did not qualify as a legal beneficiary of the survivor’s pension (</w:t>
      </w:r>
      <w:r w:rsidRPr="002433F3">
        <w:rPr>
          <w:i/>
          <w:lang w:val="en-US"/>
        </w:rPr>
        <w:t>supra</w:t>
      </w:r>
      <w:r w:rsidRPr="002433F3">
        <w:rPr>
          <w:lang w:val="en-US"/>
        </w:rPr>
        <w:t xml:space="preserve"> para. 70). </w:t>
      </w:r>
      <w:r w:rsidR="007661E0" w:rsidRPr="002433F3">
        <w:rPr>
          <w:lang w:val="en-US"/>
        </w:rPr>
        <w:t xml:space="preserve">In view of the negative response from </w:t>
      </w:r>
      <w:r w:rsidRPr="002433F3">
        <w:rPr>
          <w:lang w:val="en-US"/>
        </w:rPr>
        <w:t xml:space="preserve">COLFONDOS, Mr. Duque filed a </w:t>
      </w:r>
      <w:r w:rsidRPr="002433F3">
        <w:rPr>
          <w:i/>
          <w:lang w:val="en-US"/>
        </w:rPr>
        <w:t>tutela</w:t>
      </w:r>
      <w:r w:rsidRPr="002433F3">
        <w:rPr>
          <w:lang w:val="en-US"/>
        </w:rPr>
        <w:t xml:space="preserve"> action </w:t>
      </w:r>
      <w:r w:rsidR="007661E0" w:rsidRPr="002433F3">
        <w:rPr>
          <w:lang w:val="en-US"/>
        </w:rPr>
        <w:t xml:space="preserve">on April 26, 2002, </w:t>
      </w:r>
      <w:r w:rsidRPr="002433F3">
        <w:rPr>
          <w:lang w:val="en-US"/>
        </w:rPr>
        <w:t xml:space="preserve">requesting </w:t>
      </w:r>
      <w:r w:rsidR="00D94600" w:rsidRPr="002433F3">
        <w:rPr>
          <w:lang w:val="en-US"/>
        </w:rPr>
        <w:t xml:space="preserve">recognition and payment of a substitute </w:t>
      </w:r>
      <w:r w:rsidR="007661E0" w:rsidRPr="002433F3">
        <w:rPr>
          <w:lang w:val="en-US"/>
        </w:rPr>
        <w:t xml:space="preserve">pension </w:t>
      </w:r>
      <w:r w:rsidR="00D94600" w:rsidRPr="002433F3">
        <w:rPr>
          <w:lang w:val="en-US"/>
        </w:rPr>
        <w:t xml:space="preserve">within 48 hours </w:t>
      </w:r>
      <w:r w:rsidR="009D2425" w:rsidRPr="002433F3">
        <w:rPr>
          <w:lang w:val="en-US"/>
        </w:rPr>
        <w:t>as a temporary measure while the respective legal action was brought</w:t>
      </w:r>
      <w:r w:rsidRPr="002433F3">
        <w:rPr>
          <w:lang w:val="en-US"/>
        </w:rPr>
        <w:t>.</w:t>
      </w:r>
    </w:p>
    <w:p w14:paraId="2FC7E31B" w14:textId="77777777" w:rsidR="007B0DE4" w:rsidRPr="002433F3" w:rsidRDefault="009D2425" w:rsidP="007B0DE4">
      <w:pPr>
        <w:numPr>
          <w:ilvl w:val="0"/>
          <w:numId w:val="2"/>
        </w:numPr>
        <w:spacing w:before="120" w:after="120"/>
        <w:rPr>
          <w:lang w:val="en-US"/>
        </w:rPr>
      </w:pPr>
      <w:r w:rsidRPr="002433F3">
        <w:rPr>
          <w:lang w:val="en-US"/>
        </w:rPr>
        <w:t xml:space="preserve">On June </w:t>
      </w:r>
      <w:r w:rsidR="007B0DE4" w:rsidRPr="002433F3">
        <w:rPr>
          <w:lang w:val="en-US"/>
        </w:rPr>
        <w:t>5</w:t>
      </w:r>
      <w:r w:rsidRPr="002433F3">
        <w:rPr>
          <w:lang w:val="en-US"/>
        </w:rPr>
        <w:t>,</w:t>
      </w:r>
      <w:r w:rsidR="007B0DE4" w:rsidRPr="002433F3">
        <w:rPr>
          <w:lang w:val="en-US"/>
        </w:rPr>
        <w:t xml:space="preserve"> 2002</w:t>
      </w:r>
      <w:r w:rsidRPr="002433F3">
        <w:rPr>
          <w:lang w:val="en-US"/>
        </w:rPr>
        <w:t xml:space="preserve">, the </w:t>
      </w:r>
      <w:r w:rsidR="007B0DE4" w:rsidRPr="002433F3">
        <w:rPr>
          <w:lang w:val="en-US"/>
        </w:rPr>
        <w:t xml:space="preserve">Tenth Municipal Civil Court of Bogotá </w:t>
      </w:r>
      <w:r w:rsidR="008B05E0" w:rsidRPr="002433F3">
        <w:rPr>
          <w:lang w:val="en-US"/>
        </w:rPr>
        <w:t xml:space="preserve">rejected </w:t>
      </w:r>
      <w:r w:rsidRPr="002433F3">
        <w:rPr>
          <w:lang w:val="en-US"/>
        </w:rPr>
        <w:t xml:space="preserve">the </w:t>
      </w:r>
      <w:r w:rsidRPr="002433F3">
        <w:rPr>
          <w:i/>
          <w:lang w:val="en-US"/>
        </w:rPr>
        <w:t>tutela</w:t>
      </w:r>
      <w:r w:rsidRPr="002433F3">
        <w:rPr>
          <w:lang w:val="en-US"/>
        </w:rPr>
        <w:t xml:space="preserve"> action</w:t>
      </w:r>
      <w:r w:rsidR="00017CD1" w:rsidRPr="002433F3">
        <w:rPr>
          <w:lang w:val="en-US"/>
        </w:rPr>
        <w:t>, stating</w:t>
      </w:r>
      <w:r w:rsidRPr="002433F3">
        <w:rPr>
          <w:lang w:val="en-US"/>
        </w:rPr>
        <w:t xml:space="preserve"> </w:t>
      </w:r>
      <w:r w:rsidR="00017CD1" w:rsidRPr="002433F3">
        <w:rPr>
          <w:lang w:val="en-US"/>
        </w:rPr>
        <w:t>that</w:t>
      </w:r>
      <w:r w:rsidRPr="002433F3">
        <w:rPr>
          <w:lang w:val="en-US"/>
        </w:rPr>
        <w:t xml:space="preserve"> “the</w:t>
      </w:r>
      <w:r w:rsidR="007B0DE4" w:rsidRPr="002433F3">
        <w:rPr>
          <w:lang w:val="en-US"/>
        </w:rPr>
        <w:t xml:space="preserve"> action is </w:t>
      </w:r>
      <w:r w:rsidR="00443656" w:rsidRPr="002433F3">
        <w:rPr>
          <w:lang w:val="en-US"/>
        </w:rPr>
        <w:t xml:space="preserve">out of order </w:t>
      </w:r>
      <w:r w:rsidR="007B0DE4" w:rsidRPr="002433F3">
        <w:rPr>
          <w:lang w:val="en-US"/>
        </w:rPr>
        <w:t xml:space="preserve">[…] </w:t>
      </w:r>
      <w:r w:rsidRPr="002433F3">
        <w:rPr>
          <w:lang w:val="en-US"/>
        </w:rPr>
        <w:t xml:space="preserve">given </w:t>
      </w:r>
      <w:r w:rsidR="007B0DE4" w:rsidRPr="002433F3">
        <w:rPr>
          <w:lang w:val="en-US"/>
        </w:rPr>
        <w:t xml:space="preserve">that the </w:t>
      </w:r>
      <w:r w:rsidRPr="002433F3">
        <w:rPr>
          <w:lang w:val="en-US"/>
        </w:rPr>
        <w:t xml:space="preserve">petitioner’s </w:t>
      </w:r>
      <w:r w:rsidR="00443656" w:rsidRPr="002433F3">
        <w:rPr>
          <w:lang w:val="en-US"/>
        </w:rPr>
        <w:t xml:space="preserve">claim </w:t>
      </w:r>
      <w:r w:rsidRPr="002433F3">
        <w:rPr>
          <w:lang w:val="en-US"/>
        </w:rPr>
        <w:t xml:space="preserve">can be </w:t>
      </w:r>
      <w:r w:rsidR="007B0DE4" w:rsidRPr="002433F3">
        <w:rPr>
          <w:lang w:val="en-US"/>
        </w:rPr>
        <w:t>resolve</w:t>
      </w:r>
      <w:r w:rsidRPr="002433F3">
        <w:rPr>
          <w:lang w:val="en-US"/>
        </w:rPr>
        <w:t xml:space="preserve">d </w:t>
      </w:r>
      <w:r w:rsidR="007B0DE4" w:rsidRPr="002433F3">
        <w:rPr>
          <w:lang w:val="en-US"/>
        </w:rPr>
        <w:t xml:space="preserve">through </w:t>
      </w:r>
      <w:r w:rsidR="00C14F5A" w:rsidRPr="002433F3">
        <w:rPr>
          <w:lang w:val="en-US"/>
        </w:rPr>
        <w:t>the</w:t>
      </w:r>
      <w:r w:rsidR="007B0DE4" w:rsidRPr="002433F3">
        <w:rPr>
          <w:lang w:val="en-US"/>
        </w:rPr>
        <w:t xml:space="preserve"> judicial </w:t>
      </w:r>
      <w:r w:rsidR="00C14F5A" w:rsidRPr="002433F3">
        <w:rPr>
          <w:lang w:val="en-US"/>
        </w:rPr>
        <w:t>proce</w:t>
      </w:r>
      <w:r w:rsidR="00443656" w:rsidRPr="002433F3">
        <w:rPr>
          <w:lang w:val="en-US"/>
        </w:rPr>
        <w:t xml:space="preserve">sses prescribed </w:t>
      </w:r>
      <w:r w:rsidR="00C14F5A" w:rsidRPr="002433F3">
        <w:rPr>
          <w:lang w:val="en-US"/>
        </w:rPr>
        <w:t>by law</w:t>
      </w:r>
      <w:r w:rsidR="007B0DE4" w:rsidRPr="002433F3">
        <w:rPr>
          <w:lang w:val="en-US"/>
        </w:rPr>
        <w:t>, (</w:t>
      </w:r>
      <w:r w:rsidR="00443656" w:rsidRPr="002433F3">
        <w:rPr>
          <w:lang w:val="en-US"/>
        </w:rPr>
        <w:t xml:space="preserve">the </w:t>
      </w:r>
      <w:r w:rsidR="007B0DE4" w:rsidRPr="002433F3">
        <w:rPr>
          <w:lang w:val="en-US"/>
        </w:rPr>
        <w:t>contentious-administrative</w:t>
      </w:r>
      <w:r w:rsidRPr="002433F3">
        <w:rPr>
          <w:lang w:val="en-US"/>
        </w:rPr>
        <w:t xml:space="preserve"> court</w:t>
      </w:r>
      <w:r w:rsidR="00443656" w:rsidRPr="002433F3">
        <w:rPr>
          <w:lang w:val="en-US"/>
        </w:rPr>
        <w:t>s</w:t>
      </w:r>
      <w:r w:rsidR="007B0DE4" w:rsidRPr="002433F3">
        <w:rPr>
          <w:lang w:val="en-US"/>
        </w:rPr>
        <w:t xml:space="preserve">) and/or </w:t>
      </w:r>
      <w:r w:rsidR="00443656" w:rsidRPr="002433F3">
        <w:rPr>
          <w:lang w:val="en-US"/>
        </w:rPr>
        <w:t xml:space="preserve">by filing </w:t>
      </w:r>
      <w:r w:rsidR="008B05E0" w:rsidRPr="002433F3">
        <w:rPr>
          <w:lang w:val="en-US"/>
        </w:rPr>
        <w:t xml:space="preserve">petitions for </w:t>
      </w:r>
      <w:r w:rsidR="00443656" w:rsidRPr="002433F3">
        <w:rPr>
          <w:lang w:val="en-US"/>
        </w:rPr>
        <w:t>re</w:t>
      </w:r>
      <w:r w:rsidR="00017CD1" w:rsidRPr="002433F3">
        <w:rPr>
          <w:lang w:val="en-US"/>
        </w:rPr>
        <w:t xml:space="preserve">consideration </w:t>
      </w:r>
      <w:r w:rsidR="00443656" w:rsidRPr="002433F3">
        <w:rPr>
          <w:lang w:val="en-US"/>
        </w:rPr>
        <w:t>(</w:t>
      </w:r>
      <w:r w:rsidR="00443656" w:rsidRPr="002433F3">
        <w:rPr>
          <w:i/>
          <w:lang w:val="en-US"/>
        </w:rPr>
        <w:t>reposició</w:t>
      </w:r>
      <w:r w:rsidR="007B0DE4" w:rsidRPr="002433F3">
        <w:rPr>
          <w:i/>
          <w:lang w:val="en-US"/>
        </w:rPr>
        <w:t>n</w:t>
      </w:r>
      <w:r w:rsidR="00443656" w:rsidRPr="002433F3">
        <w:rPr>
          <w:lang w:val="en-US"/>
        </w:rPr>
        <w:t>)</w:t>
      </w:r>
      <w:r w:rsidR="008B05E0" w:rsidRPr="002433F3">
        <w:rPr>
          <w:lang w:val="en-US"/>
        </w:rPr>
        <w:t xml:space="preserve"> or appeal</w:t>
      </w:r>
      <w:r w:rsidR="00443656" w:rsidRPr="002433F3">
        <w:rPr>
          <w:lang w:val="en-US"/>
        </w:rPr>
        <w:t xml:space="preserve">, within the </w:t>
      </w:r>
      <w:r w:rsidR="008B05E0" w:rsidRPr="002433F3">
        <w:rPr>
          <w:lang w:val="en-US"/>
        </w:rPr>
        <w:t xml:space="preserve">statutory period, to challenge </w:t>
      </w:r>
      <w:r w:rsidR="00443656" w:rsidRPr="002433F3">
        <w:rPr>
          <w:lang w:val="en-US"/>
        </w:rPr>
        <w:t xml:space="preserve">COLFONDOS’ decision of </w:t>
      </w:r>
      <w:r w:rsidR="007B0DE4" w:rsidRPr="002433F3">
        <w:rPr>
          <w:lang w:val="en-US"/>
        </w:rPr>
        <w:t>April 3, 2002</w:t>
      </w:r>
      <w:r w:rsidR="00443656" w:rsidRPr="002433F3">
        <w:rPr>
          <w:lang w:val="en-US"/>
        </w:rPr>
        <w:t>.</w:t>
      </w:r>
      <w:r w:rsidR="000C05AA" w:rsidRPr="002433F3">
        <w:rPr>
          <w:lang w:val="en-US"/>
        </w:rPr>
        <w:t xml:space="preserve"> The </w:t>
      </w:r>
      <w:r w:rsidR="008B05E0" w:rsidRPr="002433F3">
        <w:rPr>
          <w:lang w:val="en-US"/>
        </w:rPr>
        <w:t>dispute</w:t>
      </w:r>
      <w:r w:rsidR="007B0DE4" w:rsidRPr="002433F3">
        <w:rPr>
          <w:lang w:val="en-US"/>
        </w:rPr>
        <w:t xml:space="preserve"> </w:t>
      </w:r>
      <w:r w:rsidR="000C05AA" w:rsidRPr="002433F3">
        <w:rPr>
          <w:lang w:val="en-US"/>
        </w:rPr>
        <w:t xml:space="preserve">that the petitioner presents </w:t>
      </w:r>
      <w:r w:rsidR="00A27D1F" w:rsidRPr="002433F3">
        <w:rPr>
          <w:lang w:val="en-US"/>
        </w:rPr>
        <w:t xml:space="preserve">is </w:t>
      </w:r>
      <w:r w:rsidR="00017CD1" w:rsidRPr="002433F3">
        <w:rPr>
          <w:lang w:val="en-US"/>
        </w:rPr>
        <w:t xml:space="preserve">of a statutory </w:t>
      </w:r>
      <w:r w:rsidR="00311F78" w:rsidRPr="002433F3">
        <w:rPr>
          <w:lang w:val="en-US"/>
        </w:rPr>
        <w:t xml:space="preserve">nature and a </w:t>
      </w:r>
      <w:r w:rsidR="007B0DE4" w:rsidRPr="002433F3">
        <w:rPr>
          <w:i/>
          <w:lang w:val="en-US"/>
        </w:rPr>
        <w:t xml:space="preserve">tutela </w:t>
      </w:r>
      <w:r w:rsidR="007B0DE4" w:rsidRPr="002433F3">
        <w:rPr>
          <w:lang w:val="en-US"/>
        </w:rPr>
        <w:t xml:space="preserve">action </w:t>
      </w:r>
      <w:r w:rsidR="002C4985" w:rsidRPr="002433F3">
        <w:rPr>
          <w:lang w:val="en-US"/>
        </w:rPr>
        <w:t xml:space="preserve">is not </w:t>
      </w:r>
      <w:r w:rsidR="00017CD1" w:rsidRPr="002433F3">
        <w:rPr>
          <w:lang w:val="en-US"/>
        </w:rPr>
        <w:t xml:space="preserve">the appropriate means to </w:t>
      </w:r>
      <w:r w:rsidR="002C4985" w:rsidRPr="002433F3">
        <w:rPr>
          <w:lang w:val="en-US"/>
        </w:rPr>
        <w:t>obtain recognition of the right to a pension. This must be done through ordinary proceedings</w:t>
      </w:r>
      <w:r w:rsidR="007B0DE4" w:rsidRPr="002433F3">
        <w:rPr>
          <w:lang w:val="en-US"/>
        </w:rPr>
        <w:t xml:space="preserve">, </w:t>
      </w:r>
      <w:r w:rsidR="00A27D1F" w:rsidRPr="002433F3">
        <w:rPr>
          <w:lang w:val="en-US"/>
        </w:rPr>
        <w:t>if that right</w:t>
      </w:r>
      <w:r w:rsidR="002C4985" w:rsidRPr="002433F3">
        <w:rPr>
          <w:lang w:val="en-US"/>
        </w:rPr>
        <w:t xml:space="preserve"> is to be ultimately </w:t>
      </w:r>
      <w:r w:rsidR="007B0DE4" w:rsidRPr="002433F3">
        <w:rPr>
          <w:lang w:val="en-US"/>
        </w:rPr>
        <w:t>recognize</w:t>
      </w:r>
      <w:r w:rsidR="002C4985" w:rsidRPr="002433F3">
        <w:rPr>
          <w:lang w:val="en-US"/>
        </w:rPr>
        <w:t>d</w:t>
      </w:r>
      <w:r w:rsidR="007B0DE4" w:rsidRPr="002433F3">
        <w:rPr>
          <w:lang w:val="en-US"/>
        </w:rPr>
        <w:t xml:space="preserve">. </w:t>
      </w:r>
      <w:r w:rsidR="002C4985" w:rsidRPr="002433F3">
        <w:rPr>
          <w:lang w:val="en-US"/>
        </w:rPr>
        <w:t xml:space="preserve">In this </w:t>
      </w:r>
      <w:r w:rsidR="007B0DE4" w:rsidRPr="002433F3">
        <w:rPr>
          <w:lang w:val="en-US" w:eastAsia="es-CR"/>
        </w:rPr>
        <w:t>re</w:t>
      </w:r>
      <w:r w:rsidR="002C4985" w:rsidRPr="002433F3">
        <w:rPr>
          <w:lang w:val="en-US" w:eastAsia="es-CR"/>
        </w:rPr>
        <w:t xml:space="preserve">gard, </w:t>
      </w:r>
      <w:r w:rsidR="007B0DE4" w:rsidRPr="002433F3">
        <w:rPr>
          <w:lang w:val="en-US" w:eastAsia="es-CR"/>
        </w:rPr>
        <w:t xml:space="preserve">Article </w:t>
      </w:r>
      <w:r w:rsidR="002C4985" w:rsidRPr="002433F3">
        <w:rPr>
          <w:lang w:val="en-US" w:eastAsia="es-CR"/>
        </w:rPr>
        <w:t xml:space="preserve">6 </w:t>
      </w:r>
      <w:r w:rsidR="006A4F61" w:rsidRPr="002433F3">
        <w:rPr>
          <w:lang w:val="en-US" w:eastAsia="es-CR"/>
        </w:rPr>
        <w:t>of Decree</w:t>
      </w:r>
      <w:r w:rsidR="00A27D1F" w:rsidRPr="002433F3">
        <w:rPr>
          <w:lang w:val="en-US" w:eastAsia="es-CR"/>
        </w:rPr>
        <w:t xml:space="preserve"> 2591/91, establishes</w:t>
      </w:r>
      <w:r w:rsidR="007B0DE4" w:rsidRPr="002433F3">
        <w:rPr>
          <w:lang w:val="en-US" w:eastAsia="es-CR"/>
        </w:rPr>
        <w:t xml:space="preserve"> </w:t>
      </w:r>
      <w:r w:rsidR="001F45EA" w:rsidRPr="002433F3">
        <w:rPr>
          <w:lang w:val="en-US" w:eastAsia="es-CR"/>
        </w:rPr>
        <w:lastRenderedPageBreak/>
        <w:t xml:space="preserve">the </w:t>
      </w:r>
      <w:r w:rsidR="007B0DE4" w:rsidRPr="002433F3">
        <w:rPr>
          <w:lang w:val="en-US" w:eastAsia="es-CR"/>
        </w:rPr>
        <w:t>i</w:t>
      </w:r>
      <w:r w:rsidR="006A4F61" w:rsidRPr="002433F3">
        <w:rPr>
          <w:lang w:val="en-US" w:eastAsia="es-CR"/>
        </w:rPr>
        <w:t xml:space="preserve">nadmissibility </w:t>
      </w:r>
      <w:r w:rsidR="007B0DE4" w:rsidRPr="002433F3">
        <w:rPr>
          <w:lang w:val="en-US" w:eastAsia="es-CR"/>
        </w:rPr>
        <w:t xml:space="preserve">of the </w:t>
      </w:r>
      <w:r w:rsidR="007B0DE4" w:rsidRPr="002433F3">
        <w:rPr>
          <w:i/>
          <w:lang w:val="en-US" w:eastAsia="es-CR"/>
        </w:rPr>
        <w:t>tutela</w:t>
      </w:r>
      <w:r w:rsidR="006A4F61" w:rsidRPr="002433F3">
        <w:rPr>
          <w:lang w:val="en-US" w:eastAsia="es-CR"/>
        </w:rPr>
        <w:t xml:space="preserve"> action</w:t>
      </w:r>
      <w:r w:rsidR="007B0DE4" w:rsidRPr="002433F3">
        <w:rPr>
          <w:lang w:val="en-US" w:eastAsia="es-CR"/>
        </w:rPr>
        <w:t xml:space="preserve"> when other </w:t>
      </w:r>
      <w:r w:rsidR="006A4F61" w:rsidRPr="002433F3">
        <w:rPr>
          <w:lang w:val="en-US" w:eastAsia="es-CR"/>
        </w:rPr>
        <w:t xml:space="preserve">legal defense </w:t>
      </w:r>
      <w:r w:rsidR="007B0DE4" w:rsidRPr="002433F3">
        <w:rPr>
          <w:lang w:val="en-US" w:eastAsia="es-CR"/>
        </w:rPr>
        <w:t xml:space="preserve">mechanisms </w:t>
      </w:r>
      <w:r w:rsidR="006A4F61" w:rsidRPr="002433F3">
        <w:rPr>
          <w:lang w:val="en-US" w:eastAsia="es-CR"/>
        </w:rPr>
        <w:t>are available.</w:t>
      </w:r>
      <w:r w:rsidR="007B0DE4" w:rsidRPr="002433F3">
        <w:rPr>
          <w:lang w:val="en-US" w:eastAsia="es-CR"/>
        </w:rPr>
        <w:t>”</w:t>
      </w:r>
      <w:r w:rsidR="007B0DE4" w:rsidRPr="002433F3">
        <w:rPr>
          <w:lang w:val="en-US"/>
        </w:rPr>
        <w:t xml:space="preserve"> (</w:t>
      </w:r>
      <w:r w:rsidR="007B0DE4" w:rsidRPr="002433F3">
        <w:rPr>
          <w:i/>
          <w:lang w:val="en-US"/>
        </w:rPr>
        <w:t>supra</w:t>
      </w:r>
      <w:r w:rsidR="007B0DE4" w:rsidRPr="002433F3">
        <w:rPr>
          <w:lang w:val="en-US"/>
        </w:rPr>
        <w:t xml:space="preserve"> para. 78).</w:t>
      </w:r>
    </w:p>
    <w:p w14:paraId="22605921" w14:textId="77777777" w:rsidR="007B0DE4" w:rsidRPr="002433F3" w:rsidRDefault="000C05AA" w:rsidP="007B0DE4">
      <w:pPr>
        <w:numPr>
          <w:ilvl w:val="0"/>
          <w:numId w:val="2"/>
        </w:numPr>
        <w:spacing w:before="120" w:after="120"/>
        <w:rPr>
          <w:lang w:val="en-US"/>
        </w:rPr>
      </w:pPr>
      <w:r w:rsidRPr="002433F3">
        <w:rPr>
          <w:lang w:val="en-US"/>
        </w:rPr>
        <w:t xml:space="preserve">Although </w:t>
      </w:r>
      <w:r w:rsidR="001F45EA" w:rsidRPr="002433F3">
        <w:rPr>
          <w:lang w:val="en-US"/>
        </w:rPr>
        <w:t xml:space="preserve">Mr. Duque challenged the court’s </w:t>
      </w:r>
      <w:r w:rsidR="00BA2D11" w:rsidRPr="002433F3">
        <w:rPr>
          <w:lang w:val="en-US"/>
        </w:rPr>
        <w:t>decision i</w:t>
      </w:r>
      <w:r w:rsidR="009D2425" w:rsidRPr="002433F3">
        <w:rPr>
          <w:lang w:val="en-US"/>
        </w:rPr>
        <w:t xml:space="preserve">n the </w:t>
      </w:r>
      <w:r w:rsidR="007B0DE4" w:rsidRPr="002433F3">
        <w:rPr>
          <w:i/>
          <w:lang w:val="en-US"/>
        </w:rPr>
        <w:t>tutela</w:t>
      </w:r>
      <w:r w:rsidR="007B0DE4" w:rsidRPr="002433F3">
        <w:rPr>
          <w:lang w:val="en-US"/>
        </w:rPr>
        <w:t xml:space="preserve"> </w:t>
      </w:r>
      <w:r w:rsidR="009D2425" w:rsidRPr="002433F3">
        <w:rPr>
          <w:lang w:val="en-US"/>
        </w:rPr>
        <w:t>action</w:t>
      </w:r>
      <w:r w:rsidRPr="002433F3">
        <w:rPr>
          <w:lang w:val="en-US"/>
        </w:rPr>
        <w:t>,</w:t>
      </w:r>
      <w:r w:rsidR="001F45EA" w:rsidRPr="002433F3">
        <w:rPr>
          <w:lang w:val="en-US"/>
        </w:rPr>
        <w:t xml:space="preserve"> the Twelfth Civil Court of the Bogotá Circuit </w:t>
      </w:r>
      <w:r w:rsidR="009D2425" w:rsidRPr="002433F3">
        <w:rPr>
          <w:lang w:val="en-US"/>
        </w:rPr>
        <w:t xml:space="preserve">upheld </w:t>
      </w:r>
      <w:r w:rsidR="001F45EA" w:rsidRPr="002433F3">
        <w:rPr>
          <w:lang w:val="en-US"/>
        </w:rPr>
        <w:t xml:space="preserve">the ruling, in its entirety, </w:t>
      </w:r>
      <w:r w:rsidR="009D2425" w:rsidRPr="002433F3">
        <w:rPr>
          <w:lang w:val="en-US"/>
        </w:rPr>
        <w:t xml:space="preserve">on </w:t>
      </w:r>
      <w:r w:rsidR="007B0DE4" w:rsidRPr="002433F3">
        <w:rPr>
          <w:lang w:val="en-US"/>
        </w:rPr>
        <w:t xml:space="preserve">July </w:t>
      </w:r>
      <w:r w:rsidR="009D2425" w:rsidRPr="002433F3">
        <w:rPr>
          <w:lang w:val="en-US"/>
        </w:rPr>
        <w:t xml:space="preserve">19, </w:t>
      </w:r>
      <w:r w:rsidR="007B0DE4" w:rsidRPr="002433F3">
        <w:rPr>
          <w:lang w:val="en-US"/>
        </w:rPr>
        <w:t>2002</w:t>
      </w:r>
      <w:r w:rsidR="009D2425" w:rsidRPr="002433F3">
        <w:rPr>
          <w:lang w:val="en-US"/>
        </w:rPr>
        <w:t>,</w:t>
      </w:r>
      <w:r w:rsidR="001F45EA" w:rsidRPr="002433F3">
        <w:rPr>
          <w:lang w:val="en-US"/>
        </w:rPr>
        <w:t xml:space="preserve"> </w:t>
      </w:r>
      <w:r w:rsidR="007B0DE4" w:rsidRPr="002433F3">
        <w:rPr>
          <w:lang w:val="en-US"/>
        </w:rPr>
        <w:t>indicat</w:t>
      </w:r>
      <w:r w:rsidR="001F45EA" w:rsidRPr="002433F3">
        <w:rPr>
          <w:lang w:val="en-US"/>
        </w:rPr>
        <w:t xml:space="preserve">ing the </w:t>
      </w:r>
      <w:r w:rsidR="007B0DE4" w:rsidRPr="002433F3">
        <w:rPr>
          <w:lang w:val="en-US"/>
        </w:rPr>
        <w:t>following: “</w:t>
      </w:r>
      <w:r w:rsidR="007B0DE4" w:rsidRPr="002433F3">
        <w:rPr>
          <w:rFonts w:cs="Calibri"/>
          <w:spacing w:val="-3"/>
          <w:lang w:val="en-US"/>
        </w:rPr>
        <w:t xml:space="preserve">[n]o </w:t>
      </w:r>
      <w:r w:rsidR="001F45EA" w:rsidRPr="002433F3">
        <w:rPr>
          <w:szCs w:val="20"/>
          <w:lang w:val="en-US"/>
        </w:rPr>
        <w:t>violation of fundamental constitutional rights was committed. Furthermore</w:t>
      </w:r>
      <w:r w:rsidR="005E60DB" w:rsidRPr="002433F3">
        <w:rPr>
          <w:szCs w:val="20"/>
          <w:lang w:val="en-US"/>
        </w:rPr>
        <w:t>, this</w:t>
      </w:r>
      <w:r w:rsidR="001F45EA" w:rsidRPr="002433F3">
        <w:rPr>
          <w:szCs w:val="20"/>
          <w:lang w:val="en-US"/>
        </w:rPr>
        <w:t xml:space="preserve"> was an attempt to obtain, by means of constitutional </w:t>
      </w:r>
      <w:r w:rsidR="001F45EA" w:rsidRPr="002433F3">
        <w:rPr>
          <w:i/>
          <w:iCs/>
          <w:szCs w:val="20"/>
          <w:lang w:val="en-US"/>
        </w:rPr>
        <w:t xml:space="preserve">amparo, </w:t>
      </w:r>
      <w:r w:rsidR="001F45EA" w:rsidRPr="002433F3">
        <w:rPr>
          <w:szCs w:val="20"/>
          <w:lang w:val="en-US"/>
        </w:rPr>
        <w:t xml:space="preserve">protection of </w:t>
      </w:r>
      <w:r w:rsidRPr="002433F3">
        <w:rPr>
          <w:szCs w:val="20"/>
          <w:lang w:val="en-US"/>
        </w:rPr>
        <w:t xml:space="preserve">rights that are </w:t>
      </w:r>
      <w:r w:rsidR="001F45EA" w:rsidRPr="002433F3">
        <w:rPr>
          <w:szCs w:val="20"/>
          <w:lang w:val="en-US"/>
        </w:rPr>
        <w:t xml:space="preserve">eminently </w:t>
      </w:r>
      <w:r w:rsidRPr="002433F3">
        <w:rPr>
          <w:szCs w:val="20"/>
          <w:lang w:val="en-US"/>
        </w:rPr>
        <w:t>patrimonial in nature</w:t>
      </w:r>
      <w:r w:rsidR="001F45EA" w:rsidRPr="002433F3">
        <w:rPr>
          <w:szCs w:val="20"/>
          <w:lang w:val="en-US"/>
        </w:rPr>
        <w:t>.</w:t>
      </w:r>
      <w:r w:rsidR="007B0DE4" w:rsidRPr="002433F3">
        <w:rPr>
          <w:rFonts w:cs="Calibri"/>
          <w:spacing w:val="-3"/>
          <w:lang w:val="en-US"/>
        </w:rPr>
        <w:t xml:space="preserve"> </w:t>
      </w:r>
      <w:r w:rsidR="001F45EA" w:rsidRPr="002433F3">
        <w:rPr>
          <w:szCs w:val="20"/>
          <w:lang w:val="en-US"/>
        </w:rPr>
        <w:t xml:space="preserve">Constitutional </w:t>
      </w:r>
      <w:r w:rsidR="001F45EA" w:rsidRPr="002433F3">
        <w:rPr>
          <w:i/>
          <w:iCs/>
          <w:szCs w:val="20"/>
          <w:lang w:val="en-US"/>
        </w:rPr>
        <w:t xml:space="preserve">amparo </w:t>
      </w:r>
      <w:r w:rsidR="001F45EA" w:rsidRPr="002433F3">
        <w:rPr>
          <w:szCs w:val="20"/>
          <w:lang w:val="en-US"/>
        </w:rPr>
        <w:t xml:space="preserve">cannot be sought or granted with respect to social benefits, </w:t>
      </w:r>
      <w:r w:rsidRPr="002433F3">
        <w:rPr>
          <w:szCs w:val="20"/>
          <w:lang w:val="en-US"/>
        </w:rPr>
        <w:t xml:space="preserve">which are </w:t>
      </w:r>
      <w:r w:rsidR="001F45EA" w:rsidRPr="002433F3">
        <w:rPr>
          <w:szCs w:val="20"/>
          <w:lang w:val="en-US"/>
        </w:rPr>
        <w:t xml:space="preserve">rights whose immediate source is the law; </w:t>
      </w:r>
      <w:r w:rsidRPr="002433F3">
        <w:rPr>
          <w:szCs w:val="20"/>
          <w:lang w:val="en-US"/>
        </w:rPr>
        <w:t>thus</w:t>
      </w:r>
      <w:r w:rsidR="001F45EA" w:rsidRPr="002433F3">
        <w:rPr>
          <w:szCs w:val="20"/>
          <w:lang w:val="en-US"/>
        </w:rPr>
        <w:t xml:space="preserve">, it is logical that such rights </w:t>
      </w:r>
      <w:r w:rsidR="00BA2D11" w:rsidRPr="002433F3">
        <w:rPr>
          <w:szCs w:val="20"/>
          <w:lang w:val="en-US"/>
        </w:rPr>
        <w:t xml:space="preserve">are </w:t>
      </w:r>
      <w:r w:rsidR="001F45EA" w:rsidRPr="002433F3">
        <w:rPr>
          <w:szCs w:val="20"/>
          <w:lang w:val="en-US"/>
        </w:rPr>
        <w:t>accorded only to those who satisfy the requirements established by the law.</w:t>
      </w:r>
      <w:r w:rsidR="007B0DE4" w:rsidRPr="002433F3">
        <w:rPr>
          <w:rFonts w:cs="Calibri"/>
          <w:spacing w:val="-3"/>
          <w:lang w:val="en-US"/>
        </w:rPr>
        <w:t>”</w:t>
      </w:r>
      <w:r w:rsidR="007B0DE4" w:rsidRPr="002433F3">
        <w:rPr>
          <w:lang w:val="en-US"/>
        </w:rPr>
        <w:t xml:space="preserve"> (</w:t>
      </w:r>
      <w:r w:rsidR="007B0DE4" w:rsidRPr="002433F3">
        <w:rPr>
          <w:i/>
          <w:lang w:val="en-US"/>
        </w:rPr>
        <w:t>supra</w:t>
      </w:r>
      <w:r w:rsidR="007B0DE4" w:rsidRPr="002433F3">
        <w:rPr>
          <w:lang w:val="en-US"/>
        </w:rPr>
        <w:t xml:space="preserve"> para. 79).</w:t>
      </w:r>
    </w:p>
    <w:p w14:paraId="65481B0E" w14:textId="77777777" w:rsidR="007B0DE4" w:rsidRPr="002433F3" w:rsidRDefault="001F45EA" w:rsidP="007B0DE4">
      <w:pPr>
        <w:numPr>
          <w:ilvl w:val="0"/>
          <w:numId w:val="2"/>
        </w:numPr>
        <w:spacing w:before="120" w:after="120"/>
        <w:rPr>
          <w:lang w:val="en-US"/>
        </w:rPr>
      </w:pPr>
      <w:r w:rsidRPr="002433F3">
        <w:rPr>
          <w:rFonts w:cs="Calibri"/>
          <w:spacing w:val="-3"/>
          <w:lang w:val="en-US"/>
        </w:rPr>
        <w:t>Having regard to the foregoing</w:t>
      </w:r>
      <w:r w:rsidR="007B0DE4" w:rsidRPr="002433F3">
        <w:rPr>
          <w:rFonts w:cs="Calibri"/>
          <w:spacing w:val="-3"/>
          <w:lang w:val="en-US"/>
        </w:rPr>
        <w:t xml:space="preserve">, the Court </w:t>
      </w:r>
      <w:r w:rsidRPr="002433F3">
        <w:rPr>
          <w:rFonts w:cs="Calibri"/>
          <w:spacing w:val="-3"/>
          <w:lang w:val="en-US"/>
        </w:rPr>
        <w:t xml:space="preserve">will </w:t>
      </w:r>
      <w:r w:rsidR="00C26057" w:rsidRPr="002433F3">
        <w:rPr>
          <w:rFonts w:cs="Calibri"/>
          <w:spacing w:val="-3"/>
          <w:lang w:val="en-US"/>
        </w:rPr>
        <w:t xml:space="preserve">now </w:t>
      </w:r>
      <w:r w:rsidRPr="002433F3">
        <w:rPr>
          <w:rFonts w:cs="Calibri"/>
          <w:spacing w:val="-3"/>
          <w:lang w:val="en-US"/>
        </w:rPr>
        <w:t>analyze</w:t>
      </w:r>
      <w:r w:rsidR="007B0DE4" w:rsidRPr="002433F3">
        <w:rPr>
          <w:rFonts w:cs="Calibri"/>
          <w:spacing w:val="-3"/>
          <w:lang w:val="en-US"/>
        </w:rPr>
        <w:t xml:space="preserve"> </w:t>
      </w:r>
      <w:r w:rsidRPr="002433F3">
        <w:rPr>
          <w:rFonts w:cs="Calibri"/>
          <w:spacing w:val="-3"/>
          <w:lang w:val="en-US"/>
        </w:rPr>
        <w:t>the following</w:t>
      </w:r>
      <w:r w:rsidR="007B0DE4" w:rsidRPr="002433F3">
        <w:rPr>
          <w:rFonts w:cs="Calibri"/>
          <w:spacing w:val="-3"/>
          <w:lang w:val="en-US"/>
        </w:rPr>
        <w:t xml:space="preserve">: i) </w:t>
      </w:r>
      <w:r w:rsidRPr="002433F3">
        <w:rPr>
          <w:rFonts w:cs="Calibri"/>
          <w:spacing w:val="-3"/>
          <w:lang w:val="en-US"/>
        </w:rPr>
        <w:t xml:space="preserve">whether the </w:t>
      </w:r>
      <w:r w:rsidR="007B0DE4" w:rsidRPr="002433F3">
        <w:rPr>
          <w:rFonts w:cs="Calibri"/>
          <w:i/>
          <w:spacing w:val="-3"/>
          <w:lang w:val="en-US"/>
        </w:rPr>
        <w:t>tutela</w:t>
      </w:r>
      <w:r w:rsidR="007B0DE4" w:rsidRPr="002433F3">
        <w:rPr>
          <w:rFonts w:cs="Calibri"/>
          <w:spacing w:val="-3"/>
          <w:lang w:val="en-US"/>
        </w:rPr>
        <w:t xml:space="preserve"> a</w:t>
      </w:r>
      <w:r w:rsidRPr="002433F3">
        <w:rPr>
          <w:rFonts w:cs="Calibri"/>
          <w:spacing w:val="-3"/>
          <w:lang w:val="en-US"/>
        </w:rPr>
        <w:t xml:space="preserve">ction and the </w:t>
      </w:r>
      <w:r w:rsidR="007B0DE4" w:rsidRPr="002433F3">
        <w:rPr>
          <w:rFonts w:cs="Calibri"/>
          <w:spacing w:val="-3"/>
          <w:lang w:val="en-US"/>
        </w:rPr>
        <w:t>appeal were effective remedies in th</w:t>
      </w:r>
      <w:r w:rsidRPr="002433F3">
        <w:rPr>
          <w:rFonts w:cs="Calibri"/>
          <w:spacing w:val="-3"/>
          <w:lang w:val="en-US"/>
        </w:rPr>
        <w:t xml:space="preserve">is </w:t>
      </w:r>
      <w:r w:rsidR="007B0DE4" w:rsidRPr="002433F3">
        <w:rPr>
          <w:rFonts w:cs="Calibri"/>
          <w:spacing w:val="-3"/>
          <w:lang w:val="en-US"/>
        </w:rPr>
        <w:t xml:space="preserve">case, and ii) </w:t>
      </w:r>
      <w:r w:rsidR="00BA2D11" w:rsidRPr="002433F3">
        <w:rPr>
          <w:rFonts w:cs="Calibri"/>
          <w:spacing w:val="-3"/>
          <w:lang w:val="en-US"/>
        </w:rPr>
        <w:t xml:space="preserve">whether it is possible to conclude </w:t>
      </w:r>
      <w:r w:rsidR="007B0DE4" w:rsidRPr="002433F3">
        <w:rPr>
          <w:rFonts w:cs="Calibri"/>
          <w:spacing w:val="-3"/>
          <w:lang w:val="en-US"/>
        </w:rPr>
        <w:t>that</w:t>
      </w:r>
      <w:r w:rsidR="00BA2D11" w:rsidRPr="002433F3">
        <w:rPr>
          <w:rFonts w:cs="Calibri"/>
          <w:spacing w:val="-3"/>
          <w:lang w:val="en-US"/>
        </w:rPr>
        <w:t>, at the time of the facts,</w:t>
      </w:r>
      <w:r w:rsidR="007B0DE4" w:rsidRPr="002433F3">
        <w:rPr>
          <w:rFonts w:cs="Calibri"/>
          <w:spacing w:val="-3"/>
          <w:lang w:val="en-US"/>
        </w:rPr>
        <w:t xml:space="preserve"> </w:t>
      </w:r>
      <w:r w:rsidR="00BA2D11" w:rsidRPr="002433F3">
        <w:rPr>
          <w:rFonts w:cs="Calibri"/>
          <w:spacing w:val="-3"/>
          <w:lang w:val="en-US"/>
        </w:rPr>
        <w:t xml:space="preserve">Colombia provided </w:t>
      </w:r>
      <w:r w:rsidR="007B0DE4" w:rsidRPr="002433F3">
        <w:rPr>
          <w:rFonts w:cs="Calibri"/>
          <w:spacing w:val="-3"/>
          <w:lang w:val="en-US"/>
        </w:rPr>
        <w:t xml:space="preserve">no effective remedies </w:t>
      </w:r>
      <w:r w:rsidR="00BA2D11" w:rsidRPr="002433F3">
        <w:rPr>
          <w:rFonts w:cs="Calibri"/>
          <w:spacing w:val="-3"/>
          <w:lang w:val="en-US"/>
        </w:rPr>
        <w:t xml:space="preserve">for </w:t>
      </w:r>
      <w:r w:rsidR="00C26057" w:rsidRPr="002433F3">
        <w:rPr>
          <w:rFonts w:cs="Calibri"/>
          <w:spacing w:val="-3"/>
          <w:lang w:val="en-US"/>
        </w:rPr>
        <w:t xml:space="preserve">claiming </w:t>
      </w:r>
      <w:r w:rsidRPr="002433F3">
        <w:rPr>
          <w:rFonts w:cs="Calibri"/>
          <w:spacing w:val="-3"/>
          <w:lang w:val="en-US"/>
        </w:rPr>
        <w:t>a</w:t>
      </w:r>
      <w:r w:rsidR="007B0DE4" w:rsidRPr="002433F3">
        <w:rPr>
          <w:rFonts w:cs="Calibri"/>
          <w:spacing w:val="-3"/>
          <w:lang w:val="en-US"/>
        </w:rPr>
        <w:t xml:space="preserve">  survivor’s pension.</w:t>
      </w:r>
    </w:p>
    <w:p w14:paraId="1A42E0A6" w14:textId="77777777" w:rsidR="007B0DE4" w:rsidRPr="002433F3" w:rsidRDefault="00574990" w:rsidP="007B0DE4">
      <w:pPr>
        <w:numPr>
          <w:ilvl w:val="0"/>
          <w:numId w:val="2"/>
        </w:numPr>
        <w:spacing w:before="120" w:after="120"/>
        <w:rPr>
          <w:lang w:val="en-US"/>
        </w:rPr>
      </w:pPr>
      <w:r w:rsidRPr="002433F3">
        <w:rPr>
          <w:lang w:val="en-US"/>
        </w:rPr>
        <w:t xml:space="preserve">With regard to </w:t>
      </w:r>
      <w:r w:rsidR="007B0DE4" w:rsidRPr="002433F3">
        <w:rPr>
          <w:lang w:val="en-US"/>
        </w:rPr>
        <w:t xml:space="preserve">the </w:t>
      </w:r>
      <w:r w:rsidR="001F45EA" w:rsidRPr="002433F3">
        <w:rPr>
          <w:lang w:val="en-US"/>
        </w:rPr>
        <w:t>effectiveness o</w:t>
      </w:r>
      <w:r w:rsidR="007B0DE4" w:rsidRPr="002433F3">
        <w:rPr>
          <w:lang w:val="en-US"/>
        </w:rPr>
        <w:t xml:space="preserve">f the </w:t>
      </w:r>
      <w:r w:rsidR="007B0DE4" w:rsidRPr="002433F3">
        <w:rPr>
          <w:i/>
          <w:lang w:val="en-US"/>
        </w:rPr>
        <w:t>tutela</w:t>
      </w:r>
      <w:r w:rsidR="007B0DE4" w:rsidRPr="002433F3">
        <w:rPr>
          <w:lang w:val="en-US"/>
        </w:rPr>
        <w:t xml:space="preserve"> </w:t>
      </w:r>
      <w:r w:rsidR="001F45EA" w:rsidRPr="002433F3">
        <w:rPr>
          <w:lang w:val="en-US"/>
        </w:rPr>
        <w:t xml:space="preserve">action </w:t>
      </w:r>
      <w:r w:rsidR="00C26057" w:rsidRPr="002433F3">
        <w:rPr>
          <w:lang w:val="en-US"/>
        </w:rPr>
        <w:t xml:space="preserve">and the </w:t>
      </w:r>
      <w:r w:rsidR="007B0DE4" w:rsidRPr="002433F3">
        <w:rPr>
          <w:lang w:val="en-US"/>
        </w:rPr>
        <w:t xml:space="preserve">appeal, the Court recalls that </w:t>
      </w:r>
      <w:r w:rsidRPr="002433F3">
        <w:rPr>
          <w:lang w:val="en-US"/>
        </w:rPr>
        <w:t xml:space="preserve">it has been </w:t>
      </w:r>
      <w:r w:rsidR="007B0DE4" w:rsidRPr="002433F3">
        <w:rPr>
          <w:lang w:val="en-US"/>
        </w:rPr>
        <w:t>determin</w:t>
      </w:r>
      <w:r w:rsidR="00D36317" w:rsidRPr="002433F3">
        <w:rPr>
          <w:lang w:val="en-US"/>
        </w:rPr>
        <w:t xml:space="preserve">ed </w:t>
      </w:r>
      <w:r w:rsidR="007B0DE4" w:rsidRPr="002433F3">
        <w:rPr>
          <w:lang w:val="en-US"/>
        </w:rPr>
        <w:t>tha</w:t>
      </w:r>
      <w:r w:rsidR="00D36317" w:rsidRPr="002433F3">
        <w:rPr>
          <w:lang w:val="en-US"/>
        </w:rPr>
        <w:t>t</w:t>
      </w:r>
      <w:r w:rsidRPr="002433F3">
        <w:rPr>
          <w:lang w:val="en-US"/>
        </w:rPr>
        <w:t xml:space="preserve"> given</w:t>
      </w:r>
      <w:r w:rsidR="00D36317" w:rsidRPr="002433F3">
        <w:rPr>
          <w:lang w:val="en-US"/>
        </w:rPr>
        <w:t xml:space="preserve"> the alleged urgency</w:t>
      </w:r>
      <w:r w:rsidR="007B0DE4" w:rsidRPr="002433F3">
        <w:rPr>
          <w:lang w:val="en-US"/>
        </w:rPr>
        <w:t xml:space="preserve"> </w:t>
      </w:r>
      <w:r w:rsidR="00D36317" w:rsidRPr="002433F3">
        <w:rPr>
          <w:lang w:val="en-US"/>
        </w:rPr>
        <w:t xml:space="preserve">of </w:t>
      </w:r>
      <w:r w:rsidR="00780B62" w:rsidRPr="002433F3">
        <w:rPr>
          <w:lang w:val="en-US"/>
        </w:rPr>
        <w:t>Mr. Duque’s health condition</w:t>
      </w:r>
      <w:r w:rsidR="007B0DE4" w:rsidRPr="002433F3">
        <w:rPr>
          <w:lang w:val="en-US"/>
        </w:rPr>
        <w:t xml:space="preserve">, the  </w:t>
      </w:r>
      <w:r w:rsidR="007B0DE4" w:rsidRPr="002433F3">
        <w:rPr>
          <w:i/>
          <w:lang w:val="en-US"/>
        </w:rPr>
        <w:t>tutela</w:t>
      </w:r>
      <w:r w:rsidR="007B0DE4" w:rsidRPr="002433F3">
        <w:rPr>
          <w:lang w:val="en-US"/>
        </w:rPr>
        <w:t xml:space="preserve"> action </w:t>
      </w:r>
      <w:r w:rsidR="001F45EA" w:rsidRPr="002433F3">
        <w:rPr>
          <w:lang w:val="en-US"/>
        </w:rPr>
        <w:t xml:space="preserve">was an appropriate remedy </w:t>
      </w:r>
      <w:r w:rsidR="007B0DE4" w:rsidRPr="002433F3">
        <w:rPr>
          <w:lang w:val="en-US"/>
        </w:rPr>
        <w:t>(</w:t>
      </w:r>
      <w:r w:rsidR="007B0DE4" w:rsidRPr="002433F3">
        <w:rPr>
          <w:i/>
          <w:lang w:val="en-US"/>
        </w:rPr>
        <w:t>supra</w:t>
      </w:r>
      <w:r w:rsidR="007B0DE4" w:rsidRPr="002433F3">
        <w:rPr>
          <w:lang w:val="en-US"/>
        </w:rPr>
        <w:t xml:space="preserve"> para. 32). N</w:t>
      </w:r>
      <w:r w:rsidR="00780B62" w:rsidRPr="002433F3">
        <w:rPr>
          <w:lang w:val="en-US"/>
        </w:rPr>
        <w:t>evertheless, the Court notes</w:t>
      </w:r>
      <w:r w:rsidR="00D46F71" w:rsidRPr="002433F3">
        <w:rPr>
          <w:lang w:val="en-US"/>
        </w:rPr>
        <w:t xml:space="preserve"> that</w:t>
      </w:r>
      <w:r w:rsidR="007B0DE4" w:rsidRPr="002433F3">
        <w:rPr>
          <w:lang w:val="en-US"/>
        </w:rPr>
        <w:t xml:space="preserve"> </w:t>
      </w:r>
      <w:r w:rsidR="00D36317" w:rsidRPr="002433F3">
        <w:rPr>
          <w:lang w:val="en-US"/>
        </w:rPr>
        <w:t xml:space="preserve">in deciding on </w:t>
      </w:r>
      <w:r w:rsidR="007B0DE4" w:rsidRPr="002433F3">
        <w:rPr>
          <w:lang w:val="en-US"/>
        </w:rPr>
        <w:t>Mr. Duque</w:t>
      </w:r>
      <w:r w:rsidR="00D36317" w:rsidRPr="002433F3">
        <w:rPr>
          <w:lang w:val="en-US"/>
        </w:rPr>
        <w:t>’s request</w:t>
      </w:r>
      <w:r w:rsidR="007B0DE4" w:rsidRPr="002433F3">
        <w:rPr>
          <w:lang w:val="en-US"/>
        </w:rPr>
        <w:t>, th</w:t>
      </w:r>
      <w:r w:rsidR="00D36317" w:rsidRPr="002433F3">
        <w:rPr>
          <w:lang w:val="en-US"/>
        </w:rPr>
        <w:t>e</w:t>
      </w:r>
      <w:r w:rsidR="007B0DE4" w:rsidRPr="002433F3">
        <w:rPr>
          <w:lang w:val="en-US"/>
        </w:rPr>
        <w:t xml:space="preserve"> </w:t>
      </w:r>
      <w:r w:rsidR="007B0DE4" w:rsidRPr="002433F3">
        <w:rPr>
          <w:i/>
          <w:lang w:val="en-US"/>
        </w:rPr>
        <w:t>tutela</w:t>
      </w:r>
      <w:r w:rsidR="007B0DE4" w:rsidRPr="002433F3">
        <w:rPr>
          <w:lang w:val="en-US"/>
        </w:rPr>
        <w:t xml:space="preserve"> and appeal </w:t>
      </w:r>
      <w:r w:rsidR="00780B62" w:rsidRPr="002433F3">
        <w:rPr>
          <w:lang w:val="en-US"/>
        </w:rPr>
        <w:t xml:space="preserve">rulings </w:t>
      </w:r>
      <w:r w:rsidR="007B0DE4" w:rsidRPr="002433F3">
        <w:rPr>
          <w:lang w:val="en-US"/>
        </w:rPr>
        <w:t>expres</w:t>
      </w:r>
      <w:r w:rsidR="00780B62" w:rsidRPr="002433F3">
        <w:rPr>
          <w:lang w:val="en-US"/>
        </w:rPr>
        <w:t xml:space="preserve">sly stated </w:t>
      </w:r>
      <w:r w:rsidR="007B0DE4" w:rsidRPr="002433F3">
        <w:rPr>
          <w:lang w:val="en-US"/>
        </w:rPr>
        <w:t xml:space="preserve">that </w:t>
      </w:r>
      <w:r w:rsidR="00D36317" w:rsidRPr="002433F3">
        <w:rPr>
          <w:lang w:val="en-US"/>
        </w:rPr>
        <w:t xml:space="preserve">under the </w:t>
      </w:r>
      <w:r w:rsidRPr="002433F3">
        <w:rPr>
          <w:lang w:val="en-US"/>
        </w:rPr>
        <w:t xml:space="preserve">existing </w:t>
      </w:r>
      <w:r w:rsidR="00D36317" w:rsidRPr="002433F3">
        <w:rPr>
          <w:lang w:val="en-US"/>
        </w:rPr>
        <w:t xml:space="preserve">legal system </w:t>
      </w:r>
      <w:r w:rsidR="00780B62" w:rsidRPr="002433F3">
        <w:rPr>
          <w:lang w:val="en-US"/>
        </w:rPr>
        <w:t>it</w:t>
      </w:r>
      <w:r w:rsidR="007B0DE4" w:rsidRPr="002433F3">
        <w:rPr>
          <w:lang w:val="en-US"/>
        </w:rPr>
        <w:t xml:space="preserve"> was not </w:t>
      </w:r>
      <w:r w:rsidR="00D36317" w:rsidRPr="002433F3">
        <w:rPr>
          <w:lang w:val="en-US"/>
        </w:rPr>
        <w:t xml:space="preserve">possible recognize the </w:t>
      </w:r>
      <w:r w:rsidR="007B0DE4" w:rsidRPr="002433F3">
        <w:rPr>
          <w:lang w:val="en-US"/>
        </w:rPr>
        <w:t xml:space="preserve">survivor’s pension </w:t>
      </w:r>
      <w:r w:rsidR="00D36317" w:rsidRPr="002433F3">
        <w:rPr>
          <w:lang w:val="en-US"/>
        </w:rPr>
        <w:t xml:space="preserve">through a </w:t>
      </w:r>
      <w:r w:rsidR="00D36317" w:rsidRPr="002433F3">
        <w:rPr>
          <w:i/>
          <w:lang w:val="en-US"/>
        </w:rPr>
        <w:t>tutela</w:t>
      </w:r>
      <w:r w:rsidR="00C26057" w:rsidRPr="002433F3">
        <w:rPr>
          <w:lang w:val="en-US"/>
        </w:rPr>
        <w:t xml:space="preserve"> action.</w:t>
      </w:r>
      <w:r w:rsidR="00D36317" w:rsidRPr="002433F3">
        <w:rPr>
          <w:lang w:val="en-US"/>
        </w:rPr>
        <w:t xml:space="preserve"> </w:t>
      </w:r>
      <w:r w:rsidR="00C26057" w:rsidRPr="002433F3">
        <w:rPr>
          <w:lang w:val="en-US"/>
        </w:rPr>
        <w:t>Mr. Duque was also advised</w:t>
      </w:r>
      <w:r w:rsidR="00D36317" w:rsidRPr="002433F3">
        <w:rPr>
          <w:lang w:val="en-US"/>
        </w:rPr>
        <w:t xml:space="preserve"> </w:t>
      </w:r>
      <w:r w:rsidR="00D46F71" w:rsidRPr="002433F3">
        <w:rPr>
          <w:lang w:val="en-US"/>
        </w:rPr>
        <w:t xml:space="preserve">of the remedies that he could pursue for that purpose, through the </w:t>
      </w:r>
      <w:r w:rsidR="007B0DE4" w:rsidRPr="002433F3">
        <w:rPr>
          <w:lang w:val="en-US"/>
        </w:rPr>
        <w:t xml:space="preserve">contentious-administrative </w:t>
      </w:r>
      <w:r w:rsidR="00D36317" w:rsidRPr="002433F3">
        <w:rPr>
          <w:lang w:val="en-US"/>
        </w:rPr>
        <w:t>courts and</w:t>
      </w:r>
      <w:r w:rsidR="007B0DE4" w:rsidRPr="002433F3">
        <w:rPr>
          <w:lang w:val="en-US"/>
        </w:rPr>
        <w:t xml:space="preserve">, </w:t>
      </w:r>
      <w:r w:rsidR="005E60DB" w:rsidRPr="002433F3">
        <w:rPr>
          <w:lang w:val="en-US"/>
        </w:rPr>
        <w:t>if appropriate</w:t>
      </w:r>
      <w:r w:rsidR="007B0DE4" w:rsidRPr="002433F3">
        <w:rPr>
          <w:lang w:val="en-US"/>
        </w:rPr>
        <w:t xml:space="preserve">, </w:t>
      </w:r>
      <w:r w:rsidR="00D36317" w:rsidRPr="002433F3">
        <w:rPr>
          <w:lang w:val="en-US"/>
        </w:rPr>
        <w:t xml:space="preserve">by </w:t>
      </w:r>
      <w:r w:rsidR="005E60DB" w:rsidRPr="002433F3">
        <w:rPr>
          <w:lang w:val="en-US"/>
        </w:rPr>
        <w:t xml:space="preserve">filing </w:t>
      </w:r>
      <w:r w:rsidRPr="002433F3">
        <w:rPr>
          <w:lang w:val="en-US"/>
        </w:rPr>
        <w:t xml:space="preserve">a petition for </w:t>
      </w:r>
      <w:r w:rsidR="007B0DE4" w:rsidRPr="002433F3">
        <w:rPr>
          <w:lang w:val="en-US"/>
        </w:rPr>
        <w:t>re</w:t>
      </w:r>
      <w:r w:rsidR="00D46F71" w:rsidRPr="002433F3">
        <w:rPr>
          <w:lang w:val="en-US"/>
        </w:rPr>
        <w:t>consideration (</w:t>
      </w:r>
      <w:r w:rsidR="00D46F71" w:rsidRPr="002433F3">
        <w:rPr>
          <w:i/>
          <w:lang w:val="en-US"/>
        </w:rPr>
        <w:t>reposición</w:t>
      </w:r>
      <w:r w:rsidR="00D46F71" w:rsidRPr="002433F3">
        <w:rPr>
          <w:lang w:val="en-US"/>
        </w:rPr>
        <w:t xml:space="preserve">) </w:t>
      </w:r>
      <w:r w:rsidR="007B0DE4" w:rsidRPr="002433F3">
        <w:rPr>
          <w:lang w:val="en-US"/>
        </w:rPr>
        <w:t xml:space="preserve">or </w:t>
      </w:r>
      <w:r w:rsidR="00983D91" w:rsidRPr="002433F3">
        <w:rPr>
          <w:lang w:val="en-US"/>
        </w:rPr>
        <w:t xml:space="preserve">an </w:t>
      </w:r>
      <w:r w:rsidR="007B0DE4" w:rsidRPr="002433F3">
        <w:rPr>
          <w:lang w:val="en-US"/>
        </w:rPr>
        <w:t xml:space="preserve">appeal against of the </w:t>
      </w:r>
      <w:r w:rsidR="00D36317" w:rsidRPr="002433F3">
        <w:rPr>
          <w:lang w:val="en-US"/>
        </w:rPr>
        <w:t xml:space="preserve">decision </w:t>
      </w:r>
      <w:r w:rsidRPr="002433F3">
        <w:rPr>
          <w:lang w:val="en-US"/>
        </w:rPr>
        <w:t xml:space="preserve">of </w:t>
      </w:r>
      <w:r w:rsidR="007B0DE4" w:rsidRPr="002433F3">
        <w:rPr>
          <w:lang w:val="en-US"/>
        </w:rPr>
        <w:t>COLFONDOS.</w:t>
      </w:r>
    </w:p>
    <w:p w14:paraId="12B0FDC0" w14:textId="77777777" w:rsidR="007B0DE4" w:rsidRPr="002433F3" w:rsidRDefault="007B0DE4" w:rsidP="007B0DE4">
      <w:pPr>
        <w:numPr>
          <w:ilvl w:val="0"/>
          <w:numId w:val="2"/>
        </w:numPr>
        <w:spacing w:before="120" w:after="120"/>
        <w:rPr>
          <w:lang w:val="en-US"/>
        </w:rPr>
      </w:pPr>
      <w:r w:rsidRPr="002433F3">
        <w:rPr>
          <w:lang w:val="en-US"/>
        </w:rPr>
        <w:t xml:space="preserve">The Court considers that it does not have sufficient elements to conclude that </w:t>
      </w:r>
      <w:r w:rsidR="00D36317" w:rsidRPr="002433F3">
        <w:rPr>
          <w:lang w:val="en-US"/>
        </w:rPr>
        <w:t xml:space="preserve">the </w:t>
      </w:r>
      <w:r w:rsidR="00D36317" w:rsidRPr="002433F3">
        <w:rPr>
          <w:i/>
          <w:lang w:val="en-US"/>
        </w:rPr>
        <w:t>tutela</w:t>
      </w:r>
      <w:r w:rsidRPr="002433F3">
        <w:rPr>
          <w:lang w:val="en-US"/>
        </w:rPr>
        <w:t xml:space="preserve"> action and </w:t>
      </w:r>
      <w:r w:rsidR="00D36317" w:rsidRPr="002433F3">
        <w:rPr>
          <w:lang w:val="en-US"/>
        </w:rPr>
        <w:t xml:space="preserve">the appeal filed by the </w:t>
      </w:r>
      <w:r w:rsidRPr="002433F3">
        <w:rPr>
          <w:lang w:val="en-US"/>
        </w:rPr>
        <w:t xml:space="preserve">alleged victim were </w:t>
      </w:r>
      <w:r w:rsidR="00D36317" w:rsidRPr="002433F3">
        <w:rPr>
          <w:lang w:val="en-US"/>
        </w:rPr>
        <w:t xml:space="preserve">not </w:t>
      </w:r>
      <w:r w:rsidRPr="002433F3">
        <w:rPr>
          <w:lang w:val="en-US"/>
        </w:rPr>
        <w:t xml:space="preserve">effective remedies, </w:t>
      </w:r>
      <w:r w:rsidR="00D36317" w:rsidRPr="002433F3">
        <w:rPr>
          <w:lang w:val="en-US"/>
        </w:rPr>
        <w:t xml:space="preserve">solely </w:t>
      </w:r>
      <w:r w:rsidRPr="002433F3">
        <w:rPr>
          <w:lang w:val="en-US"/>
        </w:rPr>
        <w:t xml:space="preserve">because </w:t>
      </w:r>
      <w:r w:rsidR="00D36317" w:rsidRPr="002433F3">
        <w:rPr>
          <w:lang w:val="en-US"/>
        </w:rPr>
        <w:t xml:space="preserve">they did not produce the legal outcome </w:t>
      </w:r>
      <w:r w:rsidRPr="002433F3">
        <w:rPr>
          <w:lang w:val="en-US"/>
        </w:rPr>
        <w:t>that Mr. Duque</w:t>
      </w:r>
      <w:r w:rsidR="00D36317" w:rsidRPr="002433F3">
        <w:rPr>
          <w:lang w:val="en-US"/>
        </w:rPr>
        <w:t xml:space="preserve"> wished for</w:t>
      </w:r>
      <w:r w:rsidRPr="002433F3">
        <w:rPr>
          <w:lang w:val="en-US"/>
        </w:rPr>
        <w:t xml:space="preserve">. </w:t>
      </w:r>
      <w:r w:rsidR="00A27D1F" w:rsidRPr="002433F3">
        <w:rPr>
          <w:lang w:val="en-US"/>
        </w:rPr>
        <w:t xml:space="preserve">The judges </w:t>
      </w:r>
      <w:r w:rsidR="009B1D0C" w:rsidRPr="002433F3">
        <w:rPr>
          <w:lang w:val="en-US"/>
        </w:rPr>
        <w:t xml:space="preserve">ruled </w:t>
      </w:r>
      <w:r w:rsidRPr="002433F3">
        <w:rPr>
          <w:lang w:val="en-US"/>
        </w:rPr>
        <w:t xml:space="preserve">that the </w:t>
      </w:r>
      <w:r w:rsidRPr="002433F3">
        <w:rPr>
          <w:i/>
          <w:lang w:val="en-US"/>
        </w:rPr>
        <w:t>tutela</w:t>
      </w:r>
      <w:r w:rsidRPr="002433F3">
        <w:rPr>
          <w:lang w:val="en-US"/>
        </w:rPr>
        <w:t xml:space="preserve"> </w:t>
      </w:r>
      <w:r w:rsidR="009B1D0C" w:rsidRPr="002433F3">
        <w:rPr>
          <w:lang w:val="en-US"/>
        </w:rPr>
        <w:t xml:space="preserve">action </w:t>
      </w:r>
      <w:r w:rsidRPr="002433F3">
        <w:rPr>
          <w:lang w:val="en-US"/>
        </w:rPr>
        <w:t xml:space="preserve">was not the appropriate remedy </w:t>
      </w:r>
      <w:r w:rsidR="009B1D0C" w:rsidRPr="002433F3">
        <w:rPr>
          <w:lang w:val="en-US"/>
        </w:rPr>
        <w:t xml:space="preserve">for claiming </w:t>
      </w:r>
      <w:r w:rsidR="00C23DC9" w:rsidRPr="002433F3">
        <w:rPr>
          <w:lang w:val="en-US"/>
        </w:rPr>
        <w:t>a</w:t>
      </w:r>
      <w:r w:rsidRPr="002433F3">
        <w:rPr>
          <w:lang w:val="en-US"/>
        </w:rPr>
        <w:t xml:space="preserve"> pension, </w:t>
      </w:r>
      <w:r w:rsidR="009B1D0C" w:rsidRPr="002433F3">
        <w:rPr>
          <w:lang w:val="en-US"/>
        </w:rPr>
        <w:t xml:space="preserve">being of </w:t>
      </w:r>
      <w:r w:rsidRPr="002433F3">
        <w:rPr>
          <w:lang w:val="en-US"/>
        </w:rPr>
        <w:t xml:space="preserve">a subsidiary </w:t>
      </w:r>
      <w:r w:rsidR="00774069" w:rsidRPr="002433F3">
        <w:rPr>
          <w:lang w:val="en-US"/>
        </w:rPr>
        <w:t xml:space="preserve">and residual </w:t>
      </w:r>
      <w:r w:rsidRPr="002433F3">
        <w:rPr>
          <w:lang w:val="en-US"/>
        </w:rPr>
        <w:t>nature</w:t>
      </w:r>
      <w:r w:rsidR="0029353B" w:rsidRPr="002433F3">
        <w:rPr>
          <w:lang w:val="en-US"/>
        </w:rPr>
        <w:t>,</w:t>
      </w:r>
      <w:r w:rsidR="009B1D0C" w:rsidRPr="002433F3">
        <w:rPr>
          <w:lang w:val="en-US"/>
        </w:rPr>
        <w:t xml:space="preserve"> and that such a remedy</w:t>
      </w:r>
      <w:r w:rsidRPr="002433F3">
        <w:rPr>
          <w:lang w:val="en-US"/>
        </w:rPr>
        <w:t xml:space="preserve"> only </w:t>
      </w:r>
      <w:r w:rsidR="00D37EC6" w:rsidRPr="002433F3">
        <w:rPr>
          <w:lang w:val="en-US"/>
        </w:rPr>
        <w:t xml:space="preserve">displaces the ordinary courts </w:t>
      </w:r>
      <w:r w:rsidRPr="002433F3">
        <w:rPr>
          <w:lang w:val="en-US"/>
        </w:rPr>
        <w:t xml:space="preserve">in certain </w:t>
      </w:r>
      <w:r w:rsidR="009B1D0C" w:rsidRPr="002433F3">
        <w:rPr>
          <w:lang w:val="en-US"/>
        </w:rPr>
        <w:t>circumstances</w:t>
      </w:r>
      <w:r w:rsidRPr="002433F3">
        <w:rPr>
          <w:lang w:val="en-US"/>
        </w:rPr>
        <w:t>, for example when the p</w:t>
      </w:r>
      <w:r w:rsidR="009B1D0C" w:rsidRPr="002433F3">
        <w:rPr>
          <w:lang w:val="en-US"/>
        </w:rPr>
        <w:t>etitioner can prove</w:t>
      </w:r>
      <w:r w:rsidRPr="002433F3">
        <w:rPr>
          <w:lang w:val="en-US"/>
        </w:rPr>
        <w:t xml:space="preserve"> an urgent situation or </w:t>
      </w:r>
      <w:r w:rsidR="009B1D0C" w:rsidRPr="002433F3">
        <w:rPr>
          <w:lang w:val="en-US"/>
        </w:rPr>
        <w:t xml:space="preserve">potential </w:t>
      </w:r>
      <w:r w:rsidRPr="002433F3">
        <w:rPr>
          <w:lang w:val="en-US"/>
        </w:rPr>
        <w:t xml:space="preserve">irreparable harm, a </w:t>
      </w:r>
      <w:r w:rsidR="00C23DC9" w:rsidRPr="002433F3">
        <w:rPr>
          <w:lang w:val="en-US"/>
        </w:rPr>
        <w:t xml:space="preserve">circumstance </w:t>
      </w:r>
      <w:r w:rsidRPr="002433F3">
        <w:rPr>
          <w:lang w:val="en-US"/>
        </w:rPr>
        <w:t>tha</w:t>
      </w:r>
      <w:r w:rsidR="00D37EC6" w:rsidRPr="002433F3">
        <w:rPr>
          <w:lang w:val="en-US"/>
        </w:rPr>
        <w:t xml:space="preserve">t was not considered </w:t>
      </w:r>
      <w:r w:rsidR="00C23DC9" w:rsidRPr="002433F3">
        <w:rPr>
          <w:lang w:val="en-US"/>
        </w:rPr>
        <w:t xml:space="preserve">applicable to </w:t>
      </w:r>
      <w:r w:rsidRPr="002433F3">
        <w:rPr>
          <w:lang w:val="en-US"/>
        </w:rPr>
        <w:t>Mr. Duque</w:t>
      </w:r>
      <w:r w:rsidR="00D37EC6" w:rsidRPr="002433F3">
        <w:rPr>
          <w:lang w:val="en-US"/>
        </w:rPr>
        <w:t>’s case</w:t>
      </w:r>
      <w:r w:rsidRPr="002433F3">
        <w:rPr>
          <w:lang w:val="en-US"/>
        </w:rPr>
        <w:t xml:space="preserve">. Nevertheless, the judges informed Mr. Duque of the remedies that would be adequate and appropriate </w:t>
      </w:r>
      <w:r w:rsidR="0029353B" w:rsidRPr="002433F3">
        <w:rPr>
          <w:lang w:val="en-US"/>
        </w:rPr>
        <w:t xml:space="preserve">for </w:t>
      </w:r>
      <w:r w:rsidRPr="002433F3">
        <w:rPr>
          <w:lang w:val="en-US"/>
        </w:rPr>
        <w:t>request</w:t>
      </w:r>
      <w:r w:rsidR="0029353B" w:rsidRPr="002433F3">
        <w:rPr>
          <w:lang w:val="en-US"/>
        </w:rPr>
        <w:t>ing</w:t>
      </w:r>
      <w:r w:rsidRPr="002433F3">
        <w:rPr>
          <w:lang w:val="en-US"/>
        </w:rPr>
        <w:t xml:space="preserve"> the pension.</w:t>
      </w:r>
      <w:r w:rsidRPr="002433F3">
        <w:rPr>
          <w:rStyle w:val="Refdenotaalpie"/>
          <w:lang w:val="en-US"/>
        </w:rPr>
        <w:footnoteReference w:id="132"/>
      </w:r>
      <w:r w:rsidRPr="002433F3">
        <w:rPr>
          <w:lang w:val="en-US"/>
        </w:rPr>
        <w:t xml:space="preserve"> The Court recalls that the State</w:t>
      </w:r>
      <w:r w:rsidR="009B1D0C" w:rsidRPr="002433F3">
        <w:rPr>
          <w:lang w:val="en-US"/>
        </w:rPr>
        <w:t>’s</w:t>
      </w:r>
      <w:r w:rsidRPr="002433F3">
        <w:rPr>
          <w:lang w:val="en-US"/>
        </w:rPr>
        <w:t xml:space="preserve"> obligation to </w:t>
      </w:r>
      <w:r w:rsidR="0029353B" w:rsidRPr="002433F3">
        <w:rPr>
          <w:lang w:val="en-US"/>
        </w:rPr>
        <w:t xml:space="preserve">conduct </w:t>
      </w:r>
      <w:r w:rsidR="009B1D0C" w:rsidRPr="002433F3">
        <w:rPr>
          <w:lang w:val="en-US"/>
        </w:rPr>
        <w:t xml:space="preserve">proceedings in adherence to the guarantees of </w:t>
      </w:r>
      <w:r w:rsidRPr="002433F3">
        <w:rPr>
          <w:lang w:val="en-US"/>
        </w:rPr>
        <w:t xml:space="preserve">judicial protection </w:t>
      </w:r>
      <w:r w:rsidR="009B1D0C" w:rsidRPr="002433F3">
        <w:rPr>
          <w:lang w:val="en-US"/>
        </w:rPr>
        <w:t xml:space="preserve">is an </w:t>
      </w:r>
      <w:r w:rsidRPr="002433F3">
        <w:rPr>
          <w:lang w:val="en-US"/>
        </w:rPr>
        <w:t xml:space="preserve">obligation </w:t>
      </w:r>
      <w:r w:rsidR="00A657B2" w:rsidRPr="002433F3">
        <w:rPr>
          <w:lang w:val="en-US"/>
        </w:rPr>
        <w:t xml:space="preserve">to take action and is not </w:t>
      </w:r>
      <w:r w:rsidR="001E2F11" w:rsidRPr="002433F3">
        <w:rPr>
          <w:lang w:val="en-US"/>
        </w:rPr>
        <w:t>breached</w:t>
      </w:r>
      <w:r w:rsidRPr="002433F3">
        <w:rPr>
          <w:lang w:val="en-US"/>
        </w:rPr>
        <w:t xml:space="preserve"> by the mere fact that the proceeding does not produce a satisfactory result or does not arrive at the conclusion sought by the alleged victim.</w:t>
      </w:r>
      <w:r w:rsidRPr="002433F3">
        <w:rPr>
          <w:rStyle w:val="Refdenotaalpie"/>
          <w:lang w:val="en-US"/>
        </w:rPr>
        <w:footnoteReference w:id="133"/>
      </w:r>
      <w:r w:rsidRPr="002433F3">
        <w:rPr>
          <w:lang w:val="en-US"/>
        </w:rPr>
        <w:t xml:space="preserve"> </w:t>
      </w:r>
      <w:r w:rsidR="0029353B" w:rsidRPr="002433F3">
        <w:rPr>
          <w:lang w:val="en-US"/>
        </w:rPr>
        <w:t>Furthermore</w:t>
      </w:r>
      <w:r w:rsidRPr="002433F3">
        <w:rPr>
          <w:lang w:val="en-US"/>
        </w:rPr>
        <w:t xml:space="preserve">, the Court </w:t>
      </w:r>
      <w:r w:rsidR="00C23DC9" w:rsidRPr="002433F3">
        <w:rPr>
          <w:lang w:val="en-US"/>
        </w:rPr>
        <w:t xml:space="preserve">finds no </w:t>
      </w:r>
      <w:r w:rsidR="00A657B2" w:rsidRPr="002433F3">
        <w:rPr>
          <w:lang w:val="en-US"/>
        </w:rPr>
        <w:t xml:space="preserve">evidence </w:t>
      </w:r>
      <w:r w:rsidR="00C23DC9" w:rsidRPr="002433F3">
        <w:rPr>
          <w:lang w:val="en-US"/>
        </w:rPr>
        <w:t xml:space="preserve">that the State was unwilling </w:t>
      </w:r>
      <w:r w:rsidR="00A657B2" w:rsidRPr="002433F3">
        <w:rPr>
          <w:lang w:val="en-US"/>
        </w:rPr>
        <w:t>to provide judicial</w:t>
      </w:r>
      <w:r w:rsidRPr="002433F3">
        <w:rPr>
          <w:lang w:val="en-US"/>
        </w:rPr>
        <w:t xml:space="preserve"> protection to Mr. Duque, </w:t>
      </w:r>
      <w:r w:rsidR="00A657B2" w:rsidRPr="002433F3">
        <w:rPr>
          <w:lang w:val="en-US"/>
        </w:rPr>
        <w:t xml:space="preserve">given </w:t>
      </w:r>
      <w:r w:rsidRPr="002433F3">
        <w:rPr>
          <w:lang w:val="en-US"/>
        </w:rPr>
        <w:t xml:space="preserve">that the </w:t>
      </w:r>
      <w:r w:rsidR="00A657B2" w:rsidRPr="002433F3">
        <w:rPr>
          <w:lang w:val="en-US"/>
        </w:rPr>
        <w:t xml:space="preserve">courts of </w:t>
      </w:r>
      <w:r w:rsidRPr="002433F3">
        <w:rPr>
          <w:lang w:val="en-US"/>
        </w:rPr>
        <w:t xml:space="preserve">first and second instance </w:t>
      </w:r>
      <w:r w:rsidR="00A657B2" w:rsidRPr="002433F3">
        <w:rPr>
          <w:lang w:val="en-US"/>
        </w:rPr>
        <w:t xml:space="preserve">ruled </w:t>
      </w:r>
      <w:r w:rsidR="00C14F5A" w:rsidRPr="002433F3">
        <w:rPr>
          <w:lang w:val="en-US"/>
        </w:rPr>
        <w:t xml:space="preserve">according to </w:t>
      </w:r>
      <w:r w:rsidR="00422704" w:rsidRPr="002433F3">
        <w:rPr>
          <w:lang w:val="en-US"/>
        </w:rPr>
        <w:t xml:space="preserve">the </w:t>
      </w:r>
      <w:r w:rsidR="009D2425" w:rsidRPr="002433F3">
        <w:rPr>
          <w:lang w:val="en-US"/>
        </w:rPr>
        <w:t>existing l</w:t>
      </w:r>
      <w:r w:rsidR="0029353B" w:rsidRPr="002433F3">
        <w:rPr>
          <w:lang w:val="en-US"/>
        </w:rPr>
        <w:t>aws</w:t>
      </w:r>
      <w:r w:rsidRPr="002433F3">
        <w:rPr>
          <w:lang w:val="en-US"/>
        </w:rPr>
        <w:t xml:space="preserve">, </w:t>
      </w:r>
      <w:r w:rsidR="00C23DC9" w:rsidRPr="002433F3">
        <w:rPr>
          <w:lang w:val="en-US"/>
        </w:rPr>
        <w:t>and indicated</w:t>
      </w:r>
      <w:r w:rsidRPr="002433F3">
        <w:rPr>
          <w:lang w:val="en-US"/>
        </w:rPr>
        <w:t xml:space="preserve"> the appropriate channels </w:t>
      </w:r>
      <w:r w:rsidR="00C23DC9" w:rsidRPr="002433F3">
        <w:rPr>
          <w:lang w:val="en-US"/>
        </w:rPr>
        <w:t xml:space="preserve">through which </w:t>
      </w:r>
      <w:r w:rsidR="00A657B2" w:rsidRPr="002433F3">
        <w:rPr>
          <w:lang w:val="en-US"/>
        </w:rPr>
        <w:t xml:space="preserve">Mr. Duque </w:t>
      </w:r>
      <w:r w:rsidR="00C23DC9" w:rsidRPr="002433F3">
        <w:rPr>
          <w:lang w:val="en-US"/>
        </w:rPr>
        <w:t xml:space="preserve">could </w:t>
      </w:r>
      <w:r w:rsidR="00422704" w:rsidRPr="002433F3">
        <w:rPr>
          <w:lang w:val="en-US"/>
        </w:rPr>
        <w:t xml:space="preserve">claim </w:t>
      </w:r>
      <w:r w:rsidR="006E265F" w:rsidRPr="002433F3">
        <w:rPr>
          <w:lang w:val="en-US"/>
        </w:rPr>
        <w:t>the survivor’s</w:t>
      </w:r>
      <w:r w:rsidRPr="002433F3">
        <w:rPr>
          <w:lang w:val="en-US"/>
        </w:rPr>
        <w:t xml:space="preserve"> pension.</w:t>
      </w:r>
    </w:p>
    <w:p w14:paraId="2B036021" w14:textId="77777777" w:rsidR="007B0DE4" w:rsidRPr="002433F3" w:rsidRDefault="006E265F" w:rsidP="007B0DE4">
      <w:pPr>
        <w:pStyle w:val="PrrafodeSentencia0"/>
        <w:rPr>
          <w:noProof w:val="0"/>
          <w:lang w:val="en-US"/>
        </w:rPr>
      </w:pPr>
      <w:r w:rsidRPr="002433F3">
        <w:rPr>
          <w:noProof w:val="0"/>
          <w:lang w:val="en-US"/>
        </w:rPr>
        <w:t xml:space="preserve">At the same time, </w:t>
      </w:r>
      <w:r w:rsidR="0029353B" w:rsidRPr="002433F3">
        <w:rPr>
          <w:noProof w:val="0"/>
          <w:lang w:val="en-US"/>
        </w:rPr>
        <w:t xml:space="preserve">in order </w:t>
      </w:r>
      <w:r w:rsidRPr="002433F3">
        <w:rPr>
          <w:noProof w:val="0"/>
          <w:lang w:val="en-US"/>
        </w:rPr>
        <w:t xml:space="preserve">to analyze the </w:t>
      </w:r>
      <w:r w:rsidR="007B0DE4" w:rsidRPr="002433F3">
        <w:rPr>
          <w:noProof w:val="0"/>
          <w:lang w:val="en-US"/>
        </w:rPr>
        <w:t>alleged lack of effective re</w:t>
      </w:r>
      <w:r w:rsidR="0092104F" w:rsidRPr="002433F3">
        <w:rPr>
          <w:noProof w:val="0"/>
          <w:lang w:val="en-US"/>
        </w:rPr>
        <w:t xml:space="preserve">course </w:t>
      </w:r>
      <w:r w:rsidR="007B0DE4" w:rsidRPr="002433F3">
        <w:rPr>
          <w:noProof w:val="0"/>
          <w:lang w:val="en-US"/>
        </w:rPr>
        <w:t xml:space="preserve">in Colombia it is necessary to consider the other </w:t>
      </w:r>
      <w:r w:rsidR="0092104F" w:rsidRPr="002433F3">
        <w:rPr>
          <w:noProof w:val="0"/>
          <w:lang w:val="en-US"/>
        </w:rPr>
        <w:t xml:space="preserve">remedies </w:t>
      </w:r>
      <w:r w:rsidR="007B0DE4" w:rsidRPr="002433F3">
        <w:rPr>
          <w:noProof w:val="0"/>
          <w:lang w:val="en-US"/>
        </w:rPr>
        <w:t xml:space="preserve">mentioned in the </w:t>
      </w:r>
      <w:r w:rsidR="007B0DE4" w:rsidRPr="002433F3">
        <w:rPr>
          <w:i/>
          <w:noProof w:val="0"/>
          <w:lang w:val="en-US"/>
        </w:rPr>
        <w:t>tutela</w:t>
      </w:r>
      <w:r w:rsidR="007B0DE4" w:rsidRPr="002433F3">
        <w:rPr>
          <w:noProof w:val="0"/>
          <w:lang w:val="en-US"/>
        </w:rPr>
        <w:t xml:space="preserve"> rulings that were not </w:t>
      </w:r>
      <w:r w:rsidR="007B0DE4" w:rsidRPr="002433F3">
        <w:rPr>
          <w:noProof w:val="0"/>
          <w:lang w:val="en-US"/>
        </w:rPr>
        <w:lastRenderedPageBreak/>
        <w:t>filed by the alleged victim</w:t>
      </w:r>
      <w:r w:rsidR="007B0DE4" w:rsidRPr="002433F3">
        <w:rPr>
          <w:noProof w:val="0"/>
          <w:lang w:val="en-US" w:eastAsia="es-CR"/>
        </w:rPr>
        <w:t xml:space="preserve">. In that </w:t>
      </w:r>
      <w:r w:rsidRPr="002433F3">
        <w:rPr>
          <w:noProof w:val="0"/>
          <w:lang w:val="en-US" w:eastAsia="es-CR"/>
        </w:rPr>
        <w:t>regard</w:t>
      </w:r>
      <w:r w:rsidR="007B0DE4" w:rsidRPr="002433F3">
        <w:rPr>
          <w:noProof w:val="0"/>
          <w:lang w:val="en-US" w:eastAsia="es-CR"/>
        </w:rPr>
        <w:t xml:space="preserve">, it should be recalled that the </w:t>
      </w:r>
      <w:r w:rsidRPr="002433F3">
        <w:rPr>
          <w:i/>
          <w:noProof w:val="0"/>
          <w:lang w:val="en-US" w:eastAsia="es-CR"/>
        </w:rPr>
        <w:t>tutela</w:t>
      </w:r>
      <w:r w:rsidRPr="002433F3">
        <w:rPr>
          <w:noProof w:val="0"/>
          <w:lang w:val="en-US" w:eastAsia="es-CR"/>
        </w:rPr>
        <w:t xml:space="preserve"> </w:t>
      </w:r>
      <w:r w:rsidR="007B0DE4" w:rsidRPr="002433F3">
        <w:rPr>
          <w:noProof w:val="0"/>
          <w:lang w:val="en-US" w:eastAsia="es-CR"/>
        </w:rPr>
        <w:t>j</w:t>
      </w:r>
      <w:r w:rsidR="007B0DE4" w:rsidRPr="002433F3">
        <w:rPr>
          <w:rFonts w:eastAsia="Batang" w:cs="Times"/>
          <w:noProof w:val="0"/>
          <w:szCs w:val="24"/>
          <w:lang w:val="en-US" w:eastAsia="es-CR"/>
        </w:rPr>
        <w:t xml:space="preserve">udges considered that Mr. Duque was not in an urgent situation that would </w:t>
      </w:r>
      <w:r w:rsidRPr="002433F3">
        <w:rPr>
          <w:rFonts w:eastAsia="Batang" w:cs="Times"/>
          <w:noProof w:val="0"/>
          <w:szCs w:val="24"/>
          <w:lang w:val="en-US" w:eastAsia="es-CR"/>
        </w:rPr>
        <w:t xml:space="preserve">have prevented him from pursuing </w:t>
      </w:r>
      <w:r w:rsidR="00774069" w:rsidRPr="002433F3">
        <w:rPr>
          <w:rFonts w:eastAsia="Batang" w:cs="Times"/>
          <w:noProof w:val="0"/>
          <w:szCs w:val="24"/>
          <w:lang w:val="en-US" w:eastAsia="es-CR"/>
        </w:rPr>
        <w:t xml:space="preserve">his claim for a survivor’s pension through </w:t>
      </w:r>
      <w:r w:rsidR="007B0DE4" w:rsidRPr="002433F3">
        <w:rPr>
          <w:rFonts w:eastAsia="Batang" w:cs="Times"/>
          <w:noProof w:val="0"/>
          <w:szCs w:val="24"/>
          <w:lang w:val="en-US" w:eastAsia="es-CR"/>
        </w:rPr>
        <w:t xml:space="preserve">the ordinary </w:t>
      </w:r>
      <w:r w:rsidR="00774069" w:rsidRPr="002433F3">
        <w:rPr>
          <w:rFonts w:eastAsia="Batang" w:cs="Times"/>
          <w:noProof w:val="0"/>
          <w:szCs w:val="24"/>
          <w:lang w:val="en-US" w:eastAsia="es-CR"/>
        </w:rPr>
        <w:t xml:space="preserve">courts </w:t>
      </w:r>
      <w:r w:rsidR="007B0DE4" w:rsidRPr="002433F3">
        <w:rPr>
          <w:rFonts w:eastAsia="Batang" w:cs="Times"/>
          <w:noProof w:val="0"/>
          <w:szCs w:val="24"/>
          <w:lang w:val="en-US" w:eastAsia="es-CR"/>
        </w:rPr>
        <w:t>and fo</w:t>
      </w:r>
      <w:r w:rsidR="00F21485" w:rsidRPr="002433F3">
        <w:rPr>
          <w:rFonts w:eastAsia="Batang" w:cs="Times"/>
          <w:noProof w:val="0"/>
          <w:szCs w:val="24"/>
          <w:lang w:val="en-US" w:eastAsia="es-CR"/>
        </w:rPr>
        <w:t xml:space="preserve">r that reason decided that the </w:t>
      </w:r>
      <w:r w:rsidR="007B0DE4" w:rsidRPr="002433F3">
        <w:rPr>
          <w:rFonts w:eastAsia="Batang" w:cs="Times"/>
          <w:i/>
          <w:noProof w:val="0"/>
          <w:szCs w:val="24"/>
          <w:lang w:val="en-US" w:eastAsia="es-CR"/>
        </w:rPr>
        <w:t>tutela</w:t>
      </w:r>
      <w:r w:rsidR="00774069" w:rsidRPr="002433F3">
        <w:rPr>
          <w:rFonts w:eastAsia="Batang" w:cs="Times"/>
          <w:noProof w:val="0"/>
          <w:szCs w:val="24"/>
          <w:lang w:val="en-US" w:eastAsia="es-CR"/>
        </w:rPr>
        <w:t xml:space="preserve"> was not the </w:t>
      </w:r>
      <w:r w:rsidR="007B0DE4" w:rsidRPr="002433F3">
        <w:rPr>
          <w:rFonts w:eastAsia="Batang" w:cs="Times"/>
          <w:noProof w:val="0"/>
          <w:szCs w:val="24"/>
          <w:lang w:val="en-US" w:eastAsia="es-CR"/>
        </w:rPr>
        <w:t>appropriate mechanism</w:t>
      </w:r>
      <w:r w:rsidR="00774069" w:rsidRPr="002433F3">
        <w:rPr>
          <w:rFonts w:eastAsia="Batang" w:cs="Times"/>
          <w:noProof w:val="0"/>
          <w:szCs w:val="24"/>
          <w:lang w:val="en-US" w:eastAsia="es-CR"/>
        </w:rPr>
        <w:t>,</w:t>
      </w:r>
      <w:r w:rsidR="007B0DE4" w:rsidRPr="002433F3">
        <w:rPr>
          <w:rFonts w:eastAsia="Batang" w:cs="Times"/>
          <w:noProof w:val="0"/>
          <w:szCs w:val="24"/>
          <w:lang w:val="en-US" w:eastAsia="es-CR"/>
        </w:rPr>
        <w:t xml:space="preserve"> since </w:t>
      </w:r>
      <w:r w:rsidR="00F21485" w:rsidRPr="002433F3">
        <w:rPr>
          <w:rFonts w:eastAsia="Batang" w:cs="Times"/>
          <w:noProof w:val="0"/>
          <w:szCs w:val="24"/>
          <w:lang w:val="en-US" w:eastAsia="es-CR"/>
        </w:rPr>
        <w:t xml:space="preserve">it </w:t>
      </w:r>
      <w:r w:rsidR="00774069" w:rsidRPr="002433F3">
        <w:rPr>
          <w:rFonts w:eastAsia="Batang" w:cs="Times"/>
          <w:noProof w:val="0"/>
          <w:szCs w:val="24"/>
          <w:lang w:val="en-US" w:eastAsia="es-CR"/>
        </w:rPr>
        <w:t xml:space="preserve">is of </w:t>
      </w:r>
      <w:r w:rsidR="007B0DE4" w:rsidRPr="002433F3">
        <w:rPr>
          <w:rFonts w:eastAsia="Batang" w:cs="Times"/>
          <w:bCs w:val="0"/>
          <w:noProof w:val="0"/>
          <w:szCs w:val="24"/>
          <w:lang w:val="en-US" w:eastAsia="es-CR"/>
        </w:rPr>
        <w:t xml:space="preserve">a subsidiary or residual </w:t>
      </w:r>
      <w:r w:rsidR="009D2425" w:rsidRPr="002433F3">
        <w:rPr>
          <w:rFonts w:eastAsia="Batang" w:cs="Times"/>
          <w:bCs w:val="0"/>
          <w:noProof w:val="0"/>
          <w:szCs w:val="24"/>
          <w:lang w:val="en-US" w:eastAsia="es-CR"/>
        </w:rPr>
        <w:t xml:space="preserve">nature </w:t>
      </w:r>
      <w:r w:rsidR="007B0DE4" w:rsidRPr="002433F3">
        <w:rPr>
          <w:rFonts w:eastAsia="Batang" w:cs="Times"/>
          <w:bCs w:val="0"/>
          <w:noProof w:val="0"/>
          <w:szCs w:val="24"/>
          <w:lang w:val="en-US" w:eastAsia="es-CR"/>
        </w:rPr>
        <w:t xml:space="preserve">and </w:t>
      </w:r>
      <w:r w:rsidR="009D2425" w:rsidRPr="002433F3">
        <w:rPr>
          <w:rFonts w:eastAsia="Batang" w:cs="Times"/>
          <w:bCs w:val="0"/>
          <w:noProof w:val="0"/>
          <w:szCs w:val="24"/>
          <w:lang w:val="en-US" w:eastAsia="es-CR"/>
        </w:rPr>
        <w:t xml:space="preserve">only </w:t>
      </w:r>
      <w:r w:rsidR="00C14F5A" w:rsidRPr="002433F3">
        <w:rPr>
          <w:rFonts w:eastAsia="Batang" w:cs="Times"/>
          <w:bCs w:val="0"/>
          <w:noProof w:val="0"/>
          <w:szCs w:val="24"/>
          <w:lang w:val="en-US" w:eastAsia="es-CR"/>
        </w:rPr>
        <w:t xml:space="preserve">displaces </w:t>
      </w:r>
      <w:r w:rsidR="007B0DE4" w:rsidRPr="002433F3">
        <w:rPr>
          <w:rFonts w:eastAsia="Batang" w:cs="Times"/>
          <w:bCs w:val="0"/>
          <w:noProof w:val="0"/>
          <w:szCs w:val="24"/>
          <w:lang w:val="en-US" w:eastAsia="es-CR"/>
        </w:rPr>
        <w:t xml:space="preserve">ordinary </w:t>
      </w:r>
      <w:r w:rsidR="00774069" w:rsidRPr="002433F3">
        <w:rPr>
          <w:rFonts w:eastAsia="Batang" w:cs="Times"/>
          <w:bCs w:val="0"/>
          <w:noProof w:val="0"/>
          <w:szCs w:val="24"/>
          <w:lang w:val="en-US" w:eastAsia="es-CR"/>
        </w:rPr>
        <w:t xml:space="preserve">proceedings </w:t>
      </w:r>
      <w:r w:rsidR="007B0DE4" w:rsidRPr="002433F3">
        <w:rPr>
          <w:rFonts w:eastAsia="Batang" w:cs="Times"/>
          <w:bCs w:val="0"/>
          <w:noProof w:val="0"/>
          <w:szCs w:val="24"/>
          <w:lang w:val="en-US" w:eastAsia="es-CR"/>
        </w:rPr>
        <w:t>in c</w:t>
      </w:r>
      <w:r w:rsidR="009D2425" w:rsidRPr="002433F3">
        <w:rPr>
          <w:rFonts w:eastAsia="Batang" w:cs="Times"/>
          <w:bCs w:val="0"/>
          <w:noProof w:val="0"/>
          <w:szCs w:val="24"/>
          <w:lang w:val="en-US" w:eastAsia="es-CR"/>
        </w:rPr>
        <w:t>ertain circumstances</w:t>
      </w:r>
      <w:r w:rsidR="00CB4029" w:rsidRPr="002433F3">
        <w:rPr>
          <w:rFonts w:eastAsia="Batang" w:cs="Times"/>
          <w:bCs w:val="0"/>
          <w:noProof w:val="0"/>
          <w:szCs w:val="24"/>
          <w:lang w:val="en-US" w:eastAsia="es-CR"/>
        </w:rPr>
        <w:t xml:space="preserve">, for example when the </w:t>
      </w:r>
      <w:r w:rsidR="009D2425" w:rsidRPr="002433F3">
        <w:rPr>
          <w:rFonts w:eastAsia="Batang" w:cs="Times"/>
          <w:bCs w:val="0"/>
          <w:noProof w:val="0"/>
          <w:szCs w:val="24"/>
          <w:lang w:val="en-US" w:eastAsia="es-CR"/>
        </w:rPr>
        <w:t xml:space="preserve">petitioner can prove </w:t>
      </w:r>
      <w:r w:rsidR="005E60DB" w:rsidRPr="002433F3">
        <w:rPr>
          <w:rFonts w:eastAsia="Batang" w:cs="Times"/>
          <w:bCs w:val="0"/>
          <w:noProof w:val="0"/>
          <w:szCs w:val="24"/>
          <w:lang w:val="en-US" w:eastAsia="es-CR"/>
        </w:rPr>
        <w:t xml:space="preserve">a </w:t>
      </w:r>
      <w:r w:rsidR="007B0DE4" w:rsidRPr="002433F3">
        <w:rPr>
          <w:rFonts w:eastAsia="Batang" w:cs="Times"/>
          <w:bCs w:val="0"/>
          <w:noProof w:val="0"/>
          <w:szCs w:val="24"/>
          <w:lang w:val="en-US" w:eastAsia="es-CR"/>
        </w:rPr>
        <w:t>situation of urgency or the possibility of irreparable harm.</w:t>
      </w:r>
    </w:p>
    <w:p w14:paraId="3B8BA05D" w14:textId="77777777" w:rsidR="007B0DE4" w:rsidRPr="002433F3" w:rsidRDefault="007B0DE4" w:rsidP="007B0DE4">
      <w:pPr>
        <w:numPr>
          <w:ilvl w:val="0"/>
          <w:numId w:val="2"/>
        </w:numPr>
        <w:spacing w:before="120" w:after="120"/>
        <w:rPr>
          <w:rFonts w:cs="Calibri"/>
          <w:spacing w:val="-3"/>
          <w:lang w:val="en-US"/>
        </w:rPr>
      </w:pPr>
      <w:r w:rsidRPr="002433F3">
        <w:rPr>
          <w:rFonts w:cs="Calibri"/>
          <w:spacing w:val="-3"/>
          <w:lang w:val="en-US"/>
        </w:rPr>
        <w:t xml:space="preserve">Accordingly, the Court considers that in </w:t>
      </w:r>
      <w:r w:rsidRPr="002433F3">
        <w:rPr>
          <w:lang w:val="en-US"/>
        </w:rPr>
        <w:t xml:space="preserve">the instant case it does not have sufficient elements to conclude that </w:t>
      </w:r>
      <w:r w:rsidR="00774069" w:rsidRPr="002433F3">
        <w:rPr>
          <w:lang w:val="en-US"/>
        </w:rPr>
        <w:t xml:space="preserve">no </w:t>
      </w:r>
      <w:r w:rsidRPr="002433F3">
        <w:rPr>
          <w:lang w:val="en-US"/>
        </w:rPr>
        <w:t xml:space="preserve">appropriate or effective remedy </w:t>
      </w:r>
      <w:r w:rsidR="00774069" w:rsidRPr="002433F3">
        <w:rPr>
          <w:lang w:val="en-US"/>
        </w:rPr>
        <w:t xml:space="preserve">existed in Colombia </w:t>
      </w:r>
      <w:r w:rsidRPr="002433F3">
        <w:rPr>
          <w:lang w:val="en-US"/>
        </w:rPr>
        <w:t xml:space="preserve">to apply for a survivor’s pension, </w:t>
      </w:r>
      <w:r w:rsidR="00EC729C" w:rsidRPr="002433F3">
        <w:rPr>
          <w:lang w:val="en-US"/>
        </w:rPr>
        <w:t xml:space="preserve">given that </w:t>
      </w:r>
      <w:r w:rsidR="00774069" w:rsidRPr="002433F3">
        <w:rPr>
          <w:lang w:val="en-US"/>
        </w:rPr>
        <w:t xml:space="preserve">it is </w:t>
      </w:r>
      <w:r w:rsidR="00774069" w:rsidRPr="002433F3">
        <w:rPr>
          <w:iCs/>
          <w:szCs w:val="20"/>
          <w:lang w:val="en-US"/>
        </w:rPr>
        <w:t xml:space="preserve">not possible to </w:t>
      </w:r>
      <w:r w:rsidR="00EC729C" w:rsidRPr="002433F3">
        <w:rPr>
          <w:iCs/>
          <w:szCs w:val="20"/>
          <w:lang w:val="en-US"/>
        </w:rPr>
        <w:t xml:space="preserve">determine </w:t>
      </w:r>
      <w:r w:rsidR="00774069" w:rsidRPr="002433F3">
        <w:rPr>
          <w:i/>
          <w:iCs/>
          <w:szCs w:val="20"/>
          <w:lang w:val="en-US"/>
        </w:rPr>
        <w:t>in abstracto</w:t>
      </w:r>
      <w:r w:rsidR="00774069" w:rsidRPr="002433F3">
        <w:rPr>
          <w:iCs/>
          <w:szCs w:val="20"/>
          <w:lang w:val="en-US"/>
        </w:rPr>
        <w:t xml:space="preserve"> </w:t>
      </w:r>
      <w:r w:rsidR="00EC729C" w:rsidRPr="002433F3">
        <w:rPr>
          <w:iCs/>
          <w:szCs w:val="20"/>
          <w:lang w:val="en-US"/>
        </w:rPr>
        <w:t xml:space="preserve">the effectiveness or suitability of the </w:t>
      </w:r>
      <w:r w:rsidR="00774069" w:rsidRPr="002433F3">
        <w:rPr>
          <w:iCs/>
          <w:szCs w:val="20"/>
          <w:lang w:val="en-US"/>
        </w:rPr>
        <w:t xml:space="preserve">domestic remedies still available to </w:t>
      </w:r>
      <w:r w:rsidR="00EC729C" w:rsidRPr="002433F3">
        <w:rPr>
          <w:iCs/>
          <w:szCs w:val="20"/>
          <w:lang w:val="en-US"/>
        </w:rPr>
        <w:t xml:space="preserve">Mr. Duque </w:t>
      </w:r>
      <w:r w:rsidRPr="002433F3">
        <w:rPr>
          <w:lang w:val="en-US"/>
        </w:rPr>
        <w:t xml:space="preserve">in the contentious-administrative courts and </w:t>
      </w:r>
      <w:r w:rsidR="00EC729C" w:rsidRPr="002433F3">
        <w:rPr>
          <w:lang w:val="en-US"/>
        </w:rPr>
        <w:t xml:space="preserve">of </w:t>
      </w:r>
      <w:r w:rsidRPr="002433F3">
        <w:rPr>
          <w:lang w:val="en-US"/>
        </w:rPr>
        <w:t>the</w:t>
      </w:r>
      <w:r w:rsidR="00EC729C" w:rsidRPr="002433F3">
        <w:rPr>
          <w:lang w:val="en-US"/>
        </w:rPr>
        <w:t xml:space="preserve"> remedies of</w:t>
      </w:r>
      <w:r w:rsidRPr="002433F3">
        <w:rPr>
          <w:lang w:val="en-US"/>
        </w:rPr>
        <w:t xml:space="preserve"> </w:t>
      </w:r>
      <w:r w:rsidR="00EC729C" w:rsidRPr="002433F3">
        <w:rPr>
          <w:lang w:val="en-US"/>
        </w:rPr>
        <w:t>reconsideration (</w:t>
      </w:r>
      <w:r w:rsidRPr="002433F3">
        <w:rPr>
          <w:i/>
          <w:lang w:val="en-US"/>
        </w:rPr>
        <w:t>reposición</w:t>
      </w:r>
      <w:r w:rsidR="00EC729C" w:rsidRPr="002433F3">
        <w:rPr>
          <w:i/>
          <w:lang w:val="en-US"/>
        </w:rPr>
        <w:t>)</w:t>
      </w:r>
      <w:r w:rsidRPr="002433F3">
        <w:rPr>
          <w:lang w:val="en-US"/>
        </w:rPr>
        <w:t xml:space="preserve"> or appeal against the decision </w:t>
      </w:r>
      <w:r w:rsidR="00EC729C" w:rsidRPr="002433F3">
        <w:rPr>
          <w:lang w:val="en-US"/>
        </w:rPr>
        <w:t xml:space="preserve">of </w:t>
      </w:r>
      <w:r w:rsidRPr="002433F3">
        <w:rPr>
          <w:lang w:val="en-US"/>
        </w:rPr>
        <w:t xml:space="preserve">COLFONDOS, </w:t>
      </w:r>
      <w:r w:rsidR="00EC729C" w:rsidRPr="002433F3">
        <w:rPr>
          <w:lang w:val="en-US"/>
        </w:rPr>
        <w:t>since those remedies were not</w:t>
      </w:r>
      <w:r w:rsidRPr="002433F3">
        <w:rPr>
          <w:lang w:val="en-US"/>
        </w:rPr>
        <w:t xml:space="preserve"> filed</w:t>
      </w:r>
      <w:r w:rsidRPr="002433F3">
        <w:rPr>
          <w:lang w:val="en-US" w:eastAsia="es-CR"/>
        </w:rPr>
        <w:t>.</w:t>
      </w:r>
      <w:r w:rsidRPr="002433F3">
        <w:rPr>
          <w:rFonts w:cs="Calibri"/>
          <w:spacing w:val="-3"/>
          <w:lang w:val="en-US"/>
        </w:rPr>
        <w:t xml:space="preserve"> </w:t>
      </w:r>
    </w:p>
    <w:p w14:paraId="7693E979" w14:textId="77777777" w:rsidR="007B0DE4" w:rsidRPr="002433F3" w:rsidRDefault="007B0DE4" w:rsidP="007B0DE4">
      <w:pPr>
        <w:numPr>
          <w:ilvl w:val="0"/>
          <w:numId w:val="2"/>
        </w:numPr>
        <w:spacing w:before="120" w:after="120"/>
        <w:rPr>
          <w:color w:val="FF0000"/>
          <w:lang w:val="en-US"/>
        </w:rPr>
      </w:pPr>
      <w:r w:rsidRPr="002433F3">
        <w:rPr>
          <w:lang w:val="en-US"/>
        </w:rPr>
        <w:t xml:space="preserve">Therefore, this Court considers that </w:t>
      </w:r>
      <w:r w:rsidR="00EC729C" w:rsidRPr="002433F3">
        <w:rPr>
          <w:lang w:val="en-US"/>
        </w:rPr>
        <w:t xml:space="preserve">although </w:t>
      </w:r>
      <w:r w:rsidRPr="002433F3">
        <w:rPr>
          <w:lang w:val="en-US"/>
        </w:rPr>
        <w:t xml:space="preserve">the </w:t>
      </w:r>
      <w:r w:rsidRPr="002433F3">
        <w:rPr>
          <w:i/>
          <w:lang w:val="en-US"/>
        </w:rPr>
        <w:t>tutela</w:t>
      </w:r>
      <w:r w:rsidRPr="002433F3">
        <w:rPr>
          <w:lang w:val="en-US"/>
        </w:rPr>
        <w:t xml:space="preserve"> </w:t>
      </w:r>
      <w:r w:rsidR="00CB4029" w:rsidRPr="002433F3">
        <w:rPr>
          <w:lang w:val="en-US"/>
        </w:rPr>
        <w:t xml:space="preserve">action </w:t>
      </w:r>
      <w:r w:rsidRPr="002433F3">
        <w:rPr>
          <w:lang w:val="en-US"/>
        </w:rPr>
        <w:t>and</w:t>
      </w:r>
      <w:r w:rsidR="0029353B" w:rsidRPr="002433F3">
        <w:rPr>
          <w:lang w:val="en-US"/>
        </w:rPr>
        <w:t xml:space="preserve"> the appeal </w:t>
      </w:r>
      <w:r w:rsidR="00EC729C" w:rsidRPr="002433F3">
        <w:rPr>
          <w:lang w:val="en-US"/>
        </w:rPr>
        <w:t xml:space="preserve">failed to grant </w:t>
      </w:r>
      <w:r w:rsidR="00C85B27" w:rsidRPr="002433F3">
        <w:rPr>
          <w:lang w:val="en-US"/>
        </w:rPr>
        <w:t>the pension</w:t>
      </w:r>
      <w:r w:rsidRPr="002433F3">
        <w:rPr>
          <w:lang w:val="en-US"/>
        </w:rPr>
        <w:t xml:space="preserve"> claimed by Mr. Duque, </w:t>
      </w:r>
      <w:r w:rsidR="00EC729C" w:rsidRPr="002433F3">
        <w:rPr>
          <w:lang w:val="en-US"/>
        </w:rPr>
        <w:t xml:space="preserve">it is not possible to </w:t>
      </w:r>
      <w:r w:rsidR="00E81930" w:rsidRPr="002433F3">
        <w:rPr>
          <w:lang w:val="en-US"/>
        </w:rPr>
        <w:t>conclude that Colombia lacked</w:t>
      </w:r>
      <w:r w:rsidR="00EC729C" w:rsidRPr="002433F3">
        <w:rPr>
          <w:lang w:val="en-US"/>
        </w:rPr>
        <w:t xml:space="preserve"> effective remedies based solely on the fact </w:t>
      </w:r>
      <w:r w:rsidR="00E81930" w:rsidRPr="002433F3">
        <w:rPr>
          <w:lang w:val="en-US"/>
        </w:rPr>
        <w:t xml:space="preserve">that he did not file </w:t>
      </w:r>
      <w:r w:rsidRPr="002433F3">
        <w:rPr>
          <w:lang w:val="en-US"/>
        </w:rPr>
        <w:t xml:space="preserve">other </w:t>
      </w:r>
      <w:r w:rsidR="00E81930" w:rsidRPr="002433F3">
        <w:rPr>
          <w:lang w:val="en-US"/>
        </w:rPr>
        <w:t xml:space="preserve">suitable </w:t>
      </w:r>
      <w:r w:rsidRPr="002433F3">
        <w:rPr>
          <w:lang w:val="en-US"/>
        </w:rPr>
        <w:t>remedies</w:t>
      </w:r>
      <w:r w:rsidR="00E81930" w:rsidRPr="002433F3">
        <w:rPr>
          <w:lang w:val="en-US"/>
        </w:rPr>
        <w:t xml:space="preserve"> that were available to him to resolve the matter, as </w:t>
      </w:r>
      <w:r w:rsidRPr="002433F3">
        <w:rPr>
          <w:lang w:val="en-US"/>
        </w:rPr>
        <w:t xml:space="preserve">indicated </w:t>
      </w:r>
      <w:r w:rsidR="00E81930" w:rsidRPr="002433F3">
        <w:rPr>
          <w:lang w:val="en-US"/>
        </w:rPr>
        <w:t xml:space="preserve">by the </w:t>
      </w:r>
      <w:r w:rsidRPr="002433F3">
        <w:rPr>
          <w:i/>
          <w:lang w:val="en-US"/>
        </w:rPr>
        <w:t>tutela</w:t>
      </w:r>
      <w:r w:rsidRPr="002433F3">
        <w:rPr>
          <w:lang w:val="en-US"/>
        </w:rPr>
        <w:t xml:space="preserve"> and appeal</w:t>
      </w:r>
      <w:r w:rsidR="00E81930" w:rsidRPr="002433F3">
        <w:rPr>
          <w:lang w:val="en-US"/>
        </w:rPr>
        <w:t xml:space="preserve"> judges in their rulings. </w:t>
      </w:r>
      <w:r w:rsidRPr="002433F3">
        <w:rPr>
          <w:lang w:val="en-US"/>
        </w:rPr>
        <w:t>Th</w:t>
      </w:r>
      <w:r w:rsidR="00E81930" w:rsidRPr="002433F3">
        <w:rPr>
          <w:lang w:val="en-US"/>
        </w:rPr>
        <w:t>us, th</w:t>
      </w:r>
      <w:r w:rsidRPr="002433F3">
        <w:rPr>
          <w:lang w:val="en-US"/>
        </w:rPr>
        <w:t xml:space="preserve">e Court concludes that there are not sufficient elements to prove that the actions of the judicial authorities </w:t>
      </w:r>
      <w:r w:rsidR="0007191A" w:rsidRPr="002433F3">
        <w:rPr>
          <w:lang w:val="en-US"/>
        </w:rPr>
        <w:t xml:space="preserve">impaired </w:t>
      </w:r>
      <w:r w:rsidRPr="002433F3">
        <w:rPr>
          <w:rFonts w:cs="Calibri"/>
          <w:spacing w:val="-3"/>
          <w:lang w:val="en-US"/>
        </w:rPr>
        <w:t>Mr.</w:t>
      </w:r>
      <w:r w:rsidRPr="002433F3">
        <w:rPr>
          <w:lang w:val="en-US"/>
        </w:rPr>
        <w:t xml:space="preserve"> Ángel Alberto Duque</w:t>
      </w:r>
      <w:r w:rsidR="00CB4029" w:rsidRPr="002433F3">
        <w:rPr>
          <w:lang w:val="en-US"/>
        </w:rPr>
        <w:t xml:space="preserve">’s judicial protection. </w:t>
      </w:r>
      <w:r w:rsidRPr="002433F3">
        <w:rPr>
          <w:lang w:val="en-US"/>
        </w:rPr>
        <w:t xml:space="preserve">Consequently, the Court </w:t>
      </w:r>
      <w:r w:rsidR="00CB4029" w:rsidRPr="002433F3">
        <w:rPr>
          <w:lang w:val="en-US"/>
        </w:rPr>
        <w:t xml:space="preserve">finds </w:t>
      </w:r>
      <w:r w:rsidRPr="002433F3">
        <w:rPr>
          <w:lang w:val="en-US"/>
        </w:rPr>
        <w:t xml:space="preserve">that the State did not violate the right to judicial protection recognized in Article 25(1) of the Convention. </w:t>
      </w:r>
    </w:p>
    <w:p w14:paraId="2370B10F" w14:textId="77777777" w:rsidR="007B0DE4" w:rsidRPr="002433F3" w:rsidRDefault="007B0DE4" w:rsidP="007B0DE4">
      <w:pPr>
        <w:pStyle w:val="Ttulo3"/>
        <w:spacing w:before="280" w:after="280"/>
        <w:ind w:left="1066"/>
        <w:rPr>
          <w:noProof w:val="0"/>
          <w:lang w:val="en-US" w:eastAsia="es-ES"/>
        </w:rPr>
      </w:pPr>
      <w:bookmarkStart w:id="133" w:name="_Toc433564912"/>
      <w:bookmarkStart w:id="134" w:name="_Toc448482273"/>
      <w:r w:rsidRPr="002433F3">
        <w:rPr>
          <w:noProof w:val="0"/>
          <w:lang w:val="en-US" w:eastAsia="es-ES"/>
        </w:rPr>
        <w:t>B.2.</w:t>
      </w:r>
      <w:bookmarkEnd w:id="133"/>
      <w:r w:rsidRPr="002433F3">
        <w:rPr>
          <w:noProof w:val="0"/>
          <w:lang w:val="en-US" w:eastAsia="es-ES"/>
        </w:rPr>
        <w:t xml:space="preserve"> A</w:t>
      </w:r>
      <w:r w:rsidRPr="002433F3">
        <w:rPr>
          <w:noProof w:val="0"/>
          <w:lang w:val="en-US"/>
        </w:rPr>
        <w:t xml:space="preserve">lleged violation of Article 8(1) of the Convention </w:t>
      </w:r>
      <w:r w:rsidR="00F9658C" w:rsidRPr="002433F3">
        <w:rPr>
          <w:noProof w:val="0"/>
          <w:lang w:val="en-US"/>
        </w:rPr>
        <w:t xml:space="preserve">based on </w:t>
      </w:r>
      <w:r w:rsidRPr="002433F3">
        <w:rPr>
          <w:noProof w:val="0"/>
          <w:lang w:val="en-US"/>
        </w:rPr>
        <w:t>the supposed application of discriminatory stereotypes in judicial rulings</w:t>
      </w:r>
      <w:bookmarkEnd w:id="134"/>
    </w:p>
    <w:p w14:paraId="354547B8" w14:textId="77777777" w:rsidR="007B0DE4" w:rsidRPr="002433F3" w:rsidRDefault="00114CB1" w:rsidP="007B0DE4">
      <w:pPr>
        <w:numPr>
          <w:ilvl w:val="0"/>
          <w:numId w:val="2"/>
        </w:numPr>
        <w:spacing w:before="120" w:after="120"/>
        <w:rPr>
          <w:lang w:val="en-US"/>
        </w:rPr>
      </w:pPr>
      <w:r w:rsidRPr="002433F3">
        <w:rPr>
          <w:szCs w:val="20"/>
          <w:lang w:val="en-US"/>
        </w:rPr>
        <w:t xml:space="preserve">Under </w:t>
      </w:r>
      <w:r w:rsidR="007B0DE4" w:rsidRPr="002433F3">
        <w:rPr>
          <w:szCs w:val="20"/>
          <w:lang w:val="en-US"/>
        </w:rPr>
        <w:t>Article 8(1) of the Convention</w:t>
      </w:r>
      <w:r w:rsidRPr="002433F3">
        <w:rPr>
          <w:szCs w:val="20"/>
          <w:lang w:val="en-US"/>
        </w:rPr>
        <w:t>,</w:t>
      </w:r>
      <w:r w:rsidR="007B0DE4" w:rsidRPr="002433F3">
        <w:rPr>
          <w:szCs w:val="20"/>
          <w:lang w:val="en-US"/>
        </w:rPr>
        <w:t xml:space="preserve"> </w:t>
      </w:r>
      <w:r w:rsidRPr="002433F3">
        <w:rPr>
          <w:lang w:val="en-US"/>
        </w:rPr>
        <w:t>decisions affecting the rights</w:t>
      </w:r>
      <w:r w:rsidR="00F9658C" w:rsidRPr="002433F3">
        <w:rPr>
          <w:lang w:val="en-US"/>
        </w:rPr>
        <w:t xml:space="preserve"> of persons must be adopted by a</w:t>
      </w:r>
      <w:r w:rsidRPr="002433F3">
        <w:rPr>
          <w:lang w:val="en-US"/>
        </w:rPr>
        <w:t xml:space="preserve"> competent authority, in accordance with domestic law</w:t>
      </w:r>
      <w:r w:rsidR="007B0DE4" w:rsidRPr="002433F3">
        <w:rPr>
          <w:rStyle w:val="Refdenotaalpie"/>
          <w:lang w:val="en-US"/>
        </w:rPr>
        <w:footnoteReference w:id="134"/>
      </w:r>
      <w:r w:rsidR="007B0DE4" w:rsidRPr="002433F3">
        <w:rPr>
          <w:szCs w:val="20"/>
          <w:lang w:val="en-US"/>
        </w:rPr>
        <w:t xml:space="preserve"> and the procedure</w:t>
      </w:r>
      <w:r w:rsidRPr="002433F3">
        <w:rPr>
          <w:szCs w:val="20"/>
          <w:lang w:val="en-US"/>
        </w:rPr>
        <w:t>s</w:t>
      </w:r>
      <w:r w:rsidR="007B0DE4" w:rsidRPr="002433F3">
        <w:rPr>
          <w:szCs w:val="20"/>
          <w:lang w:val="en-US"/>
        </w:rPr>
        <w:t xml:space="preserve"> </w:t>
      </w:r>
      <w:r w:rsidRPr="002433F3">
        <w:rPr>
          <w:szCs w:val="20"/>
          <w:lang w:val="en-US"/>
        </w:rPr>
        <w:t xml:space="preserve">established </w:t>
      </w:r>
      <w:r w:rsidR="007B0DE4" w:rsidRPr="002433F3">
        <w:rPr>
          <w:szCs w:val="20"/>
          <w:lang w:val="en-US"/>
        </w:rPr>
        <w:t>for this purpose</w:t>
      </w:r>
      <w:r w:rsidR="007B0DE4" w:rsidRPr="002433F3">
        <w:rPr>
          <w:lang w:val="en-US"/>
        </w:rPr>
        <w:t>.</w:t>
      </w:r>
    </w:p>
    <w:p w14:paraId="3DDD2B52" w14:textId="77777777" w:rsidR="007B0DE4" w:rsidRPr="002433F3" w:rsidRDefault="009D2425" w:rsidP="007B0DE4">
      <w:pPr>
        <w:numPr>
          <w:ilvl w:val="0"/>
          <w:numId w:val="2"/>
        </w:numPr>
        <w:spacing w:before="120" w:after="120"/>
        <w:rPr>
          <w:rFonts w:cs="Calibri"/>
          <w:spacing w:val="-3"/>
          <w:lang w:val="en-US"/>
        </w:rPr>
      </w:pPr>
      <w:r w:rsidRPr="002433F3">
        <w:rPr>
          <w:lang w:val="en-US"/>
        </w:rPr>
        <w:t>It h</w:t>
      </w:r>
      <w:r w:rsidR="007B0DE4" w:rsidRPr="002433F3">
        <w:rPr>
          <w:lang w:val="en-US"/>
        </w:rPr>
        <w:t xml:space="preserve">as been alleged that the </w:t>
      </w:r>
      <w:r w:rsidR="00114CB1" w:rsidRPr="002433F3">
        <w:rPr>
          <w:lang w:val="en-US"/>
        </w:rPr>
        <w:t xml:space="preserve">courts did not properly analyze the </w:t>
      </w:r>
      <w:r w:rsidR="007B0DE4" w:rsidRPr="002433F3">
        <w:rPr>
          <w:i/>
          <w:lang w:val="en-US"/>
        </w:rPr>
        <w:t>tutela</w:t>
      </w:r>
      <w:r w:rsidRPr="002433F3">
        <w:rPr>
          <w:lang w:val="en-US"/>
        </w:rPr>
        <w:t xml:space="preserve"> action and </w:t>
      </w:r>
      <w:r w:rsidR="007B0DE4" w:rsidRPr="002433F3">
        <w:rPr>
          <w:lang w:val="en-US"/>
        </w:rPr>
        <w:t>appeal</w:t>
      </w:r>
      <w:r w:rsidR="00F9658C" w:rsidRPr="002433F3">
        <w:rPr>
          <w:lang w:val="en-US"/>
        </w:rPr>
        <w:t xml:space="preserve"> filed by the petitioner, but rejected these</w:t>
      </w:r>
      <w:r w:rsidR="007B0DE4" w:rsidRPr="002433F3">
        <w:rPr>
          <w:lang w:val="en-US"/>
        </w:rPr>
        <w:t xml:space="preserve"> based on a dogmatic </w:t>
      </w:r>
      <w:r w:rsidRPr="002433F3">
        <w:rPr>
          <w:lang w:val="en-US"/>
        </w:rPr>
        <w:t>and formalis</w:t>
      </w:r>
      <w:r w:rsidR="00594FC8" w:rsidRPr="002433F3">
        <w:rPr>
          <w:lang w:val="en-US"/>
        </w:rPr>
        <w:t>t</w:t>
      </w:r>
      <w:r w:rsidRPr="002433F3">
        <w:rPr>
          <w:lang w:val="en-US"/>
        </w:rPr>
        <w:t>ic</w:t>
      </w:r>
      <w:r w:rsidR="007B0DE4" w:rsidRPr="002433F3">
        <w:rPr>
          <w:lang w:val="en-US"/>
        </w:rPr>
        <w:t xml:space="preserve"> interpretation of the </w:t>
      </w:r>
      <w:r w:rsidR="00594FC8" w:rsidRPr="002433F3">
        <w:rPr>
          <w:lang w:val="en-US"/>
        </w:rPr>
        <w:t>existing laws</w:t>
      </w:r>
      <w:r w:rsidR="007B0DE4" w:rsidRPr="002433F3">
        <w:rPr>
          <w:lang w:val="en-US"/>
        </w:rPr>
        <w:t xml:space="preserve">; </w:t>
      </w:r>
      <w:r w:rsidR="00594FC8" w:rsidRPr="002433F3">
        <w:rPr>
          <w:lang w:val="en-US"/>
        </w:rPr>
        <w:t xml:space="preserve">it has </w:t>
      </w:r>
      <w:r w:rsidR="00114CB1" w:rsidRPr="002433F3">
        <w:rPr>
          <w:lang w:val="en-US"/>
        </w:rPr>
        <w:t xml:space="preserve">also </w:t>
      </w:r>
      <w:r w:rsidR="00594FC8" w:rsidRPr="002433F3">
        <w:rPr>
          <w:lang w:val="en-US"/>
        </w:rPr>
        <w:t>been argued that the rulings issued in these</w:t>
      </w:r>
      <w:r w:rsidR="007B0DE4" w:rsidRPr="002433F3">
        <w:rPr>
          <w:lang w:val="en-US"/>
        </w:rPr>
        <w:t xml:space="preserve"> judicial </w:t>
      </w:r>
      <w:r w:rsidR="00594FC8" w:rsidRPr="002433F3">
        <w:rPr>
          <w:lang w:val="en-US"/>
        </w:rPr>
        <w:t xml:space="preserve">proceedings </w:t>
      </w:r>
      <w:r w:rsidR="007B0DE4" w:rsidRPr="002433F3">
        <w:rPr>
          <w:lang w:val="en-US"/>
        </w:rPr>
        <w:t>perpetua</w:t>
      </w:r>
      <w:r w:rsidRPr="002433F3">
        <w:rPr>
          <w:lang w:val="en-US"/>
        </w:rPr>
        <w:t xml:space="preserve">ted </w:t>
      </w:r>
      <w:r w:rsidR="007B0DE4" w:rsidRPr="002433F3">
        <w:rPr>
          <w:lang w:val="en-US"/>
        </w:rPr>
        <w:t>the prejudice and stigm</w:t>
      </w:r>
      <w:r w:rsidR="00114CB1" w:rsidRPr="002433F3">
        <w:rPr>
          <w:lang w:val="en-US"/>
        </w:rPr>
        <w:t>atization of same-sex couples</w:t>
      </w:r>
      <w:r w:rsidR="007B0DE4" w:rsidRPr="002433F3">
        <w:rPr>
          <w:lang w:val="en-US"/>
        </w:rPr>
        <w:t xml:space="preserve"> </w:t>
      </w:r>
      <w:r w:rsidR="00594FC8" w:rsidRPr="002433F3">
        <w:rPr>
          <w:lang w:val="en-US"/>
        </w:rPr>
        <w:t xml:space="preserve">by reaffirming </w:t>
      </w:r>
      <w:r w:rsidRPr="002433F3">
        <w:rPr>
          <w:lang w:val="en-US"/>
        </w:rPr>
        <w:t xml:space="preserve">a </w:t>
      </w:r>
      <w:r w:rsidR="00594FC8" w:rsidRPr="002433F3">
        <w:rPr>
          <w:lang w:val="en-US"/>
        </w:rPr>
        <w:t xml:space="preserve">narrow </w:t>
      </w:r>
      <w:r w:rsidRPr="002433F3">
        <w:rPr>
          <w:lang w:val="en-US"/>
        </w:rPr>
        <w:t xml:space="preserve">and stereotyped </w:t>
      </w:r>
      <w:r w:rsidR="00594FC8" w:rsidRPr="002433F3">
        <w:rPr>
          <w:lang w:val="en-US"/>
        </w:rPr>
        <w:t xml:space="preserve">perception </w:t>
      </w:r>
      <w:r w:rsidRPr="002433F3">
        <w:rPr>
          <w:lang w:val="en-US"/>
        </w:rPr>
        <w:t xml:space="preserve">of the concept </w:t>
      </w:r>
      <w:r w:rsidR="007B0DE4" w:rsidRPr="002433F3">
        <w:rPr>
          <w:lang w:val="en-US"/>
        </w:rPr>
        <w:t xml:space="preserve">of </w:t>
      </w:r>
      <w:r w:rsidR="004F6AC7" w:rsidRPr="002433F3">
        <w:rPr>
          <w:lang w:val="en-US"/>
        </w:rPr>
        <w:t>“</w:t>
      </w:r>
      <w:r w:rsidR="007B0DE4" w:rsidRPr="002433F3">
        <w:rPr>
          <w:lang w:val="en-US"/>
        </w:rPr>
        <w:t>family</w:t>
      </w:r>
      <w:r w:rsidR="004F6AC7" w:rsidRPr="002433F3">
        <w:rPr>
          <w:lang w:val="en-US"/>
        </w:rPr>
        <w:t>,”</w:t>
      </w:r>
      <w:r w:rsidR="00594FC8" w:rsidRPr="002433F3">
        <w:rPr>
          <w:lang w:val="en-US"/>
        </w:rPr>
        <w:t xml:space="preserve"> viewed </w:t>
      </w:r>
      <w:r w:rsidR="00114CB1" w:rsidRPr="002433F3">
        <w:rPr>
          <w:lang w:val="en-US"/>
        </w:rPr>
        <w:t xml:space="preserve">solely </w:t>
      </w:r>
      <w:r w:rsidR="00594FC8" w:rsidRPr="002433F3">
        <w:rPr>
          <w:lang w:val="en-US"/>
        </w:rPr>
        <w:t xml:space="preserve">as </w:t>
      </w:r>
      <w:r w:rsidR="00114CB1" w:rsidRPr="002433F3">
        <w:rPr>
          <w:lang w:val="en-US"/>
        </w:rPr>
        <w:t xml:space="preserve">a means of preserving </w:t>
      </w:r>
      <w:r w:rsidR="00594FC8" w:rsidRPr="002433F3">
        <w:rPr>
          <w:lang w:val="en-US"/>
        </w:rPr>
        <w:t xml:space="preserve">the </w:t>
      </w:r>
      <w:r w:rsidR="007B0DE4" w:rsidRPr="002433F3">
        <w:rPr>
          <w:lang w:val="en-US"/>
        </w:rPr>
        <w:t>specie</w:t>
      </w:r>
      <w:r w:rsidR="00594FC8" w:rsidRPr="002433F3">
        <w:rPr>
          <w:lang w:val="en-US"/>
        </w:rPr>
        <w:t xml:space="preserve">s </w:t>
      </w:r>
      <w:r w:rsidR="00114CB1" w:rsidRPr="002433F3">
        <w:rPr>
          <w:lang w:val="en-US"/>
        </w:rPr>
        <w:t xml:space="preserve">through </w:t>
      </w:r>
      <w:r w:rsidR="00594FC8" w:rsidRPr="002433F3">
        <w:rPr>
          <w:lang w:val="en-US"/>
        </w:rPr>
        <w:t xml:space="preserve">the </w:t>
      </w:r>
      <w:r w:rsidR="007B0DE4" w:rsidRPr="002433F3">
        <w:rPr>
          <w:lang w:val="en-US"/>
        </w:rPr>
        <w:t xml:space="preserve">procreation of </w:t>
      </w:r>
      <w:r w:rsidR="00594FC8" w:rsidRPr="002433F3">
        <w:rPr>
          <w:lang w:val="en-US"/>
        </w:rPr>
        <w:t>children</w:t>
      </w:r>
      <w:r w:rsidR="007B0DE4" w:rsidRPr="002433F3">
        <w:rPr>
          <w:lang w:val="en-US"/>
        </w:rPr>
        <w:t xml:space="preserve">. </w:t>
      </w:r>
    </w:p>
    <w:p w14:paraId="68D3BB95" w14:textId="77777777" w:rsidR="007B0DE4" w:rsidRPr="002433F3" w:rsidRDefault="007B0DE4" w:rsidP="007B0DE4">
      <w:pPr>
        <w:numPr>
          <w:ilvl w:val="0"/>
          <w:numId w:val="2"/>
        </w:numPr>
        <w:spacing w:before="120" w:after="120"/>
        <w:rPr>
          <w:lang w:val="en-US" w:eastAsia="es-ES"/>
        </w:rPr>
      </w:pPr>
      <w:r w:rsidRPr="002433F3">
        <w:rPr>
          <w:lang w:val="en-US"/>
        </w:rPr>
        <w:t xml:space="preserve">In that regard, the State </w:t>
      </w:r>
      <w:r w:rsidR="00114CB1" w:rsidRPr="002433F3">
        <w:rPr>
          <w:lang w:val="en-US"/>
        </w:rPr>
        <w:t xml:space="preserve">held </w:t>
      </w:r>
      <w:r w:rsidRPr="002433F3">
        <w:rPr>
          <w:lang w:val="en-US"/>
        </w:rPr>
        <w:t xml:space="preserve">that the judges </w:t>
      </w:r>
      <w:r w:rsidR="00114CB1" w:rsidRPr="002433F3">
        <w:rPr>
          <w:lang w:val="en-US"/>
        </w:rPr>
        <w:t xml:space="preserve">merely </w:t>
      </w:r>
      <w:r w:rsidRPr="002433F3">
        <w:rPr>
          <w:lang w:val="en-US"/>
        </w:rPr>
        <w:t xml:space="preserve">applied the </w:t>
      </w:r>
      <w:r w:rsidR="00594FC8" w:rsidRPr="002433F3">
        <w:rPr>
          <w:lang w:val="en-US"/>
        </w:rPr>
        <w:t xml:space="preserve">laws </w:t>
      </w:r>
      <w:r w:rsidRPr="002433F3">
        <w:rPr>
          <w:lang w:val="en-US"/>
        </w:rPr>
        <w:t xml:space="preserve">in effect at the time of </w:t>
      </w:r>
      <w:r w:rsidRPr="002433F3">
        <w:rPr>
          <w:szCs w:val="20"/>
          <w:lang w:val="en-US"/>
        </w:rPr>
        <w:t xml:space="preserve">the facts, </w:t>
      </w:r>
      <w:r w:rsidR="00C14F5A" w:rsidRPr="002433F3">
        <w:rPr>
          <w:szCs w:val="20"/>
          <w:lang w:val="en-US"/>
        </w:rPr>
        <w:t xml:space="preserve">and </w:t>
      </w:r>
      <w:r w:rsidR="004F6AC7" w:rsidRPr="002433F3">
        <w:rPr>
          <w:szCs w:val="20"/>
          <w:lang w:val="en-US"/>
        </w:rPr>
        <w:t xml:space="preserve">also </w:t>
      </w:r>
      <w:r w:rsidR="00114CB1" w:rsidRPr="002433F3">
        <w:rPr>
          <w:szCs w:val="20"/>
          <w:lang w:val="en-US"/>
        </w:rPr>
        <w:t xml:space="preserve">that </w:t>
      </w:r>
      <w:r w:rsidR="004F6AC7" w:rsidRPr="002433F3">
        <w:rPr>
          <w:szCs w:val="20"/>
          <w:lang w:val="en-US"/>
        </w:rPr>
        <w:t xml:space="preserve">in those days </w:t>
      </w:r>
      <w:r w:rsidR="00C14F5A" w:rsidRPr="002433F3">
        <w:rPr>
          <w:szCs w:val="20"/>
          <w:lang w:val="en-US"/>
        </w:rPr>
        <w:t xml:space="preserve">there was no obligation under </w:t>
      </w:r>
      <w:r w:rsidRPr="002433F3">
        <w:rPr>
          <w:szCs w:val="20"/>
          <w:lang w:val="en-US"/>
        </w:rPr>
        <w:t xml:space="preserve">national or international case law </w:t>
      </w:r>
      <w:r w:rsidR="00C14F5A" w:rsidRPr="002433F3">
        <w:rPr>
          <w:szCs w:val="20"/>
          <w:lang w:val="en-US"/>
        </w:rPr>
        <w:t xml:space="preserve">to </w:t>
      </w:r>
      <w:r w:rsidRPr="002433F3">
        <w:rPr>
          <w:szCs w:val="20"/>
          <w:lang w:val="en-US"/>
        </w:rPr>
        <w:t xml:space="preserve">recognize </w:t>
      </w:r>
      <w:r w:rsidR="00114CB1" w:rsidRPr="002433F3">
        <w:rPr>
          <w:szCs w:val="20"/>
          <w:lang w:val="en-US"/>
        </w:rPr>
        <w:t xml:space="preserve">the right </w:t>
      </w:r>
      <w:r w:rsidRPr="002433F3">
        <w:rPr>
          <w:szCs w:val="20"/>
          <w:lang w:val="en-US"/>
        </w:rPr>
        <w:t>of same-sex couples</w:t>
      </w:r>
      <w:r w:rsidR="004F6AC7" w:rsidRPr="002433F3">
        <w:rPr>
          <w:szCs w:val="20"/>
          <w:lang w:val="en-US"/>
        </w:rPr>
        <w:t xml:space="preserve"> to a survivor</w:t>
      </w:r>
      <w:r w:rsidR="004F6AC7" w:rsidRPr="002433F3">
        <w:rPr>
          <w:szCs w:val="20"/>
          <w:lang w:val="en-GB"/>
        </w:rPr>
        <w:t xml:space="preserve">’s </w:t>
      </w:r>
      <w:r w:rsidR="004F6AC7" w:rsidRPr="002433F3">
        <w:rPr>
          <w:szCs w:val="20"/>
          <w:lang w:val="en-US"/>
        </w:rPr>
        <w:t>pensions</w:t>
      </w:r>
      <w:r w:rsidRPr="002433F3">
        <w:rPr>
          <w:lang w:val="en-US"/>
        </w:rPr>
        <w:t>.</w:t>
      </w:r>
    </w:p>
    <w:p w14:paraId="1DD03852" w14:textId="77777777" w:rsidR="007B0DE4" w:rsidRPr="002433F3" w:rsidRDefault="007B0DE4" w:rsidP="007B0DE4">
      <w:pPr>
        <w:numPr>
          <w:ilvl w:val="0"/>
          <w:numId w:val="2"/>
        </w:numPr>
        <w:spacing w:before="120" w:after="120"/>
        <w:rPr>
          <w:lang w:val="en-US" w:eastAsia="es-ES"/>
        </w:rPr>
      </w:pPr>
      <w:r w:rsidRPr="002433F3">
        <w:rPr>
          <w:szCs w:val="20"/>
          <w:lang w:val="en-US"/>
        </w:rPr>
        <w:t>The Court</w:t>
      </w:r>
      <w:r w:rsidRPr="002433F3">
        <w:rPr>
          <w:rFonts w:cs="Arial"/>
          <w:szCs w:val="20"/>
          <w:lang w:val="en-US"/>
        </w:rPr>
        <w:t xml:space="preserve"> reiterat</w:t>
      </w:r>
      <w:r w:rsidR="006B301A" w:rsidRPr="002433F3">
        <w:rPr>
          <w:rFonts w:cs="Arial"/>
          <w:szCs w:val="20"/>
          <w:lang w:val="en-US"/>
        </w:rPr>
        <w:t xml:space="preserve">es that </w:t>
      </w:r>
      <w:r w:rsidR="00C94FB3" w:rsidRPr="002433F3">
        <w:rPr>
          <w:lang w:val="en-US"/>
        </w:rPr>
        <w:t>the right to be tried by an impartial judge or court is a fundamental guarantee of due process</w:t>
      </w:r>
      <w:r w:rsidR="00C94FB3" w:rsidRPr="002433F3">
        <w:rPr>
          <w:rFonts w:cs="Arial"/>
          <w:szCs w:val="20"/>
          <w:lang w:val="en-US"/>
        </w:rPr>
        <w:t xml:space="preserve">. </w:t>
      </w:r>
      <w:r w:rsidR="00C94FB3" w:rsidRPr="002433F3">
        <w:rPr>
          <w:lang w:val="en-US"/>
        </w:rPr>
        <w:t>In other words, the person on trial must have the guarantee that the judge or court presiding over his case brings to it the utmost objectivity</w:t>
      </w:r>
      <w:r w:rsidR="00594FC8" w:rsidRPr="002433F3">
        <w:rPr>
          <w:rFonts w:cs="Arial"/>
          <w:szCs w:val="20"/>
          <w:lang w:val="en-US"/>
        </w:rPr>
        <w:t>.</w:t>
      </w:r>
      <w:r w:rsidRPr="002433F3">
        <w:rPr>
          <w:rStyle w:val="Refdenotaalpie"/>
          <w:rFonts w:cs="Arial"/>
          <w:lang w:val="en-US"/>
        </w:rPr>
        <w:footnoteReference w:id="135"/>
      </w:r>
      <w:r w:rsidRPr="002433F3">
        <w:rPr>
          <w:rFonts w:cs="Arial"/>
          <w:szCs w:val="20"/>
          <w:lang w:val="en-US"/>
        </w:rPr>
        <w:t xml:space="preserve"> This </w:t>
      </w:r>
      <w:r w:rsidR="00594FC8" w:rsidRPr="002433F3">
        <w:rPr>
          <w:rFonts w:cs="Arial"/>
          <w:szCs w:val="20"/>
          <w:lang w:val="en-US"/>
        </w:rPr>
        <w:t xml:space="preserve">Court has established that </w:t>
      </w:r>
      <w:r w:rsidRPr="002433F3">
        <w:rPr>
          <w:rFonts w:cs="Arial"/>
          <w:bCs/>
          <w:iCs/>
          <w:szCs w:val="20"/>
          <w:lang w:val="en-US"/>
        </w:rPr>
        <w:t>impartiality</w:t>
      </w:r>
      <w:r w:rsidRPr="002433F3">
        <w:rPr>
          <w:rFonts w:cs="Arial"/>
          <w:szCs w:val="20"/>
          <w:lang w:val="en-US"/>
        </w:rPr>
        <w:t> </w:t>
      </w:r>
      <w:r w:rsidR="008079F5" w:rsidRPr="002433F3">
        <w:rPr>
          <w:lang w:val="en-US"/>
        </w:rPr>
        <w:t>demands that the judge acting in a specific dispute approach the facts of the case subjectively</w:t>
      </w:r>
      <w:r w:rsidR="004F6AC7" w:rsidRPr="002433F3">
        <w:rPr>
          <w:lang w:val="en-US"/>
        </w:rPr>
        <w:t>,</w:t>
      </w:r>
      <w:r w:rsidR="008079F5" w:rsidRPr="002433F3">
        <w:rPr>
          <w:lang w:val="en-US"/>
        </w:rPr>
        <w:t xml:space="preserve"> free of all prejudice</w:t>
      </w:r>
      <w:r w:rsidR="004F6AC7" w:rsidRPr="002433F3">
        <w:rPr>
          <w:lang w:val="en-US"/>
        </w:rPr>
        <w:t>,</w:t>
      </w:r>
      <w:r w:rsidR="008079F5" w:rsidRPr="002433F3">
        <w:rPr>
          <w:lang w:val="en-US"/>
        </w:rPr>
        <w:t xml:space="preserve"> and </w:t>
      </w:r>
      <w:r w:rsidR="004F6AC7" w:rsidRPr="002433F3">
        <w:rPr>
          <w:lang w:val="en-US"/>
        </w:rPr>
        <w:t xml:space="preserve">must </w:t>
      </w:r>
      <w:r w:rsidR="008079F5" w:rsidRPr="002433F3">
        <w:rPr>
          <w:lang w:val="en-US"/>
        </w:rPr>
        <w:t xml:space="preserve">offer sufficient objective guarantees </w:t>
      </w:r>
      <w:r w:rsidR="006B301A" w:rsidRPr="002433F3">
        <w:rPr>
          <w:lang w:val="en-US"/>
        </w:rPr>
        <w:t>from an objective viewpoint</w:t>
      </w:r>
      <w:r w:rsidR="006B301A" w:rsidRPr="002433F3">
        <w:rPr>
          <w:rFonts w:cs="Arial"/>
          <w:szCs w:val="20"/>
          <w:lang w:val="en-US"/>
        </w:rPr>
        <w:t xml:space="preserve"> so as to </w:t>
      </w:r>
      <w:r w:rsidR="00594FC8" w:rsidRPr="002433F3">
        <w:rPr>
          <w:lang w:val="en-US"/>
        </w:rPr>
        <w:t xml:space="preserve">inspire the necessary trust and </w:t>
      </w:r>
      <w:r w:rsidR="00594FC8" w:rsidRPr="002433F3">
        <w:rPr>
          <w:lang w:val="en-US"/>
        </w:rPr>
        <w:lastRenderedPageBreak/>
        <w:t>confidence in the parties to the case and in the citizens of a democratic society</w:t>
      </w:r>
      <w:r w:rsidRPr="002433F3">
        <w:rPr>
          <w:szCs w:val="20"/>
          <w:lang w:val="en-US"/>
        </w:rPr>
        <w:t>.</w:t>
      </w:r>
      <w:r w:rsidRPr="002433F3">
        <w:rPr>
          <w:rStyle w:val="Refdenotaalpie"/>
          <w:lang w:val="en-US"/>
        </w:rPr>
        <w:footnoteReference w:id="136"/>
      </w:r>
      <w:r w:rsidRPr="002433F3">
        <w:rPr>
          <w:rFonts w:cs="Arial"/>
          <w:szCs w:val="20"/>
          <w:lang w:val="en-US"/>
        </w:rPr>
        <w:t xml:space="preserve"> </w:t>
      </w:r>
      <w:r w:rsidR="000A3AA3" w:rsidRPr="002433F3">
        <w:rPr>
          <w:lang w:val="en-US"/>
        </w:rPr>
        <w:t>The impartiality of a court implies that its members have no direct interest in, a pre-established viewpoint on, or a preference for one of the parties, and that they are not involved in the controversy</w:t>
      </w:r>
      <w:r w:rsidR="00594FC8" w:rsidRPr="002433F3">
        <w:rPr>
          <w:rFonts w:cs="Arial"/>
          <w:szCs w:val="20"/>
          <w:lang w:val="en-US"/>
        </w:rPr>
        <w:t>.</w:t>
      </w:r>
      <w:r w:rsidRPr="002433F3">
        <w:rPr>
          <w:rStyle w:val="Refdenotaalpie"/>
          <w:rFonts w:cs="Arial"/>
          <w:lang w:val="en-US"/>
        </w:rPr>
        <w:footnoteReference w:id="137"/>
      </w:r>
      <w:r w:rsidRPr="002433F3">
        <w:rPr>
          <w:rFonts w:cs="Arial"/>
          <w:szCs w:val="20"/>
          <w:lang w:val="en-US"/>
        </w:rPr>
        <w:t xml:space="preserve"> </w:t>
      </w:r>
      <w:r w:rsidR="008079F5" w:rsidRPr="002433F3">
        <w:rPr>
          <w:rFonts w:cs="Arial"/>
          <w:szCs w:val="20"/>
          <w:lang w:val="en-US"/>
        </w:rPr>
        <w:t>That is so</w:t>
      </w:r>
      <w:r w:rsidR="00114CB1" w:rsidRPr="002433F3">
        <w:rPr>
          <w:rFonts w:cs="Arial"/>
          <w:szCs w:val="20"/>
          <w:lang w:val="en-US"/>
        </w:rPr>
        <w:t>,</w:t>
      </w:r>
      <w:r w:rsidR="008079F5" w:rsidRPr="002433F3">
        <w:rPr>
          <w:rFonts w:cs="Arial"/>
          <w:szCs w:val="20"/>
          <w:lang w:val="en-US"/>
        </w:rPr>
        <w:t xml:space="preserve"> since </w:t>
      </w:r>
      <w:r w:rsidR="000A3AA3" w:rsidRPr="002433F3">
        <w:rPr>
          <w:rFonts w:cs="Arial"/>
          <w:szCs w:val="20"/>
          <w:lang w:val="en-US"/>
        </w:rPr>
        <w:t xml:space="preserve">a </w:t>
      </w:r>
      <w:r w:rsidR="008079F5" w:rsidRPr="002433F3">
        <w:rPr>
          <w:lang w:val="en-US"/>
        </w:rPr>
        <w:t>judge must appear to act without being subject to any influence, inducement, pressure, threat or interference, direct or indirect</w:t>
      </w:r>
      <w:r w:rsidR="008079F5" w:rsidRPr="002433F3">
        <w:rPr>
          <w:szCs w:val="20"/>
          <w:lang w:val="en-US"/>
        </w:rPr>
        <w:t>,</w:t>
      </w:r>
      <w:r w:rsidRPr="002433F3">
        <w:rPr>
          <w:szCs w:val="20"/>
          <w:vertAlign w:val="superscript"/>
          <w:lang w:val="en-US"/>
        </w:rPr>
        <w:footnoteReference w:id="138"/>
      </w:r>
      <w:r w:rsidRPr="002433F3">
        <w:rPr>
          <w:szCs w:val="20"/>
          <w:lang w:val="en-US"/>
        </w:rPr>
        <w:t xml:space="preserve"> </w:t>
      </w:r>
      <w:r w:rsidR="008079F5" w:rsidRPr="002433F3">
        <w:rPr>
          <w:lang w:val="en-US"/>
        </w:rPr>
        <w:t xml:space="preserve">and only and exclusively in accordance </w:t>
      </w:r>
      <w:r w:rsidR="00114CB1" w:rsidRPr="002433F3">
        <w:rPr>
          <w:lang w:val="en-US"/>
        </w:rPr>
        <w:t>with —and on the basis of— the l</w:t>
      </w:r>
      <w:r w:rsidR="008079F5" w:rsidRPr="002433F3">
        <w:rPr>
          <w:lang w:val="en-US"/>
        </w:rPr>
        <w:t>aw</w:t>
      </w:r>
      <w:r w:rsidR="006B301A" w:rsidRPr="002433F3">
        <w:rPr>
          <w:szCs w:val="20"/>
          <w:lang w:val="en-US"/>
        </w:rPr>
        <w:t>.</w:t>
      </w:r>
      <w:r w:rsidRPr="002433F3">
        <w:rPr>
          <w:rStyle w:val="Refdenotaalpie"/>
          <w:rFonts w:cs="Times"/>
          <w:lang w:val="en-US"/>
        </w:rPr>
        <w:footnoteReference w:id="139"/>
      </w:r>
      <w:r w:rsidRPr="002433F3">
        <w:rPr>
          <w:lang w:val="en-US"/>
        </w:rPr>
        <w:t xml:space="preserve"> </w:t>
      </w:r>
    </w:p>
    <w:p w14:paraId="580D588F" w14:textId="77777777" w:rsidR="007B0DE4" w:rsidRPr="002433F3" w:rsidRDefault="007B0DE4" w:rsidP="007B0DE4">
      <w:pPr>
        <w:numPr>
          <w:ilvl w:val="0"/>
          <w:numId w:val="2"/>
        </w:numPr>
        <w:spacing w:before="120" w:after="120"/>
        <w:rPr>
          <w:lang w:val="en-US"/>
        </w:rPr>
      </w:pPr>
      <w:r w:rsidRPr="002433F3">
        <w:rPr>
          <w:szCs w:val="20"/>
          <w:lang w:val="en-US"/>
        </w:rPr>
        <w:t>The Court reiterates that the personal impartiality of a judge must be presumed, un</w:t>
      </w:r>
      <w:r w:rsidR="009C6F74" w:rsidRPr="002433F3">
        <w:rPr>
          <w:szCs w:val="20"/>
          <w:lang w:val="en-US"/>
        </w:rPr>
        <w:t xml:space="preserve">til </w:t>
      </w:r>
      <w:r w:rsidRPr="002433F3">
        <w:rPr>
          <w:szCs w:val="20"/>
          <w:lang w:val="en-US"/>
        </w:rPr>
        <w:t xml:space="preserve">there is </w:t>
      </w:r>
      <w:r w:rsidR="00ED2CF4" w:rsidRPr="002433F3">
        <w:rPr>
          <w:szCs w:val="20"/>
          <w:lang w:val="en-US"/>
        </w:rPr>
        <w:t xml:space="preserve">proof </w:t>
      </w:r>
      <w:r w:rsidRPr="002433F3">
        <w:rPr>
          <w:szCs w:val="20"/>
          <w:lang w:val="en-US"/>
        </w:rPr>
        <w:t>to the contrary</w:t>
      </w:r>
      <w:bookmarkStart w:id="135" w:name="_Ref318109399"/>
      <w:r w:rsidRPr="002433F3">
        <w:rPr>
          <w:szCs w:val="20"/>
          <w:lang w:val="en-US"/>
        </w:rPr>
        <w:t>.</w:t>
      </w:r>
      <w:r w:rsidRPr="002433F3">
        <w:rPr>
          <w:rStyle w:val="Refdenotaalpie"/>
          <w:lang w:val="en-US"/>
        </w:rPr>
        <w:footnoteReference w:id="140"/>
      </w:r>
      <w:bookmarkEnd w:id="135"/>
      <w:r w:rsidRPr="002433F3">
        <w:rPr>
          <w:szCs w:val="20"/>
          <w:lang w:val="en-US"/>
        </w:rPr>
        <w:t xml:space="preserve"> For the analysis of subjective impartiality, the Court must attempt to a</w:t>
      </w:r>
      <w:r w:rsidR="006B301A" w:rsidRPr="002433F3">
        <w:rPr>
          <w:szCs w:val="20"/>
          <w:lang w:val="en-US"/>
        </w:rPr>
        <w:t xml:space="preserve">scertain </w:t>
      </w:r>
      <w:r w:rsidRPr="002433F3">
        <w:rPr>
          <w:szCs w:val="20"/>
          <w:lang w:val="en-US"/>
        </w:rPr>
        <w:t>the personal interests or motivations of the judge in a particular case.</w:t>
      </w:r>
      <w:r w:rsidRPr="002433F3">
        <w:rPr>
          <w:rStyle w:val="Refdenotaalpie"/>
          <w:lang w:val="en-US"/>
        </w:rPr>
        <w:footnoteReference w:id="141"/>
      </w:r>
      <w:r w:rsidR="006B301A" w:rsidRPr="002433F3">
        <w:rPr>
          <w:szCs w:val="20"/>
          <w:lang w:val="en-US"/>
        </w:rPr>
        <w:t xml:space="preserve"> As to the type</w:t>
      </w:r>
      <w:r w:rsidRPr="002433F3">
        <w:rPr>
          <w:szCs w:val="20"/>
          <w:lang w:val="en-US"/>
        </w:rPr>
        <w:t xml:space="preserve"> of </w:t>
      </w:r>
      <w:r w:rsidR="00327213" w:rsidRPr="002433F3">
        <w:rPr>
          <w:szCs w:val="20"/>
          <w:lang w:val="en-US"/>
        </w:rPr>
        <w:t>evidence required to prove subjective impartiality</w:t>
      </w:r>
      <w:r w:rsidR="008079F5" w:rsidRPr="002433F3">
        <w:rPr>
          <w:szCs w:val="20"/>
          <w:lang w:val="en-US"/>
        </w:rPr>
        <w:t xml:space="preserve">, the </w:t>
      </w:r>
      <w:r w:rsidRPr="002433F3">
        <w:rPr>
          <w:szCs w:val="20"/>
          <w:lang w:val="en-US"/>
        </w:rPr>
        <w:t xml:space="preserve">European Court has indicated that </w:t>
      </w:r>
      <w:r w:rsidR="00ED2CF4" w:rsidRPr="002433F3">
        <w:rPr>
          <w:szCs w:val="20"/>
          <w:lang w:val="en-US"/>
        </w:rPr>
        <w:t xml:space="preserve">it is necessary to determine whether a </w:t>
      </w:r>
      <w:r w:rsidRPr="002433F3">
        <w:rPr>
          <w:szCs w:val="20"/>
          <w:lang w:val="en-US"/>
        </w:rPr>
        <w:t xml:space="preserve">judge has shown hostility or </w:t>
      </w:r>
      <w:r w:rsidR="000A3AA3" w:rsidRPr="002433F3">
        <w:rPr>
          <w:szCs w:val="20"/>
          <w:lang w:val="en-US"/>
        </w:rPr>
        <w:t>if he</w:t>
      </w:r>
      <w:r w:rsidR="00327213" w:rsidRPr="002433F3">
        <w:rPr>
          <w:szCs w:val="20"/>
          <w:lang w:val="en-US"/>
        </w:rPr>
        <w:t xml:space="preserve"> </w:t>
      </w:r>
      <w:r w:rsidR="000A3AA3" w:rsidRPr="002433F3">
        <w:rPr>
          <w:szCs w:val="20"/>
          <w:lang w:val="en-US"/>
        </w:rPr>
        <w:t xml:space="preserve">has arranged for the case to be assigned to him </w:t>
      </w:r>
      <w:r w:rsidRPr="002433F3">
        <w:rPr>
          <w:szCs w:val="20"/>
          <w:lang w:val="en-US"/>
        </w:rPr>
        <w:t>for personal reasons.</w:t>
      </w:r>
      <w:r w:rsidRPr="002433F3">
        <w:rPr>
          <w:rStyle w:val="Refdenotaalpie"/>
          <w:lang w:val="en-US"/>
        </w:rPr>
        <w:footnoteReference w:id="142"/>
      </w:r>
    </w:p>
    <w:p w14:paraId="130B5DB0" w14:textId="77777777" w:rsidR="007B0DE4" w:rsidRPr="002433F3" w:rsidRDefault="007B0DE4" w:rsidP="007B0DE4">
      <w:pPr>
        <w:numPr>
          <w:ilvl w:val="0"/>
          <w:numId w:val="2"/>
        </w:numPr>
        <w:spacing w:before="120" w:after="120"/>
        <w:rPr>
          <w:lang w:val="en-US"/>
        </w:rPr>
      </w:pPr>
      <w:r w:rsidRPr="002433F3">
        <w:rPr>
          <w:lang w:val="en-US"/>
        </w:rPr>
        <w:t xml:space="preserve">In </w:t>
      </w:r>
      <w:r w:rsidR="000A3AA3" w:rsidRPr="002433F3">
        <w:rPr>
          <w:lang w:val="en-US"/>
        </w:rPr>
        <w:t xml:space="preserve">the </w:t>
      </w:r>
      <w:r w:rsidR="00327213" w:rsidRPr="002433F3">
        <w:rPr>
          <w:lang w:val="en-US"/>
        </w:rPr>
        <w:t xml:space="preserve">instant </w:t>
      </w:r>
      <w:r w:rsidRPr="002433F3">
        <w:rPr>
          <w:lang w:val="en-US"/>
        </w:rPr>
        <w:t>case, the Court advi</w:t>
      </w:r>
      <w:r w:rsidR="006B301A" w:rsidRPr="002433F3">
        <w:rPr>
          <w:lang w:val="en-US"/>
        </w:rPr>
        <w:t xml:space="preserve">ses that </w:t>
      </w:r>
      <w:r w:rsidR="00AB783E" w:rsidRPr="002433F3">
        <w:rPr>
          <w:lang w:val="en-US"/>
        </w:rPr>
        <w:t xml:space="preserve">rulings in the </w:t>
      </w:r>
      <w:r w:rsidRPr="002433F3">
        <w:rPr>
          <w:i/>
          <w:lang w:val="en-US"/>
        </w:rPr>
        <w:t>tutela</w:t>
      </w:r>
      <w:r w:rsidRPr="002433F3">
        <w:rPr>
          <w:lang w:val="en-US"/>
        </w:rPr>
        <w:t xml:space="preserve"> </w:t>
      </w:r>
      <w:r w:rsidR="006B301A" w:rsidRPr="002433F3">
        <w:rPr>
          <w:lang w:val="en-US"/>
        </w:rPr>
        <w:t xml:space="preserve">action </w:t>
      </w:r>
      <w:r w:rsidRPr="002433F3">
        <w:rPr>
          <w:lang w:val="en-US"/>
        </w:rPr>
        <w:t>and the appeal pr</w:t>
      </w:r>
      <w:r w:rsidR="00B72634" w:rsidRPr="002433F3">
        <w:rPr>
          <w:lang w:val="en-US"/>
        </w:rPr>
        <w:t xml:space="preserve">ovided </w:t>
      </w:r>
      <w:r w:rsidRPr="002433F3">
        <w:rPr>
          <w:lang w:val="en-US"/>
        </w:rPr>
        <w:t>arguments re</w:t>
      </w:r>
      <w:r w:rsidR="000A3AA3" w:rsidRPr="002433F3">
        <w:rPr>
          <w:lang w:val="en-US"/>
        </w:rPr>
        <w:t xml:space="preserve">garding the </w:t>
      </w:r>
      <w:r w:rsidR="00ED2CF4" w:rsidRPr="002433F3">
        <w:rPr>
          <w:lang w:val="en-US"/>
        </w:rPr>
        <w:t xml:space="preserve">legal </w:t>
      </w:r>
      <w:r w:rsidR="00AB783E" w:rsidRPr="002433F3">
        <w:rPr>
          <w:lang w:val="en-US"/>
        </w:rPr>
        <w:t xml:space="preserve">basis for not </w:t>
      </w:r>
      <w:r w:rsidRPr="002433F3">
        <w:rPr>
          <w:lang w:val="en-US"/>
        </w:rPr>
        <w:t xml:space="preserve">granting pensions </w:t>
      </w:r>
      <w:r w:rsidR="000A3AA3" w:rsidRPr="002433F3">
        <w:rPr>
          <w:lang w:val="en-US"/>
        </w:rPr>
        <w:t xml:space="preserve">to </w:t>
      </w:r>
      <w:r w:rsidR="00AB783E" w:rsidRPr="002433F3">
        <w:rPr>
          <w:lang w:val="en-US"/>
        </w:rPr>
        <w:t>same-sex couples</w:t>
      </w:r>
      <w:r w:rsidRPr="002433F3">
        <w:rPr>
          <w:lang w:val="en-US"/>
        </w:rPr>
        <w:t xml:space="preserve">, </w:t>
      </w:r>
      <w:r w:rsidR="007E75CA" w:rsidRPr="002433F3">
        <w:rPr>
          <w:lang w:val="en-US"/>
        </w:rPr>
        <w:t xml:space="preserve">citing </w:t>
      </w:r>
      <w:r w:rsidRPr="002433F3">
        <w:rPr>
          <w:lang w:val="en-US"/>
        </w:rPr>
        <w:t xml:space="preserve">the Colombian legislation in force at the time of </w:t>
      </w:r>
      <w:r w:rsidR="000A3AA3" w:rsidRPr="002433F3">
        <w:rPr>
          <w:lang w:val="en-US"/>
        </w:rPr>
        <w:t>the facts</w:t>
      </w:r>
      <w:r w:rsidRPr="002433F3">
        <w:rPr>
          <w:lang w:val="en-US"/>
        </w:rPr>
        <w:t xml:space="preserve">. </w:t>
      </w:r>
      <w:r w:rsidR="00AB783E" w:rsidRPr="002433F3">
        <w:rPr>
          <w:lang w:val="en-US"/>
        </w:rPr>
        <w:t>From a</w:t>
      </w:r>
      <w:r w:rsidR="000A3AA3" w:rsidRPr="002433F3">
        <w:rPr>
          <w:lang w:val="en-US"/>
        </w:rPr>
        <w:t xml:space="preserve"> reading of the</w:t>
      </w:r>
      <w:r w:rsidR="00221075" w:rsidRPr="002433F3">
        <w:rPr>
          <w:lang w:val="en-US"/>
        </w:rPr>
        <w:t xml:space="preserve"> entire</w:t>
      </w:r>
      <w:r w:rsidR="000A3AA3" w:rsidRPr="002433F3">
        <w:rPr>
          <w:lang w:val="en-US"/>
        </w:rPr>
        <w:t xml:space="preserve"> </w:t>
      </w:r>
      <w:r w:rsidRPr="002433F3">
        <w:rPr>
          <w:i/>
          <w:lang w:val="en-US"/>
        </w:rPr>
        <w:t>tutela</w:t>
      </w:r>
      <w:r w:rsidRPr="002433F3">
        <w:rPr>
          <w:lang w:val="en-US"/>
        </w:rPr>
        <w:t xml:space="preserve"> and appeal </w:t>
      </w:r>
      <w:r w:rsidR="00C14F5A" w:rsidRPr="002433F3">
        <w:rPr>
          <w:lang w:val="en-US"/>
        </w:rPr>
        <w:t>rulings</w:t>
      </w:r>
      <w:r w:rsidR="00AB783E" w:rsidRPr="002433F3">
        <w:rPr>
          <w:lang w:val="en-US"/>
        </w:rPr>
        <w:t>, the Court finds</w:t>
      </w:r>
      <w:r w:rsidR="00C14F5A" w:rsidRPr="002433F3">
        <w:rPr>
          <w:lang w:val="en-US"/>
        </w:rPr>
        <w:t xml:space="preserve"> </w:t>
      </w:r>
      <w:r w:rsidR="00221075" w:rsidRPr="002433F3">
        <w:rPr>
          <w:lang w:val="en-US"/>
        </w:rPr>
        <w:t xml:space="preserve">no indication </w:t>
      </w:r>
      <w:r w:rsidRPr="002433F3">
        <w:rPr>
          <w:lang w:val="en-US"/>
        </w:rPr>
        <w:t xml:space="preserve">that </w:t>
      </w:r>
      <w:r w:rsidR="00ED2CF4" w:rsidRPr="002433F3">
        <w:rPr>
          <w:lang w:val="en-US"/>
        </w:rPr>
        <w:t>Mr. Duque’s sexual</w:t>
      </w:r>
      <w:r w:rsidR="00B72634" w:rsidRPr="002433F3">
        <w:rPr>
          <w:lang w:val="en-US"/>
        </w:rPr>
        <w:t xml:space="preserve"> orientation was the primary or</w:t>
      </w:r>
      <w:r w:rsidR="00ED2CF4" w:rsidRPr="002433F3">
        <w:rPr>
          <w:lang w:val="en-US"/>
        </w:rPr>
        <w:t xml:space="preserve"> decisive factor in </w:t>
      </w:r>
      <w:r w:rsidR="00C14F5A" w:rsidRPr="002433F3">
        <w:rPr>
          <w:lang w:val="en-US"/>
        </w:rPr>
        <w:t>these decisions</w:t>
      </w:r>
      <w:r w:rsidR="00AB783E" w:rsidRPr="002433F3">
        <w:rPr>
          <w:lang w:val="en-US"/>
        </w:rPr>
        <w:t>,</w:t>
      </w:r>
      <w:r w:rsidR="00C14F5A" w:rsidRPr="002433F3">
        <w:rPr>
          <w:lang w:val="en-US"/>
        </w:rPr>
        <w:t xml:space="preserve"> </w:t>
      </w:r>
      <w:r w:rsidR="00ED2CF4" w:rsidRPr="002433F3">
        <w:rPr>
          <w:lang w:val="en-US"/>
        </w:rPr>
        <w:t xml:space="preserve">or that these </w:t>
      </w:r>
      <w:r w:rsidR="007D018E" w:rsidRPr="002433F3">
        <w:rPr>
          <w:lang w:val="en-US"/>
        </w:rPr>
        <w:t xml:space="preserve">decisions </w:t>
      </w:r>
      <w:r w:rsidR="00ED2CF4" w:rsidRPr="002433F3">
        <w:rPr>
          <w:lang w:val="en-US"/>
        </w:rPr>
        <w:t xml:space="preserve">were </w:t>
      </w:r>
      <w:r w:rsidRPr="002433F3">
        <w:rPr>
          <w:lang w:val="en-US"/>
        </w:rPr>
        <w:t>overwhelmingly based on a stereotype</w:t>
      </w:r>
      <w:r w:rsidR="007E75CA" w:rsidRPr="002433F3">
        <w:rPr>
          <w:lang w:val="en-US"/>
        </w:rPr>
        <w:t>d</w:t>
      </w:r>
      <w:r w:rsidRPr="002433F3">
        <w:rPr>
          <w:lang w:val="en-US"/>
        </w:rPr>
        <w:t xml:space="preserve"> </w:t>
      </w:r>
      <w:r w:rsidR="007E75CA" w:rsidRPr="002433F3">
        <w:rPr>
          <w:lang w:val="en-US"/>
        </w:rPr>
        <w:t xml:space="preserve">view </w:t>
      </w:r>
      <w:r w:rsidRPr="002433F3">
        <w:rPr>
          <w:lang w:val="en-US"/>
        </w:rPr>
        <w:t xml:space="preserve">against him </w:t>
      </w:r>
      <w:r w:rsidR="007D018E" w:rsidRPr="002433F3">
        <w:rPr>
          <w:lang w:val="en-US"/>
        </w:rPr>
        <w:t xml:space="preserve">due </w:t>
      </w:r>
      <w:r w:rsidRPr="002433F3">
        <w:rPr>
          <w:lang w:val="en-US"/>
        </w:rPr>
        <w:t xml:space="preserve">to his sexual orientation. To </w:t>
      </w:r>
      <w:r w:rsidR="00B72634" w:rsidRPr="002433F3">
        <w:rPr>
          <w:lang w:val="en-US"/>
        </w:rPr>
        <w:t xml:space="preserve">the </w:t>
      </w:r>
      <w:r w:rsidR="000A3AA3" w:rsidRPr="002433F3">
        <w:rPr>
          <w:lang w:val="en-US"/>
        </w:rPr>
        <w:t xml:space="preserve">contrary, </w:t>
      </w:r>
      <w:r w:rsidR="00C14F5A" w:rsidRPr="002433F3">
        <w:rPr>
          <w:lang w:val="en-US"/>
        </w:rPr>
        <w:t xml:space="preserve">it is clear </w:t>
      </w:r>
      <w:r w:rsidR="000A3AA3" w:rsidRPr="002433F3">
        <w:rPr>
          <w:lang w:val="en-US"/>
        </w:rPr>
        <w:t xml:space="preserve">that the courts referred primarily to the provisions </w:t>
      </w:r>
      <w:r w:rsidRPr="002433F3">
        <w:rPr>
          <w:lang w:val="en-US"/>
        </w:rPr>
        <w:t>established in Articles</w:t>
      </w:r>
      <w:r w:rsidRPr="002433F3">
        <w:rPr>
          <w:lang w:val="en-US" w:eastAsia="es-ES"/>
        </w:rPr>
        <w:t xml:space="preserve"> 1 of Law 54 of 1990 and 10 of Decree</w:t>
      </w:r>
      <w:r w:rsidRPr="002433F3">
        <w:rPr>
          <w:lang w:val="en-US"/>
        </w:rPr>
        <w:t xml:space="preserve"> 1889 of 1994 (</w:t>
      </w:r>
      <w:r w:rsidRPr="002433F3">
        <w:rPr>
          <w:i/>
          <w:lang w:val="en-US"/>
        </w:rPr>
        <w:t>supra</w:t>
      </w:r>
      <w:r w:rsidRPr="002433F3">
        <w:rPr>
          <w:lang w:val="en-US"/>
        </w:rPr>
        <w:t xml:space="preserve"> paras. 73 and 74) to conclude that Mr. Duque was not entitled to a survivor’s pension. </w:t>
      </w:r>
      <w:r w:rsidR="007E75CA" w:rsidRPr="002433F3">
        <w:rPr>
          <w:lang w:val="en-US"/>
        </w:rPr>
        <w:t>Furthermore</w:t>
      </w:r>
      <w:r w:rsidRPr="002433F3">
        <w:rPr>
          <w:lang w:val="en-US"/>
        </w:rPr>
        <w:t xml:space="preserve">, </w:t>
      </w:r>
      <w:r w:rsidR="007D018E" w:rsidRPr="002433F3">
        <w:rPr>
          <w:lang w:val="en-US"/>
        </w:rPr>
        <w:t xml:space="preserve">the </w:t>
      </w:r>
      <w:r w:rsidRPr="002433F3">
        <w:rPr>
          <w:i/>
          <w:lang w:val="en-US"/>
        </w:rPr>
        <w:t>tutela</w:t>
      </w:r>
      <w:r w:rsidRPr="002433F3">
        <w:rPr>
          <w:lang w:val="en-US"/>
        </w:rPr>
        <w:t xml:space="preserve"> and appea</w:t>
      </w:r>
      <w:r w:rsidR="000A3AA3" w:rsidRPr="002433F3">
        <w:rPr>
          <w:lang w:val="en-US"/>
        </w:rPr>
        <w:t xml:space="preserve">l rulings </w:t>
      </w:r>
      <w:r w:rsidR="007D018E" w:rsidRPr="002433F3">
        <w:rPr>
          <w:lang w:val="en-US"/>
        </w:rPr>
        <w:t xml:space="preserve">established </w:t>
      </w:r>
      <w:r w:rsidR="000A3AA3" w:rsidRPr="002433F3">
        <w:rPr>
          <w:lang w:val="en-US"/>
        </w:rPr>
        <w:t xml:space="preserve">that </w:t>
      </w:r>
      <w:r w:rsidRPr="002433F3">
        <w:rPr>
          <w:lang w:val="en-US"/>
        </w:rPr>
        <w:t>the</w:t>
      </w:r>
      <w:r w:rsidR="007D018E" w:rsidRPr="002433F3">
        <w:rPr>
          <w:lang w:val="en-US"/>
        </w:rPr>
        <w:t xml:space="preserve"> </w:t>
      </w:r>
      <w:r w:rsidR="007D018E" w:rsidRPr="002433F3">
        <w:rPr>
          <w:i/>
          <w:lang w:val="en-US"/>
        </w:rPr>
        <w:t>tutela</w:t>
      </w:r>
      <w:r w:rsidR="007D018E" w:rsidRPr="002433F3">
        <w:rPr>
          <w:lang w:val="en-US"/>
        </w:rPr>
        <w:t xml:space="preserve"> action was not the proper remedy</w:t>
      </w:r>
      <w:r w:rsidRPr="002433F3">
        <w:rPr>
          <w:lang w:val="en-US"/>
        </w:rPr>
        <w:t xml:space="preserve"> </w:t>
      </w:r>
      <w:r w:rsidR="007D018E" w:rsidRPr="002433F3">
        <w:rPr>
          <w:lang w:val="en-US"/>
        </w:rPr>
        <w:t xml:space="preserve">for resolving </w:t>
      </w:r>
      <w:r w:rsidR="007E75CA" w:rsidRPr="002433F3">
        <w:rPr>
          <w:lang w:val="en-US"/>
        </w:rPr>
        <w:t xml:space="preserve">this case, </w:t>
      </w:r>
      <w:r w:rsidR="007D018E" w:rsidRPr="002433F3">
        <w:rPr>
          <w:lang w:val="en-US"/>
        </w:rPr>
        <w:t>but</w:t>
      </w:r>
      <w:r w:rsidR="000A3AA3" w:rsidRPr="002433F3">
        <w:rPr>
          <w:lang w:val="en-US"/>
        </w:rPr>
        <w:t xml:space="preserve"> </w:t>
      </w:r>
      <w:r w:rsidR="007D018E" w:rsidRPr="002433F3">
        <w:rPr>
          <w:lang w:val="en-US"/>
        </w:rPr>
        <w:t xml:space="preserve">that the case should be submitted to </w:t>
      </w:r>
      <w:r w:rsidR="00C14F5A" w:rsidRPr="002433F3">
        <w:rPr>
          <w:lang w:val="en-US"/>
        </w:rPr>
        <w:t>the ordinary courts</w:t>
      </w:r>
      <w:r w:rsidR="007D018E" w:rsidRPr="002433F3">
        <w:rPr>
          <w:lang w:val="en-US"/>
        </w:rPr>
        <w:t>.</w:t>
      </w:r>
      <w:r w:rsidRPr="002433F3">
        <w:rPr>
          <w:lang w:val="en-US"/>
        </w:rPr>
        <w:t xml:space="preserve"> </w:t>
      </w:r>
      <w:r w:rsidR="007D018E" w:rsidRPr="002433F3">
        <w:rPr>
          <w:lang w:val="en-US"/>
        </w:rPr>
        <w:t xml:space="preserve">Therefore, the Court cannot </w:t>
      </w:r>
      <w:r w:rsidRPr="002433F3">
        <w:rPr>
          <w:lang w:val="en-US"/>
        </w:rPr>
        <w:t xml:space="preserve">conclude that the rulings were </w:t>
      </w:r>
      <w:r w:rsidR="007D018E" w:rsidRPr="002433F3">
        <w:rPr>
          <w:lang w:val="en-US"/>
        </w:rPr>
        <w:t xml:space="preserve">primarily based </w:t>
      </w:r>
      <w:r w:rsidRPr="002433F3">
        <w:rPr>
          <w:lang w:val="en-US"/>
        </w:rPr>
        <w:t>on the stereotyped views of the judges.</w:t>
      </w:r>
    </w:p>
    <w:p w14:paraId="3615E674" w14:textId="77777777" w:rsidR="007B0DE4" w:rsidRPr="002433F3" w:rsidRDefault="007B0DE4" w:rsidP="007B0DE4">
      <w:pPr>
        <w:numPr>
          <w:ilvl w:val="0"/>
          <w:numId w:val="2"/>
        </w:numPr>
        <w:spacing w:before="120" w:after="120"/>
        <w:rPr>
          <w:lang w:val="en-US"/>
        </w:rPr>
      </w:pPr>
      <w:r w:rsidRPr="002433F3">
        <w:rPr>
          <w:lang w:val="en-US"/>
        </w:rPr>
        <w:t xml:space="preserve">The Court emphasizes that a violation of Article 8(1) of the Convention </w:t>
      </w:r>
      <w:r w:rsidR="007D018E" w:rsidRPr="002433F3">
        <w:rPr>
          <w:lang w:val="en-US"/>
        </w:rPr>
        <w:t xml:space="preserve">arising from </w:t>
      </w:r>
      <w:r w:rsidR="00A20172" w:rsidRPr="002433F3">
        <w:rPr>
          <w:lang w:val="en-US"/>
        </w:rPr>
        <w:t xml:space="preserve">an </w:t>
      </w:r>
      <w:r w:rsidRPr="002433F3">
        <w:rPr>
          <w:lang w:val="en-US"/>
        </w:rPr>
        <w:t xml:space="preserve">alleged lack of judicial </w:t>
      </w:r>
      <w:r w:rsidR="000A3AA3" w:rsidRPr="002433F3">
        <w:rPr>
          <w:lang w:val="en-US"/>
        </w:rPr>
        <w:t xml:space="preserve">impartiality </w:t>
      </w:r>
      <w:r w:rsidR="00A20172" w:rsidRPr="002433F3">
        <w:rPr>
          <w:lang w:val="en-US"/>
        </w:rPr>
        <w:t xml:space="preserve">on the part </w:t>
      </w:r>
      <w:r w:rsidRPr="002433F3">
        <w:rPr>
          <w:lang w:val="en-US"/>
        </w:rPr>
        <w:t xml:space="preserve">of the judges </w:t>
      </w:r>
      <w:r w:rsidR="00C14F5A" w:rsidRPr="002433F3">
        <w:rPr>
          <w:lang w:val="en-US"/>
        </w:rPr>
        <w:t xml:space="preserve">must be established based on </w:t>
      </w:r>
      <w:r w:rsidRPr="002433F3">
        <w:rPr>
          <w:lang w:val="en-US"/>
        </w:rPr>
        <w:t xml:space="preserve">specific and concrete evidence </w:t>
      </w:r>
      <w:r w:rsidR="00B86456" w:rsidRPr="002433F3">
        <w:rPr>
          <w:lang w:val="en-US"/>
        </w:rPr>
        <w:t>that indicate</w:t>
      </w:r>
      <w:r w:rsidR="003352C1" w:rsidRPr="002433F3">
        <w:rPr>
          <w:lang w:val="en-US"/>
        </w:rPr>
        <w:t>s</w:t>
      </w:r>
      <w:r w:rsidR="00B86456" w:rsidRPr="002433F3">
        <w:rPr>
          <w:lang w:val="en-US"/>
        </w:rPr>
        <w:t xml:space="preserve"> a situation in which the judges have clearly </w:t>
      </w:r>
      <w:r w:rsidR="00B86456" w:rsidRPr="002433F3">
        <w:rPr>
          <w:lang w:val="en-US"/>
        </w:rPr>
        <w:lastRenderedPageBreak/>
        <w:t>allowed themselves to be influenced by aspects or criteria outside the legal provisions</w:t>
      </w:r>
      <w:r w:rsidRPr="002433F3">
        <w:rPr>
          <w:lang w:val="en-US"/>
        </w:rPr>
        <w:t>.</w:t>
      </w:r>
      <w:r w:rsidRPr="002433F3">
        <w:rPr>
          <w:rStyle w:val="Refdenotaalpie"/>
          <w:lang w:val="en-US"/>
        </w:rPr>
        <w:footnoteReference w:id="143"/>
      </w:r>
      <w:r w:rsidR="00C14F5A" w:rsidRPr="002433F3">
        <w:rPr>
          <w:lang w:val="en-US"/>
        </w:rPr>
        <w:t xml:space="preserve"> In this case, the </w:t>
      </w:r>
      <w:r w:rsidRPr="002433F3">
        <w:rPr>
          <w:lang w:val="en-US"/>
        </w:rPr>
        <w:t xml:space="preserve">Court considers that it is not possible to </w:t>
      </w:r>
      <w:r w:rsidRPr="002433F3">
        <w:rPr>
          <w:szCs w:val="20"/>
          <w:lang w:val="en-US"/>
        </w:rPr>
        <w:t>conclude that the authorities acted</w:t>
      </w:r>
      <w:r w:rsidR="00B86456" w:rsidRPr="002433F3">
        <w:rPr>
          <w:szCs w:val="20"/>
          <w:lang w:val="en-US"/>
        </w:rPr>
        <w:t>,</w:t>
      </w:r>
      <w:r w:rsidRPr="002433F3">
        <w:rPr>
          <w:szCs w:val="20"/>
          <w:lang w:val="en-US"/>
        </w:rPr>
        <w:t xml:space="preserve"> essentially and </w:t>
      </w:r>
      <w:r w:rsidR="008358D4" w:rsidRPr="002433F3">
        <w:rPr>
          <w:szCs w:val="20"/>
          <w:lang w:val="en-US"/>
        </w:rPr>
        <w:t>primarily</w:t>
      </w:r>
      <w:r w:rsidR="00B86456" w:rsidRPr="002433F3">
        <w:rPr>
          <w:szCs w:val="20"/>
          <w:lang w:val="en-US"/>
        </w:rPr>
        <w:t>,</w:t>
      </w:r>
      <w:r w:rsidR="008358D4" w:rsidRPr="002433F3">
        <w:rPr>
          <w:szCs w:val="20"/>
          <w:lang w:val="en-US"/>
        </w:rPr>
        <w:t xml:space="preserve"> </w:t>
      </w:r>
      <w:r w:rsidR="00B86456" w:rsidRPr="002433F3">
        <w:rPr>
          <w:szCs w:val="20"/>
          <w:lang w:val="en-US"/>
        </w:rPr>
        <w:t xml:space="preserve">on the basis of other </w:t>
      </w:r>
      <w:r w:rsidRPr="002433F3">
        <w:rPr>
          <w:szCs w:val="20"/>
          <w:lang w:val="en-US"/>
        </w:rPr>
        <w:t>aspects beyond what is expressly</w:t>
      </w:r>
      <w:r w:rsidR="003352C1" w:rsidRPr="002433F3">
        <w:rPr>
          <w:szCs w:val="20"/>
          <w:lang w:val="en-US"/>
        </w:rPr>
        <w:t xml:space="preserve"> established in Colombian law</w:t>
      </w:r>
      <w:r w:rsidRPr="002433F3">
        <w:rPr>
          <w:szCs w:val="20"/>
          <w:lang w:val="en-US"/>
        </w:rPr>
        <w:t xml:space="preserve">. </w:t>
      </w:r>
      <w:r w:rsidR="00C14F5A" w:rsidRPr="002433F3">
        <w:rPr>
          <w:szCs w:val="20"/>
          <w:lang w:val="en-US"/>
        </w:rPr>
        <w:t>Furthermore</w:t>
      </w:r>
      <w:r w:rsidRPr="002433F3">
        <w:rPr>
          <w:szCs w:val="20"/>
          <w:lang w:val="en-US"/>
        </w:rPr>
        <w:t xml:space="preserve">, </w:t>
      </w:r>
      <w:r w:rsidRPr="002433F3">
        <w:rPr>
          <w:lang w:val="en-US"/>
        </w:rPr>
        <w:t xml:space="preserve">the Court </w:t>
      </w:r>
      <w:r w:rsidR="000A3AA3" w:rsidRPr="002433F3">
        <w:rPr>
          <w:lang w:val="en-US"/>
        </w:rPr>
        <w:t xml:space="preserve">does not find </w:t>
      </w:r>
      <w:r w:rsidR="00B86456" w:rsidRPr="002433F3">
        <w:rPr>
          <w:lang w:val="en-US"/>
        </w:rPr>
        <w:t xml:space="preserve">any </w:t>
      </w:r>
      <w:r w:rsidRPr="002433F3">
        <w:rPr>
          <w:lang w:val="en-US"/>
        </w:rPr>
        <w:t>elements t</w:t>
      </w:r>
      <w:r w:rsidR="000A3AA3" w:rsidRPr="002433F3">
        <w:rPr>
          <w:lang w:val="en-US"/>
        </w:rPr>
        <w:t xml:space="preserve">o suggest that the </w:t>
      </w:r>
      <w:r w:rsidRPr="002433F3">
        <w:rPr>
          <w:lang w:val="en-US"/>
        </w:rPr>
        <w:t>judicial authorities act</w:t>
      </w:r>
      <w:r w:rsidR="000A3AA3" w:rsidRPr="002433F3">
        <w:rPr>
          <w:lang w:val="en-US"/>
        </w:rPr>
        <w:t xml:space="preserve">ed with a lack of </w:t>
      </w:r>
      <w:r w:rsidRPr="002433F3">
        <w:rPr>
          <w:lang w:val="en-US"/>
        </w:rPr>
        <w:t xml:space="preserve">impartiality or </w:t>
      </w:r>
      <w:r w:rsidR="000A3AA3" w:rsidRPr="002433F3">
        <w:rPr>
          <w:lang w:val="en-US"/>
        </w:rPr>
        <w:t xml:space="preserve">were </w:t>
      </w:r>
      <w:r w:rsidR="003352C1" w:rsidRPr="002433F3">
        <w:rPr>
          <w:lang w:val="en-US"/>
        </w:rPr>
        <w:t xml:space="preserve">swayed </w:t>
      </w:r>
      <w:r w:rsidR="000A3AA3" w:rsidRPr="002433F3">
        <w:rPr>
          <w:lang w:val="en-US"/>
        </w:rPr>
        <w:t xml:space="preserve">by </w:t>
      </w:r>
      <w:r w:rsidRPr="002433F3">
        <w:rPr>
          <w:lang w:val="en-US"/>
        </w:rPr>
        <w:t>preju</w:t>
      </w:r>
      <w:r w:rsidR="000A3AA3" w:rsidRPr="002433F3">
        <w:rPr>
          <w:lang w:val="en-US"/>
        </w:rPr>
        <w:t xml:space="preserve">dices </w:t>
      </w:r>
      <w:r w:rsidRPr="002433F3">
        <w:rPr>
          <w:lang w:val="en-US"/>
        </w:rPr>
        <w:t>or stereotypes related to Mr</w:t>
      </w:r>
      <w:r w:rsidR="00B86456" w:rsidRPr="002433F3">
        <w:rPr>
          <w:lang w:val="en-US"/>
        </w:rPr>
        <w:t>. Duque’s sexual orientation that</w:t>
      </w:r>
      <w:r w:rsidRPr="002433F3">
        <w:rPr>
          <w:lang w:val="en-US"/>
        </w:rPr>
        <w:t xml:space="preserve"> decisively </w:t>
      </w:r>
      <w:r w:rsidR="003352C1" w:rsidRPr="002433F3">
        <w:rPr>
          <w:lang w:val="en-US"/>
        </w:rPr>
        <w:t xml:space="preserve">influenced </w:t>
      </w:r>
      <w:r w:rsidRPr="002433F3">
        <w:rPr>
          <w:lang w:val="en-US"/>
        </w:rPr>
        <w:t>their decision.</w:t>
      </w:r>
    </w:p>
    <w:p w14:paraId="0136CEDB" w14:textId="77777777" w:rsidR="007B0DE4" w:rsidRPr="002433F3" w:rsidRDefault="007B0DE4" w:rsidP="007B0DE4">
      <w:pPr>
        <w:numPr>
          <w:ilvl w:val="0"/>
          <w:numId w:val="2"/>
        </w:numPr>
        <w:spacing w:before="120" w:after="120"/>
        <w:rPr>
          <w:lang w:val="en-US"/>
        </w:rPr>
      </w:pPr>
      <w:r w:rsidRPr="002433F3">
        <w:rPr>
          <w:lang w:val="en-US"/>
        </w:rPr>
        <w:t xml:space="preserve">Consequently, the Court concludes that the State is not </w:t>
      </w:r>
      <w:r w:rsidR="000A3AA3" w:rsidRPr="002433F3">
        <w:rPr>
          <w:lang w:val="en-US"/>
        </w:rPr>
        <w:t>r</w:t>
      </w:r>
      <w:r w:rsidRPr="002433F3">
        <w:rPr>
          <w:lang w:val="en-US"/>
        </w:rPr>
        <w:t>espo</w:t>
      </w:r>
      <w:r w:rsidR="00287ED8" w:rsidRPr="002433F3">
        <w:rPr>
          <w:lang w:val="en-US"/>
        </w:rPr>
        <w:t>nsible for the violation of the j</w:t>
      </w:r>
      <w:r w:rsidRPr="002433F3">
        <w:rPr>
          <w:lang w:val="en-US"/>
        </w:rPr>
        <w:t>udicial guarantees established in Article 8(1) of the Convention.</w:t>
      </w:r>
    </w:p>
    <w:p w14:paraId="2EAA4B73" w14:textId="77777777" w:rsidR="007B0DE4" w:rsidRPr="002433F3" w:rsidRDefault="007B0DE4" w:rsidP="007B0DE4">
      <w:pPr>
        <w:spacing w:before="120" w:after="120"/>
        <w:ind w:left="567" w:right="571"/>
        <w:rPr>
          <w:color w:val="00B050"/>
          <w:lang w:val="en-US"/>
        </w:rPr>
      </w:pPr>
      <w:r w:rsidRPr="002433F3">
        <w:rPr>
          <w:color w:val="00B050"/>
          <w:lang w:val="en-US"/>
        </w:rPr>
        <w:t xml:space="preserve"> </w:t>
      </w:r>
    </w:p>
    <w:p w14:paraId="561D54D7" w14:textId="77777777" w:rsidR="007B0DE4" w:rsidRPr="002433F3" w:rsidRDefault="007B0DE4" w:rsidP="007B0DE4">
      <w:pPr>
        <w:pStyle w:val="Ttulo1"/>
        <w:spacing w:before="460" w:after="460"/>
        <w:rPr>
          <w:noProof w:val="0"/>
          <w:lang w:val="en-US"/>
        </w:rPr>
      </w:pPr>
      <w:bookmarkStart w:id="136" w:name="_Toc448482274"/>
      <w:r w:rsidRPr="002433F3">
        <w:rPr>
          <w:caps w:val="0"/>
          <w:noProof w:val="0"/>
          <w:lang w:val="en-US"/>
        </w:rPr>
        <w:t>VIII-3</w:t>
      </w:r>
      <w:r w:rsidRPr="002433F3">
        <w:rPr>
          <w:caps w:val="0"/>
          <w:noProof w:val="0"/>
          <w:color w:val="FFDDDD"/>
          <w:lang w:val="en-US"/>
        </w:rPr>
        <w:t>.</w:t>
      </w:r>
      <w:r w:rsidRPr="002433F3">
        <w:rPr>
          <w:caps w:val="0"/>
          <w:noProof w:val="0"/>
          <w:lang w:val="en-US"/>
        </w:rPr>
        <w:br/>
        <w:t>THE RIGHT</w:t>
      </w:r>
      <w:r w:rsidR="003352C1" w:rsidRPr="002433F3">
        <w:rPr>
          <w:caps w:val="0"/>
          <w:noProof w:val="0"/>
          <w:lang w:val="en-US"/>
        </w:rPr>
        <w:t>S</w:t>
      </w:r>
      <w:r w:rsidRPr="002433F3">
        <w:rPr>
          <w:caps w:val="0"/>
          <w:noProof w:val="0"/>
          <w:lang w:val="en-US"/>
        </w:rPr>
        <w:t xml:space="preserve"> TO PERSONAL INTEGRITY AND T</w:t>
      </w:r>
      <w:r w:rsidR="003352C1" w:rsidRPr="002433F3">
        <w:rPr>
          <w:caps w:val="0"/>
          <w:noProof w:val="0"/>
          <w:lang w:val="en-US"/>
        </w:rPr>
        <w:t xml:space="preserve">O </w:t>
      </w:r>
      <w:r w:rsidRPr="002433F3">
        <w:rPr>
          <w:caps w:val="0"/>
          <w:noProof w:val="0"/>
          <w:lang w:val="en-US"/>
        </w:rPr>
        <w:t xml:space="preserve">LIFE </w:t>
      </w:r>
      <w:bookmarkEnd w:id="136"/>
    </w:p>
    <w:p w14:paraId="3E4CAE2F" w14:textId="77777777" w:rsidR="007B0DE4" w:rsidRPr="002433F3" w:rsidRDefault="007B0DE4" w:rsidP="007B0DE4">
      <w:pPr>
        <w:pStyle w:val="Ttulo2"/>
        <w:numPr>
          <w:ilvl w:val="0"/>
          <w:numId w:val="12"/>
        </w:numPr>
        <w:spacing w:before="280" w:after="280"/>
        <w:rPr>
          <w:noProof w:val="0"/>
          <w:lang w:val="en-US"/>
        </w:rPr>
      </w:pPr>
      <w:bookmarkStart w:id="137" w:name="_Toc448482275"/>
      <w:r w:rsidRPr="002433F3">
        <w:rPr>
          <w:noProof w:val="0"/>
          <w:lang w:val="en-US" w:eastAsia="es-ES"/>
        </w:rPr>
        <w:t>Arguments of the parties and of the Commission</w:t>
      </w:r>
      <w:bookmarkEnd w:id="137"/>
    </w:p>
    <w:p w14:paraId="1EC31CCA" w14:textId="77777777" w:rsidR="007B0DE4" w:rsidRPr="002433F3" w:rsidRDefault="007B0DE4" w:rsidP="007B0DE4">
      <w:pPr>
        <w:numPr>
          <w:ilvl w:val="0"/>
          <w:numId w:val="2"/>
        </w:numPr>
        <w:spacing w:before="120" w:after="120"/>
        <w:rPr>
          <w:lang w:val="en-US"/>
        </w:rPr>
      </w:pPr>
      <w:r w:rsidRPr="002433F3">
        <w:rPr>
          <w:lang w:val="en-US"/>
        </w:rPr>
        <w:t xml:space="preserve">The </w:t>
      </w:r>
      <w:r w:rsidRPr="002433F3">
        <w:rPr>
          <w:i/>
          <w:lang w:val="en-US"/>
        </w:rPr>
        <w:t>Commission</w:t>
      </w:r>
      <w:r w:rsidRPr="002433F3">
        <w:rPr>
          <w:b/>
          <w:lang w:val="en-US"/>
        </w:rPr>
        <w:t xml:space="preserve"> </w:t>
      </w:r>
      <w:r w:rsidRPr="002433F3">
        <w:rPr>
          <w:lang w:val="en-US"/>
        </w:rPr>
        <w:t>rec</w:t>
      </w:r>
      <w:r w:rsidR="00C14F5A" w:rsidRPr="002433F3">
        <w:rPr>
          <w:lang w:val="en-US"/>
        </w:rPr>
        <w:t xml:space="preserve">alled </w:t>
      </w:r>
      <w:r w:rsidRPr="002433F3">
        <w:rPr>
          <w:lang w:val="en-US"/>
        </w:rPr>
        <w:t xml:space="preserve">that in </w:t>
      </w:r>
      <w:r w:rsidR="00C14F5A" w:rsidRPr="002433F3">
        <w:rPr>
          <w:lang w:val="en-US"/>
        </w:rPr>
        <w:t xml:space="preserve">its </w:t>
      </w:r>
      <w:r w:rsidRPr="002433F3">
        <w:rPr>
          <w:lang w:val="en-US"/>
        </w:rPr>
        <w:t xml:space="preserve">Admissibility Report </w:t>
      </w:r>
      <w:r w:rsidR="00C14F5A" w:rsidRPr="002433F3">
        <w:rPr>
          <w:lang w:val="en-US"/>
        </w:rPr>
        <w:t>it determined that</w:t>
      </w:r>
      <w:r w:rsidR="003352C1" w:rsidRPr="002433F3">
        <w:rPr>
          <w:lang w:val="en-US"/>
        </w:rPr>
        <w:t>,</w:t>
      </w:r>
      <w:r w:rsidRPr="002433F3">
        <w:rPr>
          <w:lang w:val="en-US"/>
        </w:rPr>
        <w:t xml:space="preserve"> in th</w:t>
      </w:r>
      <w:r w:rsidR="00EF776F" w:rsidRPr="002433F3">
        <w:rPr>
          <w:lang w:val="en-US"/>
        </w:rPr>
        <w:t xml:space="preserve">e instant </w:t>
      </w:r>
      <w:r w:rsidRPr="002433F3">
        <w:rPr>
          <w:lang w:val="en-US"/>
        </w:rPr>
        <w:t xml:space="preserve">case, the analysis of the right to personal integrity </w:t>
      </w:r>
      <w:r w:rsidR="006E265F" w:rsidRPr="002433F3">
        <w:rPr>
          <w:lang w:val="en-US"/>
        </w:rPr>
        <w:t xml:space="preserve">had a </w:t>
      </w:r>
      <w:r w:rsidRPr="002433F3">
        <w:rPr>
          <w:lang w:val="en-US"/>
        </w:rPr>
        <w:t xml:space="preserve">subsidiary </w:t>
      </w:r>
      <w:r w:rsidR="006E265F" w:rsidRPr="002433F3">
        <w:rPr>
          <w:lang w:val="en-US"/>
        </w:rPr>
        <w:t xml:space="preserve">nature </w:t>
      </w:r>
      <w:r w:rsidRPr="002433F3">
        <w:rPr>
          <w:lang w:val="en-US"/>
        </w:rPr>
        <w:t>and depend</w:t>
      </w:r>
      <w:r w:rsidR="007248A4" w:rsidRPr="002433F3">
        <w:rPr>
          <w:lang w:val="en-US"/>
        </w:rPr>
        <w:t xml:space="preserve">ed on </w:t>
      </w:r>
      <w:r w:rsidRPr="002433F3">
        <w:rPr>
          <w:lang w:val="en-US"/>
        </w:rPr>
        <w:t xml:space="preserve">the conclusion </w:t>
      </w:r>
      <w:r w:rsidR="006E265F" w:rsidRPr="002433F3">
        <w:rPr>
          <w:lang w:val="en-US"/>
        </w:rPr>
        <w:t xml:space="preserve">reached </w:t>
      </w:r>
      <w:r w:rsidR="003352C1" w:rsidRPr="002433F3">
        <w:rPr>
          <w:lang w:val="en-US"/>
        </w:rPr>
        <w:t xml:space="preserve">on </w:t>
      </w:r>
      <w:r w:rsidR="006E265F" w:rsidRPr="002433F3">
        <w:rPr>
          <w:lang w:val="en-US"/>
        </w:rPr>
        <w:t>the merits</w:t>
      </w:r>
      <w:r w:rsidRPr="002433F3">
        <w:rPr>
          <w:lang w:val="en-US"/>
        </w:rPr>
        <w:t xml:space="preserve"> of the arguments formulated in relation </w:t>
      </w:r>
      <w:r w:rsidR="005E60DB" w:rsidRPr="002433F3">
        <w:rPr>
          <w:lang w:val="en-US"/>
        </w:rPr>
        <w:t>to the rights</w:t>
      </w:r>
      <w:r w:rsidRPr="002433F3">
        <w:rPr>
          <w:lang w:val="en-US"/>
        </w:rPr>
        <w:t xml:space="preserve"> enshrined in Articles 8(1), 24 and 25 of the American Convention. </w:t>
      </w:r>
      <w:r w:rsidR="00EF776F" w:rsidRPr="002433F3">
        <w:rPr>
          <w:lang w:val="en-US"/>
        </w:rPr>
        <w:t>It c</w:t>
      </w:r>
      <w:r w:rsidRPr="002433F3">
        <w:rPr>
          <w:lang w:val="en-US"/>
        </w:rPr>
        <w:t xml:space="preserve">onsidered that the </w:t>
      </w:r>
      <w:r w:rsidR="003352C1" w:rsidRPr="002433F3">
        <w:rPr>
          <w:lang w:val="en-US"/>
        </w:rPr>
        <w:t>following situations affected Mr. Duque’s right to personal integrity</w:t>
      </w:r>
      <w:r w:rsidRPr="002433F3">
        <w:rPr>
          <w:lang w:val="en-US"/>
        </w:rPr>
        <w:t>: i) Mr. Duque</w:t>
      </w:r>
      <w:r w:rsidR="00EF776F" w:rsidRPr="002433F3">
        <w:rPr>
          <w:lang w:val="en-US"/>
        </w:rPr>
        <w:t xml:space="preserve">’s exclusion from the right to </w:t>
      </w:r>
      <w:r w:rsidR="005B1BB6" w:rsidRPr="002433F3">
        <w:rPr>
          <w:lang w:val="en-US"/>
        </w:rPr>
        <w:t xml:space="preserve">claim </w:t>
      </w:r>
      <w:r w:rsidR="00EF776F" w:rsidRPr="002433F3">
        <w:rPr>
          <w:lang w:val="en-US"/>
        </w:rPr>
        <w:t>the</w:t>
      </w:r>
      <w:r w:rsidR="000A3AA3" w:rsidRPr="002433F3">
        <w:rPr>
          <w:lang w:val="en-US"/>
        </w:rPr>
        <w:t xml:space="preserve"> </w:t>
      </w:r>
      <w:r w:rsidRPr="002433F3">
        <w:rPr>
          <w:lang w:val="en-US"/>
        </w:rPr>
        <w:t xml:space="preserve">survivor’s pension of </w:t>
      </w:r>
      <w:r w:rsidR="007248A4" w:rsidRPr="002433F3">
        <w:rPr>
          <w:lang w:val="en-US"/>
        </w:rPr>
        <w:t xml:space="preserve">his </w:t>
      </w:r>
      <w:r w:rsidRPr="002433F3">
        <w:rPr>
          <w:lang w:val="en-US"/>
        </w:rPr>
        <w:t xml:space="preserve">deceased permanent partner, </w:t>
      </w:r>
      <w:r w:rsidR="005E60DB" w:rsidRPr="002433F3">
        <w:rPr>
          <w:lang w:val="en-US"/>
        </w:rPr>
        <w:t xml:space="preserve">by virtue </w:t>
      </w:r>
      <w:r w:rsidRPr="002433F3">
        <w:rPr>
          <w:lang w:val="en-US"/>
        </w:rPr>
        <w:t xml:space="preserve">of a discriminatory </w:t>
      </w:r>
      <w:r w:rsidR="005E60DB" w:rsidRPr="002433F3">
        <w:rPr>
          <w:lang w:val="en-US"/>
        </w:rPr>
        <w:t xml:space="preserve">provision </w:t>
      </w:r>
      <w:r w:rsidRPr="002433F3">
        <w:rPr>
          <w:lang w:val="en-US"/>
        </w:rPr>
        <w:t xml:space="preserve">based on his sexual orientation; ii) the </w:t>
      </w:r>
      <w:r w:rsidR="00EF776F" w:rsidRPr="002433F3">
        <w:rPr>
          <w:lang w:val="en-US"/>
        </w:rPr>
        <w:t xml:space="preserve">lack of </w:t>
      </w:r>
      <w:r w:rsidRPr="002433F3">
        <w:rPr>
          <w:lang w:val="en-US"/>
        </w:rPr>
        <w:t xml:space="preserve">protection and </w:t>
      </w:r>
      <w:r w:rsidR="00EF776F" w:rsidRPr="002433F3">
        <w:rPr>
          <w:lang w:val="en-US"/>
        </w:rPr>
        <w:t xml:space="preserve">of </w:t>
      </w:r>
      <w:r w:rsidRPr="002433F3">
        <w:rPr>
          <w:lang w:val="en-US"/>
        </w:rPr>
        <w:t>an un</w:t>
      </w:r>
      <w:r w:rsidR="003352C1" w:rsidRPr="002433F3">
        <w:rPr>
          <w:lang w:val="en-US"/>
        </w:rPr>
        <w:t xml:space="preserve">biased </w:t>
      </w:r>
      <w:r w:rsidRPr="002433F3">
        <w:rPr>
          <w:lang w:val="en-US"/>
        </w:rPr>
        <w:t>and effective response by the judicial system, and iii) the</w:t>
      </w:r>
      <w:r w:rsidR="006E265F" w:rsidRPr="002433F3">
        <w:rPr>
          <w:lang w:val="en-US"/>
        </w:rPr>
        <w:t xml:space="preserve"> suffering caused </w:t>
      </w:r>
      <w:r w:rsidR="005B1BB6" w:rsidRPr="002433F3">
        <w:rPr>
          <w:lang w:val="en-US"/>
        </w:rPr>
        <w:t xml:space="preserve">to him </w:t>
      </w:r>
      <w:r w:rsidR="006E265F" w:rsidRPr="002433F3">
        <w:rPr>
          <w:lang w:val="en-US"/>
        </w:rPr>
        <w:t xml:space="preserve">because of uncertainty </w:t>
      </w:r>
      <w:r w:rsidR="007248A4" w:rsidRPr="002433F3">
        <w:rPr>
          <w:lang w:val="en-US"/>
        </w:rPr>
        <w:t xml:space="preserve">regarding the </w:t>
      </w:r>
      <w:r w:rsidRPr="002433F3">
        <w:rPr>
          <w:lang w:val="en-US"/>
        </w:rPr>
        <w:t xml:space="preserve">regularity and provision of the medical treatment </w:t>
      </w:r>
      <w:r w:rsidR="006E265F" w:rsidRPr="002433F3">
        <w:rPr>
          <w:lang w:val="en-US"/>
        </w:rPr>
        <w:t xml:space="preserve">he </w:t>
      </w:r>
      <w:r w:rsidRPr="002433F3">
        <w:rPr>
          <w:lang w:val="en-US"/>
        </w:rPr>
        <w:t>requ</w:t>
      </w:r>
      <w:r w:rsidR="006E265F" w:rsidRPr="002433F3">
        <w:rPr>
          <w:lang w:val="en-US"/>
        </w:rPr>
        <w:t>ired</w:t>
      </w:r>
      <w:r w:rsidRPr="002433F3">
        <w:rPr>
          <w:lang w:val="en-US"/>
        </w:rPr>
        <w:t xml:space="preserve">. </w:t>
      </w:r>
      <w:r w:rsidRPr="002433F3">
        <w:rPr>
          <w:lang w:val="en-US" w:eastAsia="es-ES"/>
        </w:rPr>
        <w:t xml:space="preserve">In </w:t>
      </w:r>
      <w:r w:rsidR="007248A4" w:rsidRPr="002433F3">
        <w:rPr>
          <w:lang w:val="en-US" w:eastAsia="es-ES"/>
        </w:rPr>
        <w:t xml:space="preserve">its </w:t>
      </w:r>
      <w:r w:rsidRPr="002433F3">
        <w:rPr>
          <w:lang w:val="en-US" w:eastAsia="es-ES"/>
        </w:rPr>
        <w:t>Merits Report</w:t>
      </w:r>
      <w:r w:rsidR="0099151D" w:rsidRPr="002433F3">
        <w:rPr>
          <w:lang w:val="en-US" w:eastAsia="es-ES"/>
        </w:rPr>
        <w:t>,</w:t>
      </w:r>
      <w:r w:rsidRPr="002433F3">
        <w:rPr>
          <w:lang w:val="en-US" w:eastAsia="es-ES"/>
        </w:rPr>
        <w:t xml:space="preserve"> the Commission</w:t>
      </w:r>
      <w:r w:rsidRPr="002433F3">
        <w:rPr>
          <w:b/>
          <w:lang w:val="en-US" w:eastAsia="es-ES"/>
        </w:rPr>
        <w:t xml:space="preserve"> </w:t>
      </w:r>
      <w:r w:rsidRPr="002433F3">
        <w:rPr>
          <w:lang w:val="en-US" w:eastAsia="es-ES"/>
        </w:rPr>
        <w:t>indicated that it had already concluded in the</w:t>
      </w:r>
      <w:r w:rsidR="006E265F" w:rsidRPr="002433F3">
        <w:rPr>
          <w:lang w:val="en-US" w:eastAsia="es-ES"/>
        </w:rPr>
        <w:t xml:space="preserve"> </w:t>
      </w:r>
      <w:r w:rsidRPr="002433F3">
        <w:rPr>
          <w:lang w:val="en-US" w:eastAsia="es-ES"/>
        </w:rPr>
        <w:t xml:space="preserve">Admissibility Report that </w:t>
      </w:r>
      <w:r w:rsidR="006E265F" w:rsidRPr="002433F3">
        <w:rPr>
          <w:lang w:val="en-US" w:eastAsia="es-ES"/>
        </w:rPr>
        <w:t>the information</w:t>
      </w:r>
      <w:r w:rsidRPr="002433F3">
        <w:rPr>
          <w:lang w:val="en-US" w:eastAsia="es-ES"/>
        </w:rPr>
        <w:t xml:space="preserve"> presented did not </w:t>
      </w:r>
      <w:r w:rsidR="005B1BB6" w:rsidRPr="002433F3">
        <w:rPr>
          <w:lang w:val="en-US" w:eastAsia="es-ES"/>
        </w:rPr>
        <w:t xml:space="preserve">configure </w:t>
      </w:r>
      <w:r w:rsidRPr="002433F3">
        <w:rPr>
          <w:lang w:val="en-US" w:eastAsia="es-ES"/>
        </w:rPr>
        <w:t xml:space="preserve">a possible violation of the right enshrined in Article 4 of the Convention in relation </w:t>
      </w:r>
      <w:r w:rsidR="006E265F" w:rsidRPr="002433F3">
        <w:rPr>
          <w:lang w:val="en-US" w:eastAsia="es-ES"/>
        </w:rPr>
        <w:t>to Article</w:t>
      </w:r>
      <w:r w:rsidRPr="002433F3">
        <w:rPr>
          <w:lang w:val="en-US" w:eastAsia="es-ES"/>
        </w:rPr>
        <w:t xml:space="preserve"> 1(1) </w:t>
      </w:r>
      <w:r w:rsidR="00EF776F" w:rsidRPr="002433F3">
        <w:rPr>
          <w:lang w:val="en-US" w:eastAsia="es-ES"/>
        </w:rPr>
        <w:t>there</w:t>
      </w:r>
      <w:r w:rsidRPr="002433F3">
        <w:rPr>
          <w:lang w:val="en-US" w:eastAsia="es-ES"/>
        </w:rPr>
        <w:t>of.</w:t>
      </w:r>
    </w:p>
    <w:p w14:paraId="3E343172" w14:textId="77777777" w:rsidR="007B0DE4" w:rsidRPr="002433F3" w:rsidRDefault="007B0DE4" w:rsidP="007B0DE4">
      <w:pPr>
        <w:numPr>
          <w:ilvl w:val="0"/>
          <w:numId w:val="2"/>
        </w:numPr>
        <w:spacing w:before="120" w:after="120"/>
        <w:rPr>
          <w:lang w:val="en-US"/>
        </w:rPr>
      </w:pPr>
      <w:r w:rsidRPr="002433F3">
        <w:rPr>
          <w:lang w:val="en-US"/>
        </w:rPr>
        <w:t xml:space="preserve">The </w:t>
      </w:r>
      <w:r w:rsidRPr="002433F3">
        <w:rPr>
          <w:i/>
          <w:lang w:val="en-US"/>
        </w:rPr>
        <w:t>representatives</w:t>
      </w:r>
      <w:r w:rsidR="0027023D" w:rsidRPr="002433F3">
        <w:rPr>
          <w:lang w:val="en-US"/>
        </w:rPr>
        <w:t xml:space="preserve"> p</w:t>
      </w:r>
      <w:r w:rsidR="0099151D" w:rsidRPr="002433F3">
        <w:rPr>
          <w:lang w:val="en-US"/>
        </w:rPr>
        <w:t>ointed out that by denying Mr. Duque his right to the</w:t>
      </w:r>
      <w:r w:rsidRPr="002433F3">
        <w:rPr>
          <w:lang w:val="en-US"/>
        </w:rPr>
        <w:t xml:space="preserve"> survivor’s pension and to other associated social benefits, </w:t>
      </w:r>
      <w:r w:rsidR="0099151D" w:rsidRPr="002433F3">
        <w:rPr>
          <w:lang w:val="en-US"/>
        </w:rPr>
        <w:t>pa</w:t>
      </w:r>
      <w:r w:rsidR="005B1BB6" w:rsidRPr="002433F3">
        <w:rPr>
          <w:lang w:val="en-US"/>
        </w:rPr>
        <w:t>rticularly his access to health</w:t>
      </w:r>
      <w:r w:rsidR="0099151D" w:rsidRPr="002433F3">
        <w:rPr>
          <w:lang w:val="en-US"/>
        </w:rPr>
        <w:t>care</w:t>
      </w:r>
      <w:r w:rsidRPr="002433F3">
        <w:rPr>
          <w:lang w:val="en-US"/>
        </w:rPr>
        <w:t xml:space="preserve"> as a person “diagnosed with HIV infection” receiving </w:t>
      </w:r>
      <w:r w:rsidR="00AC71D9" w:rsidRPr="002433F3">
        <w:rPr>
          <w:lang w:val="en-US"/>
        </w:rPr>
        <w:t>antiretroviral</w:t>
      </w:r>
      <w:r w:rsidR="0099151D" w:rsidRPr="002433F3">
        <w:rPr>
          <w:lang w:val="en-US"/>
        </w:rPr>
        <w:t xml:space="preserve"> treatment -</w:t>
      </w:r>
      <w:r w:rsidRPr="002433F3">
        <w:rPr>
          <w:lang w:val="en-US"/>
        </w:rPr>
        <w:t xml:space="preserve"> “treatment that must not be suspended, </w:t>
      </w:r>
      <w:r w:rsidR="00056150" w:rsidRPr="002433F3">
        <w:rPr>
          <w:lang w:val="en-US"/>
        </w:rPr>
        <w:t xml:space="preserve">except </w:t>
      </w:r>
      <w:r w:rsidR="0081433B" w:rsidRPr="002433F3">
        <w:rPr>
          <w:lang w:val="en-US"/>
        </w:rPr>
        <w:t>under medical advice</w:t>
      </w:r>
      <w:r w:rsidRPr="002433F3">
        <w:rPr>
          <w:lang w:val="en-US"/>
        </w:rPr>
        <w:t xml:space="preserve">, since this </w:t>
      </w:r>
      <w:r w:rsidR="005E60DB" w:rsidRPr="002433F3">
        <w:rPr>
          <w:lang w:val="en-US"/>
        </w:rPr>
        <w:t>circumstance could</w:t>
      </w:r>
      <w:r w:rsidR="007248A4" w:rsidRPr="002433F3">
        <w:rPr>
          <w:lang w:val="en-US"/>
        </w:rPr>
        <w:t xml:space="preserve"> result in </w:t>
      </w:r>
      <w:r w:rsidR="0099151D" w:rsidRPr="002433F3">
        <w:rPr>
          <w:lang w:val="en-US"/>
        </w:rPr>
        <w:t>death” -</w:t>
      </w:r>
      <w:r w:rsidRPr="002433F3">
        <w:rPr>
          <w:lang w:val="en-US"/>
        </w:rPr>
        <w:t xml:space="preserve"> the State vi</w:t>
      </w:r>
      <w:r w:rsidR="006E265F" w:rsidRPr="002433F3">
        <w:rPr>
          <w:lang w:val="en-US"/>
        </w:rPr>
        <w:t xml:space="preserve">olated Mr. Duque’s right to </w:t>
      </w:r>
      <w:r w:rsidRPr="002433F3">
        <w:rPr>
          <w:lang w:val="en-US"/>
        </w:rPr>
        <w:t>physical, psychological an</w:t>
      </w:r>
      <w:r w:rsidR="007248A4" w:rsidRPr="002433F3">
        <w:rPr>
          <w:lang w:val="en-US"/>
        </w:rPr>
        <w:t xml:space="preserve">d moral integrity. The </w:t>
      </w:r>
      <w:r w:rsidRPr="002433F3">
        <w:rPr>
          <w:i/>
          <w:lang w:val="en-US"/>
        </w:rPr>
        <w:t>representatives</w:t>
      </w:r>
      <w:r w:rsidRPr="002433F3">
        <w:rPr>
          <w:lang w:val="en-US"/>
        </w:rPr>
        <w:t xml:space="preserve"> </w:t>
      </w:r>
      <w:r w:rsidR="005B1BB6" w:rsidRPr="002433F3">
        <w:rPr>
          <w:lang w:val="en-US"/>
        </w:rPr>
        <w:t xml:space="preserve">further </w:t>
      </w:r>
      <w:r w:rsidR="007248A4" w:rsidRPr="002433F3">
        <w:rPr>
          <w:lang w:val="en-US"/>
        </w:rPr>
        <w:t xml:space="preserve">argued </w:t>
      </w:r>
      <w:r w:rsidRPr="002433F3">
        <w:rPr>
          <w:lang w:val="en-US"/>
        </w:rPr>
        <w:t>that</w:t>
      </w:r>
      <w:r w:rsidR="00313324" w:rsidRPr="002433F3">
        <w:rPr>
          <w:lang w:val="en-US"/>
        </w:rPr>
        <w:t>,</w:t>
      </w:r>
      <w:r w:rsidRPr="002433F3">
        <w:rPr>
          <w:lang w:val="en-US"/>
        </w:rPr>
        <w:t xml:space="preserve"> </w:t>
      </w:r>
      <w:r w:rsidR="007248A4" w:rsidRPr="002433F3">
        <w:rPr>
          <w:lang w:val="en-US"/>
        </w:rPr>
        <w:t xml:space="preserve">in addition to causing </w:t>
      </w:r>
      <w:r w:rsidR="009236D5" w:rsidRPr="002433F3">
        <w:rPr>
          <w:lang w:val="en-US"/>
        </w:rPr>
        <w:t xml:space="preserve">Mr. Duque </w:t>
      </w:r>
      <w:r w:rsidR="007248A4" w:rsidRPr="002433F3">
        <w:rPr>
          <w:lang w:val="en-US"/>
        </w:rPr>
        <w:t xml:space="preserve">intrinsic moral harm because of </w:t>
      </w:r>
      <w:r w:rsidRPr="002433F3">
        <w:rPr>
          <w:lang w:val="en-US"/>
        </w:rPr>
        <w:t xml:space="preserve">the discriminatory treatment to which he was subjected owing to his sexual orientation, </w:t>
      </w:r>
      <w:r w:rsidR="009236D5" w:rsidRPr="002433F3">
        <w:rPr>
          <w:lang w:val="en-US"/>
        </w:rPr>
        <w:t xml:space="preserve">his </w:t>
      </w:r>
      <w:r w:rsidR="007248A4" w:rsidRPr="002433F3">
        <w:rPr>
          <w:lang w:val="en-US"/>
        </w:rPr>
        <w:t>p</w:t>
      </w:r>
      <w:r w:rsidRPr="002433F3">
        <w:rPr>
          <w:lang w:val="en-US"/>
        </w:rPr>
        <w:t xml:space="preserve">hysical </w:t>
      </w:r>
      <w:r w:rsidR="007248A4" w:rsidRPr="002433F3">
        <w:rPr>
          <w:lang w:val="en-US"/>
        </w:rPr>
        <w:t xml:space="preserve">integrity </w:t>
      </w:r>
      <w:r w:rsidRPr="002433F3">
        <w:rPr>
          <w:lang w:val="en-US"/>
        </w:rPr>
        <w:t>was</w:t>
      </w:r>
      <w:r w:rsidR="00313324" w:rsidRPr="002433F3">
        <w:rPr>
          <w:lang w:val="en-US"/>
        </w:rPr>
        <w:t xml:space="preserve"> threatened, since he was</w:t>
      </w:r>
      <w:r w:rsidRPr="002433F3">
        <w:rPr>
          <w:lang w:val="en-US"/>
        </w:rPr>
        <w:t xml:space="preserve"> literally in </w:t>
      </w:r>
      <w:r w:rsidR="007248A4" w:rsidRPr="002433F3">
        <w:rPr>
          <w:lang w:val="en-US"/>
        </w:rPr>
        <w:t xml:space="preserve">danger of </w:t>
      </w:r>
      <w:r w:rsidRPr="002433F3">
        <w:rPr>
          <w:lang w:val="en-US"/>
        </w:rPr>
        <w:t>d</w:t>
      </w:r>
      <w:r w:rsidR="0027023D" w:rsidRPr="002433F3">
        <w:rPr>
          <w:lang w:val="en-US"/>
        </w:rPr>
        <w:t xml:space="preserve">ying </w:t>
      </w:r>
      <w:r w:rsidRPr="002433F3">
        <w:rPr>
          <w:lang w:val="en-US"/>
        </w:rPr>
        <w:t>b</w:t>
      </w:r>
      <w:r w:rsidR="007248A4" w:rsidRPr="002433F3">
        <w:rPr>
          <w:lang w:val="en-US"/>
        </w:rPr>
        <w:t xml:space="preserve">ecause </w:t>
      </w:r>
      <w:r w:rsidR="00313324" w:rsidRPr="002433F3">
        <w:rPr>
          <w:lang w:val="en-US"/>
        </w:rPr>
        <w:t xml:space="preserve">he lacked the </w:t>
      </w:r>
      <w:r w:rsidR="007248A4" w:rsidRPr="002433F3">
        <w:rPr>
          <w:lang w:val="en-US"/>
        </w:rPr>
        <w:t xml:space="preserve">financial means to ensure </w:t>
      </w:r>
      <w:r w:rsidRPr="002433F3">
        <w:rPr>
          <w:lang w:val="en-US"/>
        </w:rPr>
        <w:t>adequate treatment for his HIV condition. Li</w:t>
      </w:r>
      <w:r w:rsidR="007248A4" w:rsidRPr="002433F3">
        <w:rPr>
          <w:lang w:val="en-US"/>
        </w:rPr>
        <w:t xml:space="preserve">kewise, they stressed that the </w:t>
      </w:r>
      <w:r w:rsidRPr="002433F3">
        <w:rPr>
          <w:lang w:val="en-US"/>
        </w:rPr>
        <w:t xml:space="preserve">right to personal integrity </w:t>
      </w:r>
      <w:r w:rsidR="007248A4" w:rsidRPr="002433F3">
        <w:rPr>
          <w:lang w:val="en-US"/>
        </w:rPr>
        <w:t xml:space="preserve">is </w:t>
      </w:r>
      <w:r w:rsidRPr="002433F3">
        <w:rPr>
          <w:lang w:val="en-US"/>
        </w:rPr>
        <w:t>c</w:t>
      </w:r>
      <w:r w:rsidR="007248A4" w:rsidRPr="002433F3">
        <w:rPr>
          <w:lang w:val="en-US"/>
        </w:rPr>
        <w:t>l</w:t>
      </w:r>
      <w:r w:rsidRPr="002433F3">
        <w:rPr>
          <w:lang w:val="en-US"/>
        </w:rPr>
        <w:t xml:space="preserve">osely </w:t>
      </w:r>
      <w:r w:rsidR="007248A4" w:rsidRPr="002433F3">
        <w:rPr>
          <w:lang w:val="en-US"/>
        </w:rPr>
        <w:t xml:space="preserve">related to </w:t>
      </w:r>
      <w:r w:rsidR="00273257" w:rsidRPr="002433F3">
        <w:rPr>
          <w:lang w:val="en-US"/>
        </w:rPr>
        <w:t xml:space="preserve">the right to the </w:t>
      </w:r>
      <w:r w:rsidRPr="002433F3">
        <w:rPr>
          <w:lang w:val="en-US"/>
        </w:rPr>
        <w:t>preservation of health, enshrined in Article XI of the American Decl</w:t>
      </w:r>
      <w:r w:rsidR="007248A4" w:rsidRPr="002433F3">
        <w:rPr>
          <w:lang w:val="en-US"/>
        </w:rPr>
        <w:t xml:space="preserve">aration </w:t>
      </w:r>
      <w:r w:rsidRPr="002433F3">
        <w:rPr>
          <w:lang w:val="en-US"/>
        </w:rPr>
        <w:t xml:space="preserve">on the Rights and Duties of Man. </w:t>
      </w:r>
    </w:p>
    <w:p w14:paraId="7359C7DD" w14:textId="77777777" w:rsidR="007B0DE4" w:rsidRPr="002433F3" w:rsidRDefault="005B1BB6" w:rsidP="007B0DE4">
      <w:pPr>
        <w:numPr>
          <w:ilvl w:val="0"/>
          <w:numId w:val="2"/>
        </w:numPr>
        <w:spacing w:before="120" w:after="120"/>
        <w:rPr>
          <w:lang w:val="en-US"/>
        </w:rPr>
      </w:pPr>
      <w:r w:rsidRPr="002433F3">
        <w:rPr>
          <w:lang w:val="en-US"/>
        </w:rPr>
        <w:t>At the same time, t</w:t>
      </w:r>
      <w:r w:rsidR="00415B98" w:rsidRPr="002433F3">
        <w:rPr>
          <w:lang w:val="en-US"/>
        </w:rPr>
        <w:t xml:space="preserve">he </w:t>
      </w:r>
      <w:r w:rsidR="00415B98" w:rsidRPr="002433F3">
        <w:rPr>
          <w:i/>
          <w:lang w:val="en-US"/>
        </w:rPr>
        <w:t>representatives</w:t>
      </w:r>
      <w:r w:rsidR="007B0DE4" w:rsidRPr="002433F3">
        <w:rPr>
          <w:b/>
          <w:lang w:val="en-US"/>
        </w:rPr>
        <w:t xml:space="preserve"> </w:t>
      </w:r>
      <w:r w:rsidR="009236D5" w:rsidRPr="002433F3">
        <w:rPr>
          <w:lang w:val="en-US"/>
        </w:rPr>
        <w:t xml:space="preserve">emphasized </w:t>
      </w:r>
      <w:r w:rsidR="007B0DE4" w:rsidRPr="002433F3">
        <w:rPr>
          <w:lang w:val="en-US"/>
        </w:rPr>
        <w:t>the</w:t>
      </w:r>
      <w:r w:rsidR="0039710F" w:rsidRPr="002433F3">
        <w:rPr>
          <w:lang w:val="en-US"/>
        </w:rPr>
        <w:t xml:space="preserve"> close link</w:t>
      </w:r>
      <w:r w:rsidR="009236D5" w:rsidRPr="002433F3">
        <w:rPr>
          <w:lang w:val="en-US"/>
        </w:rPr>
        <w:t>s</w:t>
      </w:r>
      <w:r w:rsidR="0039710F" w:rsidRPr="002433F3">
        <w:rPr>
          <w:lang w:val="en-US"/>
        </w:rPr>
        <w:t xml:space="preserve"> between the right to life, the </w:t>
      </w:r>
      <w:r w:rsidR="007B0DE4" w:rsidRPr="002433F3">
        <w:rPr>
          <w:lang w:val="en-US"/>
        </w:rPr>
        <w:t>right to physical, psychologic</w:t>
      </w:r>
      <w:r w:rsidR="0039710F" w:rsidRPr="002433F3">
        <w:rPr>
          <w:lang w:val="en-US"/>
        </w:rPr>
        <w:t xml:space="preserve">al and moral integrity and the right to the </w:t>
      </w:r>
      <w:r w:rsidR="007B0DE4" w:rsidRPr="002433F3">
        <w:rPr>
          <w:lang w:val="en-US"/>
        </w:rPr>
        <w:t xml:space="preserve">preservation of health, enshrined in Article XI of the </w:t>
      </w:r>
      <w:r w:rsidR="0039710F" w:rsidRPr="002433F3">
        <w:rPr>
          <w:lang w:val="en-US"/>
        </w:rPr>
        <w:t xml:space="preserve">American Declaration on the </w:t>
      </w:r>
      <w:r w:rsidR="007B0DE4" w:rsidRPr="002433F3">
        <w:rPr>
          <w:lang w:val="en-US"/>
        </w:rPr>
        <w:t>Rights and D</w:t>
      </w:r>
      <w:r w:rsidR="000A3AA3" w:rsidRPr="002433F3">
        <w:rPr>
          <w:lang w:val="en-US"/>
        </w:rPr>
        <w:t xml:space="preserve">uties </w:t>
      </w:r>
      <w:r w:rsidR="00C940D4" w:rsidRPr="002433F3">
        <w:rPr>
          <w:lang w:val="en-US"/>
        </w:rPr>
        <w:t xml:space="preserve">of Man. They argued </w:t>
      </w:r>
      <w:r w:rsidR="007B0DE4" w:rsidRPr="002433F3">
        <w:rPr>
          <w:lang w:val="en-US"/>
        </w:rPr>
        <w:t>that “</w:t>
      </w:r>
      <w:r w:rsidR="007248A4" w:rsidRPr="002433F3">
        <w:rPr>
          <w:lang w:val="en-US"/>
        </w:rPr>
        <w:t xml:space="preserve">the refusal to grant </w:t>
      </w:r>
      <w:r w:rsidR="009236D5" w:rsidRPr="002433F3">
        <w:t>Ángel</w:t>
      </w:r>
      <w:r w:rsidR="007B0DE4" w:rsidRPr="002433F3">
        <w:rPr>
          <w:lang w:val="en-US"/>
        </w:rPr>
        <w:t xml:space="preserve"> Alberto Duque </w:t>
      </w:r>
      <w:r w:rsidR="007248A4" w:rsidRPr="002433F3">
        <w:rPr>
          <w:lang w:val="en-US"/>
        </w:rPr>
        <w:t xml:space="preserve">a survivor’s pension </w:t>
      </w:r>
      <w:r w:rsidR="00C940D4" w:rsidRPr="002433F3">
        <w:rPr>
          <w:lang w:val="en-US"/>
        </w:rPr>
        <w:t xml:space="preserve">meant that </w:t>
      </w:r>
      <w:r w:rsidR="009236D5" w:rsidRPr="002433F3">
        <w:rPr>
          <w:lang w:val="en-US"/>
        </w:rPr>
        <w:t>during</w:t>
      </w:r>
      <w:r w:rsidR="00C940D4" w:rsidRPr="002433F3">
        <w:rPr>
          <w:lang w:val="en-US"/>
        </w:rPr>
        <w:t xml:space="preserve"> </w:t>
      </w:r>
      <w:r w:rsidR="007248A4" w:rsidRPr="002433F3">
        <w:rPr>
          <w:lang w:val="en-US"/>
        </w:rPr>
        <w:t xml:space="preserve">several periods he was without </w:t>
      </w:r>
      <w:r w:rsidR="007B0DE4" w:rsidRPr="002433F3">
        <w:rPr>
          <w:lang w:val="en-US"/>
        </w:rPr>
        <w:t xml:space="preserve">protection </w:t>
      </w:r>
      <w:r w:rsidR="006D00E8" w:rsidRPr="002433F3">
        <w:rPr>
          <w:lang w:val="en-US"/>
        </w:rPr>
        <w:t xml:space="preserve">to </w:t>
      </w:r>
      <w:r w:rsidR="009236D5" w:rsidRPr="002433F3">
        <w:rPr>
          <w:lang w:val="en-US"/>
        </w:rPr>
        <w:t xml:space="preserve">treat </w:t>
      </w:r>
      <w:r w:rsidR="007248A4" w:rsidRPr="002433F3">
        <w:rPr>
          <w:lang w:val="en-US"/>
        </w:rPr>
        <w:t xml:space="preserve">his </w:t>
      </w:r>
      <w:r w:rsidR="009236D5" w:rsidRPr="002433F3">
        <w:rPr>
          <w:lang w:val="en-US"/>
        </w:rPr>
        <w:t xml:space="preserve">serious </w:t>
      </w:r>
      <w:r w:rsidR="007B0DE4" w:rsidRPr="002433F3">
        <w:rPr>
          <w:lang w:val="en-US"/>
        </w:rPr>
        <w:t xml:space="preserve">physical and emotional </w:t>
      </w:r>
      <w:r w:rsidR="000A3AA3" w:rsidRPr="002433F3">
        <w:rPr>
          <w:lang w:val="en-US"/>
        </w:rPr>
        <w:t xml:space="preserve">health </w:t>
      </w:r>
      <w:r w:rsidR="009236D5" w:rsidRPr="002433F3">
        <w:rPr>
          <w:lang w:val="en-US"/>
        </w:rPr>
        <w:t xml:space="preserve">condition </w:t>
      </w:r>
      <w:r w:rsidR="007B0DE4" w:rsidRPr="002433F3">
        <w:rPr>
          <w:lang w:val="en-US"/>
        </w:rPr>
        <w:t xml:space="preserve">as </w:t>
      </w:r>
      <w:r w:rsidRPr="002433F3">
        <w:rPr>
          <w:lang w:val="en-US"/>
        </w:rPr>
        <w:t xml:space="preserve">a </w:t>
      </w:r>
      <w:r w:rsidR="007B0DE4" w:rsidRPr="002433F3">
        <w:rPr>
          <w:lang w:val="en-US"/>
        </w:rPr>
        <w:t xml:space="preserve">person </w:t>
      </w:r>
      <w:r w:rsidR="00424105" w:rsidRPr="002433F3">
        <w:rPr>
          <w:lang w:val="en-US"/>
        </w:rPr>
        <w:t xml:space="preserve">diagnosed </w:t>
      </w:r>
      <w:r w:rsidR="007B0DE4" w:rsidRPr="002433F3">
        <w:rPr>
          <w:lang w:val="en-US"/>
        </w:rPr>
        <w:t>with HIV</w:t>
      </w:r>
      <w:r w:rsidR="009236D5" w:rsidRPr="002433F3">
        <w:rPr>
          <w:lang w:val="en-US"/>
        </w:rPr>
        <w:t>.</w:t>
      </w:r>
      <w:r w:rsidR="00C940D4" w:rsidRPr="002433F3">
        <w:rPr>
          <w:lang w:val="en-US"/>
        </w:rPr>
        <w:t>”</w:t>
      </w:r>
      <w:r w:rsidR="007B0DE4" w:rsidRPr="002433F3">
        <w:rPr>
          <w:lang w:val="en-US"/>
        </w:rPr>
        <w:t xml:space="preserve"> </w:t>
      </w:r>
      <w:r w:rsidR="009236D5" w:rsidRPr="002433F3">
        <w:rPr>
          <w:lang w:val="en-US"/>
        </w:rPr>
        <w:t xml:space="preserve">They added that this </w:t>
      </w:r>
      <w:r w:rsidR="007B0DE4" w:rsidRPr="002433F3">
        <w:rPr>
          <w:lang w:val="en-US"/>
        </w:rPr>
        <w:t>“impli</w:t>
      </w:r>
      <w:r w:rsidR="007248A4" w:rsidRPr="002433F3">
        <w:rPr>
          <w:lang w:val="en-US"/>
        </w:rPr>
        <w:t xml:space="preserve">ed </w:t>
      </w:r>
      <w:r w:rsidR="007B0DE4" w:rsidRPr="002433F3">
        <w:rPr>
          <w:lang w:val="en-US"/>
        </w:rPr>
        <w:t xml:space="preserve">that the State […] </w:t>
      </w:r>
      <w:r w:rsidR="00C940D4" w:rsidRPr="002433F3">
        <w:rPr>
          <w:lang w:val="en-US"/>
        </w:rPr>
        <w:t xml:space="preserve">disregarded </w:t>
      </w:r>
      <w:r w:rsidRPr="002433F3">
        <w:rPr>
          <w:lang w:val="en-US"/>
        </w:rPr>
        <w:t xml:space="preserve">Mr. </w:t>
      </w:r>
      <w:r w:rsidR="00C940D4" w:rsidRPr="002433F3">
        <w:rPr>
          <w:lang w:val="en-US"/>
        </w:rPr>
        <w:t>Ángel Alberto Duque</w:t>
      </w:r>
      <w:r w:rsidRPr="002433F3">
        <w:rPr>
          <w:lang w:val="en-US"/>
        </w:rPr>
        <w:t>’s right</w:t>
      </w:r>
      <w:r w:rsidR="00C940D4" w:rsidRPr="002433F3">
        <w:rPr>
          <w:lang w:val="en-US"/>
        </w:rPr>
        <w:t xml:space="preserve"> </w:t>
      </w:r>
      <w:r w:rsidR="007B0DE4" w:rsidRPr="002433F3">
        <w:rPr>
          <w:lang w:val="en-US"/>
        </w:rPr>
        <w:t xml:space="preserve">to </w:t>
      </w:r>
      <w:r w:rsidR="007248A4" w:rsidRPr="002433F3">
        <w:rPr>
          <w:lang w:val="en-US"/>
        </w:rPr>
        <w:t xml:space="preserve">decent living </w:t>
      </w:r>
      <w:r w:rsidR="007B0DE4" w:rsidRPr="002433F3">
        <w:rPr>
          <w:lang w:val="en-US"/>
        </w:rPr>
        <w:t xml:space="preserve">conditions, </w:t>
      </w:r>
      <w:r w:rsidR="000A3AA3" w:rsidRPr="002433F3">
        <w:rPr>
          <w:lang w:val="en-US"/>
        </w:rPr>
        <w:t xml:space="preserve">undermining his </w:t>
      </w:r>
      <w:r w:rsidR="007B0DE4" w:rsidRPr="002433F3">
        <w:rPr>
          <w:lang w:val="en-US"/>
        </w:rPr>
        <w:t>digni</w:t>
      </w:r>
      <w:r w:rsidR="000A3AA3" w:rsidRPr="002433F3">
        <w:rPr>
          <w:lang w:val="en-US"/>
        </w:rPr>
        <w:t>ty</w:t>
      </w:r>
      <w:r w:rsidR="007B0DE4" w:rsidRPr="002433F3">
        <w:rPr>
          <w:lang w:val="en-US"/>
        </w:rPr>
        <w:t xml:space="preserve">, </w:t>
      </w:r>
      <w:r w:rsidR="00C940D4" w:rsidRPr="002433F3">
        <w:rPr>
          <w:lang w:val="en-US"/>
        </w:rPr>
        <w:t xml:space="preserve">which had </w:t>
      </w:r>
      <w:r w:rsidR="00DC7CA0" w:rsidRPr="002433F3">
        <w:rPr>
          <w:lang w:val="en-US"/>
        </w:rPr>
        <w:t xml:space="preserve">already </w:t>
      </w:r>
      <w:r w:rsidR="00C940D4" w:rsidRPr="002433F3">
        <w:rPr>
          <w:lang w:val="en-US"/>
        </w:rPr>
        <w:t xml:space="preserve">been injured through </w:t>
      </w:r>
      <w:r w:rsidR="009236D5" w:rsidRPr="002433F3">
        <w:rPr>
          <w:lang w:val="en-US"/>
        </w:rPr>
        <w:t xml:space="preserve">the </w:t>
      </w:r>
      <w:r w:rsidR="00424105" w:rsidRPr="002433F3">
        <w:rPr>
          <w:lang w:val="en-US"/>
        </w:rPr>
        <w:t>act</w:t>
      </w:r>
      <w:r w:rsidR="007B0DE4" w:rsidRPr="002433F3">
        <w:rPr>
          <w:lang w:val="en-US"/>
        </w:rPr>
        <w:t xml:space="preserve"> of discrimination, and </w:t>
      </w:r>
      <w:r w:rsidR="009236D5" w:rsidRPr="002433F3">
        <w:rPr>
          <w:lang w:val="en-US"/>
        </w:rPr>
        <w:t xml:space="preserve">had placed him </w:t>
      </w:r>
      <w:r w:rsidRPr="002433F3">
        <w:rPr>
          <w:lang w:val="en-US"/>
        </w:rPr>
        <w:lastRenderedPageBreak/>
        <w:t xml:space="preserve">in an extreme </w:t>
      </w:r>
      <w:r w:rsidR="00424105" w:rsidRPr="002433F3">
        <w:rPr>
          <w:lang w:val="en-US"/>
        </w:rPr>
        <w:t>s</w:t>
      </w:r>
      <w:r w:rsidR="007B0DE4" w:rsidRPr="002433F3">
        <w:rPr>
          <w:lang w:val="en-US"/>
        </w:rPr>
        <w:t xml:space="preserve">ituation </w:t>
      </w:r>
      <w:r w:rsidR="009236D5" w:rsidRPr="002433F3">
        <w:rPr>
          <w:lang w:val="en-US"/>
        </w:rPr>
        <w:t>that threatened his very life,</w:t>
      </w:r>
      <w:r w:rsidR="00424105" w:rsidRPr="002433F3">
        <w:rPr>
          <w:lang w:val="en-US"/>
        </w:rPr>
        <w:t>”</w:t>
      </w:r>
      <w:r w:rsidR="007B0DE4" w:rsidRPr="002433F3">
        <w:rPr>
          <w:lang w:val="en-US"/>
        </w:rPr>
        <w:t xml:space="preserve"> </w:t>
      </w:r>
      <w:r w:rsidR="009236D5" w:rsidRPr="002433F3">
        <w:rPr>
          <w:lang w:val="en-US"/>
        </w:rPr>
        <w:t xml:space="preserve"> thereby violating</w:t>
      </w:r>
      <w:r w:rsidRPr="002433F3">
        <w:rPr>
          <w:lang w:val="en-US"/>
        </w:rPr>
        <w:t xml:space="preserve"> </w:t>
      </w:r>
      <w:r w:rsidR="00424105" w:rsidRPr="002433F3">
        <w:rPr>
          <w:lang w:val="en-US"/>
        </w:rPr>
        <w:t>Article 4</w:t>
      </w:r>
      <w:r w:rsidR="00424105" w:rsidRPr="002433F3">
        <w:rPr>
          <w:lang w:val="en-GB"/>
        </w:rPr>
        <w:t>(</w:t>
      </w:r>
      <w:r w:rsidR="007B0DE4" w:rsidRPr="002433F3">
        <w:rPr>
          <w:lang w:val="en-US"/>
        </w:rPr>
        <w:t>1</w:t>
      </w:r>
      <w:r w:rsidR="00424105" w:rsidRPr="002433F3">
        <w:rPr>
          <w:lang w:val="en-US"/>
        </w:rPr>
        <w:t>)</w:t>
      </w:r>
      <w:r w:rsidR="007B0DE4" w:rsidRPr="002433F3">
        <w:rPr>
          <w:lang w:val="en-US"/>
        </w:rPr>
        <w:t xml:space="preserve"> of the Convention </w:t>
      </w:r>
      <w:r w:rsidR="00424105" w:rsidRPr="002433F3">
        <w:rPr>
          <w:lang w:val="en-US"/>
        </w:rPr>
        <w:t xml:space="preserve">to the detriment of </w:t>
      </w:r>
      <w:r w:rsidR="007B0DE4" w:rsidRPr="002433F3">
        <w:rPr>
          <w:lang w:val="en-US"/>
        </w:rPr>
        <w:t>Mr. Duque.</w:t>
      </w:r>
    </w:p>
    <w:p w14:paraId="5655673D" w14:textId="77777777" w:rsidR="007B0DE4" w:rsidRPr="002433F3" w:rsidRDefault="007B0DE4" w:rsidP="007B0DE4">
      <w:pPr>
        <w:numPr>
          <w:ilvl w:val="0"/>
          <w:numId w:val="2"/>
        </w:numPr>
        <w:spacing w:before="120" w:after="120"/>
        <w:rPr>
          <w:lang w:val="en-US"/>
        </w:rPr>
      </w:pPr>
      <w:r w:rsidRPr="002433F3">
        <w:rPr>
          <w:lang w:val="en-US"/>
        </w:rPr>
        <w:t xml:space="preserve">The </w:t>
      </w:r>
      <w:r w:rsidRPr="002433F3">
        <w:rPr>
          <w:i/>
          <w:lang w:val="en-US"/>
        </w:rPr>
        <w:t>State</w:t>
      </w:r>
      <w:r w:rsidRPr="002433F3">
        <w:rPr>
          <w:b/>
          <w:lang w:val="en-US"/>
        </w:rPr>
        <w:t xml:space="preserve"> </w:t>
      </w:r>
      <w:r w:rsidRPr="002433F3">
        <w:rPr>
          <w:lang w:val="en-US"/>
        </w:rPr>
        <w:t>argued that its le</w:t>
      </w:r>
      <w:r w:rsidR="0030681A" w:rsidRPr="002433F3">
        <w:rPr>
          <w:lang w:val="en-US"/>
        </w:rPr>
        <w:t xml:space="preserve">gal and institutional framework </w:t>
      </w:r>
      <w:r w:rsidR="005807E5" w:rsidRPr="002433F3">
        <w:rPr>
          <w:lang w:val="en-US"/>
        </w:rPr>
        <w:t xml:space="preserve">complies with </w:t>
      </w:r>
      <w:r w:rsidR="0030681A" w:rsidRPr="002433F3">
        <w:rPr>
          <w:lang w:val="en-US"/>
        </w:rPr>
        <w:t xml:space="preserve">the </w:t>
      </w:r>
      <w:r w:rsidRPr="002433F3">
        <w:rPr>
          <w:lang w:val="en-US"/>
        </w:rPr>
        <w:t xml:space="preserve">standards </w:t>
      </w:r>
      <w:r w:rsidR="0030681A" w:rsidRPr="002433F3">
        <w:rPr>
          <w:lang w:val="en-US"/>
        </w:rPr>
        <w:t xml:space="preserve">of </w:t>
      </w:r>
      <w:r w:rsidR="005B1BB6" w:rsidRPr="002433F3">
        <w:rPr>
          <w:lang w:val="en-US"/>
        </w:rPr>
        <w:t>the inter-American System and</w:t>
      </w:r>
      <w:r w:rsidR="0030681A" w:rsidRPr="002433F3">
        <w:rPr>
          <w:lang w:val="en-US"/>
        </w:rPr>
        <w:t xml:space="preserve"> guarantee</w:t>
      </w:r>
      <w:r w:rsidR="005B1BB6" w:rsidRPr="002433F3">
        <w:rPr>
          <w:lang w:val="en-US"/>
        </w:rPr>
        <w:t>s</w:t>
      </w:r>
      <w:r w:rsidR="0030681A" w:rsidRPr="002433F3">
        <w:rPr>
          <w:lang w:val="en-US"/>
        </w:rPr>
        <w:t xml:space="preserve"> </w:t>
      </w:r>
      <w:r w:rsidRPr="002433F3">
        <w:rPr>
          <w:lang w:val="en-US"/>
        </w:rPr>
        <w:t>the right to health</w:t>
      </w:r>
      <w:r w:rsidR="00424105" w:rsidRPr="002433F3">
        <w:rPr>
          <w:lang w:val="en-US"/>
        </w:rPr>
        <w:t xml:space="preserve">, </w:t>
      </w:r>
      <w:r w:rsidRPr="002433F3">
        <w:rPr>
          <w:lang w:val="en-US"/>
        </w:rPr>
        <w:t>especial</w:t>
      </w:r>
      <w:r w:rsidR="00424105" w:rsidRPr="002433F3">
        <w:rPr>
          <w:lang w:val="en-US"/>
        </w:rPr>
        <w:t xml:space="preserve">ly </w:t>
      </w:r>
      <w:r w:rsidR="005807E5" w:rsidRPr="002433F3">
        <w:rPr>
          <w:lang w:val="en-US"/>
        </w:rPr>
        <w:t xml:space="preserve">for </w:t>
      </w:r>
      <w:r w:rsidR="00512080" w:rsidRPr="002433F3">
        <w:rPr>
          <w:lang w:val="en-US"/>
        </w:rPr>
        <w:t>the population</w:t>
      </w:r>
      <w:r w:rsidRPr="002433F3">
        <w:rPr>
          <w:lang w:val="en-US"/>
        </w:rPr>
        <w:t xml:space="preserve"> </w:t>
      </w:r>
      <w:r w:rsidR="00424105" w:rsidRPr="002433F3">
        <w:rPr>
          <w:lang w:val="en-US"/>
        </w:rPr>
        <w:t xml:space="preserve">with </w:t>
      </w:r>
      <w:r w:rsidRPr="002433F3">
        <w:rPr>
          <w:lang w:val="en-US"/>
        </w:rPr>
        <w:t>HIV-</w:t>
      </w:r>
      <w:r w:rsidR="00424105" w:rsidRPr="002433F3">
        <w:rPr>
          <w:lang w:val="en-US"/>
        </w:rPr>
        <w:t>AIDS</w:t>
      </w:r>
      <w:r w:rsidRPr="002433F3">
        <w:rPr>
          <w:lang w:val="en-US"/>
        </w:rPr>
        <w:t xml:space="preserve">. </w:t>
      </w:r>
      <w:r w:rsidR="0030681A" w:rsidRPr="002433F3">
        <w:rPr>
          <w:lang w:val="en-US"/>
        </w:rPr>
        <w:t xml:space="preserve">It also </w:t>
      </w:r>
      <w:r w:rsidR="005B1BB6" w:rsidRPr="002433F3">
        <w:rPr>
          <w:lang w:val="en-US"/>
        </w:rPr>
        <w:t xml:space="preserve">stressed </w:t>
      </w:r>
      <w:r w:rsidRPr="002433F3">
        <w:rPr>
          <w:lang w:val="en-US"/>
        </w:rPr>
        <w:t xml:space="preserve">that </w:t>
      </w:r>
      <w:r w:rsidR="00424105" w:rsidRPr="002433F3">
        <w:rPr>
          <w:lang w:val="en-US"/>
        </w:rPr>
        <w:t>the</w:t>
      </w:r>
      <w:r w:rsidR="0030681A" w:rsidRPr="002433F3">
        <w:rPr>
          <w:lang w:val="en-US"/>
        </w:rPr>
        <w:t xml:space="preserve"> case file contained no </w:t>
      </w:r>
      <w:r w:rsidRPr="002433F3">
        <w:rPr>
          <w:lang w:val="en-US"/>
        </w:rPr>
        <w:t xml:space="preserve">evidence to </w:t>
      </w:r>
      <w:r w:rsidR="005807E5" w:rsidRPr="002433F3">
        <w:rPr>
          <w:lang w:val="en-US"/>
        </w:rPr>
        <w:t xml:space="preserve">show </w:t>
      </w:r>
      <w:r w:rsidRPr="002433F3">
        <w:rPr>
          <w:lang w:val="en-US"/>
        </w:rPr>
        <w:t xml:space="preserve">that Mr. Duque was </w:t>
      </w:r>
      <w:r w:rsidR="005807E5" w:rsidRPr="002433F3">
        <w:rPr>
          <w:lang w:val="en-US"/>
        </w:rPr>
        <w:t xml:space="preserve">ever </w:t>
      </w:r>
      <w:r w:rsidRPr="002433F3">
        <w:rPr>
          <w:lang w:val="en-US"/>
        </w:rPr>
        <w:t xml:space="preserve">denied access to </w:t>
      </w:r>
      <w:r w:rsidR="0030681A" w:rsidRPr="002433F3">
        <w:rPr>
          <w:lang w:val="en-US"/>
        </w:rPr>
        <w:t xml:space="preserve">HIV </w:t>
      </w:r>
      <w:r w:rsidRPr="002433F3">
        <w:rPr>
          <w:lang w:val="en-US"/>
        </w:rPr>
        <w:t>tre</w:t>
      </w:r>
      <w:r w:rsidR="00424105" w:rsidRPr="002433F3">
        <w:rPr>
          <w:lang w:val="en-US"/>
        </w:rPr>
        <w:t xml:space="preserve">atment or that his medical care was </w:t>
      </w:r>
      <w:r w:rsidRPr="002433F3">
        <w:rPr>
          <w:lang w:val="en-US"/>
        </w:rPr>
        <w:t xml:space="preserve">in any way interrupted. The State </w:t>
      </w:r>
      <w:r w:rsidR="00B379BA" w:rsidRPr="002433F3">
        <w:rPr>
          <w:lang w:val="en-US"/>
        </w:rPr>
        <w:t xml:space="preserve">emphasized that </w:t>
      </w:r>
      <w:r w:rsidR="005807E5" w:rsidRPr="002433F3">
        <w:rPr>
          <w:lang w:val="en-US"/>
        </w:rPr>
        <w:t xml:space="preserve">there is certainty that </w:t>
      </w:r>
      <w:r w:rsidRPr="002433F3">
        <w:rPr>
          <w:lang w:val="en-US"/>
        </w:rPr>
        <w:t>Mr. Duque</w:t>
      </w:r>
      <w:r w:rsidR="005807E5" w:rsidRPr="002433F3">
        <w:rPr>
          <w:lang w:val="en-US"/>
        </w:rPr>
        <w:t xml:space="preserve"> was continuously</w:t>
      </w:r>
      <w:r w:rsidRPr="002433F3">
        <w:rPr>
          <w:lang w:val="en-US"/>
        </w:rPr>
        <w:t xml:space="preserve"> </w:t>
      </w:r>
      <w:r w:rsidR="005807E5" w:rsidRPr="002433F3">
        <w:rPr>
          <w:lang w:val="en-US"/>
        </w:rPr>
        <w:t xml:space="preserve">enrolled </w:t>
      </w:r>
      <w:r w:rsidRPr="002433F3">
        <w:rPr>
          <w:lang w:val="en-US"/>
        </w:rPr>
        <w:t>in the social security system health</w:t>
      </w:r>
      <w:r w:rsidR="00B379BA" w:rsidRPr="002433F3">
        <w:rPr>
          <w:lang w:val="en-US"/>
        </w:rPr>
        <w:t xml:space="preserve"> services</w:t>
      </w:r>
      <w:r w:rsidRPr="002433F3">
        <w:rPr>
          <w:lang w:val="en-US"/>
        </w:rPr>
        <w:t xml:space="preserve">, and therefore </w:t>
      </w:r>
      <w:r w:rsidR="00424105" w:rsidRPr="002433F3">
        <w:rPr>
          <w:lang w:val="en-US"/>
        </w:rPr>
        <w:t xml:space="preserve">he would have </w:t>
      </w:r>
      <w:r w:rsidR="00B379BA" w:rsidRPr="002433F3">
        <w:rPr>
          <w:lang w:val="en-US"/>
        </w:rPr>
        <w:t xml:space="preserve">access to </w:t>
      </w:r>
      <w:r w:rsidRPr="002433F3">
        <w:rPr>
          <w:lang w:val="en-US"/>
        </w:rPr>
        <w:t xml:space="preserve">services </w:t>
      </w:r>
      <w:r w:rsidR="005807E5" w:rsidRPr="002433F3">
        <w:rPr>
          <w:lang w:val="en-US"/>
        </w:rPr>
        <w:t xml:space="preserve">derived </w:t>
      </w:r>
      <w:r w:rsidR="00B379BA" w:rsidRPr="002433F3">
        <w:rPr>
          <w:lang w:val="en-US"/>
        </w:rPr>
        <w:t>from his</w:t>
      </w:r>
      <w:r w:rsidR="00DC7CA0" w:rsidRPr="002433F3">
        <w:rPr>
          <w:lang w:val="en-US"/>
        </w:rPr>
        <w:t xml:space="preserve"> enrolment</w:t>
      </w:r>
      <w:r w:rsidRPr="002433F3">
        <w:rPr>
          <w:lang w:val="en-US"/>
        </w:rPr>
        <w:t xml:space="preserve">. </w:t>
      </w:r>
      <w:r w:rsidR="006A3282" w:rsidRPr="002433F3">
        <w:rPr>
          <w:lang w:val="en-US"/>
        </w:rPr>
        <w:t xml:space="preserve">Likewise, the </w:t>
      </w:r>
      <w:r w:rsidR="006A3282" w:rsidRPr="002433F3">
        <w:rPr>
          <w:i/>
          <w:lang w:val="en-US"/>
        </w:rPr>
        <w:t>State</w:t>
      </w:r>
      <w:r w:rsidR="006A3282" w:rsidRPr="002433F3">
        <w:rPr>
          <w:lang w:val="en-US"/>
        </w:rPr>
        <w:t xml:space="preserve"> </w:t>
      </w:r>
      <w:r w:rsidRPr="002433F3">
        <w:rPr>
          <w:lang w:val="en-US"/>
        </w:rPr>
        <w:t xml:space="preserve">pointed out that the representatives </w:t>
      </w:r>
      <w:r w:rsidR="006A3282" w:rsidRPr="002433F3">
        <w:rPr>
          <w:lang w:val="en-US"/>
        </w:rPr>
        <w:t xml:space="preserve">acknowledged that </w:t>
      </w:r>
      <w:r w:rsidR="006D00E8" w:rsidRPr="002433F3">
        <w:rPr>
          <w:lang w:val="en-US"/>
        </w:rPr>
        <w:t>Mr. Duque had</w:t>
      </w:r>
      <w:r w:rsidRPr="002433F3">
        <w:rPr>
          <w:lang w:val="en-US"/>
        </w:rPr>
        <w:t xml:space="preserve"> res</w:t>
      </w:r>
      <w:r w:rsidR="00424105" w:rsidRPr="002433F3">
        <w:rPr>
          <w:lang w:val="en-US"/>
        </w:rPr>
        <w:t xml:space="preserve">olved </w:t>
      </w:r>
      <w:r w:rsidR="005807E5" w:rsidRPr="002433F3">
        <w:rPr>
          <w:lang w:val="en-US"/>
        </w:rPr>
        <w:t>his</w:t>
      </w:r>
      <w:r w:rsidR="006A3282" w:rsidRPr="002433F3">
        <w:rPr>
          <w:lang w:val="en-US"/>
        </w:rPr>
        <w:t xml:space="preserve"> </w:t>
      </w:r>
      <w:r w:rsidRPr="002433F3">
        <w:rPr>
          <w:lang w:val="en-US"/>
        </w:rPr>
        <w:t xml:space="preserve">situation </w:t>
      </w:r>
      <w:r w:rsidR="00424105" w:rsidRPr="002433F3">
        <w:rPr>
          <w:lang w:val="en-US"/>
        </w:rPr>
        <w:t xml:space="preserve">regarding </w:t>
      </w:r>
      <w:r w:rsidRPr="002433F3">
        <w:rPr>
          <w:lang w:val="en-US"/>
        </w:rPr>
        <w:t>access to health services</w:t>
      </w:r>
      <w:r w:rsidR="006A3282" w:rsidRPr="002433F3">
        <w:rPr>
          <w:lang w:val="en-US"/>
        </w:rPr>
        <w:t>, as</w:t>
      </w:r>
      <w:r w:rsidRPr="002433F3">
        <w:rPr>
          <w:lang w:val="en-US"/>
        </w:rPr>
        <w:t xml:space="preserve"> </w:t>
      </w:r>
      <w:r w:rsidR="00424105" w:rsidRPr="002433F3">
        <w:rPr>
          <w:lang w:val="en-US"/>
        </w:rPr>
        <w:t xml:space="preserve">warranted by his </w:t>
      </w:r>
      <w:r w:rsidR="006A3282" w:rsidRPr="002433F3">
        <w:rPr>
          <w:lang w:val="en-US"/>
        </w:rPr>
        <w:t xml:space="preserve">status </w:t>
      </w:r>
      <w:r w:rsidR="00424105" w:rsidRPr="002433F3">
        <w:rPr>
          <w:lang w:val="en-US"/>
        </w:rPr>
        <w:t xml:space="preserve">as an </w:t>
      </w:r>
      <w:r w:rsidRPr="002433F3">
        <w:rPr>
          <w:lang w:val="en-US"/>
        </w:rPr>
        <w:t xml:space="preserve">HIV </w:t>
      </w:r>
      <w:r w:rsidR="006D00E8" w:rsidRPr="002433F3">
        <w:rPr>
          <w:lang w:val="en-US"/>
        </w:rPr>
        <w:t>patient</w:t>
      </w:r>
      <w:r w:rsidRPr="002433F3">
        <w:rPr>
          <w:lang w:val="en-US"/>
        </w:rPr>
        <w:t xml:space="preserve">, and that in any case, </w:t>
      </w:r>
      <w:r w:rsidR="006D00E8" w:rsidRPr="002433F3">
        <w:rPr>
          <w:lang w:val="en-US"/>
        </w:rPr>
        <w:t xml:space="preserve">if </w:t>
      </w:r>
      <w:r w:rsidRPr="002433F3">
        <w:rPr>
          <w:lang w:val="en-US"/>
        </w:rPr>
        <w:t xml:space="preserve">Mr. Duque </w:t>
      </w:r>
      <w:r w:rsidR="006A3282" w:rsidRPr="002433F3">
        <w:rPr>
          <w:lang w:val="en-US"/>
        </w:rPr>
        <w:t xml:space="preserve">did not have the </w:t>
      </w:r>
      <w:r w:rsidRPr="002433F3">
        <w:rPr>
          <w:lang w:val="en-US"/>
        </w:rPr>
        <w:t xml:space="preserve">financial </w:t>
      </w:r>
      <w:r w:rsidR="006D00E8" w:rsidRPr="002433F3">
        <w:rPr>
          <w:lang w:val="en-US"/>
        </w:rPr>
        <w:t xml:space="preserve">means to make payments to the </w:t>
      </w:r>
      <w:r w:rsidRPr="002433F3">
        <w:rPr>
          <w:lang w:val="en-US"/>
        </w:rPr>
        <w:t>contribut</w:t>
      </w:r>
      <w:r w:rsidR="005807E5" w:rsidRPr="002433F3">
        <w:rPr>
          <w:lang w:val="en-US"/>
        </w:rPr>
        <w:t xml:space="preserve">ory </w:t>
      </w:r>
      <w:r w:rsidR="00632773" w:rsidRPr="002433F3">
        <w:rPr>
          <w:lang w:val="en-US"/>
        </w:rPr>
        <w:t>scheme</w:t>
      </w:r>
      <w:r w:rsidR="006D00E8" w:rsidRPr="002433F3">
        <w:rPr>
          <w:lang w:val="en-US"/>
        </w:rPr>
        <w:t>, he c</w:t>
      </w:r>
      <w:r w:rsidRPr="002433F3">
        <w:rPr>
          <w:lang w:val="en-US"/>
        </w:rPr>
        <w:t xml:space="preserve">ould </w:t>
      </w:r>
      <w:r w:rsidR="006D00E8" w:rsidRPr="002433F3">
        <w:rPr>
          <w:lang w:val="en-US"/>
        </w:rPr>
        <w:t xml:space="preserve">still </w:t>
      </w:r>
      <w:r w:rsidRPr="002433F3">
        <w:rPr>
          <w:lang w:val="en-US"/>
        </w:rPr>
        <w:t xml:space="preserve">have had access to health services </w:t>
      </w:r>
      <w:r w:rsidR="006A3282" w:rsidRPr="002433F3">
        <w:rPr>
          <w:lang w:val="en-US"/>
        </w:rPr>
        <w:t xml:space="preserve">through </w:t>
      </w:r>
      <w:r w:rsidRPr="002433F3">
        <w:rPr>
          <w:lang w:val="en-US"/>
        </w:rPr>
        <w:t xml:space="preserve">the subsidized </w:t>
      </w:r>
      <w:r w:rsidR="00632773" w:rsidRPr="002433F3">
        <w:rPr>
          <w:lang w:val="en-US"/>
        </w:rPr>
        <w:t>s</w:t>
      </w:r>
      <w:r w:rsidR="005807E5" w:rsidRPr="002433F3">
        <w:rPr>
          <w:lang w:val="en-US"/>
        </w:rPr>
        <w:t>cheme</w:t>
      </w:r>
      <w:r w:rsidR="001D6598" w:rsidRPr="002433F3">
        <w:rPr>
          <w:lang w:val="en-US"/>
        </w:rPr>
        <w:t>,</w:t>
      </w:r>
      <w:r w:rsidR="005807E5" w:rsidRPr="002433F3">
        <w:rPr>
          <w:lang w:val="en-US"/>
        </w:rPr>
        <w:t xml:space="preserve"> which </w:t>
      </w:r>
      <w:r w:rsidRPr="002433F3">
        <w:rPr>
          <w:lang w:val="en-US"/>
        </w:rPr>
        <w:t xml:space="preserve">provides services of equal quality for “catastrophic” illnesses, such as HIV. </w:t>
      </w:r>
    </w:p>
    <w:p w14:paraId="2566760A" w14:textId="77777777" w:rsidR="007B0DE4" w:rsidRPr="002433F3" w:rsidRDefault="007B0DE4" w:rsidP="007B0DE4">
      <w:pPr>
        <w:pStyle w:val="Ttulo2"/>
        <w:numPr>
          <w:ilvl w:val="0"/>
          <w:numId w:val="12"/>
        </w:numPr>
        <w:spacing w:before="280" w:after="280"/>
        <w:rPr>
          <w:rFonts w:eastAsia="Batang" w:cs="Times"/>
          <w:noProof w:val="0"/>
          <w:szCs w:val="24"/>
          <w:lang w:val="en-US"/>
        </w:rPr>
      </w:pPr>
      <w:bookmarkStart w:id="138" w:name="_Toc448482276"/>
      <w:r w:rsidRPr="002433F3">
        <w:rPr>
          <w:noProof w:val="0"/>
          <w:lang w:val="en-US" w:eastAsia="es-ES"/>
        </w:rPr>
        <w:t>Considerations</w:t>
      </w:r>
      <w:r w:rsidRPr="002433F3">
        <w:rPr>
          <w:rFonts w:eastAsia="Calibri"/>
          <w:noProof w:val="0"/>
          <w:lang w:val="en-US"/>
        </w:rPr>
        <w:t xml:space="preserve"> of the Court</w:t>
      </w:r>
      <w:bookmarkEnd w:id="138"/>
    </w:p>
    <w:p w14:paraId="66CB202B" w14:textId="77777777" w:rsidR="007B0DE4" w:rsidRPr="002433F3" w:rsidRDefault="007B0DE4" w:rsidP="007B0DE4">
      <w:pPr>
        <w:numPr>
          <w:ilvl w:val="0"/>
          <w:numId w:val="2"/>
        </w:numPr>
        <w:spacing w:before="120" w:after="120"/>
        <w:rPr>
          <w:lang w:val="en-US"/>
        </w:rPr>
      </w:pPr>
      <w:r w:rsidRPr="002433F3">
        <w:rPr>
          <w:lang w:val="en-US"/>
        </w:rPr>
        <w:t xml:space="preserve">The Court will now </w:t>
      </w:r>
      <w:r w:rsidR="006A3282" w:rsidRPr="002433F3">
        <w:rPr>
          <w:lang w:val="en-US"/>
        </w:rPr>
        <w:t xml:space="preserve">analyze certain </w:t>
      </w:r>
      <w:r w:rsidRPr="002433F3">
        <w:rPr>
          <w:lang w:val="en-US"/>
        </w:rPr>
        <w:t xml:space="preserve">standards </w:t>
      </w:r>
      <w:r w:rsidR="006A3282" w:rsidRPr="002433F3">
        <w:rPr>
          <w:lang w:val="en-US"/>
        </w:rPr>
        <w:t xml:space="preserve">concerning </w:t>
      </w:r>
      <w:r w:rsidRPr="002433F3">
        <w:rPr>
          <w:lang w:val="en-US"/>
        </w:rPr>
        <w:t xml:space="preserve">the right to personal integrity, in relation to the right to health of persons with HIV. Subsequently, the Court will </w:t>
      </w:r>
      <w:r w:rsidR="006A3282" w:rsidRPr="002433F3">
        <w:rPr>
          <w:lang w:val="en-US"/>
        </w:rPr>
        <w:t xml:space="preserve">examine </w:t>
      </w:r>
      <w:r w:rsidRPr="002433F3">
        <w:rPr>
          <w:lang w:val="en-US"/>
        </w:rPr>
        <w:t xml:space="preserve">the arguments regarding the alleged violation of the rights to personal integrity and </w:t>
      </w:r>
      <w:r w:rsidR="00755EA3" w:rsidRPr="002433F3">
        <w:rPr>
          <w:lang w:val="en-US"/>
        </w:rPr>
        <w:t xml:space="preserve">to </w:t>
      </w:r>
      <w:r w:rsidRPr="002433F3">
        <w:rPr>
          <w:lang w:val="en-US"/>
        </w:rPr>
        <w:t>life of Mr. Ángel Alberto Duque</w:t>
      </w:r>
      <w:r w:rsidRPr="002433F3">
        <w:rPr>
          <w:rFonts w:cs="Calibri"/>
          <w:szCs w:val="22"/>
          <w:lang w:val="en-US"/>
        </w:rPr>
        <w:t>.</w:t>
      </w:r>
    </w:p>
    <w:p w14:paraId="199DF6DA" w14:textId="77777777" w:rsidR="007B0DE4" w:rsidRPr="002433F3" w:rsidRDefault="007B0DE4" w:rsidP="007B0DE4">
      <w:pPr>
        <w:pStyle w:val="Ttulo3"/>
        <w:spacing w:before="280" w:after="280"/>
        <w:ind w:left="1066"/>
        <w:rPr>
          <w:noProof w:val="0"/>
          <w:lang w:val="en-US" w:eastAsia="es-ES"/>
        </w:rPr>
      </w:pPr>
      <w:bookmarkStart w:id="139" w:name="_Toc448482277"/>
      <w:r w:rsidRPr="002433F3">
        <w:rPr>
          <w:noProof w:val="0"/>
          <w:lang w:val="en-US" w:eastAsia="es-ES"/>
        </w:rPr>
        <w:t>B.1. Standards</w:t>
      </w:r>
      <w:r w:rsidRPr="002433F3">
        <w:rPr>
          <w:noProof w:val="0"/>
          <w:lang w:val="en-US"/>
        </w:rPr>
        <w:t xml:space="preserve"> </w:t>
      </w:r>
      <w:r w:rsidR="00633209" w:rsidRPr="002433F3">
        <w:rPr>
          <w:noProof w:val="0"/>
          <w:lang w:val="en-US"/>
        </w:rPr>
        <w:t xml:space="preserve">regarding </w:t>
      </w:r>
      <w:r w:rsidRPr="002433F3">
        <w:rPr>
          <w:noProof w:val="0"/>
          <w:lang w:val="en-US"/>
        </w:rPr>
        <w:t xml:space="preserve">the right to personal integrity in relation </w:t>
      </w:r>
      <w:r w:rsidR="006D00E8" w:rsidRPr="002433F3">
        <w:rPr>
          <w:noProof w:val="0"/>
          <w:lang w:val="en-US"/>
        </w:rPr>
        <w:t>to the</w:t>
      </w:r>
      <w:r w:rsidRPr="002433F3">
        <w:rPr>
          <w:noProof w:val="0"/>
          <w:lang w:val="en-US"/>
        </w:rPr>
        <w:t xml:space="preserve"> right to health of persons with HIV</w:t>
      </w:r>
      <w:bookmarkEnd w:id="139"/>
    </w:p>
    <w:p w14:paraId="5C13CBE1" w14:textId="77777777" w:rsidR="007B0DE4" w:rsidRPr="002433F3" w:rsidRDefault="007B0DE4" w:rsidP="007B0DE4">
      <w:pPr>
        <w:numPr>
          <w:ilvl w:val="0"/>
          <w:numId w:val="2"/>
        </w:numPr>
        <w:spacing w:before="120" w:after="120"/>
        <w:rPr>
          <w:lang w:val="en-US"/>
        </w:rPr>
      </w:pPr>
      <w:r w:rsidRPr="002433F3">
        <w:rPr>
          <w:lang w:val="en-US"/>
        </w:rPr>
        <w:t>Article XI of t</w:t>
      </w:r>
      <w:r w:rsidR="00512080" w:rsidRPr="002433F3">
        <w:rPr>
          <w:lang w:val="en-US"/>
        </w:rPr>
        <w:t xml:space="preserve">he American Declaration on the </w:t>
      </w:r>
      <w:r w:rsidRPr="002433F3">
        <w:rPr>
          <w:lang w:val="en-US"/>
        </w:rPr>
        <w:t>Rights and Duties of Man establishes th</w:t>
      </w:r>
      <w:r w:rsidR="00512080" w:rsidRPr="002433F3">
        <w:rPr>
          <w:lang w:val="en-US"/>
        </w:rPr>
        <w:t xml:space="preserve">at “[e]very person has the right </w:t>
      </w:r>
      <w:r w:rsidR="007248A4" w:rsidRPr="002433F3">
        <w:rPr>
          <w:lang w:val="en-US"/>
        </w:rPr>
        <w:t xml:space="preserve">to </w:t>
      </w:r>
      <w:r w:rsidR="00512080" w:rsidRPr="002433F3">
        <w:rPr>
          <w:lang w:val="en-US"/>
        </w:rPr>
        <w:t>the preservation of</w:t>
      </w:r>
      <w:r w:rsidR="007248A4" w:rsidRPr="002433F3">
        <w:rPr>
          <w:lang w:val="en-US"/>
        </w:rPr>
        <w:t xml:space="preserve"> his </w:t>
      </w:r>
      <w:r w:rsidRPr="002433F3">
        <w:rPr>
          <w:lang w:val="en-US"/>
        </w:rPr>
        <w:t xml:space="preserve">health </w:t>
      </w:r>
      <w:r w:rsidR="007248A4" w:rsidRPr="002433F3">
        <w:rPr>
          <w:lang w:val="en-US"/>
        </w:rPr>
        <w:t xml:space="preserve">through </w:t>
      </w:r>
      <w:r w:rsidR="00512080" w:rsidRPr="002433F3">
        <w:rPr>
          <w:lang w:val="en-US"/>
        </w:rPr>
        <w:t xml:space="preserve">sanitary </w:t>
      </w:r>
      <w:r w:rsidR="007248A4" w:rsidRPr="002433F3">
        <w:rPr>
          <w:lang w:val="en-US"/>
        </w:rPr>
        <w:t>and s</w:t>
      </w:r>
      <w:r w:rsidRPr="002433F3">
        <w:rPr>
          <w:lang w:val="en-US"/>
        </w:rPr>
        <w:t>ocial</w:t>
      </w:r>
      <w:r w:rsidR="007248A4" w:rsidRPr="002433F3">
        <w:rPr>
          <w:lang w:val="en-US"/>
        </w:rPr>
        <w:t xml:space="preserve"> measures</w:t>
      </w:r>
      <w:r w:rsidRPr="002433F3">
        <w:rPr>
          <w:lang w:val="en-US"/>
        </w:rPr>
        <w:t xml:space="preserve"> relat</w:t>
      </w:r>
      <w:r w:rsidR="00512080" w:rsidRPr="002433F3">
        <w:rPr>
          <w:lang w:val="en-US"/>
        </w:rPr>
        <w:t>ing</w:t>
      </w:r>
      <w:r w:rsidR="007248A4" w:rsidRPr="002433F3">
        <w:rPr>
          <w:lang w:val="en-US"/>
        </w:rPr>
        <w:t xml:space="preserve"> to </w:t>
      </w:r>
      <w:r w:rsidRPr="002433F3">
        <w:rPr>
          <w:lang w:val="en-US"/>
        </w:rPr>
        <w:t xml:space="preserve">[…] </w:t>
      </w:r>
      <w:r w:rsidR="00306761" w:rsidRPr="002433F3">
        <w:rPr>
          <w:lang w:val="en-US"/>
        </w:rPr>
        <w:t xml:space="preserve">and </w:t>
      </w:r>
      <w:r w:rsidR="00512080" w:rsidRPr="002433F3">
        <w:rPr>
          <w:lang w:val="en-US"/>
        </w:rPr>
        <w:t>medical care</w:t>
      </w:r>
      <w:r w:rsidRPr="002433F3">
        <w:rPr>
          <w:lang w:val="en-US"/>
        </w:rPr>
        <w:t xml:space="preserve">, </w:t>
      </w:r>
      <w:r w:rsidR="00512080" w:rsidRPr="002433F3">
        <w:rPr>
          <w:lang w:val="en-US"/>
        </w:rPr>
        <w:t xml:space="preserve">to the extent permitted by </w:t>
      </w:r>
      <w:r w:rsidRPr="002433F3">
        <w:rPr>
          <w:lang w:val="en-US"/>
        </w:rPr>
        <w:t>public and community</w:t>
      </w:r>
      <w:r w:rsidR="00512080" w:rsidRPr="002433F3">
        <w:rPr>
          <w:lang w:val="en-US"/>
        </w:rPr>
        <w:t xml:space="preserve"> resources</w:t>
      </w:r>
      <w:r w:rsidRPr="002433F3">
        <w:rPr>
          <w:lang w:val="en-US"/>
        </w:rPr>
        <w:t>.” For its part, Article 45 of the OAS Charter require</w:t>
      </w:r>
      <w:r w:rsidR="00512080" w:rsidRPr="002433F3">
        <w:rPr>
          <w:lang w:val="en-US"/>
        </w:rPr>
        <w:t xml:space="preserve">s that </w:t>
      </w:r>
      <w:r w:rsidRPr="002433F3">
        <w:rPr>
          <w:lang w:val="en-US"/>
        </w:rPr>
        <w:t>Member States “</w:t>
      </w:r>
      <w:r w:rsidR="00512080" w:rsidRPr="002433F3">
        <w:rPr>
          <w:rFonts w:cs="Tahoma"/>
          <w:szCs w:val="20"/>
          <w:shd w:val="clear" w:color="auto" w:fill="FFFFFF"/>
          <w:lang w:val="en-US"/>
        </w:rPr>
        <w:t>dedicate every effort to the</w:t>
      </w:r>
      <w:r w:rsidR="00512080" w:rsidRPr="002433F3">
        <w:rPr>
          <w:rFonts w:ascii="Tahoma" w:hAnsi="Tahoma" w:cs="Tahoma"/>
          <w:szCs w:val="20"/>
          <w:shd w:val="clear" w:color="auto" w:fill="FFFFFF"/>
          <w:lang w:val="en-US"/>
        </w:rPr>
        <w:t xml:space="preserve"> </w:t>
      </w:r>
      <w:r w:rsidR="00512080" w:rsidRPr="002433F3">
        <w:rPr>
          <w:rFonts w:ascii="Tahoma" w:hAnsi="Tahoma" w:cs="Tahoma"/>
          <w:color w:val="333333"/>
          <w:szCs w:val="20"/>
          <w:shd w:val="clear" w:color="auto" w:fill="FFFFFF"/>
          <w:lang w:val="en-US"/>
        </w:rPr>
        <w:t xml:space="preserve">[…] </w:t>
      </w:r>
      <w:r w:rsidR="00B04E19" w:rsidRPr="002433F3">
        <w:rPr>
          <w:lang w:val="en-US"/>
        </w:rPr>
        <w:t>d</w:t>
      </w:r>
      <w:r w:rsidRPr="002433F3">
        <w:rPr>
          <w:lang w:val="en-US"/>
        </w:rPr>
        <w:t>e</w:t>
      </w:r>
      <w:r w:rsidR="00B04E19" w:rsidRPr="002433F3">
        <w:rPr>
          <w:lang w:val="en-US"/>
        </w:rPr>
        <w:t xml:space="preserve">velopment </w:t>
      </w:r>
      <w:r w:rsidRPr="002433F3">
        <w:rPr>
          <w:lang w:val="en-US"/>
        </w:rPr>
        <w:t>of an efficient social security policy.”</w:t>
      </w:r>
      <w:r w:rsidRPr="002433F3">
        <w:rPr>
          <w:rStyle w:val="Refdenotaalpie"/>
          <w:lang w:val="en-US"/>
        </w:rPr>
        <w:footnoteReference w:id="144"/>
      </w:r>
      <w:r w:rsidRPr="002433F3">
        <w:rPr>
          <w:lang w:val="en-US"/>
        </w:rPr>
        <w:t xml:space="preserve"> In this </w:t>
      </w:r>
      <w:r w:rsidR="00633209" w:rsidRPr="002433F3">
        <w:rPr>
          <w:lang w:val="en-US"/>
        </w:rPr>
        <w:t>regard</w:t>
      </w:r>
      <w:r w:rsidRPr="002433F3">
        <w:rPr>
          <w:lang w:val="en-US"/>
        </w:rPr>
        <w:t xml:space="preserve">, Article 10 of the Additional Protocol to </w:t>
      </w:r>
      <w:r w:rsidRPr="002433F3">
        <w:rPr>
          <w:rFonts w:cs="Verdana"/>
          <w:lang w:val="en-US"/>
        </w:rPr>
        <w:t xml:space="preserve">the American Convention on Human Rights in relation to Economic, Social and Cultural Rights, </w:t>
      </w:r>
      <w:r w:rsidR="00E560CA" w:rsidRPr="002433F3">
        <w:rPr>
          <w:rFonts w:cs="Verdana"/>
          <w:lang w:val="en-US"/>
        </w:rPr>
        <w:t xml:space="preserve">which was </w:t>
      </w:r>
      <w:r w:rsidRPr="002433F3">
        <w:rPr>
          <w:rFonts w:cs="Verdana"/>
          <w:lang w:val="en-US"/>
        </w:rPr>
        <w:t>ratified by Colombia on October 22, 1997</w:t>
      </w:r>
      <w:r w:rsidR="00306761" w:rsidRPr="002433F3">
        <w:rPr>
          <w:rFonts w:cs="Verdana"/>
          <w:lang w:val="en-US"/>
        </w:rPr>
        <w:t>,</w:t>
      </w:r>
      <w:r w:rsidRPr="002433F3">
        <w:rPr>
          <w:rFonts w:cs="Verdana"/>
          <w:lang w:val="en-US"/>
        </w:rPr>
        <w:t xml:space="preserve"> and entered into force on November 16, 1999, establ</w:t>
      </w:r>
      <w:r w:rsidR="00B92140" w:rsidRPr="002433F3">
        <w:rPr>
          <w:rFonts w:cs="Verdana"/>
          <w:lang w:val="en-US"/>
        </w:rPr>
        <w:t xml:space="preserve">ishes that everyone </w:t>
      </w:r>
      <w:r w:rsidRPr="002433F3">
        <w:rPr>
          <w:rFonts w:cs="Verdana"/>
          <w:lang w:val="en-US"/>
        </w:rPr>
        <w:t>has right to health, understood</w:t>
      </w:r>
      <w:r w:rsidRPr="002433F3">
        <w:rPr>
          <w:lang w:val="en-US"/>
        </w:rPr>
        <w:t xml:space="preserve"> </w:t>
      </w:r>
      <w:r w:rsidR="00E560CA" w:rsidRPr="002433F3">
        <w:rPr>
          <w:lang w:val="en-US"/>
        </w:rPr>
        <w:t xml:space="preserve">as </w:t>
      </w:r>
      <w:r w:rsidR="00306761" w:rsidRPr="002433F3">
        <w:rPr>
          <w:lang w:val="en-US"/>
        </w:rPr>
        <w:t>“</w:t>
      </w:r>
      <w:r w:rsidR="00E560CA" w:rsidRPr="002433F3">
        <w:rPr>
          <w:lang w:val="en-US"/>
        </w:rPr>
        <w:t>the enjoyment of the highest level of physical, mental and social well-being</w:t>
      </w:r>
      <w:r w:rsidR="00306761" w:rsidRPr="002433F3">
        <w:rPr>
          <w:lang w:val="en-US"/>
        </w:rPr>
        <w:t>,”</w:t>
      </w:r>
      <w:r w:rsidRPr="002433F3">
        <w:rPr>
          <w:rFonts w:cs="Verdana"/>
          <w:lang w:val="en-US"/>
        </w:rPr>
        <w:t xml:space="preserve"> and </w:t>
      </w:r>
      <w:r w:rsidR="00306761" w:rsidRPr="002433F3">
        <w:rPr>
          <w:rFonts w:cs="Verdana"/>
          <w:lang w:val="en-US"/>
        </w:rPr>
        <w:t xml:space="preserve">also </w:t>
      </w:r>
      <w:r w:rsidR="00E560CA" w:rsidRPr="002433F3">
        <w:rPr>
          <w:rFonts w:cs="Verdana"/>
          <w:lang w:val="en-US"/>
        </w:rPr>
        <w:t>recognizes health a</w:t>
      </w:r>
      <w:r w:rsidRPr="002433F3">
        <w:rPr>
          <w:rFonts w:cs="Verdana"/>
          <w:lang w:val="en-US"/>
        </w:rPr>
        <w:t>s a public good.</w:t>
      </w:r>
      <w:r w:rsidRPr="002433F3">
        <w:rPr>
          <w:rStyle w:val="Refdenotaalpie"/>
          <w:rFonts w:cs="Verdana"/>
          <w:lang w:val="en-US"/>
        </w:rPr>
        <w:footnoteReference w:id="145"/>
      </w:r>
      <w:r w:rsidRPr="002433F3">
        <w:rPr>
          <w:lang w:val="en-US"/>
        </w:rPr>
        <w:t xml:space="preserve"> </w:t>
      </w:r>
      <w:r w:rsidR="00A067C2" w:rsidRPr="002433F3">
        <w:rPr>
          <w:lang w:val="en-US"/>
        </w:rPr>
        <w:t>Also</w:t>
      </w:r>
      <w:r w:rsidRPr="002433F3">
        <w:rPr>
          <w:lang w:val="en-US"/>
        </w:rPr>
        <w:t xml:space="preserve">, in July 2012, the General Assembly of </w:t>
      </w:r>
      <w:r w:rsidRPr="002433F3">
        <w:rPr>
          <w:lang w:val="en-US"/>
        </w:rPr>
        <w:lastRenderedPageBreak/>
        <w:t>the Organization of American States e</w:t>
      </w:r>
      <w:r w:rsidR="00B92140" w:rsidRPr="002433F3">
        <w:rPr>
          <w:lang w:val="en-US"/>
        </w:rPr>
        <w:t xml:space="preserve">mphasized </w:t>
      </w:r>
      <w:r w:rsidRPr="002433F3">
        <w:rPr>
          <w:lang w:val="en-US"/>
        </w:rPr>
        <w:t xml:space="preserve">the quality of health establishments, goods and services, which requires the presence of qualified medical personnel, as well as adequate </w:t>
      </w:r>
      <w:r w:rsidR="00DC7CA0" w:rsidRPr="002433F3">
        <w:rPr>
          <w:lang w:val="en-US"/>
        </w:rPr>
        <w:t xml:space="preserve">health </w:t>
      </w:r>
      <w:r w:rsidRPr="002433F3">
        <w:rPr>
          <w:lang w:val="en-US"/>
        </w:rPr>
        <w:t>conditions.</w:t>
      </w:r>
      <w:r w:rsidRPr="002433F3">
        <w:rPr>
          <w:rStyle w:val="Refdenotaalpie"/>
          <w:lang w:val="en-US"/>
        </w:rPr>
        <w:footnoteReference w:id="146"/>
      </w:r>
    </w:p>
    <w:p w14:paraId="7E8169E6" w14:textId="77777777" w:rsidR="007B0DE4" w:rsidRPr="002433F3" w:rsidRDefault="007B0DE4" w:rsidP="007B0DE4">
      <w:pPr>
        <w:numPr>
          <w:ilvl w:val="0"/>
          <w:numId w:val="2"/>
        </w:numPr>
        <w:spacing w:before="120" w:after="120"/>
        <w:rPr>
          <w:szCs w:val="20"/>
          <w:lang w:val="en-US"/>
        </w:rPr>
      </w:pPr>
      <w:r w:rsidRPr="002433F3">
        <w:rPr>
          <w:lang w:val="en-US"/>
        </w:rPr>
        <w:t>The Protocol of San Salvador establ</w:t>
      </w:r>
      <w:r w:rsidR="00910919" w:rsidRPr="002433F3">
        <w:rPr>
          <w:lang w:val="en-US"/>
        </w:rPr>
        <w:t xml:space="preserve">ishes </w:t>
      </w:r>
      <w:r w:rsidRPr="002433F3">
        <w:rPr>
          <w:lang w:val="en-US"/>
        </w:rPr>
        <w:t>that</w:t>
      </w:r>
      <w:r w:rsidR="008D28D7" w:rsidRPr="002433F3">
        <w:rPr>
          <w:lang w:val="en-US"/>
        </w:rPr>
        <w:t>,</w:t>
      </w:r>
      <w:r w:rsidRPr="002433F3">
        <w:rPr>
          <w:lang w:val="en-US"/>
        </w:rPr>
        <w:t xml:space="preserve"> among the measures to guarantee the  right to health, the</w:t>
      </w:r>
      <w:r w:rsidR="00910919" w:rsidRPr="002433F3">
        <w:rPr>
          <w:lang w:val="en-US"/>
        </w:rPr>
        <w:t xml:space="preserve"> States </w:t>
      </w:r>
      <w:r w:rsidR="002B0F43" w:rsidRPr="002433F3">
        <w:rPr>
          <w:lang w:val="en-US"/>
        </w:rPr>
        <w:t xml:space="preserve">must </w:t>
      </w:r>
      <w:r w:rsidR="00910919" w:rsidRPr="002433F3">
        <w:rPr>
          <w:szCs w:val="20"/>
          <w:lang w:val="en-US"/>
        </w:rPr>
        <w:t xml:space="preserve">promote </w:t>
      </w:r>
      <w:r w:rsidR="00DC7CA0" w:rsidRPr="002433F3">
        <w:rPr>
          <w:szCs w:val="20"/>
          <w:lang w:val="en-US"/>
        </w:rPr>
        <w:t>“</w:t>
      </w:r>
      <w:r w:rsidR="002B0F43" w:rsidRPr="002433F3">
        <w:rPr>
          <w:rFonts w:cs="Tahoma"/>
          <w:color w:val="000000"/>
          <w:szCs w:val="20"/>
          <w:lang w:val="en-US"/>
        </w:rPr>
        <w:t>universal immunization against the principal infectious diseases</w:t>
      </w:r>
      <w:r w:rsidR="00AD7288" w:rsidRPr="002433F3">
        <w:rPr>
          <w:szCs w:val="20"/>
          <w:lang w:val="en-US"/>
        </w:rPr>
        <w:t>,</w:t>
      </w:r>
      <w:r w:rsidRPr="002433F3">
        <w:rPr>
          <w:lang w:val="en-US"/>
        </w:rPr>
        <w:t>” “prevention and treatment of endemic</w:t>
      </w:r>
      <w:r w:rsidR="002B0F43" w:rsidRPr="002433F3">
        <w:rPr>
          <w:lang w:val="en-US"/>
        </w:rPr>
        <w:t>, occupational</w:t>
      </w:r>
      <w:r w:rsidRPr="002433F3">
        <w:rPr>
          <w:lang w:val="en-US"/>
        </w:rPr>
        <w:t xml:space="preserve"> </w:t>
      </w:r>
      <w:r w:rsidR="002B0F43" w:rsidRPr="002433F3">
        <w:rPr>
          <w:lang w:val="en-US"/>
        </w:rPr>
        <w:t>and other diseases</w:t>
      </w:r>
      <w:r w:rsidRPr="002433F3">
        <w:rPr>
          <w:lang w:val="en-US"/>
        </w:rPr>
        <w:t>,” and “</w:t>
      </w:r>
      <w:r w:rsidR="002B0F43" w:rsidRPr="002433F3">
        <w:rPr>
          <w:rFonts w:cs="Tahoma"/>
          <w:color w:val="000000"/>
          <w:szCs w:val="20"/>
          <w:lang w:val="en-US"/>
        </w:rPr>
        <w:t>satisfaction of the health needs of the highest risk groups and of tho</w:t>
      </w:r>
      <w:r w:rsidR="00AD7288" w:rsidRPr="002433F3">
        <w:rPr>
          <w:rFonts w:cs="Tahoma"/>
          <w:color w:val="000000"/>
          <w:szCs w:val="20"/>
          <w:lang w:val="en-US"/>
        </w:rPr>
        <w:t xml:space="preserve">se whose poverty makes them </w:t>
      </w:r>
      <w:r w:rsidR="002B0F43" w:rsidRPr="002433F3">
        <w:rPr>
          <w:rFonts w:cs="Tahoma"/>
          <w:color w:val="000000"/>
          <w:szCs w:val="20"/>
          <w:lang w:val="en-US"/>
        </w:rPr>
        <w:t>most vulnerable</w:t>
      </w:r>
      <w:r w:rsidR="002B0F43" w:rsidRPr="002433F3">
        <w:rPr>
          <w:szCs w:val="20"/>
          <w:lang w:val="en-US"/>
        </w:rPr>
        <w:t>.</w:t>
      </w:r>
      <w:r w:rsidRPr="002433F3">
        <w:rPr>
          <w:lang w:val="en-US"/>
        </w:rPr>
        <w:t>”</w:t>
      </w:r>
      <w:r w:rsidRPr="002433F3">
        <w:rPr>
          <w:rStyle w:val="Refdenotaalpie"/>
          <w:lang w:val="en-US"/>
        </w:rPr>
        <w:footnoteReference w:id="147"/>
      </w:r>
      <w:r w:rsidRPr="002433F3">
        <w:rPr>
          <w:lang w:val="en-US"/>
        </w:rPr>
        <w:t xml:space="preserve"> </w:t>
      </w:r>
      <w:r w:rsidR="002B0F43" w:rsidRPr="002433F3">
        <w:rPr>
          <w:lang w:val="en-US"/>
        </w:rPr>
        <w:t>Similar o</w:t>
      </w:r>
      <w:r w:rsidRPr="002433F3">
        <w:rPr>
          <w:lang w:val="en-US"/>
        </w:rPr>
        <w:t xml:space="preserve">bligations </w:t>
      </w:r>
      <w:r w:rsidR="002B0F43" w:rsidRPr="002433F3">
        <w:rPr>
          <w:lang w:val="en-US"/>
        </w:rPr>
        <w:t xml:space="preserve">are established in </w:t>
      </w:r>
      <w:r w:rsidRPr="002433F3">
        <w:rPr>
          <w:lang w:val="en-US"/>
        </w:rPr>
        <w:t>Article 12(2) of the International Covenant on Economic</w:t>
      </w:r>
      <w:r w:rsidR="00685003" w:rsidRPr="002433F3">
        <w:rPr>
          <w:lang w:val="en-US"/>
        </w:rPr>
        <w:t xml:space="preserve">, Social and Cultural Rights, </w:t>
      </w:r>
      <w:r w:rsidR="00367EFA" w:rsidRPr="002433F3">
        <w:rPr>
          <w:lang w:val="en-US"/>
        </w:rPr>
        <w:t xml:space="preserve">including measures to provide </w:t>
      </w:r>
      <w:r w:rsidRPr="002433F3">
        <w:rPr>
          <w:lang w:val="en-US"/>
        </w:rPr>
        <w:t>access to medica</w:t>
      </w:r>
      <w:r w:rsidR="00B92140" w:rsidRPr="002433F3">
        <w:rPr>
          <w:lang w:val="en-US"/>
        </w:rPr>
        <w:t>tions</w:t>
      </w:r>
      <w:r w:rsidRPr="002433F3">
        <w:rPr>
          <w:lang w:val="en-US"/>
        </w:rPr>
        <w:t xml:space="preserve">. According to General Comment N° 14, </w:t>
      </w:r>
      <w:r w:rsidR="00685003" w:rsidRPr="002433F3">
        <w:rPr>
          <w:lang w:val="en-US"/>
        </w:rPr>
        <w:t xml:space="preserve">the </w:t>
      </w:r>
      <w:r w:rsidRPr="002433F3">
        <w:rPr>
          <w:lang w:val="en-US"/>
        </w:rPr>
        <w:t>right to the highest attainable standard of health genera</w:t>
      </w:r>
      <w:r w:rsidR="00685003" w:rsidRPr="002433F3">
        <w:rPr>
          <w:lang w:val="en-US"/>
        </w:rPr>
        <w:t>tes</w:t>
      </w:r>
      <w:r w:rsidRPr="002433F3">
        <w:rPr>
          <w:lang w:val="en-US"/>
        </w:rPr>
        <w:t xml:space="preserve"> some </w:t>
      </w:r>
      <w:r w:rsidR="00685003" w:rsidRPr="002433F3">
        <w:rPr>
          <w:lang w:val="en-US"/>
        </w:rPr>
        <w:t xml:space="preserve">basic </w:t>
      </w:r>
      <w:r w:rsidRPr="002433F3">
        <w:rPr>
          <w:lang w:val="en-US"/>
        </w:rPr>
        <w:t>obligations that include</w:t>
      </w:r>
      <w:r w:rsidR="00685003" w:rsidRPr="002433F3">
        <w:rPr>
          <w:lang w:val="en-US"/>
        </w:rPr>
        <w:t xml:space="preserve"> the provision of</w:t>
      </w:r>
      <w:r w:rsidRPr="002433F3">
        <w:rPr>
          <w:lang w:val="en-US"/>
        </w:rPr>
        <w:t xml:space="preserve"> “</w:t>
      </w:r>
      <w:r w:rsidR="00E560CA" w:rsidRPr="002433F3">
        <w:rPr>
          <w:lang w:val="en-US"/>
        </w:rPr>
        <w:t>essential drugs, as defined by the WHO Action Programme on Essential Drug</w:t>
      </w:r>
      <w:r w:rsidR="00685003" w:rsidRPr="002433F3">
        <w:rPr>
          <w:lang w:val="en-US"/>
        </w:rPr>
        <w:t>s</w:t>
      </w:r>
      <w:r w:rsidRPr="002433F3">
        <w:rPr>
          <w:lang w:val="en-US"/>
        </w:rPr>
        <w:t>.”</w:t>
      </w:r>
      <w:r w:rsidRPr="002433F3">
        <w:rPr>
          <w:vertAlign w:val="superscript"/>
          <w:lang w:val="en-US"/>
        </w:rPr>
        <w:footnoteReference w:id="148"/>
      </w:r>
      <w:r w:rsidRPr="002433F3">
        <w:rPr>
          <w:vertAlign w:val="superscript"/>
          <w:lang w:val="en-US"/>
        </w:rPr>
        <w:t xml:space="preserve"> </w:t>
      </w:r>
    </w:p>
    <w:p w14:paraId="45C8A3BA" w14:textId="77777777" w:rsidR="007B0DE4" w:rsidRPr="002433F3" w:rsidRDefault="007B0DE4" w:rsidP="007B0DE4">
      <w:pPr>
        <w:numPr>
          <w:ilvl w:val="0"/>
          <w:numId w:val="2"/>
        </w:numPr>
        <w:spacing w:before="120" w:after="120"/>
        <w:rPr>
          <w:szCs w:val="20"/>
          <w:lang w:val="en-US"/>
        </w:rPr>
      </w:pPr>
      <w:r w:rsidRPr="002433F3">
        <w:rPr>
          <w:lang w:val="en-US"/>
        </w:rPr>
        <w:t>Access to medications is an essential part of the right to the highest attainable standard of health.</w:t>
      </w:r>
      <w:r w:rsidRPr="002433F3">
        <w:rPr>
          <w:vertAlign w:val="superscript"/>
          <w:lang w:val="en-US"/>
        </w:rPr>
        <w:footnoteReference w:id="149"/>
      </w:r>
      <w:r w:rsidRPr="002433F3">
        <w:rPr>
          <w:vertAlign w:val="superscript"/>
          <w:lang w:val="en-US"/>
        </w:rPr>
        <w:t xml:space="preserve"> </w:t>
      </w:r>
      <w:r w:rsidRPr="002433F3">
        <w:rPr>
          <w:lang w:val="en-US"/>
        </w:rPr>
        <w:t xml:space="preserve">In particular, the </w:t>
      </w:r>
      <w:r w:rsidR="00EF609D" w:rsidRPr="002433F3">
        <w:rPr>
          <w:lang w:val="en-US"/>
        </w:rPr>
        <w:t xml:space="preserve">United Nations </w:t>
      </w:r>
      <w:r w:rsidRPr="002433F3">
        <w:rPr>
          <w:lang w:val="en-US"/>
        </w:rPr>
        <w:t>Human Rights Council and the forme</w:t>
      </w:r>
      <w:r w:rsidR="00B92140" w:rsidRPr="002433F3">
        <w:rPr>
          <w:lang w:val="en-US"/>
        </w:rPr>
        <w:t xml:space="preserve">r </w:t>
      </w:r>
      <w:r w:rsidR="00EF609D" w:rsidRPr="002433F3">
        <w:rPr>
          <w:lang w:val="en-US"/>
        </w:rPr>
        <w:t>U.N. Commission on</w:t>
      </w:r>
      <w:r w:rsidR="00B92140" w:rsidRPr="002433F3">
        <w:rPr>
          <w:lang w:val="en-US"/>
        </w:rPr>
        <w:t xml:space="preserve"> Human Rights have issued</w:t>
      </w:r>
      <w:r w:rsidRPr="002433F3">
        <w:rPr>
          <w:lang w:val="en-US"/>
        </w:rPr>
        <w:t xml:space="preserve"> resolutions recognizing that “access to medication in the context of pandemics such as HIV/AIDS, tuberculosis and malaria is one of the fundamental elements to gradual</w:t>
      </w:r>
      <w:r w:rsidR="002B0F43" w:rsidRPr="002433F3">
        <w:rPr>
          <w:lang w:val="en-US"/>
        </w:rPr>
        <w:t>l</w:t>
      </w:r>
      <w:r w:rsidRPr="002433F3">
        <w:rPr>
          <w:lang w:val="en-US"/>
        </w:rPr>
        <w:t xml:space="preserve">y achieve the full exercise of the right of every person </w:t>
      </w:r>
      <w:r w:rsidR="00B92140" w:rsidRPr="002433F3">
        <w:rPr>
          <w:lang w:val="en-US"/>
        </w:rPr>
        <w:t xml:space="preserve">to </w:t>
      </w:r>
      <w:r w:rsidR="00685003" w:rsidRPr="002433F3">
        <w:rPr>
          <w:lang w:val="en-US"/>
        </w:rPr>
        <w:t xml:space="preserve">enjoy </w:t>
      </w:r>
      <w:r w:rsidRPr="002433F3">
        <w:rPr>
          <w:lang w:val="en-US"/>
        </w:rPr>
        <w:t>the highest attainable standard of physical and mental health.”</w:t>
      </w:r>
      <w:r w:rsidRPr="002433F3">
        <w:rPr>
          <w:vertAlign w:val="superscript"/>
          <w:lang w:val="en-US"/>
        </w:rPr>
        <w:footnoteReference w:id="150"/>
      </w:r>
    </w:p>
    <w:p w14:paraId="3D3DE41F" w14:textId="77777777" w:rsidR="007B0DE4" w:rsidRPr="002433F3" w:rsidRDefault="007E17F7" w:rsidP="007B0DE4">
      <w:pPr>
        <w:numPr>
          <w:ilvl w:val="0"/>
          <w:numId w:val="2"/>
        </w:numPr>
        <w:spacing w:before="120" w:after="120"/>
        <w:rPr>
          <w:szCs w:val="20"/>
          <w:lang w:val="en-US"/>
        </w:rPr>
      </w:pPr>
      <w:r w:rsidRPr="002433F3">
        <w:rPr>
          <w:lang w:val="en-US"/>
        </w:rPr>
        <w:lastRenderedPageBreak/>
        <w:t xml:space="preserve">In this </w:t>
      </w:r>
      <w:r w:rsidR="007B0DE4" w:rsidRPr="002433F3">
        <w:rPr>
          <w:lang w:val="en-US"/>
        </w:rPr>
        <w:t>re</w:t>
      </w:r>
      <w:r w:rsidRPr="002433F3">
        <w:rPr>
          <w:lang w:val="en-US"/>
        </w:rPr>
        <w:t>gard</w:t>
      </w:r>
      <w:r w:rsidR="007B0DE4" w:rsidRPr="002433F3">
        <w:rPr>
          <w:lang w:val="en-US"/>
        </w:rPr>
        <w:t xml:space="preserve">, the Court considers that the </w:t>
      </w:r>
      <w:r w:rsidR="007B0DE4" w:rsidRPr="002433F3">
        <w:rPr>
          <w:i/>
          <w:iCs/>
          <w:lang w:val="en-US"/>
        </w:rPr>
        <w:t>International Guidelines on  HIV/AIDS and Human Rights</w:t>
      </w:r>
      <w:r w:rsidR="007B0DE4" w:rsidRPr="002433F3">
        <w:rPr>
          <w:lang w:val="en-US"/>
        </w:rPr>
        <w:t xml:space="preserve"> of the Office of the United Nations High Commissioner for Human Rights (hereinafter “OHCHR”) and the Joint United Nations Programme on HIV/AIDS (hereinafter “UNAIDS”)</w:t>
      </w:r>
      <w:r w:rsidR="007B0DE4" w:rsidRPr="002433F3">
        <w:rPr>
          <w:szCs w:val="20"/>
          <w:lang w:val="en-US"/>
        </w:rPr>
        <w:t xml:space="preserve"> </w:t>
      </w:r>
      <w:r w:rsidR="002D42F7" w:rsidRPr="002433F3">
        <w:rPr>
          <w:szCs w:val="20"/>
          <w:lang w:val="en-US"/>
        </w:rPr>
        <w:t xml:space="preserve">constitute </w:t>
      </w:r>
      <w:r w:rsidR="007B0DE4" w:rsidRPr="002433F3">
        <w:rPr>
          <w:lang w:val="en-US"/>
        </w:rPr>
        <w:t>a</w:t>
      </w:r>
      <w:r w:rsidR="002D42F7" w:rsidRPr="002433F3">
        <w:rPr>
          <w:lang w:val="en-US"/>
        </w:rPr>
        <w:t>n authoritative</w:t>
      </w:r>
      <w:r w:rsidR="007B0DE4" w:rsidRPr="002433F3">
        <w:rPr>
          <w:lang w:val="en-US"/>
        </w:rPr>
        <w:t xml:space="preserve"> reference to clarify some of the State’s international obligations in this sphere. Guideline Six</w:t>
      </w:r>
      <w:r w:rsidR="007B0DE4" w:rsidRPr="002433F3">
        <w:rPr>
          <w:iCs/>
          <w:lang w:val="en-US"/>
        </w:rPr>
        <w:t>, re</w:t>
      </w:r>
      <w:r w:rsidR="00EF609D" w:rsidRPr="002433F3">
        <w:rPr>
          <w:iCs/>
          <w:lang w:val="en-US"/>
        </w:rPr>
        <w:t>vised in 2002, states the following</w:t>
      </w:r>
      <w:r w:rsidR="007B0DE4" w:rsidRPr="002433F3">
        <w:rPr>
          <w:iCs/>
          <w:lang w:val="en-US"/>
        </w:rPr>
        <w:t>:</w:t>
      </w:r>
    </w:p>
    <w:p w14:paraId="0A655308" w14:textId="77777777" w:rsidR="007B0DE4" w:rsidRPr="002433F3" w:rsidRDefault="007B0DE4" w:rsidP="007B0DE4">
      <w:pPr>
        <w:tabs>
          <w:tab w:val="right" w:leader="dot" w:pos="8222"/>
          <w:tab w:val="left" w:pos="8640"/>
        </w:tabs>
        <w:ind w:left="540" w:right="835"/>
        <w:rPr>
          <w:sz w:val="16"/>
          <w:szCs w:val="16"/>
          <w:lang w:val="en-US"/>
        </w:rPr>
      </w:pPr>
      <w:r w:rsidRPr="002433F3">
        <w:rPr>
          <w:sz w:val="18"/>
          <w:szCs w:val="18"/>
          <w:lang w:val="en-US"/>
        </w:rPr>
        <w:t xml:space="preserve">States should enact legislation to provide for the regulation of HIV-related goods, services and information, so as to ensure widespread availability of quality prevention measures and services, adequate HIV prevention and care information, and safe and effective medication at an affordable price. States should also take </w:t>
      </w:r>
      <w:r w:rsidR="00EF609D" w:rsidRPr="002433F3">
        <w:rPr>
          <w:sz w:val="18"/>
          <w:szCs w:val="18"/>
          <w:lang w:val="en-US"/>
        </w:rPr>
        <w:t xml:space="preserve">the </w:t>
      </w:r>
      <w:r w:rsidRPr="002433F3">
        <w:rPr>
          <w:sz w:val="18"/>
          <w:szCs w:val="18"/>
          <w:lang w:val="en-US"/>
        </w:rPr>
        <w:t xml:space="preserve">measures necessary to ensure for all persons, on a sustained and equal basis, the availability and accessibility of quality goods, services and information for HIV prevention, treatment, care and support, including </w:t>
      </w:r>
      <w:r w:rsidR="00B26B23" w:rsidRPr="002433F3">
        <w:rPr>
          <w:sz w:val="18"/>
          <w:szCs w:val="18"/>
          <w:lang w:val="en-US"/>
        </w:rPr>
        <w:t>antiretroviral</w:t>
      </w:r>
      <w:r w:rsidRPr="002433F3">
        <w:rPr>
          <w:sz w:val="18"/>
          <w:szCs w:val="18"/>
          <w:lang w:val="en-US"/>
        </w:rPr>
        <w:t xml:space="preserve"> and other safe and effective medicines, diagnostics and related technologies for preventive, curative and palliative care of HIV and related opportunistic infections and conditions. […]</w:t>
      </w:r>
      <w:r w:rsidRPr="002433F3">
        <w:rPr>
          <w:rStyle w:val="Refdenotaalpie"/>
          <w:sz w:val="16"/>
          <w:lang w:val="en-US"/>
        </w:rPr>
        <w:footnoteReference w:id="151"/>
      </w:r>
    </w:p>
    <w:p w14:paraId="6C2EFE3E" w14:textId="77777777" w:rsidR="007B0DE4" w:rsidRPr="002433F3" w:rsidRDefault="007B0DE4" w:rsidP="007B0DE4">
      <w:pPr>
        <w:numPr>
          <w:ilvl w:val="0"/>
          <w:numId w:val="2"/>
        </w:numPr>
        <w:spacing w:before="120" w:after="120"/>
        <w:rPr>
          <w:rFonts w:cs="Arial"/>
          <w:spacing w:val="-2"/>
          <w:lang w:val="en-US"/>
        </w:rPr>
      </w:pPr>
      <w:r w:rsidRPr="002433F3">
        <w:rPr>
          <w:lang w:val="en-US"/>
        </w:rPr>
        <w:t xml:space="preserve">This sixth guideline has been interpreted by </w:t>
      </w:r>
      <w:r w:rsidR="00EF609D" w:rsidRPr="002433F3">
        <w:rPr>
          <w:lang w:val="en-US"/>
        </w:rPr>
        <w:t xml:space="preserve">OHCHR </w:t>
      </w:r>
      <w:r w:rsidRPr="002433F3">
        <w:rPr>
          <w:lang w:val="en-US"/>
        </w:rPr>
        <w:t>and UNAIDS to mean that an effective response to HIV requires an integral approach that comprises a continuous sequence of prevention, treatment, care and support:</w:t>
      </w:r>
    </w:p>
    <w:p w14:paraId="61DC9465" w14:textId="77777777" w:rsidR="007B0DE4" w:rsidRPr="002433F3" w:rsidRDefault="007B0DE4" w:rsidP="007B0DE4">
      <w:pPr>
        <w:ind w:left="540" w:right="835"/>
        <w:rPr>
          <w:sz w:val="16"/>
          <w:szCs w:val="16"/>
          <w:lang w:val="en-US"/>
        </w:rPr>
      </w:pPr>
      <w:r w:rsidRPr="002433F3">
        <w:rPr>
          <w:sz w:val="18"/>
          <w:szCs w:val="18"/>
          <w:lang w:val="en-US"/>
        </w:rPr>
        <w:t xml:space="preserve">Prevention, treatment, care and support are mutually reinforcing elements and a continuum of an effective response to HIV. They must be integrated into a comprehensive approach, and a multifaceted response is needed. Comprehensive treatment, care and support include </w:t>
      </w:r>
      <w:r w:rsidR="00B26B23" w:rsidRPr="002433F3">
        <w:rPr>
          <w:sz w:val="18"/>
          <w:szCs w:val="18"/>
          <w:lang w:val="en-US"/>
        </w:rPr>
        <w:t>antiretroviral</w:t>
      </w:r>
      <w:r w:rsidRPr="002433F3">
        <w:rPr>
          <w:sz w:val="18"/>
          <w:szCs w:val="18"/>
          <w:lang w:val="en-US"/>
        </w:rPr>
        <w:t xml:space="preserve"> and other medicines, diagnostics and related technologies for the care of HIV and AIDS, related opportunistic infections and other conditions, good nutrition, and social, spiritual and psychological support, as well as family, community and home-based care. HIV-prevention technologies include condoms, lubricants, sterile injection equipment, antiretroviral medicines (e.g. to prevent mother-to-child transmission or as post-exposure prophylaxis) and, once developed, safe and effective microbicides and vaccines. Based on human rights principles, universal access requires that these goods, services and information not only be available, acceptable and of good quality, but also within physical reach and affordable for all</w:t>
      </w:r>
      <w:r w:rsidRPr="002433F3">
        <w:rPr>
          <w:lang w:val="en-US"/>
        </w:rPr>
        <w:t>.</w:t>
      </w:r>
      <w:r w:rsidRPr="002433F3">
        <w:rPr>
          <w:rStyle w:val="Refdenotaalpie"/>
          <w:sz w:val="16"/>
          <w:lang w:val="en-US"/>
        </w:rPr>
        <w:footnoteReference w:id="152"/>
      </w:r>
    </w:p>
    <w:p w14:paraId="6635DAE7" w14:textId="77777777" w:rsidR="007B0DE4" w:rsidRPr="002433F3" w:rsidRDefault="007B0DE4" w:rsidP="007B0DE4">
      <w:pPr>
        <w:numPr>
          <w:ilvl w:val="0"/>
          <w:numId w:val="2"/>
        </w:numPr>
        <w:spacing w:before="120" w:after="120"/>
        <w:rPr>
          <w:rFonts w:cs="Arial"/>
          <w:spacing w:val="-2"/>
          <w:lang w:val="en-US"/>
        </w:rPr>
      </w:pPr>
      <w:r w:rsidRPr="002433F3">
        <w:rPr>
          <w:lang w:val="en-US"/>
        </w:rPr>
        <w:t xml:space="preserve">The Court </w:t>
      </w:r>
      <w:r w:rsidR="00B26B23" w:rsidRPr="002433F3">
        <w:rPr>
          <w:lang w:val="en-US"/>
        </w:rPr>
        <w:t xml:space="preserve">notes </w:t>
      </w:r>
      <w:r w:rsidRPr="002433F3">
        <w:rPr>
          <w:lang w:val="en-US"/>
        </w:rPr>
        <w:t xml:space="preserve">that these standards emphasize that access to </w:t>
      </w:r>
      <w:r w:rsidR="00B26B23" w:rsidRPr="002433F3">
        <w:rPr>
          <w:lang w:val="en-US"/>
        </w:rPr>
        <w:t>antiretroviral</w:t>
      </w:r>
      <w:r w:rsidRPr="002433F3">
        <w:rPr>
          <w:lang w:val="en-US"/>
        </w:rPr>
        <w:t xml:space="preserve"> medications is just one of the elements of an effective response for persons </w:t>
      </w:r>
      <w:r w:rsidR="004A1663" w:rsidRPr="002433F3">
        <w:rPr>
          <w:lang w:val="en-US"/>
        </w:rPr>
        <w:t xml:space="preserve">living </w:t>
      </w:r>
      <w:r w:rsidRPr="002433F3">
        <w:rPr>
          <w:lang w:val="en-US"/>
        </w:rPr>
        <w:t xml:space="preserve">with HIV. In this </w:t>
      </w:r>
      <w:r w:rsidR="004A1663" w:rsidRPr="002433F3">
        <w:rPr>
          <w:lang w:val="en-US"/>
        </w:rPr>
        <w:t>sense</w:t>
      </w:r>
      <w:r w:rsidRPr="002433F3">
        <w:rPr>
          <w:lang w:val="en-US"/>
        </w:rPr>
        <w:t xml:space="preserve">, </w:t>
      </w:r>
      <w:r w:rsidR="00B26B23" w:rsidRPr="002433F3">
        <w:rPr>
          <w:lang w:val="en-US"/>
        </w:rPr>
        <w:t xml:space="preserve">such </w:t>
      </w:r>
      <w:r w:rsidR="001D2768" w:rsidRPr="002433F3">
        <w:rPr>
          <w:lang w:val="en-US"/>
        </w:rPr>
        <w:t xml:space="preserve">persons require an integral approach </w:t>
      </w:r>
      <w:r w:rsidRPr="002433F3">
        <w:rPr>
          <w:lang w:val="en-US"/>
        </w:rPr>
        <w:t xml:space="preserve">that includes a continuous sequence of prevention, treatment, </w:t>
      </w:r>
      <w:r w:rsidR="004A1663" w:rsidRPr="002433F3">
        <w:rPr>
          <w:lang w:val="en-US"/>
        </w:rPr>
        <w:t xml:space="preserve">care </w:t>
      </w:r>
      <w:r w:rsidRPr="002433F3">
        <w:rPr>
          <w:lang w:val="en-US"/>
        </w:rPr>
        <w:t xml:space="preserve">and support. A response limited to access to </w:t>
      </w:r>
      <w:r w:rsidR="00B26B23" w:rsidRPr="002433F3">
        <w:rPr>
          <w:lang w:val="en-US"/>
        </w:rPr>
        <w:t>antiretroviral</w:t>
      </w:r>
      <w:r w:rsidRPr="002433F3">
        <w:rPr>
          <w:lang w:val="en-US"/>
        </w:rPr>
        <w:t xml:space="preserve"> medications and other medic</w:t>
      </w:r>
      <w:r w:rsidR="00880B3C" w:rsidRPr="002433F3">
        <w:rPr>
          <w:lang w:val="en-US"/>
        </w:rPr>
        <w:t xml:space="preserve">ines does not </w:t>
      </w:r>
      <w:r w:rsidRPr="002433F3">
        <w:rPr>
          <w:lang w:val="en-US"/>
        </w:rPr>
        <w:t>c</w:t>
      </w:r>
      <w:r w:rsidR="00880B3C" w:rsidRPr="002433F3">
        <w:rPr>
          <w:lang w:val="en-US"/>
        </w:rPr>
        <w:t xml:space="preserve">omply </w:t>
      </w:r>
      <w:r w:rsidRPr="002433F3">
        <w:rPr>
          <w:lang w:val="en-US"/>
        </w:rPr>
        <w:t xml:space="preserve">with </w:t>
      </w:r>
      <w:r w:rsidR="00B92140" w:rsidRPr="002433F3">
        <w:rPr>
          <w:lang w:val="en-US"/>
        </w:rPr>
        <w:t>the obligations</w:t>
      </w:r>
      <w:r w:rsidRPr="002433F3">
        <w:rPr>
          <w:lang w:val="en-US"/>
        </w:rPr>
        <w:t xml:space="preserve"> of prevention, treatment, </w:t>
      </w:r>
      <w:r w:rsidR="004A1663" w:rsidRPr="002433F3">
        <w:rPr>
          <w:lang w:val="en-US"/>
        </w:rPr>
        <w:t xml:space="preserve">care </w:t>
      </w:r>
      <w:r w:rsidRPr="002433F3">
        <w:rPr>
          <w:lang w:val="en-US"/>
        </w:rPr>
        <w:t>and support deriv</w:t>
      </w:r>
      <w:r w:rsidR="00880B3C" w:rsidRPr="002433F3">
        <w:rPr>
          <w:lang w:val="en-US"/>
        </w:rPr>
        <w:t>ed from the right to</w:t>
      </w:r>
      <w:r w:rsidRPr="002433F3">
        <w:rPr>
          <w:lang w:val="en-US"/>
        </w:rPr>
        <w:t xml:space="preserve"> </w:t>
      </w:r>
      <w:r w:rsidR="00880B3C" w:rsidRPr="002433F3">
        <w:rPr>
          <w:lang w:val="en-US"/>
        </w:rPr>
        <w:t xml:space="preserve">the </w:t>
      </w:r>
      <w:r w:rsidRPr="002433F3">
        <w:rPr>
          <w:lang w:val="en-US"/>
        </w:rPr>
        <w:t xml:space="preserve">highest </w:t>
      </w:r>
      <w:r w:rsidR="00880B3C" w:rsidRPr="002433F3">
        <w:rPr>
          <w:lang w:val="en-US"/>
        </w:rPr>
        <w:t>attainable standard</w:t>
      </w:r>
      <w:r w:rsidRPr="002433F3">
        <w:rPr>
          <w:lang w:val="en-US"/>
        </w:rPr>
        <w:t xml:space="preserve"> of health</w:t>
      </w:r>
      <w:r w:rsidR="00BC763A" w:rsidRPr="002433F3">
        <w:rPr>
          <w:lang w:val="en-US"/>
        </w:rPr>
        <w:t>.</w:t>
      </w:r>
      <w:r w:rsidRPr="002433F3">
        <w:rPr>
          <w:rStyle w:val="Refdenotaalpie"/>
          <w:lang w:val="en-US"/>
        </w:rPr>
        <w:footnoteReference w:id="153"/>
      </w:r>
      <w:r w:rsidRPr="002433F3">
        <w:rPr>
          <w:lang w:val="en-US"/>
        </w:rPr>
        <w:t xml:space="preserve"> </w:t>
      </w:r>
    </w:p>
    <w:p w14:paraId="3B1BC58E" w14:textId="77777777" w:rsidR="007B0DE4" w:rsidRPr="002433F3" w:rsidRDefault="007B0DE4" w:rsidP="007B0DE4">
      <w:pPr>
        <w:numPr>
          <w:ilvl w:val="0"/>
          <w:numId w:val="2"/>
        </w:numPr>
        <w:spacing w:before="120" w:after="120"/>
        <w:rPr>
          <w:szCs w:val="20"/>
          <w:lang w:val="en-US"/>
        </w:rPr>
      </w:pPr>
      <w:r w:rsidRPr="002433F3">
        <w:rPr>
          <w:szCs w:val="20"/>
          <w:lang w:val="en-US"/>
        </w:rPr>
        <w:lastRenderedPageBreak/>
        <w:t xml:space="preserve">In </w:t>
      </w:r>
      <w:r w:rsidR="00685003" w:rsidRPr="002433F3">
        <w:rPr>
          <w:szCs w:val="20"/>
          <w:lang w:val="en-US"/>
        </w:rPr>
        <w:t xml:space="preserve">2005, </w:t>
      </w:r>
      <w:r w:rsidR="00B47553" w:rsidRPr="002433F3">
        <w:rPr>
          <w:szCs w:val="20"/>
          <w:lang w:val="en-US"/>
        </w:rPr>
        <w:t xml:space="preserve">the </w:t>
      </w:r>
      <w:r w:rsidRPr="002433F3">
        <w:rPr>
          <w:szCs w:val="20"/>
          <w:lang w:val="en-US"/>
        </w:rPr>
        <w:t>Colombia</w:t>
      </w:r>
      <w:r w:rsidR="00B47553" w:rsidRPr="002433F3">
        <w:rPr>
          <w:szCs w:val="20"/>
          <w:lang w:val="en-US"/>
        </w:rPr>
        <w:t>n State</w:t>
      </w:r>
      <w:r w:rsidRPr="002433F3">
        <w:rPr>
          <w:szCs w:val="20"/>
          <w:lang w:val="en-US"/>
        </w:rPr>
        <w:t xml:space="preserve"> </w:t>
      </w:r>
      <w:r w:rsidR="00685003" w:rsidRPr="002433F3">
        <w:rPr>
          <w:szCs w:val="20"/>
          <w:lang w:val="en-US"/>
        </w:rPr>
        <w:t xml:space="preserve">issued </w:t>
      </w:r>
      <w:r w:rsidRPr="002433F3">
        <w:rPr>
          <w:szCs w:val="20"/>
          <w:lang w:val="en-US"/>
        </w:rPr>
        <w:t>Law 972 (“</w:t>
      </w:r>
      <w:r w:rsidR="00BC763A" w:rsidRPr="002433F3">
        <w:rPr>
          <w:szCs w:val="20"/>
          <w:lang w:val="en-US"/>
        </w:rPr>
        <w:t>R</w:t>
      </w:r>
      <w:r w:rsidR="00685003" w:rsidRPr="002433F3">
        <w:rPr>
          <w:szCs w:val="20"/>
          <w:lang w:val="en-US"/>
        </w:rPr>
        <w:t xml:space="preserve">ules to </w:t>
      </w:r>
      <w:r w:rsidR="00BC763A" w:rsidRPr="002433F3">
        <w:rPr>
          <w:szCs w:val="20"/>
          <w:lang w:val="en-US"/>
        </w:rPr>
        <w:t>Improve Care for</w:t>
      </w:r>
      <w:r w:rsidR="00B47553" w:rsidRPr="002433F3">
        <w:rPr>
          <w:szCs w:val="20"/>
          <w:lang w:val="en-US"/>
        </w:rPr>
        <w:t xml:space="preserve"> </w:t>
      </w:r>
      <w:r w:rsidR="00BC763A" w:rsidRPr="002433F3">
        <w:rPr>
          <w:szCs w:val="20"/>
          <w:lang w:val="en-US"/>
        </w:rPr>
        <w:t>P</w:t>
      </w:r>
      <w:r w:rsidR="00B47553" w:rsidRPr="002433F3">
        <w:rPr>
          <w:szCs w:val="20"/>
          <w:lang w:val="en-US"/>
        </w:rPr>
        <w:t xml:space="preserve">eople </w:t>
      </w:r>
      <w:r w:rsidR="00BC763A" w:rsidRPr="002433F3">
        <w:rPr>
          <w:szCs w:val="20"/>
          <w:lang w:val="en-US"/>
        </w:rPr>
        <w:t>Affected by C</w:t>
      </w:r>
      <w:r w:rsidRPr="002433F3">
        <w:rPr>
          <w:szCs w:val="20"/>
          <w:lang w:val="en-US"/>
        </w:rPr>
        <w:t>atastrophic</w:t>
      </w:r>
      <w:r w:rsidR="00BC763A" w:rsidRPr="002433F3">
        <w:rPr>
          <w:szCs w:val="20"/>
          <w:lang w:val="en-US"/>
        </w:rPr>
        <w:t xml:space="preserve"> </w:t>
      </w:r>
      <w:r w:rsidR="00B26B23" w:rsidRPr="002433F3">
        <w:rPr>
          <w:szCs w:val="20"/>
          <w:lang w:val="en-US"/>
        </w:rPr>
        <w:t>Diseases</w:t>
      </w:r>
      <w:r w:rsidR="00BC763A" w:rsidRPr="002433F3">
        <w:rPr>
          <w:szCs w:val="20"/>
          <w:lang w:val="en-US"/>
        </w:rPr>
        <w:t xml:space="preserve">, particularly </w:t>
      </w:r>
      <w:r w:rsidR="00685003" w:rsidRPr="002433F3">
        <w:rPr>
          <w:szCs w:val="20"/>
          <w:lang w:val="en-US"/>
        </w:rPr>
        <w:t>HIV/AIDS”).</w:t>
      </w:r>
      <w:r w:rsidRPr="002433F3">
        <w:rPr>
          <w:szCs w:val="20"/>
          <w:lang w:val="en-US"/>
        </w:rPr>
        <w:t xml:space="preserve"> </w:t>
      </w:r>
      <w:r w:rsidRPr="002433F3">
        <w:rPr>
          <w:lang w:val="en-US"/>
        </w:rPr>
        <w:t>Article</w:t>
      </w:r>
      <w:r w:rsidR="00B92140" w:rsidRPr="002433F3">
        <w:rPr>
          <w:szCs w:val="20"/>
          <w:lang w:val="en-US"/>
        </w:rPr>
        <w:t xml:space="preserve"> 1</w:t>
      </w:r>
      <w:r w:rsidRPr="002433F3">
        <w:rPr>
          <w:szCs w:val="20"/>
          <w:lang w:val="en-US"/>
        </w:rPr>
        <w:t xml:space="preserve"> </w:t>
      </w:r>
      <w:r w:rsidR="00685003" w:rsidRPr="002433F3">
        <w:rPr>
          <w:szCs w:val="20"/>
          <w:lang w:val="en-US"/>
        </w:rPr>
        <w:t xml:space="preserve">of this law </w:t>
      </w:r>
      <w:r w:rsidR="001425C5" w:rsidRPr="002433F3">
        <w:rPr>
          <w:szCs w:val="20"/>
          <w:lang w:val="en-US"/>
        </w:rPr>
        <w:t xml:space="preserve">provides that </w:t>
      </w:r>
      <w:r w:rsidR="00B47553" w:rsidRPr="002433F3">
        <w:rPr>
          <w:szCs w:val="20"/>
          <w:lang w:val="en-US"/>
        </w:rPr>
        <w:t xml:space="preserve">comprehensive health care </w:t>
      </w:r>
      <w:r w:rsidRPr="002433F3">
        <w:rPr>
          <w:szCs w:val="20"/>
          <w:lang w:val="en-US"/>
        </w:rPr>
        <w:t xml:space="preserve">and the </w:t>
      </w:r>
      <w:r w:rsidR="00880B3C" w:rsidRPr="002433F3">
        <w:rPr>
          <w:szCs w:val="20"/>
          <w:lang w:val="en-US"/>
        </w:rPr>
        <w:t>fight</w:t>
      </w:r>
      <w:r w:rsidRPr="002433F3">
        <w:rPr>
          <w:szCs w:val="20"/>
          <w:lang w:val="en-US"/>
        </w:rPr>
        <w:t xml:space="preserve"> against disease </w:t>
      </w:r>
      <w:r w:rsidR="00685003" w:rsidRPr="002433F3">
        <w:rPr>
          <w:szCs w:val="20"/>
          <w:lang w:val="en-US"/>
        </w:rPr>
        <w:t xml:space="preserve">shall be </w:t>
      </w:r>
      <w:r w:rsidRPr="002433F3">
        <w:rPr>
          <w:szCs w:val="20"/>
          <w:lang w:val="en-US"/>
        </w:rPr>
        <w:t xml:space="preserve">a priority for […] Colombia and that the State, as well </w:t>
      </w:r>
      <w:r w:rsidR="005E60DB" w:rsidRPr="002433F3">
        <w:rPr>
          <w:szCs w:val="20"/>
          <w:lang w:val="en-US"/>
        </w:rPr>
        <w:t>as the General</w:t>
      </w:r>
      <w:r w:rsidR="00A62F04" w:rsidRPr="002433F3">
        <w:rPr>
          <w:szCs w:val="20"/>
          <w:lang w:val="en-US"/>
        </w:rPr>
        <w:t xml:space="preserve"> Social Security System</w:t>
      </w:r>
      <w:r w:rsidRPr="002433F3">
        <w:rPr>
          <w:szCs w:val="20"/>
          <w:lang w:val="en-US"/>
        </w:rPr>
        <w:t xml:space="preserve"> Health</w:t>
      </w:r>
      <w:r w:rsidR="00A62F04" w:rsidRPr="002433F3">
        <w:rPr>
          <w:szCs w:val="20"/>
          <w:lang w:val="en-US"/>
        </w:rPr>
        <w:t xml:space="preserve"> Services</w:t>
      </w:r>
      <w:r w:rsidRPr="002433F3">
        <w:rPr>
          <w:szCs w:val="20"/>
          <w:lang w:val="en-US"/>
        </w:rPr>
        <w:t xml:space="preserve">, </w:t>
      </w:r>
      <w:r w:rsidR="00047663" w:rsidRPr="002433F3">
        <w:rPr>
          <w:szCs w:val="20"/>
          <w:lang w:val="en-US"/>
        </w:rPr>
        <w:t xml:space="preserve">shall </w:t>
      </w:r>
      <w:r w:rsidR="00685003" w:rsidRPr="002433F3">
        <w:rPr>
          <w:szCs w:val="20"/>
          <w:lang w:val="en-US"/>
        </w:rPr>
        <w:t xml:space="preserve">ensure </w:t>
      </w:r>
      <w:r w:rsidRPr="002433F3">
        <w:rPr>
          <w:szCs w:val="20"/>
          <w:lang w:val="en-US"/>
        </w:rPr>
        <w:t>“the supply of medica</w:t>
      </w:r>
      <w:r w:rsidR="00685003" w:rsidRPr="002433F3">
        <w:rPr>
          <w:szCs w:val="20"/>
          <w:lang w:val="en-US"/>
        </w:rPr>
        <w:t>tions</w:t>
      </w:r>
      <w:r w:rsidRPr="002433F3">
        <w:rPr>
          <w:szCs w:val="20"/>
          <w:lang w:val="en-US"/>
        </w:rPr>
        <w:t>, rea</w:t>
      </w:r>
      <w:r w:rsidR="00685003" w:rsidRPr="002433F3">
        <w:rPr>
          <w:szCs w:val="20"/>
          <w:lang w:val="en-US"/>
        </w:rPr>
        <w:t xml:space="preserve">gents </w:t>
      </w:r>
      <w:r w:rsidRPr="002433F3">
        <w:rPr>
          <w:szCs w:val="20"/>
          <w:lang w:val="en-US"/>
        </w:rPr>
        <w:t xml:space="preserve">and medical devices authorized for the diagnosis and treatment of </w:t>
      </w:r>
      <w:r w:rsidR="00B47553" w:rsidRPr="002433F3">
        <w:rPr>
          <w:szCs w:val="20"/>
          <w:lang w:val="en-US"/>
        </w:rPr>
        <w:t xml:space="preserve">ruinous </w:t>
      </w:r>
      <w:r w:rsidRPr="002433F3">
        <w:rPr>
          <w:szCs w:val="20"/>
          <w:lang w:val="en-US"/>
        </w:rPr>
        <w:t xml:space="preserve">or catastrophic </w:t>
      </w:r>
      <w:r w:rsidR="00A62F04" w:rsidRPr="002433F3">
        <w:rPr>
          <w:szCs w:val="20"/>
          <w:lang w:val="en-US"/>
        </w:rPr>
        <w:t>diseases</w:t>
      </w:r>
      <w:r w:rsidRPr="002433F3">
        <w:rPr>
          <w:szCs w:val="20"/>
          <w:lang w:val="en-US"/>
        </w:rPr>
        <w:t>, according to the compete</w:t>
      </w:r>
      <w:r w:rsidR="00B92140" w:rsidRPr="002433F3">
        <w:rPr>
          <w:szCs w:val="20"/>
          <w:lang w:val="en-US"/>
        </w:rPr>
        <w:t>ncie</w:t>
      </w:r>
      <w:r w:rsidRPr="002433F3">
        <w:rPr>
          <w:szCs w:val="20"/>
          <w:lang w:val="en-US"/>
        </w:rPr>
        <w:t xml:space="preserve">s and </w:t>
      </w:r>
      <w:r w:rsidR="00A62F04" w:rsidRPr="002433F3">
        <w:rPr>
          <w:szCs w:val="20"/>
          <w:lang w:val="en-US"/>
        </w:rPr>
        <w:t xml:space="preserve">standards </w:t>
      </w:r>
      <w:r w:rsidR="00685003" w:rsidRPr="002433F3">
        <w:rPr>
          <w:szCs w:val="20"/>
          <w:lang w:val="en-US"/>
        </w:rPr>
        <w:t xml:space="preserve">required to treat </w:t>
      </w:r>
      <w:r w:rsidRPr="002433F3">
        <w:rPr>
          <w:szCs w:val="20"/>
          <w:lang w:val="en-US"/>
        </w:rPr>
        <w:t xml:space="preserve">each </w:t>
      </w:r>
      <w:r w:rsidR="00A62F04" w:rsidRPr="002433F3">
        <w:rPr>
          <w:szCs w:val="20"/>
          <w:lang w:val="en-US"/>
        </w:rPr>
        <w:t>disease</w:t>
      </w:r>
      <w:r w:rsidRPr="002433F3">
        <w:rPr>
          <w:szCs w:val="20"/>
          <w:lang w:val="en-US"/>
        </w:rPr>
        <w:t>.”</w:t>
      </w:r>
      <w:r w:rsidRPr="002433F3">
        <w:rPr>
          <w:rStyle w:val="Refdenotaalpie"/>
          <w:lang w:val="en-US"/>
        </w:rPr>
        <w:footnoteReference w:id="154"/>
      </w:r>
    </w:p>
    <w:p w14:paraId="3376B92B" w14:textId="77777777" w:rsidR="007B0DE4" w:rsidRPr="002433F3" w:rsidRDefault="007B0DE4" w:rsidP="007B0DE4">
      <w:pPr>
        <w:numPr>
          <w:ilvl w:val="0"/>
          <w:numId w:val="2"/>
        </w:numPr>
        <w:spacing w:before="120" w:after="120"/>
        <w:rPr>
          <w:szCs w:val="20"/>
          <w:lang w:val="en-US"/>
        </w:rPr>
      </w:pPr>
      <w:r w:rsidRPr="002433F3">
        <w:rPr>
          <w:szCs w:val="20"/>
          <w:lang w:val="en-US"/>
        </w:rPr>
        <w:t xml:space="preserve">Likewise, the Constitutional Court of Colombia has recognized that the fundamental right to health of HIV/AIDS patients is protected in the domestic and international spheres, </w:t>
      </w:r>
      <w:r w:rsidR="00B26B23" w:rsidRPr="002433F3">
        <w:rPr>
          <w:szCs w:val="20"/>
          <w:lang w:val="en-US"/>
        </w:rPr>
        <w:t xml:space="preserve">always </w:t>
      </w:r>
      <w:r w:rsidRPr="002433F3">
        <w:rPr>
          <w:szCs w:val="20"/>
          <w:lang w:val="en-US"/>
        </w:rPr>
        <w:t xml:space="preserve">with the aim of ensuring that the </w:t>
      </w:r>
      <w:r w:rsidR="00B26B23" w:rsidRPr="002433F3">
        <w:rPr>
          <w:szCs w:val="20"/>
          <w:lang w:val="en-US"/>
        </w:rPr>
        <w:t xml:space="preserve">required </w:t>
      </w:r>
      <w:r w:rsidRPr="002433F3">
        <w:rPr>
          <w:szCs w:val="20"/>
          <w:lang w:val="en-US"/>
        </w:rPr>
        <w:t xml:space="preserve">treatment is not only </w:t>
      </w:r>
      <w:r w:rsidR="00B47553" w:rsidRPr="002433F3">
        <w:rPr>
          <w:szCs w:val="20"/>
          <w:lang w:val="en-US"/>
        </w:rPr>
        <w:t xml:space="preserve">comprehensive </w:t>
      </w:r>
      <w:r w:rsidRPr="002433F3">
        <w:rPr>
          <w:szCs w:val="20"/>
          <w:lang w:val="en-US"/>
        </w:rPr>
        <w:t>but also continuous and timely.</w:t>
      </w:r>
      <w:r w:rsidRPr="002433F3">
        <w:rPr>
          <w:rStyle w:val="Refdenotaalpie"/>
          <w:lang w:val="en-US"/>
        </w:rPr>
        <w:footnoteReference w:id="155"/>
      </w:r>
      <w:r w:rsidRPr="002433F3">
        <w:rPr>
          <w:szCs w:val="20"/>
          <w:lang w:val="en-US"/>
        </w:rPr>
        <w:t xml:space="preserve"> </w:t>
      </w:r>
      <w:r w:rsidR="003A4B66" w:rsidRPr="002433F3">
        <w:rPr>
          <w:szCs w:val="20"/>
          <w:lang w:val="en-US"/>
        </w:rPr>
        <w:t xml:space="preserve">Colombia’s </w:t>
      </w:r>
      <w:r w:rsidRPr="002433F3">
        <w:rPr>
          <w:szCs w:val="20"/>
          <w:lang w:val="en-US"/>
        </w:rPr>
        <w:t xml:space="preserve">constitutional </w:t>
      </w:r>
      <w:r w:rsidR="00D8654D" w:rsidRPr="002433F3">
        <w:rPr>
          <w:szCs w:val="20"/>
          <w:lang w:val="en-US"/>
        </w:rPr>
        <w:t xml:space="preserve">case law </w:t>
      </w:r>
      <w:r w:rsidRPr="002433F3">
        <w:rPr>
          <w:szCs w:val="20"/>
          <w:lang w:val="en-US"/>
        </w:rPr>
        <w:t xml:space="preserve">has </w:t>
      </w:r>
      <w:r w:rsidR="003A4B66" w:rsidRPr="002433F3">
        <w:rPr>
          <w:szCs w:val="20"/>
          <w:lang w:val="en-US"/>
        </w:rPr>
        <w:t xml:space="preserve">also </w:t>
      </w:r>
      <w:r w:rsidR="00B92140" w:rsidRPr="002433F3">
        <w:rPr>
          <w:szCs w:val="20"/>
          <w:lang w:val="en-US"/>
        </w:rPr>
        <w:t xml:space="preserve">emphasized </w:t>
      </w:r>
      <w:r w:rsidRPr="002433F3">
        <w:rPr>
          <w:szCs w:val="20"/>
          <w:lang w:val="en-US"/>
        </w:rPr>
        <w:t xml:space="preserve">the special treatment that must be provided to those who suffer from this disease, </w:t>
      </w:r>
      <w:r w:rsidR="003A4B66" w:rsidRPr="002433F3">
        <w:rPr>
          <w:szCs w:val="20"/>
          <w:lang w:val="en-US"/>
        </w:rPr>
        <w:t xml:space="preserve">because of </w:t>
      </w:r>
      <w:r w:rsidR="00B26B23" w:rsidRPr="002433F3">
        <w:rPr>
          <w:szCs w:val="20"/>
          <w:lang w:val="en-US"/>
        </w:rPr>
        <w:t>its serious and progressive nature</w:t>
      </w:r>
      <w:r w:rsidR="00B92140" w:rsidRPr="002433F3">
        <w:rPr>
          <w:szCs w:val="20"/>
          <w:lang w:val="en-US"/>
        </w:rPr>
        <w:t xml:space="preserve">, observing </w:t>
      </w:r>
      <w:r w:rsidR="003A4B66" w:rsidRPr="002433F3">
        <w:rPr>
          <w:szCs w:val="20"/>
          <w:lang w:val="en-US"/>
        </w:rPr>
        <w:t xml:space="preserve">specific areas of </w:t>
      </w:r>
      <w:r w:rsidRPr="002433F3">
        <w:rPr>
          <w:szCs w:val="20"/>
          <w:lang w:val="en-US"/>
        </w:rPr>
        <w:t>protection, namely: “(i) in health</w:t>
      </w:r>
      <w:r w:rsidR="00904907" w:rsidRPr="002433F3">
        <w:rPr>
          <w:szCs w:val="20"/>
          <w:lang w:val="en-US"/>
        </w:rPr>
        <w:t xml:space="preserve"> matters</w:t>
      </w:r>
      <w:r w:rsidRPr="002433F3">
        <w:rPr>
          <w:szCs w:val="20"/>
          <w:lang w:val="en-US"/>
        </w:rPr>
        <w:t xml:space="preserve">, </w:t>
      </w:r>
      <w:r w:rsidR="003A4B66" w:rsidRPr="002433F3">
        <w:rPr>
          <w:szCs w:val="20"/>
          <w:lang w:val="en-US"/>
        </w:rPr>
        <w:t xml:space="preserve">by </w:t>
      </w:r>
      <w:r w:rsidRPr="002433F3">
        <w:rPr>
          <w:szCs w:val="20"/>
          <w:lang w:val="en-US"/>
        </w:rPr>
        <w:t>providing medic</w:t>
      </w:r>
      <w:r w:rsidR="00B47553" w:rsidRPr="002433F3">
        <w:rPr>
          <w:szCs w:val="20"/>
          <w:lang w:val="en-US"/>
        </w:rPr>
        <w:t>ines</w:t>
      </w:r>
      <w:r w:rsidR="00D8654D" w:rsidRPr="002433F3">
        <w:rPr>
          <w:szCs w:val="20"/>
          <w:lang w:val="en-US"/>
        </w:rPr>
        <w:t>, treatment</w:t>
      </w:r>
      <w:r w:rsidR="003A4B66" w:rsidRPr="002433F3">
        <w:rPr>
          <w:szCs w:val="20"/>
          <w:lang w:val="en-US"/>
        </w:rPr>
        <w:t xml:space="preserve"> and referrals </w:t>
      </w:r>
      <w:r w:rsidR="00EA76CD" w:rsidRPr="002433F3">
        <w:rPr>
          <w:szCs w:val="20"/>
          <w:lang w:val="en-US"/>
        </w:rPr>
        <w:t xml:space="preserve">between </w:t>
      </w:r>
      <w:r w:rsidRPr="002433F3">
        <w:rPr>
          <w:szCs w:val="20"/>
          <w:lang w:val="en-US"/>
        </w:rPr>
        <w:t>IPS, EPS or EPSS</w:t>
      </w:r>
      <w:r w:rsidR="00D8654D" w:rsidRPr="002433F3">
        <w:rPr>
          <w:szCs w:val="20"/>
          <w:lang w:val="en-US"/>
        </w:rPr>
        <w:t xml:space="preserve"> (health providers)</w:t>
      </w:r>
      <w:r w:rsidRPr="002433F3">
        <w:rPr>
          <w:szCs w:val="20"/>
          <w:lang w:val="en-US"/>
        </w:rPr>
        <w:t xml:space="preserve">, when the </w:t>
      </w:r>
      <w:r w:rsidR="005E60DB" w:rsidRPr="002433F3">
        <w:rPr>
          <w:szCs w:val="20"/>
          <w:lang w:val="en-US"/>
        </w:rPr>
        <w:t>affected person</w:t>
      </w:r>
      <w:r w:rsidRPr="002433F3">
        <w:rPr>
          <w:szCs w:val="20"/>
          <w:lang w:val="en-US"/>
        </w:rPr>
        <w:t xml:space="preserve"> </w:t>
      </w:r>
      <w:r w:rsidR="00EA76CD" w:rsidRPr="002433F3">
        <w:rPr>
          <w:szCs w:val="20"/>
          <w:lang w:val="en-US"/>
        </w:rPr>
        <w:t xml:space="preserve">does not have </w:t>
      </w:r>
      <w:r w:rsidR="003A4B66" w:rsidRPr="002433F3">
        <w:rPr>
          <w:szCs w:val="20"/>
          <w:lang w:val="en-US"/>
        </w:rPr>
        <w:t xml:space="preserve">the </w:t>
      </w:r>
      <w:r w:rsidR="00EA76CD" w:rsidRPr="002433F3">
        <w:rPr>
          <w:szCs w:val="20"/>
          <w:lang w:val="en-US"/>
        </w:rPr>
        <w:t xml:space="preserve">financial means to </w:t>
      </w:r>
      <w:r w:rsidR="005C4D79" w:rsidRPr="002433F3">
        <w:rPr>
          <w:szCs w:val="20"/>
          <w:lang w:val="en-US"/>
        </w:rPr>
        <w:t>pay and</w:t>
      </w:r>
      <w:r w:rsidR="003A4B66" w:rsidRPr="002433F3">
        <w:rPr>
          <w:szCs w:val="20"/>
          <w:lang w:val="en-US"/>
        </w:rPr>
        <w:t xml:space="preserve"> there is evidence of serious detriment to his </w:t>
      </w:r>
      <w:r w:rsidR="00774C64" w:rsidRPr="002433F3">
        <w:rPr>
          <w:szCs w:val="20"/>
          <w:lang w:val="en-US"/>
        </w:rPr>
        <w:t>fundamental rights</w:t>
      </w:r>
      <w:r w:rsidR="00904907" w:rsidRPr="002433F3">
        <w:rPr>
          <w:szCs w:val="20"/>
          <w:lang w:val="en-US"/>
        </w:rPr>
        <w:t xml:space="preserve">; (ii) in </w:t>
      </w:r>
      <w:r w:rsidR="005E60DB" w:rsidRPr="002433F3">
        <w:rPr>
          <w:szCs w:val="20"/>
          <w:lang w:val="en-US"/>
        </w:rPr>
        <w:t>labor</w:t>
      </w:r>
      <w:r w:rsidR="00904907" w:rsidRPr="002433F3">
        <w:rPr>
          <w:szCs w:val="20"/>
          <w:lang w:val="en-US"/>
        </w:rPr>
        <w:t xml:space="preserve"> matters</w:t>
      </w:r>
      <w:r w:rsidRPr="002433F3">
        <w:rPr>
          <w:szCs w:val="20"/>
          <w:lang w:val="en-US"/>
        </w:rPr>
        <w:t xml:space="preserve">, </w:t>
      </w:r>
      <w:r w:rsidR="003A4B66" w:rsidRPr="002433F3">
        <w:rPr>
          <w:szCs w:val="20"/>
          <w:lang w:val="en-US"/>
        </w:rPr>
        <w:t xml:space="preserve">by </w:t>
      </w:r>
      <w:r w:rsidRPr="002433F3">
        <w:rPr>
          <w:szCs w:val="20"/>
          <w:lang w:val="en-US"/>
        </w:rPr>
        <w:t>prohibiting unjustif</w:t>
      </w:r>
      <w:r w:rsidR="003A4B66" w:rsidRPr="002433F3">
        <w:rPr>
          <w:szCs w:val="20"/>
          <w:lang w:val="en-US"/>
        </w:rPr>
        <w:t>ied dismissal or discrimination</w:t>
      </w:r>
      <w:r w:rsidRPr="002433F3">
        <w:rPr>
          <w:szCs w:val="20"/>
          <w:lang w:val="en-US"/>
        </w:rPr>
        <w:t xml:space="preserve"> </w:t>
      </w:r>
      <w:r w:rsidR="00D8654D" w:rsidRPr="002433F3">
        <w:rPr>
          <w:szCs w:val="20"/>
          <w:lang w:val="en-US"/>
        </w:rPr>
        <w:t xml:space="preserve">owing </w:t>
      </w:r>
      <w:r w:rsidR="003A4B66" w:rsidRPr="002433F3">
        <w:rPr>
          <w:szCs w:val="20"/>
          <w:lang w:val="en-US"/>
        </w:rPr>
        <w:t xml:space="preserve">to </w:t>
      </w:r>
      <w:r w:rsidRPr="002433F3">
        <w:rPr>
          <w:szCs w:val="20"/>
          <w:lang w:val="en-US"/>
        </w:rPr>
        <w:t>the disease</w:t>
      </w:r>
      <w:r w:rsidR="003A4B66" w:rsidRPr="002433F3">
        <w:rPr>
          <w:szCs w:val="20"/>
          <w:lang w:val="en-US"/>
        </w:rPr>
        <w:t>,</w:t>
      </w:r>
      <w:r w:rsidRPr="002433F3">
        <w:rPr>
          <w:szCs w:val="20"/>
          <w:lang w:val="en-US"/>
        </w:rPr>
        <w:t xml:space="preserve"> and </w:t>
      </w:r>
      <w:r w:rsidR="00904907" w:rsidRPr="002433F3">
        <w:rPr>
          <w:szCs w:val="20"/>
          <w:lang w:val="en-US"/>
        </w:rPr>
        <w:t xml:space="preserve">requiring </w:t>
      </w:r>
      <w:r w:rsidRPr="002433F3">
        <w:rPr>
          <w:szCs w:val="20"/>
          <w:lang w:val="en-US"/>
        </w:rPr>
        <w:t xml:space="preserve">special treatment in the workplace; (iii) </w:t>
      </w:r>
      <w:r w:rsidR="00AD36FA" w:rsidRPr="002433F3">
        <w:rPr>
          <w:szCs w:val="20"/>
          <w:lang w:val="en-US"/>
        </w:rPr>
        <w:t xml:space="preserve">on </w:t>
      </w:r>
      <w:r w:rsidRPr="002433F3">
        <w:rPr>
          <w:szCs w:val="20"/>
          <w:lang w:val="en-US"/>
        </w:rPr>
        <w:t>social security</w:t>
      </w:r>
      <w:r w:rsidR="00AD36FA" w:rsidRPr="002433F3">
        <w:rPr>
          <w:szCs w:val="20"/>
          <w:lang w:val="en-US"/>
        </w:rPr>
        <w:t xml:space="preserve"> matters</w:t>
      </w:r>
      <w:r w:rsidRPr="002433F3">
        <w:rPr>
          <w:szCs w:val="20"/>
          <w:lang w:val="en-US"/>
        </w:rPr>
        <w:t xml:space="preserve">, when </w:t>
      </w:r>
      <w:r w:rsidR="00D8654D" w:rsidRPr="002433F3">
        <w:rPr>
          <w:szCs w:val="20"/>
          <w:lang w:val="en-US"/>
        </w:rPr>
        <w:t xml:space="preserve">it </w:t>
      </w:r>
      <w:r w:rsidRPr="002433F3">
        <w:rPr>
          <w:szCs w:val="20"/>
          <w:lang w:val="en-US"/>
        </w:rPr>
        <w:t>has been</w:t>
      </w:r>
      <w:r w:rsidR="00EA76CD" w:rsidRPr="002433F3">
        <w:rPr>
          <w:szCs w:val="20"/>
          <w:lang w:val="en-US"/>
        </w:rPr>
        <w:t xml:space="preserve"> necessary </w:t>
      </w:r>
      <w:r w:rsidR="003A4B66" w:rsidRPr="002433F3">
        <w:rPr>
          <w:szCs w:val="20"/>
          <w:lang w:val="en-US"/>
        </w:rPr>
        <w:t xml:space="preserve">to </w:t>
      </w:r>
      <w:r w:rsidR="00EA76CD" w:rsidRPr="002433F3">
        <w:rPr>
          <w:szCs w:val="20"/>
          <w:lang w:val="en-US"/>
        </w:rPr>
        <w:t xml:space="preserve">recognize the </w:t>
      </w:r>
      <w:r w:rsidR="003A4B66" w:rsidRPr="002433F3">
        <w:rPr>
          <w:szCs w:val="20"/>
          <w:lang w:val="en-US"/>
        </w:rPr>
        <w:t xml:space="preserve">right to a </w:t>
      </w:r>
      <w:r w:rsidR="00F66CE4" w:rsidRPr="002433F3">
        <w:rPr>
          <w:szCs w:val="20"/>
          <w:lang w:val="en-US"/>
        </w:rPr>
        <w:t xml:space="preserve">disability </w:t>
      </w:r>
      <w:r w:rsidRPr="002433F3">
        <w:rPr>
          <w:szCs w:val="20"/>
          <w:lang w:val="en-US"/>
        </w:rPr>
        <w:t xml:space="preserve">pension </w:t>
      </w:r>
      <w:r w:rsidR="005E60DB" w:rsidRPr="002433F3">
        <w:rPr>
          <w:szCs w:val="20"/>
          <w:lang w:val="en-US"/>
        </w:rPr>
        <w:t xml:space="preserve">via a </w:t>
      </w:r>
      <w:r w:rsidRPr="002433F3">
        <w:rPr>
          <w:szCs w:val="20"/>
          <w:lang w:val="en-US"/>
        </w:rPr>
        <w:t xml:space="preserve">constitutional </w:t>
      </w:r>
      <w:r w:rsidR="005E60DB" w:rsidRPr="002433F3">
        <w:rPr>
          <w:i/>
          <w:szCs w:val="20"/>
          <w:lang w:val="en-US"/>
        </w:rPr>
        <w:t>amparo</w:t>
      </w:r>
      <w:r w:rsidR="005E60DB" w:rsidRPr="002433F3">
        <w:rPr>
          <w:szCs w:val="20"/>
          <w:lang w:val="en-US"/>
        </w:rPr>
        <w:t xml:space="preserve"> </w:t>
      </w:r>
      <w:r w:rsidR="003A4B66" w:rsidRPr="002433F3">
        <w:rPr>
          <w:szCs w:val="20"/>
          <w:lang w:val="en-US"/>
        </w:rPr>
        <w:t xml:space="preserve">in </w:t>
      </w:r>
      <w:r w:rsidRPr="002433F3">
        <w:rPr>
          <w:szCs w:val="20"/>
          <w:lang w:val="en-US"/>
        </w:rPr>
        <w:t>situation</w:t>
      </w:r>
      <w:r w:rsidR="003A4B66" w:rsidRPr="002433F3">
        <w:rPr>
          <w:szCs w:val="20"/>
          <w:lang w:val="en-US"/>
        </w:rPr>
        <w:t>s</w:t>
      </w:r>
      <w:r w:rsidRPr="002433F3">
        <w:rPr>
          <w:szCs w:val="20"/>
          <w:lang w:val="en-US"/>
        </w:rPr>
        <w:t xml:space="preserve"> of urgency and (iv) in mat</w:t>
      </w:r>
      <w:r w:rsidR="001425C5" w:rsidRPr="002433F3">
        <w:rPr>
          <w:szCs w:val="20"/>
          <w:lang w:val="en-US"/>
        </w:rPr>
        <w:t>ters</w:t>
      </w:r>
      <w:r w:rsidRPr="002433F3">
        <w:rPr>
          <w:szCs w:val="20"/>
          <w:lang w:val="en-US"/>
        </w:rPr>
        <w:t xml:space="preserve"> of protection </w:t>
      </w:r>
      <w:r w:rsidR="00895EE3" w:rsidRPr="002433F3">
        <w:rPr>
          <w:szCs w:val="20"/>
          <w:lang w:val="en-US"/>
        </w:rPr>
        <w:t xml:space="preserve">for </w:t>
      </w:r>
      <w:r w:rsidR="005C4D79" w:rsidRPr="002433F3">
        <w:rPr>
          <w:szCs w:val="20"/>
          <w:lang w:val="en-US"/>
        </w:rPr>
        <w:t>homeless people</w:t>
      </w:r>
      <w:r w:rsidRPr="002433F3">
        <w:rPr>
          <w:szCs w:val="20"/>
          <w:lang w:val="en-US"/>
        </w:rPr>
        <w:t xml:space="preserve">, when </w:t>
      </w:r>
      <w:r w:rsidR="00AD36FA" w:rsidRPr="002433F3">
        <w:rPr>
          <w:szCs w:val="20"/>
          <w:lang w:val="en-US"/>
        </w:rPr>
        <w:t xml:space="preserve">they </w:t>
      </w:r>
      <w:r w:rsidRPr="002433F3">
        <w:rPr>
          <w:szCs w:val="20"/>
          <w:lang w:val="en-US"/>
        </w:rPr>
        <w:t>are HIV-</w:t>
      </w:r>
      <w:r w:rsidR="00895EE3" w:rsidRPr="002433F3">
        <w:rPr>
          <w:szCs w:val="20"/>
          <w:lang w:val="en-US"/>
        </w:rPr>
        <w:t xml:space="preserve">positive </w:t>
      </w:r>
      <w:r w:rsidRPr="002433F3">
        <w:rPr>
          <w:szCs w:val="20"/>
          <w:lang w:val="en-US"/>
        </w:rPr>
        <w:t xml:space="preserve">and </w:t>
      </w:r>
      <w:r w:rsidR="003A4B66" w:rsidRPr="002433F3">
        <w:rPr>
          <w:szCs w:val="20"/>
          <w:lang w:val="en-US"/>
        </w:rPr>
        <w:t xml:space="preserve">that </w:t>
      </w:r>
      <w:r w:rsidRPr="002433F3">
        <w:rPr>
          <w:szCs w:val="20"/>
          <w:lang w:val="en-US"/>
        </w:rPr>
        <w:t xml:space="preserve">situation </w:t>
      </w:r>
      <w:r w:rsidR="00AD36FA" w:rsidRPr="002433F3">
        <w:rPr>
          <w:szCs w:val="20"/>
          <w:lang w:val="en-US"/>
        </w:rPr>
        <w:t xml:space="preserve">not only violates their own </w:t>
      </w:r>
      <w:r w:rsidR="00EA76CD" w:rsidRPr="002433F3">
        <w:rPr>
          <w:szCs w:val="20"/>
          <w:lang w:val="en-US"/>
        </w:rPr>
        <w:t xml:space="preserve">fundamental rights, but also those of the </w:t>
      </w:r>
      <w:r w:rsidRPr="002433F3">
        <w:rPr>
          <w:szCs w:val="20"/>
          <w:lang w:val="en-US"/>
        </w:rPr>
        <w:t>pe</w:t>
      </w:r>
      <w:r w:rsidR="00EA76CD" w:rsidRPr="002433F3">
        <w:rPr>
          <w:szCs w:val="20"/>
          <w:lang w:val="en-US"/>
        </w:rPr>
        <w:t xml:space="preserve">ople </w:t>
      </w:r>
      <w:r w:rsidR="005749F8" w:rsidRPr="002433F3">
        <w:rPr>
          <w:szCs w:val="20"/>
          <w:lang w:val="en-US"/>
        </w:rPr>
        <w:t xml:space="preserve">around </w:t>
      </w:r>
      <w:r w:rsidR="00EA76CD" w:rsidRPr="002433F3">
        <w:rPr>
          <w:szCs w:val="20"/>
          <w:lang w:val="en-US"/>
        </w:rPr>
        <w:t>them.</w:t>
      </w:r>
      <w:r w:rsidRPr="002433F3">
        <w:rPr>
          <w:szCs w:val="20"/>
          <w:lang w:val="en-US"/>
        </w:rPr>
        <w:t>”</w:t>
      </w:r>
      <w:r w:rsidRPr="002433F3">
        <w:rPr>
          <w:rStyle w:val="Refdenotaalpie"/>
          <w:lang w:val="en-US"/>
        </w:rPr>
        <w:footnoteReference w:id="156"/>
      </w:r>
    </w:p>
    <w:p w14:paraId="6CAA85A1" w14:textId="77777777" w:rsidR="007B0DE4" w:rsidRPr="002433F3" w:rsidRDefault="007B0DE4" w:rsidP="007B0DE4">
      <w:pPr>
        <w:numPr>
          <w:ilvl w:val="0"/>
          <w:numId w:val="2"/>
        </w:numPr>
        <w:spacing w:before="120" w:after="120"/>
        <w:rPr>
          <w:szCs w:val="20"/>
          <w:lang w:val="en-US"/>
        </w:rPr>
      </w:pPr>
      <w:r w:rsidRPr="002433F3">
        <w:rPr>
          <w:szCs w:val="20"/>
          <w:lang w:val="en-US"/>
        </w:rPr>
        <w:t xml:space="preserve">The Constitutional Court has also established that when a person with HIV/AIDS requires </w:t>
      </w:r>
      <w:r w:rsidRPr="002433F3">
        <w:rPr>
          <w:lang w:val="en-US"/>
        </w:rPr>
        <w:t>treatment</w:t>
      </w:r>
      <w:r w:rsidRPr="002433F3">
        <w:rPr>
          <w:szCs w:val="20"/>
          <w:lang w:val="en-US"/>
        </w:rPr>
        <w:t xml:space="preserve"> or an essential procedure t</w:t>
      </w:r>
      <w:r w:rsidR="00D8654D" w:rsidRPr="002433F3">
        <w:rPr>
          <w:szCs w:val="20"/>
          <w:lang w:val="en-US"/>
        </w:rPr>
        <w:t xml:space="preserve">hat will </w:t>
      </w:r>
      <w:r w:rsidR="00ED2CF4" w:rsidRPr="002433F3">
        <w:rPr>
          <w:szCs w:val="20"/>
          <w:lang w:val="en-US"/>
        </w:rPr>
        <w:t xml:space="preserve">enable them to live </w:t>
      </w:r>
      <w:r w:rsidRPr="002433F3">
        <w:rPr>
          <w:szCs w:val="20"/>
          <w:lang w:val="en-US"/>
        </w:rPr>
        <w:t xml:space="preserve">in conditions </w:t>
      </w:r>
      <w:r w:rsidR="005E60DB" w:rsidRPr="002433F3">
        <w:rPr>
          <w:szCs w:val="20"/>
          <w:lang w:val="en-US"/>
        </w:rPr>
        <w:t>of dignity</w:t>
      </w:r>
      <w:r w:rsidRPr="002433F3">
        <w:rPr>
          <w:szCs w:val="20"/>
          <w:lang w:val="en-US"/>
        </w:rPr>
        <w:t xml:space="preserve">, </w:t>
      </w:r>
      <w:r w:rsidR="00D8654D" w:rsidRPr="002433F3">
        <w:rPr>
          <w:szCs w:val="20"/>
          <w:lang w:val="en-US"/>
        </w:rPr>
        <w:t xml:space="preserve">regardless of </w:t>
      </w:r>
      <w:r w:rsidRPr="002433F3">
        <w:rPr>
          <w:szCs w:val="20"/>
          <w:lang w:val="en-US"/>
        </w:rPr>
        <w:t xml:space="preserve">whether </w:t>
      </w:r>
      <w:r w:rsidR="003A4B66" w:rsidRPr="002433F3">
        <w:rPr>
          <w:szCs w:val="20"/>
          <w:lang w:val="en-US"/>
        </w:rPr>
        <w:t xml:space="preserve">or not </w:t>
      </w:r>
      <w:r w:rsidRPr="002433F3">
        <w:rPr>
          <w:szCs w:val="20"/>
          <w:lang w:val="en-US"/>
        </w:rPr>
        <w:t xml:space="preserve">they are included in </w:t>
      </w:r>
      <w:r w:rsidR="006343A9" w:rsidRPr="002433F3">
        <w:rPr>
          <w:szCs w:val="20"/>
          <w:lang w:val="en-US"/>
        </w:rPr>
        <w:t xml:space="preserve">the Mandatory Health Plan, </w:t>
      </w:r>
      <w:r w:rsidR="00D916A5" w:rsidRPr="002433F3">
        <w:rPr>
          <w:szCs w:val="20"/>
          <w:lang w:val="en-US"/>
        </w:rPr>
        <w:t xml:space="preserve">if </w:t>
      </w:r>
      <w:r w:rsidR="002411F8" w:rsidRPr="002433F3">
        <w:rPr>
          <w:szCs w:val="20"/>
          <w:lang w:val="en-US"/>
        </w:rPr>
        <w:t>the</w:t>
      </w:r>
      <w:r w:rsidR="006343A9" w:rsidRPr="002433F3">
        <w:rPr>
          <w:szCs w:val="20"/>
          <w:lang w:val="en-US"/>
        </w:rPr>
        <w:t xml:space="preserve"> </w:t>
      </w:r>
      <w:r w:rsidRPr="002433F3">
        <w:rPr>
          <w:szCs w:val="20"/>
          <w:lang w:val="en-US"/>
        </w:rPr>
        <w:t xml:space="preserve">person </w:t>
      </w:r>
      <w:r w:rsidR="002411F8" w:rsidRPr="002433F3">
        <w:rPr>
          <w:szCs w:val="20"/>
          <w:lang w:val="en-US"/>
        </w:rPr>
        <w:t xml:space="preserve">is enrolled or affiliated to </w:t>
      </w:r>
      <w:r w:rsidRPr="002433F3">
        <w:rPr>
          <w:szCs w:val="20"/>
          <w:lang w:val="en-US"/>
        </w:rPr>
        <w:t>the subsidized or contribut</w:t>
      </w:r>
      <w:r w:rsidR="00D8654D" w:rsidRPr="002433F3">
        <w:rPr>
          <w:szCs w:val="20"/>
          <w:lang w:val="en-US"/>
        </w:rPr>
        <w:t xml:space="preserve">ory </w:t>
      </w:r>
      <w:r w:rsidRPr="002433F3">
        <w:rPr>
          <w:szCs w:val="20"/>
          <w:lang w:val="en-US"/>
        </w:rPr>
        <w:t xml:space="preserve">health </w:t>
      </w:r>
      <w:r w:rsidR="00632773" w:rsidRPr="002433F3">
        <w:rPr>
          <w:szCs w:val="20"/>
          <w:lang w:val="en-US"/>
        </w:rPr>
        <w:t>scheme</w:t>
      </w:r>
      <w:r w:rsidRPr="002433F3">
        <w:rPr>
          <w:szCs w:val="20"/>
          <w:lang w:val="en-US"/>
        </w:rPr>
        <w:t xml:space="preserve">, </w:t>
      </w:r>
      <w:r w:rsidR="00895EE3" w:rsidRPr="002433F3">
        <w:rPr>
          <w:szCs w:val="20"/>
          <w:lang w:val="en-US"/>
        </w:rPr>
        <w:t xml:space="preserve">their </w:t>
      </w:r>
      <w:r w:rsidRPr="002433F3">
        <w:rPr>
          <w:szCs w:val="20"/>
          <w:lang w:val="en-US"/>
        </w:rPr>
        <w:t xml:space="preserve">right to health is considered fundamental and is protected through the </w:t>
      </w:r>
      <w:r w:rsidRPr="002433F3">
        <w:rPr>
          <w:i/>
          <w:szCs w:val="20"/>
          <w:lang w:val="en-US"/>
        </w:rPr>
        <w:t>tutela</w:t>
      </w:r>
      <w:r w:rsidRPr="002433F3">
        <w:rPr>
          <w:szCs w:val="20"/>
          <w:lang w:val="en-US"/>
        </w:rPr>
        <w:t xml:space="preserve"> action</w:t>
      </w:r>
      <w:r w:rsidR="00B47553" w:rsidRPr="002433F3">
        <w:rPr>
          <w:szCs w:val="20"/>
          <w:lang w:val="en-US"/>
        </w:rPr>
        <w:t>.</w:t>
      </w:r>
      <w:r w:rsidRPr="002433F3">
        <w:rPr>
          <w:rStyle w:val="Refdenotaalpie"/>
          <w:lang w:val="en-US"/>
        </w:rPr>
        <w:footnoteReference w:id="157"/>
      </w:r>
    </w:p>
    <w:p w14:paraId="64D5579D" w14:textId="77777777" w:rsidR="007B0DE4" w:rsidRPr="002433F3" w:rsidRDefault="00EA76CD" w:rsidP="007B0DE4">
      <w:pPr>
        <w:pStyle w:val="PrrafodeSentencia0"/>
        <w:rPr>
          <w:noProof w:val="0"/>
          <w:lang w:val="en-US"/>
        </w:rPr>
      </w:pPr>
      <w:r w:rsidRPr="002433F3">
        <w:rPr>
          <w:noProof w:val="0"/>
          <w:lang w:val="en-US"/>
        </w:rPr>
        <w:t>Moreover</w:t>
      </w:r>
      <w:r w:rsidR="007B0DE4" w:rsidRPr="002433F3">
        <w:rPr>
          <w:noProof w:val="0"/>
          <w:lang w:val="en-US"/>
        </w:rPr>
        <w:t xml:space="preserve">, Colombian </w:t>
      </w:r>
      <w:r w:rsidRPr="002433F3">
        <w:rPr>
          <w:noProof w:val="0"/>
          <w:lang w:val="en-US"/>
        </w:rPr>
        <w:t xml:space="preserve">law </w:t>
      </w:r>
      <w:r w:rsidR="007B0DE4" w:rsidRPr="002433F3">
        <w:rPr>
          <w:noProof w:val="0"/>
          <w:lang w:val="en-US"/>
        </w:rPr>
        <w:t>has established that persons diagn</w:t>
      </w:r>
      <w:r w:rsidR="008A746C" w:rsidRPr="002433F3">
        <w:rPr>
          <w:noProof w:val="0"/>
          <w:lang w:val="en-US"/>
        </w:rPr>
        <w:t>osed</w:t>
      </w:r>
      <w:r w:rsidR="00F66CE4" w:rsidRPr="002433F3">
        <w:rPr>
          <w:noProof w:val="0"/>
          <w:lang w:val="en-US"/>
        </w:rPr>
        <w:t xml:space="preserve"> with </w:t>
      </w:r>
      <w:r w:rsidR="007B0DE4" w:rsidRPr="002433F3">
        <w:rPr>
          <w:noProof w:val="0"/>
          <w:lang w:val="en-US"/>
        </w:rPr>
        <w:t xml:space="preserve">catastrophic </w:t>
      </w:r>
      <w:r w:rsidR="00D916A5" w:rsidRPr="002433F3">
        <w:rPr>
          <w:noProof w:val="0"/>
          <w:lang w:val="en-US"/>
        </w:rPr>
        <w:t xml:space="preserve">diseases, </w:t>
      </w:r>
      <w:r w:rsidR="007B0DE4" w:rsidRPr="002433F3">
        <w:rPr>
          <w:noProof w:val="0"/>
          <w:lang w:val="en-US"/>
        </w:rPr>
        <w:t xml:space="preserve">such as HIV, are exempt from co-payments and </w:t>
      </w:r>
      <w:r w:rsidR="00F66CE4" w:rsidRPr="002433F3">
        <w:rPr>
          <w:noProof w:val="0"/>
          <w:lang w:val="en-US"/>
        </w:rPr>
        <w:t>moderating fees</w:t>
      </w:r>
      <w:r w:rsidR="00D916A5" w:rsidRPr="002433F3">
        <w:rPr>
          <w:noProof w:val="0"/>
          <w:lang w:val="en-US"/>
        </w:rPr>
        <w:t xml:space="preserve"> under </w:t>
      </w:r>
      <w:r w:rsidR="00895EE3" w:rsidRPr="002433F3">
        <w:rPr>
          <w:noProof w:val="0"/>
          <w:lang w:val="en-US"/>
        </w:rPr>
        <w:t xml:space="preserve">the </w:t>
      </w:r>
      <w:r w:rsidR="00D916A5" w:rsidRPr="002433F3">
        <w:rPr>
          <w:rFonts w:eastAsia="Batang"/>
          <w:bCs w:val="0"/>
          <w:noProof w:val="0"/>
          <w:lang w:val="en-US" w:eastAsia="x-none"/>
        </w:rPr>
        <w:t>Mandatory Health Plan. A</w:t>
      </w:r>
      <w:r w:rsidR="007B0DE4" w:rsidRPr="002433F3">
        <w:rPr>
          <w:rFonts w:eastAsia="Batang"/>
          <w:bCs w:val="0"/>
          <w:noProof w:val="0"/>
          <w:lang w:val="en-US" w:eastAsia="x-none"/>
        </w:rPr>
        <w:t xml:space="preserve">ccording to </w:t>
      </w:r>
      <w:r w:rsidR="00D916A5" w:rsidRPr="002433F3">
        <w:rPr>
          <w:noProof w:val="0"/>
          <w:lang w:val="en-US"/>
        </w:rPr>
        <w:t xml:space="preserve">Article 7 of </w:t>
      </w:r>
      <w:r w:rsidR="007B0DE4" w:rsidRPr="002433F3">
        <w:rPr>
          <w:noProof w:val="0"/>
          <w:lang w:val="en-US"/>
        </w:rPr>
        <w:t>A</w:t>
      </w:r>
      <w:r w:rsidR="00F66CE4" w:rsidRPr="002433F3">
        <w:rPr>
          <w:noProof w:val="0"/>
          <w:lang w:val="en-US"/>
        </w:rPr>
        <w:t xml:space="preserve">greement </w:t>
      </w:r>
      <w:r w:rsidR="00D916A5" w:rsidRPr="002433F3">
        <w:rPr>
          <w:noProof w:val="0"/>
          <w:lang w:val="en-US"/>
        </w:rPr>
        <w:t>260 of 2004,</w:t>
      </w:r>
      <w:r w:rsidR="007B0DE4" w:rsidRPr="002433F3">
        <w:rPr>
          <w:noProof w:val="0"/>
          <w:lang w:val="en-US"/>
        </w:rPr>
        <w:t xml:space="preserve"> </w:t>
      </w:r>
      <w:r w:rsidR="00D916A5" w:rsidRPr="002433F3">
        <w:rPr>
          <w:noProof w:val="0"/>
          <w:lang w:val="en-US"/>
        </w:rPr>
        <w:t>concerning “S</w:t>
      </w:r>
      <w:r w:rsidR="007B0DE4" w:rsidRPr="002433F3">
        <w:rPr>
          <w:noProof w:val="0"/>
          <w:lang w:val="en-US"/>
        </w:rPr>
        <w:t>ervices su</w:t>
      </w:r>
      <w:r w:rsidR="00B47553" w:rsidRPr="002433F3">
        <w:rPr>
          <w:noProof w:val="0"/>
          <w:lang w:val="en-US"/>
        </w:rPr>
        <w:t xml:space="preserve">bject to </w:t>
      </w:r>
      <w:r w:rsidR="00D916A5" w:rsidRPr="002433F3">
        <w:rPr>
          <w:noProof w:val="0"/>
          <w:lang w:val="en-US"/>
        </w:rPr>
        <w:t>co-payments:</w:t>
      </w:r>
      <w:r w:rsidR="007B0DE4" w:rsidRPr="002433F3">
        <w:rPr>
          <w:noProof w:val="0"/>
          <w:lang w:val="en-US"/>
        </w:rPr>
        <w:t xml:space="preserve"> </w:t>
      </w:r>
      <w:r w:rsidR="00D916A5" w:rsidRPr="002433F3">
        <w:rPr>
          <w:noProof w:val="0"/>
          <w:lang w:val="en-US"/>
        </w:rPr>
        <w:t>c</w:t>
      </w:r>
      <w:r w:rsidR="007B0DE4" w:rsidRPr="002433F3">
        <w:rPr>
          <w:noProof w:val="0"/>
          <w:lang w:val="en-US"/>
        </w:rPr>
        <w:t>o</w:t>
      </w:r>
      <w:r w:rsidRPr="002433F3">
        <w:rPr>
          <w:noProof w:val="0"/>
          <w:lang w:val="en-US"/>
        </w:rPr>
        <w:t>-</w:t>
      </w:r>
      <w:r w:rsidR="007B0DE4" w:rsidRPr="002433F3">
        <w:rPr>
          <w:noProof w:val="0"/>
          <w:lang w:val="en-US"/>
        </w:rPr>
        <w:t xml:space="preserve">payments </w:t>
      </w:r>
      <w:r w:rsidR="00BF3CF9" w:rsidRPr="002433F3">
        <w:rPr>
          <w:noProof w:val="0"/>
          <w:lang w:val="en-US"/>
        </w:rPr>
        <w:t xml:space="preserve">shall be applied </w:t>
      </w:r>
      <w:r w:rsidR="007B0DE4" w:rsidRPr="002433F3">
        <w:rPr>
          <w:noProof w:val="0"/>
          <w:lang w:val="en-US"/>
        </w:rPr>
        <w:t xml:space="preserve">to all services </w:t>
      </w:r>
      <w:r w:rsidR="00BF3CF9" w:rsidRPr="002433F3">
        <w:rPr>
          <w:noProof w:val="0"/>
          <w:lang w:val="en-US"/>
        </w:rPr>
        <w:t xml:space="preserve">included </w:t>
      </w:r>
      <w:r w:rsidR="007B0DE4" w:rsidRPr="002433F3">
        <w:rPr>
          <w:noProof w:val="0"/>
          <w:lang w:val="en-US"/>
        </w:rPr>
        <w:t xml:space="preserve">in the Mandatory Health Plan, with </w:t>
      </w:r>
      <w:r w:rsidR="00BF3CF9" w:rsidRPr="002433F3">
        <w:rPr>
          <w:noProof w:val="0"/>
          <w:lang w:val="en-US"/>
        </w:rPr>
        <w:t>exception of</w:t>
      </w:r>
      <w:r w:rsidR="007B0DE4" w:rsidRPr="002433F3">
        <w:rPr>
          <w:noProof w:val="0"/>
          <w:lang w:val="en-US"/>
        </w:rPr>
        <w:t>: […]</w:t>
      </w:r>
      <w:r w:rsidR="00895EE3" w:rsidRPr="002433F3">
        <w:rPr>
          <w:noProof w:val="0"/>
          <w:lang w:val="en-US"/>
        </w:rPr>
        <w:t xml:space="preserve"> </w:t>
      </w:r>
      <w:r w:rsidR="00D916A5" w:rsidRPr="002433F3">
        <w:rPr>
          <w:noProof w:val="0"/>
          <w:lang w:val="en-US"/>
        </w:rPr>
        <w:t>catastrophic and high-</w:t>
      </w:r>
      <w:r w:rsidR="007B0DE4" w:rsidRPr="002433F3">
        <w:rPr>
          <w:noProof w:val="0"/>
          <w:lang w:val="en-US"/>
        </w:rPr>
        <w:t>cost</w:t>
      </w:r>
      <w:r w:rsidR="00F66CE4" w:rsidRPr="002433F3">
        <w:rPr>
          <w:noProof w:val="0"/>
          <w:lang w:val="en-US"/>
        </w:rPr>
        <w:t xml:space="preserve"> diseases</w:t>
      </w:r>
      <w:r w:rsidR="007B0DE4" w:rsidRPr="002433F3">
        <w:rPr>
          <w:noProof w:val="0"/>
          <w:lang w:val="en-US"/>
        </w:rPr>
        <w:t>.”</w:t>
      </w:r>
      <w:r w:rsidR="007B0DE4" w:rsidRPr="002433F3">
        <w:rPr>
          <w:rStyle w:val="Refdenotaalpie"/>
          <w:noProof w:val="0"/>
          <w:lang w:val="en-US"/>
        </w:rPr>
        <w:footnoteReference w:id="158"/>
      </w:r>
    </w:p>
    <w:p w14:paraId="678F120D" w14:textId="77777777" w:rsidR="007B0DE4" w:rsidRPr="002433F3" w:rsidRDefault="007B0DE4" w:rsidP="007B0DE4">
      <w:pPr>
        <w:pStyle w:val="Ttulo3"/>
        <w:spacing w:before="280" w:after="280"/>
        <w:ind w:left="1066"/>
        <w:rPr>
          <w:noProof w:val="0"/>
          <w:lang w:val="en-US" w:eastAsia="es-ES"/>
        </w:rPr>
      </w:pPr>
      <w:bookmarkStart w:id="140" w:name="_Toc448482278"/>
      <w:r w:rsidRPr="002433F3">
        <w:rPr>
          <w:noProof w:val="0"/>
          <w:lang w:val="en-US" w:eastAsia="es-ES"/>
        </w:rPr>
        <w:t xml:space="preserve">B.2. </w:t>
      </w:r>
      <w:r w:rsidRPr="002433F3">
        <w:rPr>
          <w:noProof w:val="0"/>
          <w:lang w:val="en-US"/>
        </w:rPr>
        <w:t xml:space="preserve">Analysis </w:t>
      </w:r>
      <w:r w:rsidRPr="002433F3">
        <w:rPr>
          <w:noProof w:val="0"/>
          <w:lang w:val="en-US" w:eastAsia="es-ES"/>
        </w:rPr>
        <w:t xml:space="preserve">of the </w:t>
      </w:r>
      <w:r w:rsidR="008A746C" w:rsidRPr="002433F3">
        <w:rPr>
          <w:noProof w:val="0"/>
          <w:lang w:val="en-US" w:eastAsia="es-ES"/>
        </w:rPr>
        <w:t>specific</w:t>
      </w:r>
      <w:r w:rsidRPr="002433F3">
        <w:rPr>
          <w:noProof w:val="0"/>
          <w:lang w:val="en-US" w:eastAsia="es-ES"/>
        </w:rPr>
        <w:t xml:space="preserve"> case</w:t>
      </w:r>
      <w:r w:rsidRPr="002433F3">
        <w:rPr>
          <w:noProof w:val="0"/>
          <w:lang w:val="en-US"/>
        </w:rPr>
        <w:t xml:space="preserve"> </w:t>
      </w:r>
      <w:bookmarkEnd w:id="140"/>
    </w:p>
    <w:p w14:paraId="76B46BC3" w14:textId="77777777" w:rsidR="007B0DE4" w:rsidRPr="002433F3" w:rsidRDefault="006B646D" w:rsidP="007B0DE4">
      <w:pPr>
        <w:numPr>
          <w:ilvl w:val="0"/>
          <w:numId w:val="2"/>
        </w:numPr>
        <w:spacing w:before="120" w:after="120"/>
        <w:rPr>
          <w:lang w:val="en-US"/>
        </w:rPr>
      </w:pPr>
      <w:r w:rsidRPr="002433F3">
        <w:rPr>
          <w:lang w:val="en-US"/>
        </w:rPr>
        <w:t>In its Merits R</w:t>
      </w:r>
      <w:r w:rsidR="007B0DE4" w:rsidRPr="002433F3">
        <w:rPr>
          <w:lang w:val="en-US"/>
        </w:rPr>
        <w:t xml:space="preserve">eport </w:t>
      </w:r>
      <w:r w:rsidR="007B0DE4" w:rsidRPr="002433F3">
        <w:rPr>
          <w:rFonts w:cs="Calibri"/>
          <w:szCs w:val="22"/>
          <w:lang w:val="en-US"/>
        </w:rPr>
        <w:t xml:space="preserve">the Commission </w:t>
      </w:r>
      <w:r w:rsidR="004F124F" w:rsidRPr="002433F3">
        <w:rPr>
          <w:rFonts w:cs="Calibri"/>
          <w:szCs w:val="22"/>
          <w:lang w:val="en-US"/>
        </w:rPr>
        <w:t xml:space="preserve">acknowledged </w:t>
      </w:r>
      <w:r w:rsidR="007B0DE4" w:rsidRPr="002433F3">
        <w:rPr>
          <w:rFonts w:cs="Calibri"/>
          <w:szCs w:val="22"/>
          <w:lang w:val="en-US"/>
        </w:rPr>
        <w:t xml:space="preserve">that it did not have sufficient information </w:t>
      </w:r>
      <w:r w:rsidR="00D8654D" w:rsidRPr="002433F3">
        <w:rPr>
          <w:rFonts w:cs="Calibri"/>
          <w:szCs w:val="22"/>
          <w:lang w:val="en-US"/>
        </w:rPr>
        <w:t xml:space="preserve">concerning </w:t>
      </w:r>
      <w:r w:rsidR="007B0DE4" w:rsidRPr="002433F3">
        <w:rPr>
          <w:rFonts w:cs="Calibri"/>
          <w:szCs w:val="22"/>
          <w:lang w:val="en-US"/>
        </w:rPr>
        <w:t xml:space="preserve">the continuity, quality and conditions </w:t>
      </w:r>
      <w:r w:rsidRPr="002433F3">
        <w:rPr>
          <w:rFonts w:cs="Calibri"/>
          <w:szCs w:val="22"/>
          <w:lang w:val="en-US"/>
        </w:rPr>
        <w:t>of the me</w:t>
      </w:r>
      <w:r w:rsidR="00D8654D" w:rsidRPr="002433F3">
        <w:rPr>
          <w:rFonts w:cs="Calibri"/>
          <w:szCs w:val="22"/>
          <w:lang w:val="en-US"/>
        </w:rPr>
        <w:t>dical treatment that Mr. Duque</w:t>
      </w:r>
      <w:r w:rsidRPr="002433F3">
        <w:rPr>
          <w:rFonts w:cs="Calibri"/>
          <w:szCs w:val="22"/>
          <w:lang w:val="en-US"/>
        </w:rPr>
        <w:t xml:space="preserve"> received </w:t>
      </w:r>
      <w:r w:rsidR="00586DE1" w:rsidRPr="002433F3">
        <w:rPr>
          <w:rFonts w:cs="Calibri"/>
          <w:szCs w:val="22"/>
          <w:lang w:val="en-US"/>
        </w:rPr>
        <w:t xml:space="preserve">following </w:t>
      </w:r>
      <w:r w:rsidR="007B0DE4" w:rsidRPr="002433F3">
        <w:rPr>
          <w:rFonts w:cs="Calibri"/>
          <w:szCs w:val="22"/>
          <w:lang w:val="en-US"/>
        </w:rPr>
        <w:t xml:space="preserve">the death of </w:t>
      </w:r>
      <w:r w:rsidR="00586DE1" w:rsidRPr="002433F3">
        <w:rPr>
          <w:rFonts w:cs="Calibri"/>
          <w:szCs w:val="22"/>
          <w:lang w:val="en-US"/>
        </w:rPr>
        <w:t xml:space="preserve">his partner, </w:t>
      </w:r>
      <w:r w:rsidR="00DA1CFE" w:rsidRPr="002433F3">
        <w:rPr>
          <w:rFonts w:cs="Calibri"/>
          <w:szCs w:val="22"/>
          <w:lang w:val="en-US"/>
        </w:rPr>
        <w:t>JOJG</w:t>
      </w:r>
      <w:r w:rsidR="00586DE1" w:rsidRPr="002433F3">
        <w:rPr>
          <w:rFonts w:cs="Calibri"/>
          <w:szCs w:val="22"/>
          <w:lang w:val="en-US"/>
        </w:rPr>
        <w:t>.</w:t>
      </w:r>
      <w:r w:rsidR="007B0DE4" w:rsidRPr="002433F3">
        <w:rPr>
          <w:rFonts w:cs="Calibri"/>
          <w:szCs w:val="22"/>
          <w:lang w:val="en-US"/>
        </w:rPr>
        <w:t xml:space="preserve"> Nevertheless, the Commission </w:t>
      </w:r>
      <w:r w:rsidR="007B0DE4" w:rsidRPr="002433F3">
        <w:rPr>
          <w:rFonts w:cs="Calibri"/>
          <w:szCs w:val="22"/>
          <w:lang w:val="en-US"/>
        </w:rPr>
        <w:lastRenderedPageBreak/>
        <w:t xml:space="preserve">concluded that </w:t>
      </w:r>
      <w:r w:rsidRPr="002433F3">
        <w:rPr>
          <w:rFonts w:cs="Calibri"/>
          <w:szCs w:val="22"/>
          <w:lang w:val="en-US"/>
        </w:rPr>
        <w:t xml:space="preserve">a “number of factors related to his sexual orientation, his illness and his financial situation took their toll on </w:t>
      </w:r>
      <w:r w:rsidR="007B0DE4" w:rsidRPr="002433F3">
        <w:rPr>
          <w:rFonts w:cs="Calibri"/>
          <w:szCs w:val="22"/>
          <w:lang w:val="en-US"/>
        </w:rPr>
        <w:t>Mr. Duque</w:t>
      </w:r>
      <w:r w:rsidRPr="002433F3">
        <w:rPr>
          <w:rFonts w:cs="Calibri"/>
          <w:szCs w:val="22"/>
          <w:lang w:val="en-US"/>
        </w:rPr>
        <w:t>.</w:t>
      </w:r>
      <w:r w:rsidR="007B0DE4" w:rsidRPr="002433F3">
        <w:rPr>
          <w:rFonts w:cs="Calibri"/>
          <w:szCs w:val="22"/>
          <w:lang w:val="en-US"/>
        </w:rPr>
        <w:t>”</w:t>
      </w:r>
    </w:p>
    <w:p w14:paraId="02971F64" w14:textId="77777777" w:rsidR="007B0DE4" w:rsidRPr="002433F3" w:rsidRDefault="004F124F" w:rsidP="007B0DE4">
      <w:pPr>
        <w:numPr>
          <w:ilvl w:val="0"/>
          <w:numId w:val="2"/>
        </w:numPr>
        <w:spacing w:before="120" w:after="120"/>
        <w:rPr>
          <w:lang w:val="en-US"/>
        </w:rPr>
      </w:pPr>
      <w:r w:rsidRPr="002433F3">
        <w:rPr>
          <w:rFonts w:cs="Calibri"/>
          <w:szCs w:val="22"/>
          <w:lang w:val="en-US"/>
        </w:rPr>
        <w:t>As to t</w:t>
      </w:r>
      <w:r w:rsidR="00D77E68" w:rsidRPr="002433F3">
        <w:rPr>
          <w:rFonts w:cs="Calibri"/>
          <w:szCs w:val="22"/>
          <w:lang w:val="en-US"/>
        </w:rPr>
        <w:t xml:space="preserve">he arguments of the </w:t>
      </w:r>
      <w:r w:rsidR="007B0DE4" w:rsidRPr="002433F3">
        <w:rPr>
          <w:rFonts w:cs="Calibri"/>
          <w:szCs w:val="22"/>
          <w:lang w:val="en-US"/>
        </w:rPr>
        <w:t xml:space="preserve">representatives </w:t>
      </w:r>
      <w:r w:rsidR="00586DE1" w:rsidRPr="002433F3">
        <w:rPr>
          <w:rFonts w:cs="Calibri"/>
          <w:szCs w:val="22"/>
          <w:lang w:val="en-US"/>
        </w:rPr>
        <w:t xml:space="preserve">regarding </w:t>
      </w:r>
      <w:r w:rsidR="007B0DE4" w:rsidRPr="002433F3">
        <w:rPr>
          <w:rFonts w:cs="Calibri"/>
          <w:szCs w:val="22"/>
          <w:lang w:val="en-US"/>
        </w:rPr>
        <w:t>the alleged violation</w:t>
      </w:r>
      <w:r w:rsidR="00586DE1" w:rsidRPr="002433F3">
        <w:rPr>
          <w:rFonts w:cs="Calibri"/>
          <w:szCs w:val="22"/>
          <w:lang w:val="en-US"/>
        </w:rPr>
        <w:t xml:space="preserve"> of Mr. Duque’s rights to life </w:t>
      </w:r>
      <w:r w:rsidR="007B0DE4" w:rsidRPr="002433F3">
        <w:rPr>
          <w:rFonts w:cs="Calibri"/>
          <w:szCs w:val="22"/>
          <w:lang w:val="en-US"/>
        </w:rPr>
        <w:t>and personal in</w:t>
      </w:r>
      <w:r w:rsidR="00586DE1" w:rsidRPr="002433F3">
        <w:rPr>
          <w:rFonts w:cs="Calibri"/>
          <w:szCs w:val="22"/>
          <w:lang w:val="en-US"/>
        </w:rPr>
        <w:t>tegrity</w:t>
      </w:r>
      <w:r w:rsidRPr="002433F3">
        <w:rPr>
          <w:rFonts w:cs="Calibri"/>
          <w:szCs w:val="22"/>
          <w:lang w:val="en-US"/>
        </w:rPr>
        <w:t>, these</w:t>
      </w:r>
      <w:r w:rsidR="00586DE1" w:rsidRPr="002433F3">
        <w:rPr>
          <w:rFonts w:cs="Calibri"/>
          <w:szCs w:val="22"/>
          <w:lang w:val="en-US"/>
        </w:rPr>
        <w:t xml:space="preserve"> are related to: 1) the </w:t>
      </w:r>
      <w:r w:rsidR="007B0DE4" w:rsidRPr="002433F3">
        <w:rPr>
          <w:rFonts w:cs="Calibri"/>
          <w:szCs w:val="22"/>
          <w:lang w:val="en-US"/>
        </w:rPr>
        <w:t xml:space="preserve">alleged harm caused to his moral integrity by the decisions of COLFONDOS and the </w:t>
      </w:r>
      <w:r w:rsidR="007B0DE4" w:rsidRPr="002433F3">
        <w:rPr>
          <w:rFonts w:cs="Calibri"/>
          <w:i/>
          <w:szCs w:val="22"/>
          <w:lang w:val="en-US"/>
        </w:rPr>
        <w:t>tutela</w:t>
      </w:r>
      <w:r w:rsidR="007B0DE4" w:rsidRPr="002433F3">
        <w:rPr>
          <w:rFonts w:cs="Calibri"/>
          <w:szCs w:val="22"/>
          <w:lang w:val="en-US"/>
        </w:rPr>
        <w:t xml:space="preserve"> and appeal</w:t>
      </w:r>
      <w:r w:rsidR="00774C64" w:rsidRPr="002433F3">
        <w:rPr>
          <w:rFonts w:cs="Calibri"/>
          <w:szCs w:val="22"/>
          <w:lang w:val="en-US"/>
        </w:rPr>
        <w:t xml:space="preserve"> judges</w:t>
      </w:r>
      <w:r w:rsidR="007B0DE4" w:rsidRPr="002433F3">
        <w:rPr>
          <w:rFonts w:cs="Calibri"/>
          <w:szCs w:val="22"/>
          <w:lang w:val="en-US"/>
        </w:rPr>
        <w:t>, who stigmatized hi</w:t>
      </w:r>
      <w:r w:rsidR="00586DE1" w:rsidRPr="002433F3">
        <w:rPr>
          <w:rFonts w:cs="Calibri"/>
          <w:szCs w:val="22"/>
          <w:lang w:val="en-US"/>
        </w:rPr>
        <w:t>m for being homosexual;</w:t>
      </w:r>
      <w:r w:rsidR="0094675D" w:rsidRPr="002433F3">
        <w:rPr>
          <w:rFonts w:cs="Calibri"/>
          <w:szCs w:val="22"/>
          <w:lang w:val="en-US"/>
        </w:rPr>
        <w:t xml:space="preserve"> 2) the </w:t>
      </w:r>
      <w:r w:rsidR="007B0DE4" w:rsidRPr="002433F3">
        <w:rPr>
          <w:rFonts w:cs="Calibri"/>
          <w:szCs w:val="22"/>
          <w:lang w:val="en-US"/>
        </w:rPr>
        <w:t xml:space="preserve">alleged lack of medical care </w:t>
      </w:r>
      <w:r w:rsidRPr="002433F3">
        <w:rPr>
          <w:rFonts w:cs="Calibri"/>
          <w:szCs w:val="22"/>
          <w:lang w:val="en-US"/>
        </w:rPr>
        <w:t xml:space="preserve">provided to </w:t>
      </w:r>
      <w:r w:rsidR="007B0DE4" w:rsidRPr="002433F3">
        <w:rPr>
          <w:rFonts w:cs="Calibri"/>
          <w:szCs w:val="22"/>
          <w:lang w:val="en-US"/>
        </w:rPr>
        <w:t xml:space="preserve">Mr. Duque and its consequences </w:t>
      </w:r>
      <w:r w:rsidR="0094675D" w:rsidRPr="002433F3">
        <w:rPr>
          <w:rFonts w:cs="Calibri"/>
          <w:szCs w:val="22"/>
          <w:lang w:val="en-US"/>
        </w:rPr>
        <w:t>for his health; 3) the</w:t>
      </w:r>
      <w:r w:rsidR="007B0DE4" w:rsidRPr="002433F3">
        <w:rPr>
          <w:rFonts w:cs="Calibri"/>
          <w:szCs w:val="22"/>
          <w:lang w:val="en-US"/>
        </w:rPr>
        <w:t xml:space="preserve"> alleged difference </w:t>
      </w:r>
      <w:r w:rsidR="0094675D" w:rsidRPr="002433F3">
        <w:rPr>
          <w:rFonts w:cs="Calibri"/>
          <w:szCs w:val="22"/>
          <w:lang w:val="en-US"/>
        </w:rPr>
        <w:t xml:space="preserve">between </w:t>
      </w:r>
      <w:r w:rsidR="007B0DE4" w:rsidRPr="002433F3">
        <w:rPr>
          <w:rFonts w:cs="Calibri"/>
          <w:szCs w:val="22"/>
          <w:lang w:val="en-US"/>
        </w:rPr>
        <w:t xml:space="preserve">the medical care </w:t>
      </w:r>
      <w:r w:rsidRPr="002433F3">
        <w:rPr>
          <w:rFonts w:cs="Calibri"/>
          <w:szCs w:val="22"/>
          <w:lang w:val="en-US"/>
        </w:rPr>
        <w:t xml:space="preserve">offered </w:t>
      </w:r>
      <w:r w:rsidR="00586DE1" w:rsidRPr="002433F3">
        <w:rPr>
          <w:rFonts w:cs="Calibri"/>
          <w:szCs w:val="22"/>
          <w:lang w:val="en-US"/>
        </w:rPr>
        <w:t xml:space="preserve">under the </w:t>
      </w:r>
      <w:r w:rsidR="007B0DE4" w:rsidRPr="002433F3">
        <w:rPr>
          <w:rFonts w:cs="Calibri"/>
          <w:szCs w:val="22"/>
          <w:lang w:val="en-US"/>
        </w:rPr>
        <w:t>contri</w:t>
      </w:r>
      <w:r w:rsidR="0094675D" w:rsidRPr="002433F3">
        <w:rPr>
          <w:rFonts w:cs="Calibri"/>
          <w:szCs w:val="22"/>
          <w:lang w:val="en-US"/>
        </w:rPr>
        <w:t>bution</w:t>
      </w:r>
      <w:r w:rsidR="00586DE1" w:rsidRPr="002433F3">
        <w:rPr>
          <w:rFonts w:cs="Calibri"/>
          <w:szCs w:val="22"/>
          <w:lang w:val="en-US"/>
        </w:rPr>
        <w:t>s</w:t>
      </w:r>
      <w:r w:rsidR="0094675D" w:rsidRPr="002433F3">
        <w:rPr>
          <w:rFonts w:cs="Calibri"/>
          <w:szCs w:val="22"/>
          <w:lang w:val="en-US"/>
        </w:rPr>
        <w:t xml:space="preserve">-based </w:t>
      </w:r>
      <w:r w:rsidR="00632773" w:rsidRPr="002433F3">
        <w:rPr>
          <w:rFonts w:cs="Calibri"/>
          <w:szCs w:val="22"/>
          <w:lang w:val="en-US"/>
        </w:rPr>
        <w:t>s</w:t>
      </w:r>
      <w:r w:rsidRPr="002433F3">
        <w:rPr>
          <w:rFonts w:cs="Calibri"/>
          <w:szCs w:val="22"/>
          <w:lang w:val="en-US"/>
        </w:rPr>
        <w:t xml:space="preserve">cheme </w:t>
      </w:r>
      <w:r w:rsidR="0094675D" w:rsidRPr="002433F3">
        <w:rPr>
          <w:rFonts w:cs="Calibri"/>
          <w:szCs w:val="22"/>
          <w:lang w:val="en-US"/>
        </w:rPr>
        <w:t xml:space="preserve">and the </w:t>
      </w:r>
      <w:r w:rsidR="007B0DE4" w:rsidRPr="002433F3">
        <w:rPr>
          <w:rFonts w:cs="Calibri"/>
          <w:szCs w:val="22"/>
          <w:lang w:val="en-US"/>
        </w:rPr>
        <w:t>subsidi</w:t>
      </w:r>
      <w:r w:rsidR="0094675D" w:rsidRPr="002433F3">
        <w:rPr>
          <w:rFonts w:cs="Calibri"/>
          <w:szCs w:val="22"/>
          <w:lang w:val="en-US"/>
        </w:rPr>
        <w:t xml:space="preserve">zed </w:t>
      </w:r>
      <w:r w:rsidR="00632773" w:rsidRPr="002433F3">
        <w:rPr>
          <w:rFonts w:cs="Calibri"/>
          <w:szCs w:val="22"/>
          <w:lang w:val="en-US"/>
        </w:rPr>
        <w:t>s</w:t>
      </w:r>
      <w:r w:rsidR="00586DE1" w:rsidRPr="002433F3">
        <w:rPr>
          <w:rFonts w:cs="Calibri"/>
          <w:szCs w:val="22"/>
          <w:lang w:val="en-US"/>
        </w:rPr>
        <w:t xml:space="preserve">ystem </w:t>
      </w:r>
      <w:r w:rsidR="0094675D" w:rsidRPr="002433F3">
        <w:rPr>
          <w:rFonts w:cs="Calibri"/>
          <w:szCs w:val="22"/>
          <w:lang w:val="en-US"/>
        </w:rPr>
        <w:t xml:space="preserve">in Colombia and the </w:t>
      </w:r>
      <w:r w:rsidR="007B0DE4" w:rsidRPr="002433F3">
        <w:rPr>
          <w:rFonts w:cs="Calibri"/>
          <w:szCs w:val="22"/>
          <w:lang w:val="en-US"/>
        </w:rPr>
        <w:t>negat</w:t>
      </w:r>
      <w:r w:rsidR="0094675D" w:rsidRPr="002433F3">
        <w:rPr>
          <w:rFonts w:cs="Calibri"/>
          <w:szCs w:val="22"/>
          <w:lang w:val="en-US"/>
        </w:rPr>
        <w:t xml:space="preserve">ive effects </w:t>
      </w:r>
      <w:r w:rsidRPr="002433F3">
        <w:rPr>
          <w:rFonts w:cs="Calibri"/>
          <w:szCs w:val="22"/>
          <w:lang w:val="en-US"/>
        </w:rPr>
        <w:t xml:space="preserve">that </w:t>
      </w:r>
      <w:r w:rsidR="0094675D" w:rsidRPr="002433F3">
        <w:rPr>
          <w:rFonts w:cs="Calibri"/>
          <w:szCs w:val="22"/>
          <w:lang w:val="en-US"/>
        </w:rPr>
        <w:t xml:space="preserve">this difference </w:t>
      </w:r>
      <w:r w:rsidRPr="002433F3">
        <w:rPr>
          <w:rFonts w:cs="Calibri"/>
          <w:szCs w:val="22"/>
          <w:lang w:val="en-US"/>
        </w:rPr>
        <w:t xml:space="preserve">had </w:t>
      </w:r>
      <w:r w:rsidR="0094675D" w:rsidRPr="002433F3">
        <w:rPr>
          <w:rFonts w:cs="Calibri"/>
          <w:szCs w:val="22"/>
          <w:lang w:val="en-US"/>
        </w:rPr>
        <w:t>o</w:t>
      </w:r>
      <w:r w:rsidR="007B0DE4" w:rsidRPr="002433F3">
        <w:rPr>
          <w:rFonts w:cs="Calibri"/>
          <w:szCs w:val="22"/>
          <w:lang w:val="en-US"/>
        </w:rPr>
        <w:t>n Mr. Duque’s health. The representatives a</w:t>
      </w:r>
      <w:r w:rsidRPr="002433F3">
        <w:rPr>
          <w:rFonts w:cs="Calibri"/>
          <w:szCs w:val="22"/>
          <w:lang w:val="en-US"/>
        </w:rPr>
        <w:t xml:space="preserve">rgued </w:t>
      </w:r>
      <w:r w:rsidR="00586DE1" w:rsidRPr="002433F3">
        <w:rPr>
          <w:rFonts w:cs="Calibri"/>
          <w:szCs w:val="22"/>
          <w:lang w:val="en-US"/>
        </w:rPr>
        <w:t>that the</w:t>
      </w:r>
      <w:r w:rsidR="00D77E68" w:rsidRPr="002433F3">
        <w:rPr>
          <w:rFonts w:cs="Calibri"/>
          <w:szCs w:val="22"/>
          <w:lang w:val="en-US"/>
        </w:rPr>
        <w:t xml:space="preserve"> </w:t>
      </w:r>
      <w:r w:rsidR="007B0DE4" w:rsidRPr="002433F3">
        <w:rPr>
          <w:rFonts w:cs="Calibri"/>
          <w:szCs w:val="22"/>
          <w:lang w:val="en-US"/>
        </w:rPr>
        <w:t xml:space="preserve">violation </w:t>
      </w:r>
      <w:r w:rsidRPr="002433F3">
        <w:rPr>
          <w:rFonts w:cs="Calibri"/>
          <w:szCs w:val="22"/>
          <w:lang w:val="en-US"/>
        </w:rPr>
        <w:t xml:space="preserve">stems </w:t>
      </w:r>
      <w:r w:rsidR="007B0DE4" w:rsidRPr="002433F3">
        <w:rPr>
          <w:rFonts w:cs="Calibri"/>
          <w:szCs w:val="22"/>
          <w:lang w:val="en-US"/>
        </w:rPr>
        <w:t xml:space="preserve">directly </w:t>
      </w:r>
      <w:r w:rsidRPr="002433F3">
        <w:rPr>
          <w:rFonts w:cs="Calibri"/>
          <w:szCs w:val="22"/>
          <w:lang w:val="en-US"/>
        </w:rPr>
        <w:t xml:space="preserve">from the </w:t>
      </w:r>
      <w:r w:rsidR="007B0DE4" w:rsidRPr="002433F3">
        <w:rPr>
          <w:rFonts w:cs="Calibri"/>
          <w:szCs w:val="22"/>
          <w:lang w:val="en-US"/>
        </w:rPr>
        <w:t>lack of medical care</w:t>
      </w:r>
      <w:r w:rsidRPr="002433F3">
        <w:rPr>
          <w:rFonts w:cs="Calibri"/>
          <w:szCs w:val="22"/>
          <w:lang w:val="en-US"/>
        </w:rPr>
        <w:t xml:space="preserve"> received by Mr. Duque</w:t>
      </w:r>
      <w:r w:rsidR="007B0DE4" w:rsidRPr="002433F3">
        <w:rPr>
          <w:rFonts w:cs="Calibri"/>
          <w:szCs w:val="22"/>
          <w:lang w:val="en-US"/>
        </w:rPr>
        <w:t xml:space="preserve">, </w:t>
      </w:r>
      <w:r w:rsidRPr="002433F3">
        <w:rPr>
          <w:rFonts w:cs="Calibri"/>
          <w:szCs w:val="22"/>
          <w:lang w:val="en-US"/>
        </w:rPr>
        <w:t xml:space="preserve">owing to </w:t>
      </w:r>
      <w:r w:rsidR="007B0DE4" w:rsidRPr="002433F3">
        <w:rPr>
          <w:rFonts w:cs="Calibri"/>
          <w:szCs w:val="22"/>
          <w:lang w:val="en-US"/>
        </w:rPr>
        <w:t xml:space="preserve">his lack of financial resources to cover </w:t>
      </w:r>
      <w:r w:rsidR="00586DE1" w:rsidRPr="002433F3">
        <w:rPr>
          <w:rFonts w:cs="Calibri"/>
          <w:szCs w:val="22"/>
          <w:lang w:val="en-US"/>
        </w:rPr>
        <w:t xml:space="preserve">the cost </w:t>
      </w:r>
      <w:r w:rsidRPr="002433F3">
        <w:rPr>
          <w:rFonts w:cs="Calibri"/>
          <w:szCs w:val="22"/>
          <w:lang w:val="en-US"/>
        </w:rPr>
        <w:t xml:space="preserve">of </w:t>
      </w:r>
      <w:r w:rsidR="007B0DE4" w:rsidRPr="002433F3">
        <w:rPr>
          <w:rFonts w:cs="Calibri"/>
          <w:szCs w:val="22"/>
          <w:lang w:val="en-US"/>
        </w:rPr>
        <w:t>adequate trea</w:t>
      </w:r>
      <w:r w:rsidR="00742641" w:rsidRPr="002433F3">
        <w:rPr>
          <w:rFonts w:cs="Calibri"/>
          <w:szCs w:val="22"/>
          <w:lang w:val="en-US"/>
        </w:rPr>
        <w:t>tment for hi</w:t>
      </w:r>
      <w:r w:rsidRPr="002433F3">
        <w:rPr>
          <w:rFonts w:cs="Calibri"/>
          <w:szCs w:val="22"/>
          <w:lang w:val="en-US"/>
        </w:rPr>
        <w:t>s disease</w:t>
      </w:r>
      <w:r w:rsidR="00742641" w:rsidRPr="002433F3">
        <w:rPr>
          <w:rFonts w:cs="Calibri"/>
          <w:szCs w:val="22"/>
          <w:lang w:val="en-US"/>
        </w:rPr>
        <w:t>. According to the</w:t>
      </w:r>
      <w:r w:rsidR="007B0DE4" w:rsidRPr="002433F3">
        <w:rPr>
          <w:rFonts w:cs="Calibri"/>
          <w:szCs w:val="22"/>
          <w:lang w:val="en-US"/>
        </w:rPr>
        <w:t xml:space="preserve"> representatives, this situation p</w:t>
      </w:r>
      <w:r w:rsidR="005A4A9C" w:rsidRPr="002433F3">
        <w:rPr>
          <w:rFonts w:cs="Calibri"/>
          <w:szCs w:val="22"/>
          <w:lang w:val="en-US"/>
        </w:rPr>
        <w:t>laced a strong emotional burden on</w:t>
      </w:r>
      <w:r w:rsidR="007B0DE4" w:rsidRPr="002433F3">
        <w:rPr>
          <w:rFonts w:cs="Calibri"/>
          <w:szCs w:val="22"/>
          <w:lang w:val="en-US"/>
        </w:rPr>
        <w:t xml:space="preserve"> Mr. Duque, who had to seek funds to obtain his treatment. </w:t>
      </w:r>
    </w:p>
    <w:p w14:paraId="7A9BE311" w14:textId="77777777" w:rsidR="007B0DE4" w:rsidRPr="002433F3" w:rsidRDefault="00D77E68" w:rsidP="007B0DE4">
      <w:pPr>
        <w:numPr>
          <w:ilvl w:val="0"/>
          <w:numId w:val="2"/>
        </w:numPr>
        <w:spacing w:before="120" w:after="120"/>
        <w:rPr>
          <w:lang w:val="en-US"/>
        </w:rPr>
      </w:pPr>
      <w:r w:rsidRPr="002433F3">
        <w:rPr>
          <w:rFonts w:cs="Calibri"/>
          <w:szCs w:val="22"/>
          <w:lang w:val="en-US"/>
        </w:rPr>
        <w:t xml:space="preserve">As to the </w:t>
      </w:r>
      <w:r w:rsidR="007B0DE4" w:rsidRPr="002433F3">
        <w:rPr>
          <w:rFonts w:cs="Calibri"/>
          <w:szCs w:val="22"/>
          <w:lang w:val="en-US"/>
        </w:rPr>
        <w:t xml:space="preserve">alleged </w:t>
      </w:r>
      <w:r w:rsidR="004F124F" w:rsidRPr="002433F3">
        <w:rPr>
          <w:rFonts w:cs="Calibri"/>
          <w:szCs w:val="22"/>
          <w:lang w:val="en-US"/>
        </w:rPr>
        <w:t xml:space="preserve">harm </w:t>
      </w:r>
      <w:r w:rsidR="007B0DE4" w:rsidRPr="002433F3">
        <w:rPr>
          <w:rFonts w:cs="Calibri"/>
          <w:szCs w:val="22"/>
          <w:lang w:val="en-US"/>
        </w:rPr>
        <w:t xml:space="preserve">to Mr. </w:t>
      </w:r>
      <w:r w:rsidR="00570963" w:rsidRPr="002433F3">
        <w:rPr>
          <w:rFonts w:cs="Calibri"/>
          <w:szCs w:val="22"/>
          <w:lang w:val="en-US"/>
        </w:rPr>
        <w:t xml:space="preserve">Duque’s moral integrity </w:t>
      </w:r>
      <w:r w:rsidR="00B528E3" w:rsidRPr="002433F3">
        <w:rPr>
          <w:rFonts w:cs="Calibri"/>
          <w:szCs w:val="22"/>
          <w:lang w:val="en-US"/>
        </w:rPr>
        <w:t>caused by the decision</w:t>
      </w:r>
      <w:r w:rsidR="00827AF0" w:rsidRPr="002433F3">
        <w:rPr>
          <w:rFonts w:cs="Calibri"/>
          <w:szCs w:val="22"/>
          <w:lang w:val="en-US"/>
        </w:rPr>
        <w:t xml:space="preserve">s of COLFONDOS and </w:t>
      </w:r>
      <w:r w:rsidR="00B528E3" w:rsidRPr="002433F3">
        <w:rPr>
          <w:rFonts w:cs="Calibri"/>
          <w:szCs w:val="22"/>
          <w:lang w:val="en-US"/>
        </w:rPr>
        <w:t xml:space="preserve">the </w:t>
      </w:r>
      <w:r w:rsidR="007B0DE4" w:rsidRPr="002433F3">
        <w:rPr>
          <w:rFonts w:cs="Calibri"/>
          <w:i/>
          <w:szCs w:val="22"/>
          <w:lang w:val="en-US"/>
        </w:rPr>
        <w:t>tutela</w:t>
      </w:r>
      <w:r w:rsidR="007B0DE4" w:rsidRPr="002433F3">
        <w:rPr>
          <w:rFonts w:cs="Calibri"/>
          <w:szCs w:val="22"/>
          <w:lang w:val="en-US"/>
        </w:rPr>
        <w:t xml:space="preserve"> and appeal</w:t>
      </w:r>
      <w:r w:rsidR="00B528E3" w:rsidRPr="002433F3">
        <w:rPr>
          <w:rFonts w:cs="Calibri"/>
          <w:szCs w:val="22"/>
          <w:lang w:val="en-US"/>
        </w:rPr>
        <w:t xml:space="preserve"> </w:t>
      </w:r>
      <w:r w:rsidR="00827AF0" w:rsidRPr="002433F3">
        <w:rPr>
          <w:rFonts w:cs="Calibri"/>
          <w:szCs w:val="22"/>
          <w:lang w:val="en-US"/>
        </w:rPr>
        <w:t>judges</w:t>
      </w:r>
      <w:r w:rsidR="007B0DE4" w:rsidRPr="002433F3">
        <w:rPr>
          <w:rFonts w:cs="Calibri"/>
          <w:szCs w:val="22"/>
          <w:lang w:val="en-US"/>
        </w:rPr>
        <w:t xml:space="preserve">, the representatives </w:t>
      </w:r>
      <w:r w:rsidR="00827AF0" w:rsidRPr="002433F3">
        <w:rPr>
          <w:rFonts w:cs="Calibri"/>
          <w:szCs w:val="22"/>
          <w:lang w:val="en-US"/>
        </w:rPr>
        <w:t xml:space="preserve">argued </w:t>
      </w:r>
      <w:r w:rsidR="007B0DE4" w:rsidRPr="002433F3">
        <w:rPr>
          <w:rFonts w:cs="Calibri"/>
          <w:szCs w:val="22"/>
          <w:lang w:val="en-US"/>
        </w:rPr>
        <w:t xml:space="preserve">that </w:t>
      </w:r>
      <w:r w:rsidR="00B528E3" w:rsidRPr="002433F3">
        <w:rPr>
          <w:rFonts w:cs="Calibri"/>
          <w:szCs w:val="22"/>
          <w:lang w:val="en-US"/>
        </w:rPr>
        <w:t>the discrimination</w:t>
      </w:r>
      <w:r w:rsidR="007B0DE4" w:rsidRPr="002433F3">
        <w:rPr>
          <w:rFonts w:cs="Calibri"/>
          <w:szCs w:val="22"/>
          <w:lang w:val="en-US"/>
        </w:rPr>
        <w:t xml:space="preserve"> suffered by Mr. Duque and </w:t>
      </w:r>
      <w:r w:rsidR="00827AF0" w:rsidRPr="002433F3">
        <w:rPr>
          <w:rFonts w:cs="Calibri"/>
          <w:szCs w:val="22"/>
          <w:lang w:val="en-US"/>
        </w:rPr>
        <w:t xml:space="preserve">his </w:t>
      </w:r>
      <w:r w:rsidR="007B0DE4" w:rsidRPr="002433F3">
        <w:rPr>
          <w:rFonts w:cs="Calibri"/>
          <w:szCs w:val="22"/>
          <w:lang w:val="en-US"/>
        </w:rPr>
        <w:t>need to obtain medic</w:t>
      </w:r>
      <w:r w:rsidR="00827AF0" w:rsidRPr="002433F3">
        <w:rPr>
          <w:rFonts w:cs="Calibri"/>
          <w:szCs w:val="22"/>
          <w:lang w:val="en-US"/>
        </w:rPr>
        <w:t xml:space="preserve">ines </w:t>
      </w:r>
      <w:r w:rsidR="00570963" w:rsidRPr="002433F3">
        <w:rPr>
          <w:rFonts w:cs="Calibri"/>
          <w:szCs w:val="22"/>
          <w:lang w:val="en-US"/>
        </w:rPr>
        <w:t>c</w:t>
      </w:r>
      <w:r w:rsidR="00827AF0" w:rsidRPr="002433F3">
        <w:rPr>
          <w:rFonts w:cs="Calibri"/>
          <w:szCs w:val="22"/>
          <w:lang w:val="en-US"/>
        </w:rPr>
        <w:t xml:space="preserve">aused him </w:t>
      </w:r>
      <w:r w:rsidR="00570963" w:rsidRPr="002433F3">
        <w:rPr>
          <w:rFonts w:cs="Calibri"/>
          <w:szCs w:val="22"/>
          <w:lang w:val="en-US"/>
        </w:rPr>
        <w:t>a “tremendous</w:t>
      </w:r>
      <w:r w:rsidR="007B0DE4" w:rsidRPr="002433F3">
        <w:rPr>
          <w:rFonts w:cs="Calibri"/>
          <w:szCs w:val="22"/>
          <w:lang w:val="en-US"/>
        </w:rPr>
        <w:t xml:space="preserve"> emotional</w:t>
      </w:r>
      <w:r w:rsidR="00570963" w:rsidRPr="002433F3">
        <w:rPr>
          <w:rFonts w:cs="Calibri"/>
          <w:szCs w:val="22"/>
          <w:lang w:val="en-US"/>
        </w:rPr>
        <w:t xml:space="preserve"> burden</w:t>
      </w:r>
      <w:r w:rsidR="007B0DE4" w:rsidRPr="002433F3">
        <w:rPr>
          <w:rFonts w:cs="Calibri"/>
          <w:szCs w:val="22"/>
          <w:lang w:val="en-US"/>
        </w:rPr>
        <w:t xml:space="preserve">” that affected his personal integrity. </w:t>
      </w:r>
      <w:r w:rsidR="00253042" w:rsidRPr="002433F3">
        <w:rPr>
          <w:rFonts w:cs="Calibri"/>
          <w:szCs w:val="22"/>
          <w:lang w:val="en-US"/>
        </w:rPr>
        <w:t>However</w:t>
      </w:r>
      <w:r w:rsidR="007B0DE4" w:rsidRPr="002433F3">
        <w:rPr>
          <w:rFonts w:cs="Calibri"/>
          <w:szCs w:val="22"/>
          <w:lang w:val="en-US"/>
        </w:rPr>
        <w:t xml:space="preserve">, the Court observes that no evidence was provided of any </w:t>
      </w:r>
      <w:r w:rsidR="004F124F" w:rsidRPr="002433F3">
        <w:rPr>
          <w:rFonts w:cs="Calibri"/>
          <w:szCs w:val="22"/>
          <w:lang w:val="en-US"/>
        </w:rPr>
        <w:t xml:space="preserve">harm </w:t>
      </w:r>
      <w:r w:rsidR="007B0DE4" w:rsidRPr="002433F3">
        <w:rPr>
          <w:rFonts w:cs="Calibri"/>
          <w:szCs w:val="22"/>
          <w:lang w:val="en-US"/>
        </w:rPr>
        <w:t xml:space="preserve">to Mr. Duque’s psychological or moral integrity </w:t>
      </w:r>
      <w:r w:rsidR="00253042" w:rsidRPr="002433F3">
        <w:rPr>
          <w:rFonts w:cs="Calibri"/>
          <w:szCs w:val="22"/>
          <w:lang w:val="en-US"/>
        </w:rPr>
        <w:t xml:space="preserve">stemming </w:t>
      </w:r>
      <w:r w:rsidR="007B0DE4" w:rsidRPr="002433F3">
        <w:rPr>
          <w:rFonts w:cs="Calibri"/>
          <w:szCs w:val="22"/>
          <w:lang w:val="en-US"/>
        </w:rPr>
        <w:t xml:space="preserve">from the resolutions issued by COLFONDOS and the domestic courts. </w:t>
      </w:r>
    </w:p>
    <w:p w14:paraId="4962F5AB" w14:textId="77777777" w:rsidR="007B0DE4" w:rsidRPr="002433F3" w:rsidRDefault="004F124F" w:rsidP="007B0DE4">
      <w:pPr>
        <w:numPr>
          <w:ilvl w:val="0"/>
          <w:numId w:val="2"/>
        </w:numPr>
        <w:spacing w:before="120" w:after="120"/>
        <w:rPr>
          <w:lang w:val="en-US"/>
        </w:rPr>
      </w:pPr>
      <w:r w:rsidRPr="002433F3">
        <w:rPr>
          <w:rFonts w:cs="Calibri"/>
          <w:szCs w:val="22"/>
          <w:lang w:val="en-US"/>
        </w:rPr>
        <w:t xml:space="preserve">With regard to </w:t>
      </w:r>
      <w:r w:rsidR="00B92140" w:rsidRPr="002433F3">
        <w:rPr>
          <w:rFonts w:cs="Calibri"/>
          <w:szCs w:val="22"/>
          <w:lang w:val="en-US"/>
        </w:rPr>
        <w:t xml:space="preserve">the </w:t>
      </w:r>
      <w:r w:rsidR="007B0DE4" w:rsidRPr="002433F3">
        <w:rPr>
          <w:rFonts w:cs="Calibri"/>
          <w:szCs w:val="22"/>
          <w:lang w:val="en-US"/>
        </w:rPr>
        <w:t>alle</w:t>
      </w:r>
      <w:r w:rsidR="00570963" w:rsidRPr="002433F3">
        <w:rPr>
          <w:rFonts w:cs="Calibri"/>
          <w:szCs w:val="22"/>
          <w:lang w:val="en-US"/>
        </w:rPr>
        <w:t xml:space="preserve">ged lack of medical care and its </w:t>
      </w:r>
      <w:r w:rsidR="007B0DE4" w:rsidRPr="002433F3">
        <w:rPr>
          <w:rFonts w:cs="Calibri"/>
          <w:szCs w:val="22"/>
          <w:lang w:val="en-US"/>
        </w:rPr>
        <w:t xml:space="preserve">effects </w:t>
      </w:r>
      <w:r w:rsidR="00827AF0" w:rsidRPr="002433F3">
        <w:rPr>
          <w:rFonts w:cs="Calibri"/>
          <w:szCs w:val="22"/>
          <w:lang w:val="en-US"/>
        </w:rPr>
        <w:t>on</w:t>
      </w:r>
      <w:r w:rsidR="00570963" w:rsidRPr="002433F3">
        <w:rPr>
          <w:rFonts w:cs="Calibri"/>
          <w:szCs w:val="22"/>
          <w:lang w:val="en-US"/>
        </w:rPr>
        <w:t xml:space="preserve"> </w:t>
      </w:r>
      <w:r w:rsidR="007B0DE4" w:rsidRPr="002433F3">
        <w:rPr>
          <w:rFonts w:cs="Calibri"/>
          <w:szCs w:val="22"/>
          <w:lang w:val="en-US"/>
        </w:rPr>
        <w:t xml:space="preserve">Mr. Duque, the Court notes that according to the </w:t>
      </w:r>
      <w:r w:rsidR="00D77E68" w:rsidRPr="002433F3">
        <w:rPr>
          <w:rFonts w:cs="Calibri"/>
          <w:szCs w:val="22"/>
          <w:lang w:val="en-US"/>
        </w:rPr>
        <w:t xml:space="preserve">official letter sent by the </w:t>
      </w:r>
      <w:r w:rsidR="007B0DE4" w:rsidRPr="002433F3">
        <w:rPr>
          <w:rFonts w:cs="Calibri"/>
          <w:szCs w:val="22"/>
          <w:lang w:val="en-US"/>
        </w:rPr>
        <w:t xml:space="preserve">Ministry of Health on February 9, 2015, </w:t>
      </w:r>
      <w:r w:rsidR="00253042" w:rsidRPr="002433F3">
        <w:rPr>
          <w:rFonts w:cs="Calibri"/>
          <w:szCs w:val="22"/>
          <w:lang w:val="en-US"/>
        </w:rPr>
        <w:t>concerning health</w:t>
      </w:r>
      <w:r w:rsidR="00204BCA" w:rsidRPr="002433F3">
        <w:rPr>
          <w:rFonts w:cs="Calibri"/>
          <w:szCs w:val="22"/>
          <w:lang w:val="en-US"/>
        </w:rPr>
        <w:t xml:space="preserve"> matters</w:t>
      </w:r>
      <w:r w:rsidR="00253042" w:rsidRPr="002433F3">
        <w:rPr>
          <w:rFonts w:cs="Calibri"/>
          <w:szCs w:val="22"/>
          <w:lang w:val="en-US"/>
        </w:rPr>
        <w:t xml:space="preserve">, since 1995 and up until the present date, </w:t>
      </w:r>
      <w:r w:rsidR="00B92140" w:rsidRPr="002433F3">
        <w:rPr>
          <w:rFonts w:cs="Calibri"/>
          <w:szCs w:val="22"/>
          <w:lang w:val="en-US"/>
        </w:rPr>
        <w:t xml:space="preserve">Mr. Duque </w:t>
      </w:r>
      <w:r w:rsidR="00D77E68" w:rsidRPr="002433F3">
        <w:rPr>
          <w:rFonts w:cs="Calibri"/>
          <w:szCs w:val="22"/>
          <w:lang w:val="en-US"/>
        </w:rPr>
        <w:t xml:space="preserve">has been “compensated” </w:t>
      </w:r>
      <w:r w:rsidR="00B92140" w:rsidRPr="002433F3">
        <w:rPr>
          <w:rFonts w:cs="Calibri"/>
          <w:szCs w:val="22"/>
          <w:lang w:val="en-US"/>
        </w:rPr>
        <w:t xml:space="preserve">“for all the </w:t>
      </w:r>
      <w:r w:rsidR="007B0DE4" w:rsidRPr="002433F3">
        <w:rPr>
          <w:rFonts w:cs="Calibri"/>
          <w:szCs w:val="22"/>
          <w:lang w:val="en-US"/>
        </w:rPr>
        <w:t xml:space="preserve">periods </w:t>
      </w:r>
      <w:r w:rsidR="003619BD" w:rsidRPr="002433F3">
        <w:rPr>
          <w:rFonts w:cs="Calibri"/>
          <w:szCs w:val="22"/>
          <w:lang w:val="en-US"/>
        </w:rPr>
        <w:t>without interruption</w:t>
      </w:r>
      <w:r w:rsidR="00570963" w:rsidRPr="002433F3">
        <w:rPr>
          <w:rFonts w:cs="Calibri"/>
          <w:szCs w:val="22"/>
          <w:lang w:val="en-US"/>
        </w:rPr>
        <w:t xml:space="preserve">,” </w:t>
      </w:r>
      <w:r w:rsidR="006B646D" w:rsidRPr="002433F3">
        <w:rPr>
          <w:rFonts w:cs="Calibri"/>
          <w:szCs w:val="22"/>
          <w:lang w:val="en-US"/>
        </w:rPr>
        <w:t xml:space="preserve">being </w:t>
      </w:r>
      <w:r w:rsidR="00570963" w:rsidRPr="002433F3">
        <w:rPr>
          <w:rFonts w:cs="Calibri"/>
          <w:szCs w:val="22"/>
          <w:lang w:val="en-US"/>
        </w:rPr>
        <w:t>affiliated to “the</w:t>
      </w:r>
      <w:r w:rsidR="007B0DE4" w:rsidRPr="002433F3">
        <w:rPr>
          <w:rFonts w:cs="Calibri"/>
          <w:szCs w:val="22"/>
          <w:lang w:val="en-US"/>
        </w:rPr>
        <w:t xml:space="preserve"> New </w:t>
      </w:r>
      <w:r w:rsidR="00F039D7" w:rsidRPr="002433F3">
        <w:rPr>
          <w:rFonts w:cs="Calibri"/>
          <w:szCs w:val="22"/>
          <w:lang w:val="en-US"/>
        </w:rPr>
        <w:t xml:space="preserve">EPS S.A.” and </w:t>
      </w:r>
      <w:r w:rsidR="00C318EE" w:rsidRPr="002433F3">
        <w:rPr>
          <w:rFonts w:cs="Calibri"/>
          <w:szCs w:val="22"/>
          <w:lang w:val="en-US"/>
        </w:rPr>
        <w:t>the “</w:t>
      </w:r>
      <w:r w:rsidR="00F039D7" w:rsidRPr="002433F3">
        <w:rPr>
          <w:rFonts w:cs="Calibri"/>
          <w:i/>
          <w:szCs w:val="22"/>
          <w:lang w:val="en-US"/>
        </w:rPr>
        <w:t>Instituto de</w:t>
      </w:r>
      <w:r w:rsidR="007B0DE4" w:rsidRPr="002433F3">
        <w:rPr>
          <w:rFonts w:cs="Calibri"/>
          <w:i/>
          <w:szCs w:val="22"/>
          <w:lang w:val="en-US"/>
        </w:rPr>
        <w:t xml:space="preserve"> Seguros Social</w:t>
      </w:r>
      <w:r w:rsidR="00F039D7" w:rsidRPr="002433F3">
        <w:rPr>
          <w:rFonts w:cs="Calibri"/>
          <w:i/>
          <w:szCs w:val="22"/>
          <w:lang w:val="en-US"/>
        </w:rPr>
        <w:t>es</w:t>
      </w:r>
      <w:r w:rsidR="007B0DE4" w:rsidRPr="002433F3">
        <w:rPr>
          <w:rFonts w:cs="Calibri"/>
          <w:i/>
          <w:szCs w:val="22"/>
          <w:lang w:val="en-US"/>
        </w:rPr>
        <w:t xml:space="preserve"> E.P.S.</w:t>
      </w:r>
      <w:r w:rsidR="007B0DE4" w:rsidRPr="002433F3">
        <w:rPr>
          <w:rFonts w:cs="Calibri"/>
          <w:szCs w:val="22"/>
          <w:lang w:val="en-US"/>
        </w:rPr>
        <w:t xml:space="preserve">” since 1995 </w:t>
      </w:r>
      <w:r w:rsidR="00253042" w:rsidRPr="002433F3">
        <w:rPr>
          <w:rFonts w:cs="Calibri"/>
          <w:szCs w:val="22"/>
          <w:lang w:val="en-US"/>
        </w:rPr>
        <w:t xml:space="preserve">and up to </w:t>
      </w:r>
      <w:r w:rsidR="007B0DE4" w:rsidRPr="002433F3">
        <w:rPr>
          <w:rFonts w:cs="Calibri"/>
          <w:szCs w:val="22"/>
          <w:lang w:val="en-US"/>
        </w:rPr>
        <w:t>the present</w:t>
      </w:r>
      <w:r w:rsidR="00204BCA" w:rsidRPr="002433F3">
        <w:rPr>
          <w:rFonts w:cs="Calibri"/>
          <w:szCs w:val="22"/>
          <w:lang w:val="en-US"/>
        </w:rPr>
        <w:t xml:space="preserve"> date</w:t>
      </w:r>
      <w:r w:rsidR="007B0DE4" w:rsidRPr="002433F3">
        <w:rPr>
          <w:rFonts w:cs="Calibri"/>
          <w:szCs w:val="22"/>
          <w:lang w:val="en-US"/>
        </w:rPr>
        <w:t xml:space="preserve">. </w:t>
      </w:r>
      <w:r w:rsidR="00253042" w:rsidRPr="002433F3">
        <w:rPr>
          <w:rFonts w:cs="Calibri"/>
          <w:szCs w:val="22"/>
          <w:lang w:val="en-US"/>
        </w:rPr>
        <w:t xml:space="preserve">Moreover, an </w:t>
      </w:r>
      <w:r w:rsidR="00F039D7" w:rsidRPr="002433F3">
        <w:rPr>
          <w:rFonts w:cs="Calibri"/>
          <w:szCs w:val="22"/>
          <w:lang w:val="en-US"/>
        </w:rPr>
        <w:t>official letter</w:t>
      </w:r>
      <w:r w:rsidR="007B0DE4" w:rsidRPr="002433F3">
        <w:rPr>
          <w:rFonts w:cs="Calibri"/>
          <w:szCs w:val="22"/>
          <w:lang w:val="en-US"/>
        </w:rPr>
        <w:t xml:space="preserve"> </w:t>
      </w:r>
      <w:r w:rsidR="008A746C" w:rsidRPr="002433F3">
        <w:rPr>
          <w:rFonts w:cs="Calibri"/>
          <w:szCs w:val="22"/>
          <w:lang w:val="en-US"/>
        </w:rPr>
        <w:t xml:space="preserve">forwarded by </w:t>
      </w:r>
      <w:r w:rsidR="00C318EE" w:rsidRPr="002433F3">
        <w:rPr>
          <w:rFonts w:cs="Calibri"/>
          <w:szCs w:val="22"/>
          <w:lang w:val="en-US"/>
        </w:rPr>
        <w:t>the Ministry</w:t>
      </w:r>
      <w:r w:rsidR="008A746C" w:rsidRPr="002433F3">
        <w:rPr>
          <w:rFonts w:cs="Calibri"/>
          <w:szCs w:val="22"/>
          <w:lang w:val="en-US"/>
        </w:rPr>
        <w:t xml:space="preserve"> of Health on</w:t>
      </w:r>
      <w:r w:rsidR="007B0DE4" w:rsidRPr="002433F3">
        <w:rPr>
          <w:rFonts w:cs="Calibri"/>
          <w:szCs w:val="22"/>
          <w:lang w:val="en-US"/>
        </w:rPr>
        <w:t xml:space="preserve"> March 25, 2015, </w:t>
      </w:r>
      <w:r w:rsidR="00253042" w:rsidRPr="002433F3">
        <w:rPr>
          <w:rFonts w:cs="Calibri"/>
          <w:szCs w:val="22"/>
          <w:lang w:val="en-US"/>
        </w:rPr>
        <w:t xml:space="preserve">states that there is </w:t>
      </w:r>
      <w:r w:rsidR="007B0DE4" w:rsidRPr="002433F3">
        <w:rPr>
          <w:rFonts w:cs="Calibri"/>
          <w:szCs w:val="22"/>
          <w:lang w:val="en-US"/>
        </w:rPr>
        <w:t xml:space="preserve">“no evidence </w:t>
      </w:r>
      <w:r w:rsidR="00253042" w:rsidRPr="002433F3">
        <w:rPr>
          <w:rFonts w:cs="Calibri"/>
          <w:szCs w:val="22"/>
          <w:lang w:val="en-US"/>
        </w:rPr>
        <w:t xml:space="preserve">of </w:t>
      </w:r>
      <w:r w:rsidR="007B0DE4" w:rsidRPr="002433F3">
        <w:rPr>
          <w:rFonts w:cs="Calibri"/>
          <w:szCs w:val="22"/>
          <w:lang w:val="en-US"/>
        </w:rPr>
        <w:t xml:space="preserve">interruptions in </w:t>
      </w:r>
      <w:r w:rsidR="00253042" w:rsidRPr="002433F3">
        <w:rPr>
          <w:rFonts w:cs="Calibri"/>
          <w:szCs w:val="22"/>
          <w:lang w:val="en-GB"/>
        </w:rPr>
        <w:t>(</w:t>
      </w:r>
      <w:r w:rsidR="00253042" w:rsidRPr="002433F3">
        <w:rPr>
          <w:rFonts w:cs="Calibri"/>
          <w:szCs w:val="22"/>
          <w:lang w:val="en-US"/>
        </w:rPr>
        <w:t>Mr. Ángel Alberto Duque’s)</w:t>
      </w:r>
      <w:r w:rsidR="008A746C" w:rsidRPr="002433F3">
        <w:rPr>
          <w:rFonts w:cs="Calibri"/>
          <w:szCs w:val="22"/>
          <w:lang w:val="en-US"/>
        </w:rPr>
        <w:t xml:space="preserve"> </w:t>
      </w:r>
      <w:r w:rsidR="00204BCA" w:rsidRPr="002433F3">
        <w:rPr>
          <w:rFonts w:cs="Calibri"/>
          <w:szCs w:val="22"/>
          <w:lang w:val="en-US"/>
        </w:rPr>
        <w:t xml:space="preserve">affiliation </w:t>
      </w:r>
      <w:r w:rsidR="007B0DE4" w:rsidRPr="002433F3">
        <w:rPr>
          <w:rFonts w:cs="Calibri"/>
          <w:szCs w:val="22"/>
          <w:lang w:val="en-US"/>
        </w:rPr>
        <w:t xml:space="preserve">since May 1985 </w:t>
      </w:r>
      <w:r w:rsidR="00253042" w:rsidRPr="002433F3">
        <w:rPr>
          <w:rFonts w:cs="Calibri"/>
          <w:szCs w:val="22"/>
          <w:lang w:val="en-US"/>
        </w:rPr>
        <w:t xml:space="preserve">and up to </w:t>
      </w:r>
      <w:r w:rsidR="007B0DE4" w:rsidRPr="002433F3">
        <w:rPr>
          <w:rFonts w:cs="Calibri"/>
          <w:szCs w:val="22"/>
          <w:lang w:val="en-US"/>
        </w:rPr>
        <w:t>the present date.”</w:t>
      </w:r>
      <w:r w:rsidR="007B0DE4" w:rsidRPr="002433F3">
        <w:rPr>
          <w:rStyle w:val="Refdenotaalpie"/>
          <w:lang w:val="en-US"/>
        </w:rPr>
        <w:footnoteReference w:id="159"/>
      </w:r>
      <w:r w:rsidR="007B0DE4" w:rsidRPr="002433F3">
        <w:rPr>
          <w:rFonts w:cs="Calibri"/>
          <w:szCs w:val="22"/>
          <w:lang w:val="en-US"/>
        </w:rPr>
        <w:t xml:space="preserve"> These officia</w:t>
      </w:r>
      <w:r w:rsidR="00253042" w:rsidRPr="002433F3">
        <w:rPr>
          <w:rFonts w:cs="Calibri"/>
          <w:szCs w:val="22"/>
          <w:lang w:val="en-US"/>
        </w:rPr>
        <w:t xml:space="preserve">l letters were not challenged </w:t>
      </w:r>
      <w:r w:rsidR="007B0DE4" w:rsidRPr="002433F3">
        <w:rPr>
          <w:rFonts w:cs="Calibri"/>
          <w:szCs w:val="22"/>
          <w:lang w:val="en-US"/>
        </w:rPr>
        <w:t xml:space="preserve">by </w:t>
      </w:r>
      <w:r w:rsidR="00C318EE" w:rsidRPr="002433F3">
        <w:rPr>
          <w:rFonts w:cs="Calibri"/>
          <w:szCs w:val="22"/>
          <w:lang w:val="en-US"/>
        </w:rPr>
        <w:t>the representatives</w:t>
      </w:r>
      <w:r w:rsidR="007B0DE4" w:rsidRPr="002433F3">
        <w:rPr>
          <w:rFonts w:cs="Calibri"/>
          <w:szCs w:val="22"/>
          <w:lang w:val="en-US"/>
        </w:rPr>
        <w:t>.</w:t>
      </w:r>
    </w:p>
    <w:p w14:paraId="747780A7" w14:textId="77777777" w:rsidR="007B0DE4" w:rsidRPr="002433F3" w:rsidRDefault="00204BCA" w:rsidP="007B0DE4">
      <w:pPr>
        <w:pStyle w:val="PrrafodeSentencia0"/>
        <w:rPr>
          <w:noProof w:val="0"/>
          <w:lang w:val="en-US"/>
        </w:rPr>
      </w:pPr>
      <w:r w:rsidRPr="002433F3">
        <w:rPr>
          <w:rFonts w:cs="Calibri"/>
          <w:noProof w:val="0"/>
          <w:szCs w:val="22"/>
          <w:lang w:val="en-US"/>
        </w:rPr>
        <w:t>On another front, t</w:t>
      </w:r>
      <w:r w:rsidR="007B0DE4" w:rsidRPr="002433F3">
        <w:rPr>
          <w:rFonts w:cs="Calibri"/>
          <w:noProof w:val="0"/>
          <w:szCs w:val="22"/>
          <w:lang w:val="en-US"/>
        </w:rPr>
        <w:t>he Court</w:t>
      </w:r>
      <w:r w:rsidR="00F039D7" w:rsidRPr="002433F3">
        <w:rPr>
          <w:noProof w:val="0"/>
          <w:lang w:val="en-US"/>
        </w:rPr>
        <w:t xml:space="preserve"> confirms that in the </w:t>
      </w:r>
      <w:r w:rsidR="007B0DE4" w:rsidRPr="002433F3">
        <w:rPr>
          <w:i/>
          <w:noProof w:val="0"/>
          <w:lang w:val="en-US"/>
        </w:rPr>
        <w:t>tutela</w:t>
      </w:r>
      <w:r w:rsidR="008A746C" w:rsidRPr="002433F3">
        <w:rPr>
          <w:noProof w:val="0"/>
          <w:lang w:val="en-US"/>
        </w:rPr>
        <w:t xml:space="preserve"> ruling, the </w:t>
      </w:r>
      <w:r w:rsidR="007B0DE4" w:rsidRPr="002433F3">
        <w:rPr>
          <w:noProof w:val="0"/>
          <w:lang w:val="en-US"/>
        </w:rPr>
        <w:t xml:space="preserve">Tenth Municipal Civil Court of Bogotá </w:t>
      </w:r>
      <w:r w:rsidR="008A746C" w:rsidRPr="002433F3">
        <w:rPr>
          <w:noProof w:val="0"/>
          <w:lang w:val="en-US"/>
        </w:rPr>
        <w:t xml:space="preserve">advised </w:t>
      </w:r>
      <w:r w:rsidR="007B0DE4" w:rsidRPr="002433F3">
        <w:rPr>
          <w:noProof w:val="0"/>
          <w:lang w:val="en-US"/>
        </w:rPr>
        <w:t xml:space="preserve">Mr. Duque that </w:t>
      </w:r>
      <w:r w:rsidR="008A746C" w:rsidRPr="002433F3">
        <w:rPr>
          <w:noProof w:val="0"/>
          <w:lang w:val="en-US"/>
        </w:rPr>
        <w:t xml:space="preserve">if his </w:t>
      </w:r>
      <w:r w:rsidR="007B0DE4" w:rsidRPr="002433F3">
        <w:rPr>
          <w:rFonts w:cs="Calibri"/>
          <w:noProof w:val="0"/>
          <w:lang w:val="en-US"/>
        </w:rPr>
        <w:t xml:space="preserve">intention </w:t>
      </w:r>
      <w:r w:rsidR="008A746C" w:rsidRPr="002433F3">
        <w:rPr>
          <w:rFonts w:cs="Calibri"/>
          <w:noProof w:val="0"/>
          <w:lang w:val="en-US"/>
        </w:rPr>
        <w:t xml:space="preserve">was to </w:t>
      </w:r>
      <w:r w:rsidR="007B0DE4" w:rsidRPr="002433F3">
        <w:rPr>
          <w:rFonts w:cs="Calibri"/>
          <w:noProof w:val="0"/>
          <w:lang w:val="en-US"/>
        </w:rPr>
        <w:t xml:space="preserve">obtain </w:t>
      </w:r>
      <w:r w:rsidR="008A746C" w:rsidRPr="002433F3">
        <w:rPr>
          <w:rFonts w:cs="Calibri"/>
          <w:noProof w:val="0"/>
          <w:lang w:val="en-US"/>
        </w:rPr>
        <w:t xml:space="preserve">some type </w:t>
      </w:r>
      <w:r w:rsidR="007B0DE4" w:rsidRPr="002433F3">
        <w:rPr>
          <w:rFonts w:cs="Calibri"/>
          <w:noProof w:val="0"/>
          <w:lang w:val="en-US"/>
        </w:rPr>
        <w:t xml:space="preserve">of social security </w:t>
      </w:r>
      <w:r w:rsidR="00CE5D78" w:rsidRPr="002433F3">
        <w:rPr>
          <w:rFonts w:cs="Calibri"/>
          <w:noProof w:val="0"/>
          <w:lang w:val="en-US"/>
        </w:rPr>
        <w:t xml:space="preserve">health services, </w:t>
      </w:r>
      <w:r w:rsidR="008A746C" w:rsidRPr="002433F3">
        <w:rPr>
          <w:rFonts w:cs="Calibri"/>
          <w:noProof w:val="0"/>
          <w:lang w:val="en-US"/>
        </w:rPr>
        <w:t xml:space="preserve">he could </w:t>
      </w:r>
      <w:r w:rsidR="00CE5D78" w:rsidRPr="002433F3">
        <w:rPr>
          <w:rFonts w:cs="Calibri"/>
          <w:noProof w:val="0"/>
          <w:lang w:val="en-US"/>
        </w:rPr>
        <w:t xml:space="preserve">turn </w:t>
      </w:r>
      <w:r w:rsidR="00F039D7" w:rsidRPr="002433F3">
        <w:rPr>
          <w:rFonts w:cs="Calibri"/>
          <w:noProof w:val="0"/>
          <w:lang w:val="en-US"/>
        </w:rPr>
        <w:t xml:space="preserve">to </w:t>
      </w:r>
      <w:r w:rsidR="008A746C" w:rsidRPr="002433F3">
        <w:rPr>
          <w:rFonts w:cs="Calibri"/>
          <w:noProof w:val="0"/>
          <w:lang w:val="en-US"/>
        </w:rPr>
        <w:t>public health institutions</w:t>
      </w:r>
      <w:r w:rsidR="007B0DE4" w:rsidRPr="002433F3">
        <w:rPr>
          <w:rFonts w:cs="Calibri"/>
          <w:noProof w:val="0"/>
          <w:lang w:val="en-US"/>
        </w:rPr>
        <w:t xml:space="preserve"> that exist</w:t>
      </w:r>
      <w:r w:rsidR="008A746C" w:rsidRPr="002433F3">
        <w:rPr>
          <w:rFonts w:cs="Calibri"/>
          <w:noProof w:val="0"/>
          <w:lang w:val="en-US"/>
        </w:rPr>
        <w:t xml:space="preserve">ed </w:t>
      </w:r>
      <w:r w:rsidR="007B0DE4" w:rsidRPr="002433F3">
        <w:rPr>
          <w:rFonts w:cs="Calibri"/>
          <w:noProof w:val="0"/>
          <w:lang w:val="en-US"/>
        </w:rPr>
        <w:t xml:space="preserve">to protect </w:t>
      </w:r>
      <w:r w:rsidR="00CE5D78" w:rsidRPr="002433F3">
        <w:rPr>
          <w:rFonts w:cs="Calibri"/>
          <w:noProof w:val="0"/>
          <w:lang w:val="en-US"/>
        </w:rPr>
        <w:t xml:space="preserve">those who do not have the financial means to pay, such as </w:t>
      </w:r>
      <w:r w:rsidR="007B0DE4" w:rsidRPr="002433F3">
        <w:rPr>
          <w:rFonts w:cs="Calibri"/>
          <w:noProof w:val="0"/>
          <w:lang w:val="en-US"/>
        </w:rPr>
        <w:t>the program offered by “SISBEN” (</w:t>
      </w:r>
      <w:r w:rsidR="007B0DE4" w:rsidRPr="002433F3">
        <w:rPr>
          <w:rFonts w:eastAsia="Batang" w:cs="Calibri"/>
          <w:bCs w:val="0"/>
          <w:noProof w:val="0"/>
          <w:lang w:val="en-US" w:eastAsia="x-none"/>
        </w:rPr>
        <w:t xml:space="preserve">System of Identification of Potential Beneficiaries </w:t>
      </w:r>
      <w:r w:rsidR="00CE5D78" w:rsidRPr="002433F3">
        <w:rPr>
          <w:rFonts w:eastAsia="Batang" w:cs="Calibri"/>
          <w:bCs w:val="0"/>
          <w:noProof w:val="0"/>
          <w:lang w:val="en-US" w:eastAsia="x-none"/>
        </w:rPr>
        <w:t xml:space="preserve">for </w:t>
      </w:r>
      <w:r w:rsidR="007B0DE4" w:rsidRPr="002433F3">
        <w:rPr>
          <w:rFonts w:eastAsia="Batang" w:cs="Calibri"/>
          <w:bCs w:val="0"/>
          <w:noProof w:val="0"/>
          <w:lang w:val="en-US" w:eastAsia="x-none"/>
        </w:rPr>
        <w:t>Social</w:t>
      </w:r>
      <w:r w:rsidR="00CE5D78" w:rsidRPr="002433F3">
        <w:rPr>
          <w:rFonts w:eastAsia="Batang" w:cs="Calibri"/>
          <w:bCs w:val="0"/>
          <w:noProof w:val="0"/>
          <w:lang w:val="en-US" w:eastAsia="x-none"/>
        </w:rPr>
        <w:t xml:space="preserve"> Programs</w:t>
      </w:r>
      <w:r w:rsidR="007B0DE4" w:rsidRPr="002433F3">
        <w:rPr>
          <w:rFonts w:eastAsia="Batang" w:cs="Calibri"/>
          <w:bCs w:val="0"/>
          <w:noProof w:val="0"/>
          <w:lang w:val="en-US" w:eastAsia="x-none"/>
        </w:rPr>
        <w:t>)</w:t>
      </w:r>
      <w:r w:rsidR="007B0DE4" w:rsidRPr="002433F3">
        <w:rPr>
          <w:rFonts w:cs="Calibri"/>
          <w:noProof w:val="0"/>
          <w:lang w:val="en-US"/>
        </w:rPr>
        <w:t>.</w:t>
      </w:r>
    </w:p>
    <w:p w14:paraId="278F7736" w14:textId="77777777" w:rsidR="007B0DE4" w:rsidRPr="002433F3" w:rsidRDefault="007B0DE4" w:rsidP="007B0DE4">
      <w:pPr>
        <w:numPr>
          <w:ilvl w:val="0"/>
          <w:numId w:val="2"/>
        </w:numPr>
        <w:spacing w:before="120" w:after="120"/>
        <w:rPr>
          <w:szCs w:val="20"/>
          <w:lang w:val="en-US"/>
        </w:rPr>
      </w:pPr>
      <w:r w:rsidRPr="002433F3">
        <w:rPr>
          <w:rFonts w:cs="Calibri"/>
          <w:szCs w:val="22"/>
          <w:lang w:val="en-US"/>
        </w:rPr>
        <w:t xml:space="preserve">The Court </w:t>
      </w:r>
      <w:r w:rsidR="008A746C" w:rsidRPr="002433F3">
        <w:rPr>
          <w:rFonts w:cs="Calibri"/>
          <w:szCs w:val="22"/>
          <w:lang w:val="en-US"/>
        </w:rPr>
        <w:t xml:space="preserve">emphasizes </w:t>
      </w:r>
      <w:r w:rsidR="00204BCA" w:rsidRPr="002433F3">
        <w:rPr>
          <w:rFonts w:cs="Calibri"/>
          <w:szCs w:val="22"/>
          <w:lang w:val="en-US"/>
        </w:rPr>
        <w:t>the fact that no medical reports, analyse</w:t>
      </w:r>
      <w:r w:rsidRPr="002433F3">
        <w:rPr>
          <w:rFonts w:cs="Calibri"/>
          <w:szCs w:val="22"/>
          <w:lang w:val="en-US"/>
        </w:rPr>
        <w:t xml:space="preserve">s or evidence of </w:t>
      </w:r>
      <w:r w:rsidR="008A746C" w:rsidRPr="002433F3">
        <w:rPr>
          <w:rFonts w:cs="Calibri"/>
          <w:szCs w:val="22"/>
          <w:lang w:val="en-US"/>
        </w:rPr>
        <w:t>any</w:t>
      </w:r>
      <w:r w:rsidR="00CE5D78" w:rsidRPr="002433F3">
        <w:rPr>
          <w:rFonts w:cs="Calibri"/>
          <w:szCs w:val="22"/>
          <w:lang w:val="en-US"/>
        </w:rPr>
        <w:t xml:space="preserve"> kind</w:t>
      </w:r>
      <w:r w:rsidR="008A746C" w:rsidRPr="002433F3">
        <w:rPr>
          <w:rFonts w:cs="Calibri"/>
          <w:szCs w:val="22"/>
          <w:lang w:val="en-US"/>
        </w:rPr>
        <w:t xml:space="preserve"> </w:t>
      </w:r>
      <w:r w:rsidRPr="002433F3">
        <w:rPr>
          <w:rFonts w:cs="Calibri"/>
          <w:szCs w:val="22"/>
          <w:lang w:val="en-US"/>
        </w:rPr>
        <w:t>were provided to demonstrate that Mr. Duque had suffered health problems or that the State ha</w:t>
      </w:r>
      <w:r w:rsidR="00742641" w:rsidRPr="002433F3">
        <w:rPr>
          <w:rFonts w:cs="Calibri"/>
          <w:szCs w:val="22"/>
          <w:lang w:val="en-US"/>
        </w:rPr>
        <w:t xml:space="preserve">d suspended his </w:t>
      </w:r>
      <w:r w:rsidRPr="002433F3">
        <w:rPr>
          <w:rFonts w:cs="Calibri"/>
          <w:szCs w:val="22"/>
          <w:lang w:val="en-US"/>
        </w:rPr>
        <w:t xml:space="preserve">medical assistance. </w:t>
      </w:r>
      <w:r w:rsidR="00204BCA" w:rsidRPr="002433F3">
        <w:rPr>
          <w:rFonts w:cs="Calibri"/>
          <w:szCs w:val="22"/>
          <w:lang w:val="en-US"/>
        </w:rPr>
        <w:t xml:space="preserve">Moreover, </w:t>
      </w:r>
      <w:r w:rsidR="008A746C" w:rsidRPr="002433F3">
        <w:rPr>
          <w:rFonts w:cs="Calibri"/>
          <w:szCs w:val="22"/>
          <w:lang w:val="en-US"/>
        </w:rPr>
        <w:t>had it been necessary</w:t>
      </w:r>
      <w:r w:rsidRPr="002433F3">
        <w:rPr>
          <w:rFonts w:cs="Calibri"/>
          <w:szCs w:val="22"/>
          <w:lang w:val="en-US"/>
        </w:rPr>
        <w:t xml:space="preserve">, Mr. Duque </w:t>
      </w:r>
      <w:r w:rsidR="008A746C" w:rsidRPr="002433F3">
        <w:rPr>
          <w:rFonts w:cs="Calibri"/>
          <w:szCs w:val="22"/>
          <w:lang w:val="en-US"/>
        </w:rPr>
        <w:t xml:space="preserve">could have </w:t>
      </w:r>
      <w:r w:rsidR="00CE5D78" w:rsidRPr="002433F3">
        <w:rPr>
          <w:rFonts w:cs="Calibri"/>
          <w:szCs w:val="22"/>
          <w:lang w:val="en-US"/>
        </w:rPr>
        <w:t xml:space="preserve">applied </w:t>
      </w:r>
      <w:r w:rsidR="008A746C" w:rsidRPr="002433F3">
        <w:rPr>
          <w:rFonts w:cs="Calibri"/>
          <w:szCs w:val="22"/>
          <w:lang w:val="en-US"/>
        </w:rPr>
        <w:t xml:space="preserve">to the </w:t>
      </w:r>
      <w:r w:rsidRPr="002433F3">
        <w:rPr>
          <w:rFonts w:cs="Calibri"/>
          <w:szCs w:val="22"/>
          <w:lang w:val="en-US"/>
        </w:rPr>
        <w:t xml:space="preserve">subsidized </w:t>
      </w:r>
      <w:r w:rsidR="00632773" w:rsidRPr="002433F3">
        <w:rPr>
          <w:rFonts w:cs="Calibri"/>
          <w:szCs w:val="22"/>
          <w:lang w:val="en-US"/>
        </w:rPr>
        <w:t>s</w:t>
      </w:r>
      <w:r w:rsidR="00CE5D78" w:rsidRPr="002433F3">
        <w:rPr>
          <w:rFonts w:cs="Calibri"/>
          <w:szCs w:val="22"/>
          <w:lang w:val="en-US"/>
        </w:rPr>
        <w:t xml:space="preserve">ystem </w:t>
      </w:r>
      <w:r w:rsidR="008A746C" w:rsidRPr="002433F3">
        <w:rPr>
          <w:rFonts w:cs="Calibri"/>
          <w:szCs w:val="22"/>
          <w:lang w:val="en-US"/>
        </w:rPr>
        <w:t xml:space="preserve">to </w:t>
      </w:r>
      <w:r w:rsidRPr="002433F3">
        <w:rPr>
          <w:rFonts w:cs="Calibri"/>
          <w:szCs w:val="22"/>
          <w:lang w:val="en-US"/>
        </w:rPr>
        <w:t xml:space="preserve">receive </w:t>
      </w:r>
      <w:r w:rsidR="008A746C" w:rsidRPr="002433F3">
        <w:rPr>
          <w:rFonts w:cs="Calibri"/>
          <w:szCs w:val="22"/>
          <w:lang w:val="en-US"/>
        </w:rPr>
        <w:t xml:space="preserve">the </w:t>
      </w:r>
      <w:r w:rsidRPr="002433F3">
        <w:rPr>
          <w:rFonts w:cs="Calibri"/>
          <w:szCs w:val="22"/>
          <w:lang w:val="en-US"/>
        </w:rPr>
        <w:t xml:space="preserve">medical care </w:t>
      </w:r>
      <w:r w:rsidR="008A746C" w:rsidRPr="002433F3">
        <w:rPr>
          <w:rFonts w:cs="Calibri"/>
          <w:szCs w:val="22"/>
          <w:lang w:val="en-US"/>
        </w:rPr>
        <w:t xml:space="preserve">he </w:t>
      </w:r>
      <w:r w:rsidR="00204BCA" w:rsidRPr="002433F3">
        <w:rPr>
          <w:rFonts w:cs="Calibri"/>
          <w:szCs w:val="22"/>
          <w:lang w:val="en-US"/>
        </w:rPr>
        <w:t>required</w:t>
      </w:r>
      <w:r w:rsidRPr="002433F3">
        <w:rPr>
          <w:rFonts w:cs="Calibri"/>
          <w:szCs w:val="22"/>
          <w:lang w:val="en-US"/>
        </w:rPr>
        <w:t>.</w:t>
      </w:r>
    </w:p>
    <w:p w14:paraId="45DD25DD" w14:textId="77777777" w:rsidR="007B0DE4" w:rsidRPr="002433F3" w:rsidRDefault="00B469D5" w:rsidP="007B0DE4">
      <w:pPr>
        <w:numPr>
          <w:ilvl w:val="0"/>
          <w:numId w:val="2"/>
        </w:numPr>
        <w:spacing w:before="120" w:after="120"/>
        <w:rPr>
          <w:szCs w:val="20"/>
          <w:lang w:val="en-US"/>
        </w:rPr>
      </w:pPr>
      <w:r w:rsidRPr="002433F3">
        <w:rPr>
          <w:rFonts w:cs="Calibri"/>
          <w:szCs w:val="22"/>
          <w:lang w:val="en-US"/>
        </w:rPr>
        <w:t xml:space="preserve">With respect to </w:t>
      </w:r>
      <w:r w:rsidR="007B0DE4" w:rsidRPr="002433F3">
        <w:rPr>
          <w:rFonts w:cs="Calibri"/>
          <w:szCs w:val="22"/>
          <w:lang w:val="en-US"/>
        </w:rPr>
        <w:t>the differences between the contribut</w:t>
      </w:r>
      <w:r w:rsidR="00204BCA" w:rsidRPr="002433F3">
        <w:rPr>
          <w:rFonts w:cs="Calibri"/>
          <w:szCs w:val="22"/>
          <w:lang w:val="en-US"/>
        </w:rPr>
        <w:t xml:space="preserve">ory </w:t>
      </w:r>
      <w:r w:rsidR="007B0DE4" w:rsidRPr="002433F3">
        <w:rPr>
          <w:rFonts w:cs="Calibri"/>
          <w:szCs w:val="22"/>
          <w:lang w:val="en-US"/>
        </w:rPr>
        <w:t xml:space="preserve">and </w:t>
      </w:r>
      <w:r w:rsidRPr="002433F3">
        <w:rPr>
          <w:rFonts w:cs="Calibri"/>
          <w:szCs w:val="22"/>
          <w:lang w:val="en-US"/>
        </w:rPr>
        <w:t xml:space="preserve">the </w:t>
      </w:r>
      <w:r w:rsidR="007B0DE4" w:rsidRPr="002433F3">
        <w:rPr>
          <w:rFonts w:cs="Calibri"/>
          <w:szCs w:val="22"/>
          <w:lang w:val="en-US"/>
        </w:rPr>
        <w:t xml:space="preserve">subsidized </w:t>
      </w:r>
      <w:r w:rsidRPr="002433F3">
        <w:rPr>
          <w:rFonts w:cs="Calibri"/>
          <w:szCs w:val="22"/>
          <w:lang w:val="en-US"/>
        </w:rPr>
        <w:t xml:space="preserve">health </w:t>
      </w:r>
      <w:r w:rsidR="00632773" w:rsidRPr="002433F3">
        <w:rPr>
          <w:rFonts w:cs="Calibri"/>
          <w:szCs w:val="22"/>
          <w:lang w:val="en-US"/>
        </w:rPr>
        <w:t>s</w:t>
      </w:r>
      <w:r w:rsidRPr="002433F3">
        <w:rPr>
          <w:rFonts w:cs="Calibri"/>
          <w:szCs w:val="22"/>
          <w:lang w:val="en-US"/>
        </w:rPr>
        <w:t xml:space="preserve">ystems </w:t>
      </w:r>
      <w:r w:rsidR="007B0DE4" w:rsidRPr="002433F3">
        <w:rPr>
          <w:rFonts w:cs="Calibri"/>
          <w:szCs w:val="22"/>
          <w:lang w:val="en-US"/>
        </w:rPr>
        <w:t xml:space="preserve">in Colombia, </w:t>
      </w:r>
      <w:r w:rsidR="00C318EE" w:rsidRPr="002433F3">
        <w:rPr>
          <w:rFonts w:cs="Calibri"/>
          <w:szCs w:val="22"/>
          <w:lang w:val="en-US"/>
        </w:rPr>
        <w:t>the representatives</w:t>
      </w:r>
      <w:r w:rsidR="007B0DE4" w:rsidRPr="002433F3">
        <w:rPr>
          <w:rFonts w:cs="Calibri"/>
          <w:szCs w:val="22"/>
          <w:lang w:val="en-US"/>
        </w:rPr>
        <w:t xml:space="preserve"> indicated that “the differences were noteworthy, and remain so, </w:t>
      </w:r>
      <w:r w:rsidR="00EE568C" w:rsidRPr="002433F3">
        <w:rPr>
          <w:rFonts w:cs="Calibri"/>
          <w:szCs w:val="22"/>
          <w:lang w:val="en-US"/>
        </w:rPr>
        <w:t xml:space="preserve">in terms of </w:t>
      </w:r>
      <w:r w:rsidR="007B0DE4" w:rsidRPr="002433F3">
        <w:rPr>
          <w:rFonts w:cs="Calibri"/>
          <w:szCs w:val="22"/>
          <w:lang w:val="en-US"/>
        </w:rPr>
        <w:t xml:space="preserve">the quality and continuity </w:t>
      </w:r>
      <w:r w:rsidRPr="002433F3">
        <w:rPr>
          <w:rFonts w:cs="Calibri"/>
          <w:szCs w:val="22"/>
          <w:lang w:val="en-US"/>
        </w:rPr>
        <w:t xml:space="preserve">of </w:t>
      </w:r>
      <w:r w:rsidR="00C318EE" w:rsidRPr="002433F3">
        <w:rPr>
          <w:rFonts w:cs="Calibri"/>
          <w:szCs w:val="22"/>
          <w:lang w:val="en-US"/>
        </w:rPr>
        <w:t>the provision</w:t>
      </w:r>
      <w:r w:rsidR="007B0DE4" w:rsidRPr="002433F3">
        <w:rPr>
          <w:rFonts w:cs="Calibri"/>
          <w:szCs w:val="22"/>
          <w:lang w:val="en-US"/>
        </w:rPr>
        <w:t xml:space="preserve"> of services</w:t>
      </w:r>
      <w:r w:rsidR="00EE568C" w:rsidRPr="002433F3">
        <w:rPr>
          <w:rFonts w:cs="Calibri"/>
          <w:szCs w:val="22"/>
          <w:lang w:val="en-US"/>
        </w:rPr>
        <w:t xml:space="preserve"> […] in</w:t>
      </w:r>
      <w:r w:rsidR="007B0DE4" w:rsidRPr="002433F3">
        <w:rPr>
          <w:rFonts w:cs="Calibri"/>
          <w:szCs w:val="22"/>
          <w:lang w:val="en-US"/>
        </w:rPr>
        <w:t xml:space="preserve"> 2002 </w:t>
      </w:r>
      <w:r w:rsidR="001010B0" w:rsidRPr="002433F3">
        <w:rPr>
          <w:rFonts w:cs="Calibri"/>
          <w:szCs w:val="22"/>
          <w:lang w:val="en-US"/>
        </w:rPr>
        <w:t>there were</w:t>
      </w:r>
      <w:r w:rsidR="007B0DE4" w:rsidRPr="002433F3">
        <w:rPr>
          <w:rFonts w:cs="Calibri"/>
          <w:szCs w:val="22"/>
          <w:lang w:val="en-US"/>
        </w:rPr>
        <w:t xml:space="preserve"> </w:t>
      </w:r>
      <w:r w:rsidR="007B0DE4" w:rsidRPr="002433F3">
        <w:rPr>
          <w:rFonts w:cs="Calibri"/>
          <w:szCs w:val="20"/>
          <w:lang w:val="en-US"/>
        </w:rPr>
        <w:t>d</w:t>
      </w:r>
      <w:r w:rsidR="001010B0" w:rsidRPr="002433F3">
        <w:rPr>
          <w:rFonts w:cs="Calibri"/>
          <w:szCs w:val="20"/>
          <w:lang w:val="en-US"/>
        </w:rPr>
        <w:t xml:space="preserve">ifferences in the </w:t>
      </w:r>
      <w:r w:rsidR="0017764C" w:rsidRPr="002433F3">
        <w:rPr>
          <w:rFonts w:eastAsiaTheme="minorHAnsi" w:cs="Times New Roman"/>
          <w:szCs w:val="20"/>
          <w:lang w:val="en-GB"/>
        </w:rPr>
        <w:t>value of the Capitation Payment Units</w:t>
      </w:r>
      <w:r w:rsidR="0017764C" w:rsidRPr="002433F3">
        <w:rPr>
          <w:rFonts w:cs="Calibri"/>
          <w:szCs w:val="20"/>
          <w:lang w:val="en-US"/>
        </w:rPr>
        <w:t xml:space="preserve"> (UPC)</w:t>
      </w:r>
      <w:r w:rsidR="007B0DE4" w:rsidRPr="002433F3">
        <w:rPr>
          <w:rFonts w:cs="Calibri"/>
          <w:szCs w:val="22"/>
          <w:lang w:val="en-US"/>
        </w:rPr>
        <w:t>,</w:t>
      </w:r>
      <w:r w:rsidR="001010B0" w:rsidRPr="002433F3">
        <w:rPr>
          <w:rFonts w:cs="Calibri"/>
          <w:szCs w:val="22"/>
          <w:lang w:val="en-US"/>
        </w:rPr>
        <w:t xml:space="preserve"> </w:t>
      </w:r>
      <w:r w:rsidR="0017764C" w:rsidRPr="002433F3">
        <w:rPr>
          <w:rFonts w:cs="Calibri"/>
          <w:szCs w:val="22"/>
          <w:lang w:val="en-US"/>
        </w:rPr>
        <w:t xml:space="preserve">which is the </w:t>
      </w:r>
      <w:r w:rsidRPr="002433F3">
        <w:rPr>
          <w:rFonts w:cs="Calibri"/>
          <w:szCs w:val="22"/>
          <w:lang w:val="en-US"/>
        </w:rPr>
        <w:t xml:space="preserve">amount </w:t>
      </w:r>
      <w:r w:rsidR="0017764C" w:rsidRPr="002433F3">
        <w:rPr>
          <w:rFonts w:cs="Calibri"/>
          <w:szCs w:val="22"/>
          <w:lang w:val="en-US"/>
        </w:rPr>
        <w:t xml:space="preserve">paid to </w:t>
      </w:r>
      <w:r w:rsidR="007B0DE4" w:rsidRPr="002433F3">
        <w:rPr>
          <w:rFonts w:cs="Calibri"/>
          <w:szCs w:val="22"/>
          <w:lang w:val="en-US"/>
        </w:rPr>
        <w:t>the Health Promot</w:t>
      </w:r>
      <w:r w:rsidR="00505D03" w:rsidRPr="002433F3">
        <w:rPr>
          <w:rFonts w:cs="Calibri"/>
          <w:szCs w:val="22"/>
          <w:lang w:val="en-US"/>
        </w:rPr>
        <w:t>ion Entities (EPS)</w:t>
      </w:r>
      <w:r w:rsidR="0017764C" w:rsidRPr="002433F3">
        <w:rPr>
          <w:rFonts w:cs="Calibri"/>
          <w:szCs w:val="22"/>
          <w:lang w:val="en-US"/>
        </w:rPr>
        <w:t xml:space="preserve"> that provide </w:t>
      </w:r>
      <w:r w:rsidR="007B0DE4" w:rsidRPr="002433F3">
        <w:rPr>
          <w:rFonts w:cs="Calibri"/>
          <w:szCs w:val="22"/>
          <w:lang w:val="en-US"/>
        </w:rPr>
        <w:t xml:space="preserve">health services […] </w:t>
      </w:r>
      <w:r w:rsidR="0017764C" w:rsidRPr="002433F3">
        <w:rPr>
          <w:rFonts w:cs="Calibri"/>
          <w:szCs w:val="22"/>
          <w:lang w:val="en-US"/>
        </w:rPr>
        <w:t xml:space="preserve">and which accounts for the </w:t>
      </w:r>
      <w:r w:rsidR="007B0DE4" w:rsidRPr="002433F3">
        <w:rPr>
          <w:rFonts w:cs="Calibri"/>
          <w:szCs w:val="22"/>
          <w:lang w:val="en-US"/>
        </w:rPr>
        <w:t>differen</w:t>
      </w:r>
      <w:r w:rsidR="000802C8" w:rsidRPr="002433F3">
        <w:rPr>
          <w:rFonts w:cs="Calibri"/>
          <w:szCs w:val="22"/>
          <w:lang w:val="en-US"/>
        </w:rPr>
        <w:t>tiation</w:t>
      </w:r>
      <w:r w:rsidR="0017764C" w:rsidRPr="002433F3">
        <w:rPr>
          <w:rFonts w:cs="Calibri"/>
          <w:szCs w:val="22"/>
          <w:lang w:val="en-US"/>
        </w:rPr>
        <w:t>-</w:t>
      </w:r>
      <w:r w:rsidR="00F039D7" w:rsidRPr="002433F3">
        <w:rPr>
          <w:rFonts w:cs="Calibri"/>
          <w:szCs w:val="22"/>
          <w:lang w:val="en-US"/>
        </w:rPr>
        <w:t xml:space="preserve"> at least </w:t>
      </w:r>
      <w:r w:rsidR="0017764C" w:rsidRPr="002433F3">
        <w:rPr>
          <w:rFonts w:cs="Calibri"/>
          <w:szCs w:val="22"/>
          <w:lang w:val="en-US"/>
        </w:rPr>
        <w:t xml:space="preserve">in </w:t>
      </w:r>
      <w:r w:rsidR="00F039D7" w:rsidRPr="002433F3">
        <w:rPr>
          <w:rFonts w:cs="Calibri"/>
          <w:szCs w:val="22"/>
          <w:lang w:val="en-US"/>
        </w:rPr>
        <w:t>material</w:t>
      </w:r>
      <w:r w:rsidR="0017764C" w:rsidRPr="002433F3">
        <w:rPr>
          <w:rFonts w:cs="Calibri"/>
          <w:szCs w:val="22"/>
          <w:lang w:val="en-US"/>
        </w:rPr>
        <w:t xml:space="preserve"> terms-</w:t>
      </w:r>
      <w:r w:rsidR="00F039D7" w:rsidRPr="002433F3">
        <w:rPr>
          <w:rFonts w:cs="Calibri"/>
          <w:szCs w:val="22"/>
          <w:lang w:val="en-US"/>
        </w:rPr>
        <w:t xml:space="preserve"> in the </w:t>
      </w:r>
      <w:r w:rsidR="000802C8" w:rsidRPr="002433F3">
        <w:rPr>
          <w:rFonts w:cs="Calibri"/>
          <w:szCs w:val="22"/>
          <w:lang w:val="en-US"/>
        </w:rPr>
        <w:t xml:space="preserve">treatment </w:t>
      </w:r>
      <w:r w:rsidR="008A746C" w:rsidRPr="002433F3">
        <w:rPr>
          <w:rFonts w:cs="Calibri"/>
          <w:szCs w:val="22"/>
          <w:lang w:val="en-US"/>
        </w:rPr>
        <w:t xml:space="preserve">[of HIV] </w:t>
      </w:r>
      <w:r w:rsidR="00C318EE" w:rsidRPr="002433F3">
        <w:rPr>
          <w:rFonts w:cs="Calibri"/>
          <w:szCs w:val="22"/>
          <w:lang w:val="en-US"/>
        </w:rPr>
        <w:t xml:space="preserve">between the </w:t>
      </w:r>
      <w:r w:rsidR="00632773" w:rsidRPr="002433F3">
        <w:rPr>
          <w:rFonts w:cs="Calibri"/>
          <w:szCs w:val="22"/>
          <w:lang w:val="en-US"/>
        </w:rPr>
        <w:t>s</w:t>
      </w:r>
      <w:r w:rsidR="0017764C" w:rsidRPr="002433F3">
        <w:rPr>
          <w:rFonts w:cs="Calibri"/>
          <w:szCs w:val="22"/>
          <w:lang w:val="en-US"/>
        </w:rPr>
        <w:t>ystems</w:t>
      </w:r>
      <w:r w:rsidR="008211F3" w:rsidRPr="002433F3">
        <w:rPr>
          <w:rFonts w:cs="Calibri"/>
          <w:szCs w:val="22"/>
          <w:lang w:val="en-US"/>
        </w:rPr>
        <w:t>.”</w:t>
      </w:r>
    </w:p>
    <w:p w14:paraId="5002618E" w14:textId="77777777" w:rsidR="007B0DE4" w:rsidRPr="002433F3" w:rsidRDefault="00204BCA" w:rsidP="007B0DE4">
      <w:pPr>
        <w:numPr>
          <w:ilvl w:val="0"/>
          <w:numId w:val="2"/>
        </w:numPr>
        <w:spacing w:before="120" w:after="120"/>
        <w:rPr>
          <w:szCs w:val="20"/>
          <w:lang w:val="en-US"/>
        </w:rPr>
      </w:pPr>
      <w:r w:rsidRPr="002433F3">
        <w:rPr>
          <w:rFonts w:cs="Calibri"/>
          <w:szCs w:val="22"/>
          <w:lang w:val="en-US"/>
        </w:rPr>
        <w:lastRenderedPageBreak/>
        <w:t>In this</w:t>
      </w:r>
      <w:r w:rsidR="00E81983" w:rsidRPr="002433F3">
        <w:rPr>
          <w:rFonts w:cs="Calibri"/>
          <w:szCs w:val="22"/>
          <w:lang w:val="en-US"/>
        </w:rPr>
        <w:t xml:space="preserve"> regard</w:t>
      </w:r>
      <w:r w:rsidR="007B0DE4" w:rsidRPr="002433F3">
        <w:rPr>
          <w:rFonts w:cs="Calibri"/>
          <w:szCs w:val="22"/>
          <w:lang w:val="en-US"/>
        </w:rPr>
        <w:t xml:space="preserve">, the State </w:t>
      </w:r>
      <w:r w:rsidR="00E81983" w:rsidRPr="002433F3">
        <w:rPr>
          <w:rFonts w:cs="Calibri"/>
          <w:szCs w:val="22"/>
          <w:lang w:val="en-US"/>
        </w:rPr>
        <w:t xml:space="preserve">referred to </w:t>
      </w:r>
      <w:r w:rsidR="007B0DE4" w:rsidRPr="002433F3">
        <w:rPr>
          <w:rFonts w:cs="Calibri"/>
          <w:szCs w:val="22"/>
          <w:lang w:val="en-US"/>
        </w:rPr>
        <w:t xml:space="preserve">the </w:t>
      </w:r>
      <w:r w:rsidR="00F039D7" w:rsidRPr="002433F3">
        <w:rPr>
          <w:rFonts w:cs="Calibri"/>
          <w:szCs w:val="22"/>
          <w:lang w:val="en-US"/>
        </w:rPr>
        <w:t>existing legal framework</w:t>
      </w:r>
      <w:r w:rsidR="007B0DE4" w:rsidRPr="002433F3">
        <w:rPr>
          <w:rFonts w:cs="Calibri"/>
          <w:szCs w:val="22"/>
          <w:lang w:val="en-US"/>
        </w:rPr>
        <w:t xml:space="preserve"> in Colombia </w:t>
      </w:r>
      <w:r w:rsidR="00E81983" w:rsidRPr="002433F3">
        <w:rPr>
          <w:rFonts w:cs="Calibri"/>
          <w:szCs w:val="22"/>
          <w:lang w:val="en-US"/>
        </w:rPr>
        <w:t xml:space="preserve">which </w:t>
      </w:r>
      <w:r w:rsidR="007B0DE4" w:rsidRPr="002433F3">
        <w:rPr>
          <w:rFonts w:cs="Calibri"/>
          <w:szCs w:val="22"/>
          <w:lang w:val="en-US"/>
        </w:rPr>
        <w:t>“g</w:t>
      </w:r>
      <w:r w:rsidR="00F039D7" w:rsidRPr="002433F3">
        <w:rPr>
          <w:rFonts w:cs="Calibri"/>
          <w:szCs w:val="22"/>
          <w:lang w:val="en-US"/>
        </w:rPr>
        <w:t>u</w:t>
      </w:r>
      <w:r w:rsidR="007B0DE4" w:rsidRPr="002433F3">
        <w:rPr>
          <w:rFonts w:cs="Calibri"/>
          <w:szCs w:val="22"/>
          <w:lang w:val="en-US"/>
        </w:rPr>
        <w:t>arantees the provision of all medicines, t</w:t>
      </w:r>
      <w:r w:rsidR="00E81983" w:rsidRPr="002433F3">
        <w:rPr>
          <w:rFonts w:cs="Calibri"/>
          <w:szCs w:val="22"/>
          <w:lang w:val="en-US"/>
        </w:rPr>
        <w:t>reatment</w:t>
      </w:r>
      <w:r w:rsidRPr="002433F3">
        <w:rPr>
          <w:rFonts w:cs="Calibri"/>
          <w:szCs w:val="22"/>
          <w:lang w:val="en-US"/>
        </w:rPr>
        <w:t>s</w:t>
      </w:r>
      <w:r w:rsidR="00E81983" w:rsidRPr="002433F3">
        <w:rPr>
          <w:rFonts w:cs="Calibri"/>
          <w:szCs w:val="22"/>
          <w:lang w:val="en-US"/>
        </w:rPr>
        <w:t xml:space="preserve"> and services </w:t>
      </w:r>
      <w:r w:rsidRPr="002433F3">
        <w:rPr>
          <w:rFonts w:cs="Calibri"/>
          <w:szCs w:val="22"/>
          <w:lang w:val="en-US"/>
        </w:rPr>
        <w:t xml:space="preserve">required </w:t>
      </w:r>
      <w:r w:rsidR="007B0DE4" w:rsidRPr="002433F3">
        <w:rPr>
          <w:rFonts w:cs="Calibri"/>
          <w:szCs w:val="22"/>
          <w:lang w:val="en-US"/>
        </w:rPr>
        <w:t xml:space="preserve">for the </w:t>
      </w:r>
      <w:r w:rsidRPr="002433F3">
        <w:rPr>
          <w:rFonts w:cs="Calibri"/>
          <w:szCs w:val="22"/>
          <w:lang w:val="en-US"/>
        </w:rPr>
        <w:t xml:space="preserve">care </w:t>
      </w:r>
      <w:r w:rsidR="007B0DE4" w:rsidRPr="002433F3">
        <w:rPr>
          <w:rFonts w:cs="Calibri"/>
          <w:szCs w:val="22"/>
          <w:lang w:val="en-US"/>
        </w:rPr>
        <w:t>of persons with HIV.”</w:t>
      </w:r>
      <w:r w:rsidR="007B0DE4" w:rsidRPr="002433F3">
        <w:rPr>
          <w:rStyle w:val="Refdenotaalpie"/>
          <w:lang w:val="en-US"/>
        </w:rPr>
        <w:footnoteReference w:id="160"/>
      </w:r>
      <w:r w:rsidR="007B0DE4" w:rsidRPr="002433F3">
        <w:rPr>
          <w:rFonts w:cs="Calibri"/>
          <w:szCs w:val="22"/>
          <w:lang w:val="en-US"/>
        </w:rPr>
        <w:t xml:space="preserve"> </w:t>
      </w:r>
    </w:p>
    <w:p w14:paraId="06656F5D" w14:textId="77777777" w:rsidR="007B0DE4" w:rsidRPr="002433F3" w:rsidRDefault="00D378FC" w:rsidP="007B0DE4">
      <w:pPr>
        <w:pStyle w:val="PrrafodeSentencia0"/>
        <w:rPr>
          <w:rFonts w:eastAsia="Calibri" w:cs="Arial"/>
          <w:bCs w:val="0"/>
          <w:noProof w:val="0"/>
          <w:lang w:val="en-US" w:eastAsia="x-none"/>
        </w:rPr>
      </w:pPr>
      <w:r w:rsidRPr="002433F3">
        <w:rPr>
          <w:rFonts w:cs="Calibri"/>
          <w:noProof w:val="0"/>
          <w:szCs w:val="22"/>
          <w:lang w:val="en-US"/>
        </w:rPr>
        <w:t>For its part, t</w:t>
      </w:r>
      <w:r w:rsidR="007B0DE4" w:rsidRPr="002433F3">
        <w:rPr>
          <w:rFonts w:cs="Calibri"/>
          <w:noProof w:val="0"/>
          <w:szCs w:val="22"/>
          <w:lang w:val="en-US"/>
        </w:rPr>
        <w:t xml:space="preserve">he expert opinion provided by Mr. Ricardo Luque indicated, </w:t>
      </w:r>
      <w:r w:rsidR="00C318EE" w:rsidRPr="002433F3">
        <w:rPr>
          <w:rFonts w:cs="Calibri"/>
          <w:noProof w:val="0"/>
          <w:szCs w:val="22"/>
          <w:lang w:val="en-US"/>
        </w:rPr>
        <w:t>among</w:t>
      </w:r>
      <w:r w:rsidR="007B0DE4" w:rsidRPr="002433F3">
        <w:rPr>
          <w:rFonts w:cs="Calibri"/>
          <w:noProof w:val="0"/>
          <w:szCs w:val="22"/>
          <w:lang w:val="en-US"/>
        </w:rPr>
        <w:t xml:space="preserve"> other aspects, that: i) </w:t>
      </w:r>
      <w:r w:rsidR="00520392" w:rsidRPr="002433F3">
        <w:rPr>
          <w:rFonts w:eastAsia="Calibri"/>
          <w:noProof w:val="0"/>
          <w:lang w:val="en-US"/>
        </w:rPr>
        <w:t xml:space="preserve">the </w:t>
      </w:r>
      <w:r w:rsidR="00C318EE" w:rsidRPr="002433F3">
        <w:rPr>
          <w:rFonts w:eastAsia="Calibri"/>
          <w:noProof w:val="0"/>
          <w:lang w:val="en-US"/>
        </w:rPr>
        <w:t>Social S</w:t>
      </w:r>
      <w:r w:rsidR="007B0DE4" w:rsidRPr="002433F3">
        <w:rPr>
          <w:rFonts w:eastAsia="Calibri"/>
          <w:noProof w:val="0"/>
          <w:lang w:val="en-US"/>
        </w:rPr>
        <w:t>ecurity</w:t>
      </w:r>
      <w:r w:rsidR="00C318EE" w:rsidRPr="002433F3">
        <w:rPr>
          <w:rFonts w:eastAsia="Calibri"/>
          <w:noProof w:val="0"/>
          <w:lang w:val="en-US"/>
        </w:rPr>
        <w:t xml:space="preserve"> System</w:t>
      </w:r>
      <w:r w:rsidR="007B0DE4" w:rsidRPr="002433F3">
        <w:rPr>
          <w:rFonts w:eastAsia="Calibri"/>
          <w:noProof w:val="0"/>
          <w:lang w:val="en-US"/>
        </w:rPr>
        <w:t xml:space="preserve"> Health</w:t>
      </w:r>
      <w:r w:rsidRPr="002433F3">
        <w:rPr>
          <w:rFonts w:eastAsia="Calibri"/>
          <w:noProof w:val="0"/>
          <w:lang w:val="en-US"/>
        </w:rPr>
        <w:t xml:space="preserve"> Services</w:t>
      </w:r>
      <w:r w:rsidR="007B0DE4" w:rsidRPr="002433F3">
        <w:rPr>
          <w:rFonts w:eastAsia="Calibri"/>
          <w:noProof w:val="0"/>
          <w:lang w:val="en-US"/>
        </w:rPr>
        <w:t xml:space="preserve"> </w:t>
      </w:r>
      <w:r w:rsidRPr="002433F3">
        <w:rPr>
          <w:rFonts w:eastAsia="Calibri"/>
          <w:noProof w:val="0"/>
          <w:lang w:val="en-US"/>
        </w:rPr>
        <w:t>guarantee</w:t>
      </w:r>
      <w:r w:rsidR="000802C8" w:rsidRPr="002433F3">
        <w:rPr>
          <w:rFonts w:eastAsia="Calibri"/>
          <w:noProof w:val="0"/>
          <w:lang w:val="en-US"/>
        </w:rPr>
        <w:t xml:space="preserve"> </w:t>
      </w:r>
      <w:r w:rsidR="007B0DE4" w:rsidRPr="002433F3">
        <w:rPr>
          <w:rFonts w:eastAsia="Calibri"/>
          <w:noProof w:val="0"/>
          <w:lang w:val="en-US"/>
        </w:rPr>
        <w:t>universal a</w:t>
      </w:r>
      <w:r w:rsidR="00C318EE" w:rsidRPr="002433F3">
        <w:rPr>
          <w:rFonts w:eastAsia="Calibri"/>
          <w:noProof w:val="0"/>
          <w:lang w:val="en-US"/>
        </w:rPr>
        <w:t>ccess to</w:t>
      </w:r>
      <w:r w:rsidR="000802C8" w:rsidRPr="002433F3">
        <w:rPr>
          <w:rFonts w:eastAsia="Calibri"/>
          <w:noProof w:val="0"/>
          <w:lang w:val="en-US"/>
        </w:rPr>
        <w:t xml:space="preserve"> comprehensive care for</w:t>
      </w:r>
      <w:r w:rsidR="007B0DE4" w:rsidRPr="002433F3">
        <w:rPr>
          <w:rFonts w:eastAsia="Calibri"/>
          <w:noProof w:val="0"/>
          <w:lang w:val="en-US"/>
        </w:rPr>
        <w:t xml:space="preserve"> HIV/AIDS </w:t>
      </w:r>
      <w:r w:rsidR="00520392" w:rsidRPr="002433F3">
        <w:rPr>
          <w:rFonts w:eastAsia="Calibri"/>
          <w:noProof w:val="0"/>
          <w:lang w:val="en-US"/>
        </w:rPr>
        <w:t xml:space="preserve">patients, </w:t>
      </w:r>
      <w:r w:rsidR="00F039D7" w:rsidRPr="002433F3">
        <w:rPr>
          <w:rFonts w:eastAsia="Calibri"/>
          <w:noProof w:val="0"/>
          <w:lang w:val="en-US"/>
        </w:rPr>
        <w:t xml:space="preserve">regardless </w:t>
      </w:r>
      <w:r w:rsidR="007B0DE4" w:rsidRPr="002433F3">
        <w:rPr>
          <w:rFonts w:eastAsia="Calibri"/>
          <w:noProof w:val="0"/>
          <w:lang w:val="en-US"/>
        </w:rPr>
        <w:t xml:space="preserve">of </w:t>
      </w:r>
      <w:r w:rsidR="00204BCA" w:rsidRPr="002433F3">
        <w:rPr>
          <w:rFonts w:eastAsia="Calibri"/>
          <w:noProof w:val="0"/>
          <w:lang w:val="en-US"/>
        </w:rPr>
        <w:t xml:space="preserve">which </w:t>
      </w:r>
      <w:r w:rsidR="00520392" w:rsidRPr="002433F3">
        <w:rPr>
          <w:rFonts w:eastAsia="Calibri"/>
          <w:noProof w:val="0"/>
          <w:lang w:val="en-US"/>
        </w:rPr>
        <w:t xml:space="preserve">scheme </w:t>
      </w:r>
      <w:r w:rsidR="00301F42" w:rsidRPr="002433F3">
        <w:rPr>
          <w:rFonts w:eastAsia="Calibri"/>
          <w:noProof w:val="0"/>
          <w:lang w:val="en-US"/>
        </w:rPr>
        <w:t xml:space="preserve">they are </w:t>
      </w:r>
      <w:r w:rsidR="00204BCA" w:rsidRPr="002433F3">
        <w:rPr>
          <w:rFonts w:eastAsia="Calibri"/>
          <w:noProof w:val="0"/>
          <w:lang w:val="en-US"/>
        </w:rPr>
        <w:t>affiliated to</w:t>
      </w:r>
      <w:r w:rsidR="007B0DE4" w:rsidRPr="002433F3">
        <w:rPr>
          <w:rFonts w:eastAsia="Calibri"/>
          <w:noProof w:val="0"/>
          <w:lang w:val="en-US"/>
        </w:rPr>
        <w:t>, the</w:t>
      </w:r>
      <w:r w:rsidR="00301F42" w:rsidRPr="002433F3">
        <w:rPr>
          <w:rFonts w:eastAsia="Calibri"/>
          <w:noProof w:val="0"/>
          <w:lang w:val="en-US"/>
        </w:rPr>
        <w:t>ir</w:t>
      </w:r>
      <w:r w:rsidR="00520392" w:rsidRPr="002433F3">
        <w:rPr>
          <w:rFonts w:eastAsia="Calibri"/>
          <w:noProof w:val="0"/>
          <w:lang w:val="en-US"/>
        </w:rPr>
        <w:t xml:space="preserve"> </w:t>
      </w:r>
      <w:r w:rsidR="00301F42" w:rsidRPr="002433F3">
        <w:rPr>
          <w:rFonts w:eastAsia="Calibri"/>
          <w:noProof w:val="0"/>
          <w:lang w:val="en-US"/>
        </w:rPr>
        <w:t xml:space="preserve">ability to pay or the </w:t>
      </w:r>
      <w:r w:rsidR="00520392" w:rsidRPr="002433F3">
        <w:rPr>
          <w:rFonts w:eastAsia="Calibri"/>
          <w:noProof w:val="0"/>
          <w:lang w:val="en-US"/>
        </w:rPr>
        <w:t xml:space="preserve">specific </w:t>
      </w:r>
      <w:r w:rsidR="006C06F6" w:rsidRPr="002433F3">
        <w:rPr>
          <w:rFonts w:eastAsia="Calibri"/>
          <w:noProof w:val="0"/>
          <w:lang w:val="en-US"/>
        </w:rPr>
        <w:t>characteristics of the most affected population groups</w:t>
      </w:r>
      <w:r w:rsidR="00F039D7" w:rsidRPr="002433F3">
        <w:rPr>
          <w:rFonts w:eastAsia="Calibri"/>
          <w:noProof w:val="0"/>
          <w:lang w:val="en-US"/>
        </w:rPr>
        <w:t xml:space="preserve">; ii) </w:t>
      </w:r>
      <w:r w:rsidR="00520392" w:rsidRPr="002433F3">
        <w:rPr>
          <w:rFonts w:eastAsia="Calibri"/>
          <w:noProof w:val="0"/>
          <w:lang w:val="en-US"/>
        </w:rPr>
        <w:t xml:space="preserve">in </w:t>
      </w:r>
      <w:r w:rsidR="00F039D7" w:rsidRPr="002433F3">
        <w:rPr>
          <w:rFonts w:eastAsia="Calibri"/>
          <w:noProof w:val="0"/>
          <w:lang w:val="en-US"/>
        </w:rPr>
        <w:t>1997</w:t>
      </w:r>
      <w:r w:rsidR="00520392" w:rsidRPr="002433F3">
        <w:rPr>
          <w:rFonts w:eastAsia="Calibri"/>
          <w:noProof w:val="0"/>
          <w:lang w:val="en-US"/>
        </w:rPr>
        <w:t>,</w:t>
      </w:r>
      <w:r w:rsidR="00F039D7" w:rsidRPr="002433F3">
        <w:rPr>
          <w:rFonts w:eastAsia="Calibri"/>
          <w:noProof w:val="0"/>
          <w:lang w:val="en-US"/>
        </w:rPr>
        <w:t xml:space="preserve"> the</w:t>
      </w:r>
      <w:r w:rsidR="007B0DE4" w:rsidRPr="002433F3">
        <w:rPr>
          <w:rFonts w:eastAsia="Calibri"/>
          <w:noProof w:val="0"/>
          <w:lang w:val="en-US"/>
        </w:rPr>
        <w:t xml:space="preserve"> </w:t>
      </w:r>
      <w:r w:rsidR="00F039D7" w:rsidRPr="002433F3">
        <w:rPr>
          <w:rFonts w:eastAsia="Calibri"/>
          <w:noProof w:val="0"/>
          <w:lang w:val="en-US"/>
        </w:rPr>
        <w:t xml:space="preserve">Colombian </w:t>
      </w:r>
      <w:r w:rsidR="007B0DE4" w:rsidRPr="002433F3">
        <w:rPr>
          <w:rFonts w:eastAsia="Calibri"/>
          <w:noProof w:val="0"/>
          <w:lang w:val="en-US"/>
        </w:rPr>
        <w:t>State unif</w:t>
      </w:r>
      <w:r w:rsidR="000802C8" w:rsidRPr="002433F3">
        <w:rPr>
          <w:rFonts w:eastAsia="Calibri"/>
          <w:noProof w:val="0"/>
          <w:lang w:val="en-US"/>
        </w:rPr>
        <w:t xml:space="preserve">ied </w:t>
      </w:r>
      <w:r w:rsidR="007B0DE4" w:rsidRPr="002433F3">
        <w:rPr>
          <w:rFonts w:eastAsia="Calibri"/>
          <w:noProof w:val="0"/>
          <w:lang w:val="en-US"/>
        </w:rPr>
        <w:t xml:space="preserve">and </w:t>
      </w:r>
      <w:r w:rsidR="00C747B2" w:rsidRPr="002433F3">
        <w:rPr>
          <w:rFonts w:eastAsia="Calibri"/>
          <w:noProof w:val="0"/>
          <w:lang w:val="en-US"/>
        </w:rPr>
        <w:t xml:space="preserve">standardized </w:t>
      </w:r>
      <w:r w:rsidR="00520392" w:rsidRPr="002433F3">
        <w:rPr>
          <w:rFonts w:eastAsia="Calibri"/>
          <w:noProof w:val="0"/>
          <w:lang w:val="en-US"/>
        </w:rPr>
        <w:t>the health</w:t>
      </w:r>
      <w:r w:rsidR="00C747B2" w:rsidRPr="002433F3">
        <w:rPr>
          <w:rFonts w:eastAsia="Calibri"/>
          <w:noProof w:val="0"/>
          <w:lang w:val="en-US"/>
        </w:rPr>
        <w:t xml:space="preserve">care </w:t>
      </w:r>
      <w:r w:rsidR="00520392" w:rsidRPr="002433F3">
        <w:rPr>
          <w:rFonts w:eastAsia="Calibri"/>
          <w:noProof w:val="0"/>
          <w:lang w:val="en-US"/>
        </w:rPr>
        <w:t xml:space="preserve">services </w:t>
      </w:r>
      <w:r w:rsidR="00C747B2" w:rsidRPr="002433F3">
        <w:rPr>
          <w:rFonts w:eastAsia="Calibri"/>
          <w:noProof w:val="0"/>
          <w:lang w:val="en-US"/>
        </w:rPr>
        <w:t>offered under</w:t>
      </w:r>
      <w:r w:rsidR="007B0DE4" w:rsidRPr="002433F3">
        <w:rPr>
          <w:rFonts w:eastAsia="Calibri"/>
          <w:noProof w:val="0"/>
          <w:lang w:val="en-US"/>
        </w:rPr>
        <w:t xml:space="preserve"> </w:t>
      </w:r>
      <w:r w:rsidR="000802C8" w:rsidRPr="002433F3">
        <w:rPr>
          <w:rFonts w:eastAsia="Calibri"/>
          <w:noProof w:val="0"/>
          <w:lang w:val="en-US"/>
        </w:rPr>
        <w:t xml:space="preserve">the subsidized </w:t>
      </w:r>
      <w:r w:rsidR="00632773" w:rsidRPr="002433F3">
        <w:rPr>
          <w:rFonts w:eastAsia="Calibri"/>
          <w:noProof w:val="0"/>
          <w:lang w:val="en-US"/>
        </w:rPr>
        <w:t>scheme</w:t>
      </w:r>
      <w:r w:rsidR="000802C8" w:rsidRPr="002433F3">
        <w:rPr>
          <w:rFonts w:eastAsia="Calibri"/>
          <w:noProof w:val="0"/>
          <w:lang w:val="en-US"/>
        </w:rPr>
        <w:t xml:space="preserve"> </w:t>
      </w:r>
      <w:r w:rsidR="00C747B2" w:rsidRPr="002433F3">
        <w:rPr>
          <w:rFonts w:eastAsia="Calibri"/>
          <w:noProof w:val="0"/>
          <w:lang w:val="en-US"/>
        </w:rPr>
        <w:t xml:space="preserve">and </w:t>
      </w:r>
      <w:r w:rsidR="000802C8" w:rsidRPr="002433F3">
        <w:rPr>
          <w:rFonts w:eastAsia="Calibri"/>
          <w:noProof w:val="0"/>
          <w:lang w:val="en-US"/>
        </w:rPr>
        <w:t xml:space="preserve">the </w:t>
      </w:r>
      <w:r w:rsidR="007B0DE4" w:rsidRPr="002433F3">
        <w:rPr>
          <w:rFonts w:eastAsia="Calibri"/>
          <w:noProof w:val="0"/>
          <w:lang w:val="en-US"/>
        </w:rPr>
        <w:t>contribution</w:t>
      </w:r>
      <w:r w:rsidR="00520392" w:rsidRPr="002433F3">
        <w:rPr>
          <w:rFonts w:eastAsia="Calibri"/>
          <w:noProof w:val="0"/>
          <w:lang w:val="en-US"/>
        </w:rPr>
        <w:t>s</w:t>
      </w:r>
      <w:r w:rsidR="007B0DE4" w:rsidRPr="002433F3">
        <w:rPr>
          <w:rFonts w:eastAsia="Calibri"/>
          <w:noProof w:val="0"/>
          <w:lang w:val="en-US"/>
        </w:rPr>
        <w:t xml:space="preserve">-based </w:t>
      </w:r>
      <w:r w:rsidR="00632773" w:rsidRPr="002433F3">
        <w:rPr>
          <w:rFonts w:eastAsia="Calibri"/>
          <w:noProof w:val="0"/>
          <w:lang w:val="en-US"/>
        </w:rPr>
        <w:t>scheme</w:t>
      </w:r>
      <w:r w:rsidR="00520392" w:rsidRPr="002433F3">
        <w:rPr>
          <w:rFonts w:eastAsia="Calibri"/>
          <w:noProof w:val="0"/>
          <w:lang w:val="en-US"/>
        </w:rPr>
        <w:t xml:space="preserve"> for high-</w:t>
      </w:r>
      <w:r w:rsidR="007B0DE4" w:rsidRPr="002433F3">
        <w:rPr>
          <w:rFonts w:eastAsia="Calibri"/>
          <w:noProof w:val="0"/>
          <w:lang w:val="en-US"/>
        </w:rPr>
        <w:t xml:space="preserve">cost </w:t>
      </w:r>
      <w:r w:rsidR="00520392" w:rsidRPr="002433F3">
        <w:rPr>
          <w:rFonts w:eastAsia="Calibri"/>
          <w:noProof w:val="0"/>
          <w:lang w:val="en-US"/>
        </w:rPr>
        <w:t>events, including HIV/AIDS infection;</w:t>
      </w:r>
      <w:r w:rsidR="007B0DE4" w:rsidRPr="002433F3">
        <w:rPr>
          <w:rFonts w:eastAsia="Calibri"/>
          <w:noProof w:val="0"/>
          <w:lang w:val="en-US"/>
        </w:rPr>
        <w:t xml:space="preserve"> </w:t>
      </w:r>
      <w:r w:rsidR="00520392" w:rsidRPr="002433F3">
        <w:rPr>
          <w:rFonts w:eastAsia="Calibri"/>
          <w:noProof w:val="0"/>
          <w:lang w:val="en-US"/>
        </w:rPr>
        <w:t xml:space="preserve">therefore, under </w:t>
      </w:r>
      <w:r w:rsidR="00C318EE" w:rsidRPr="002433F3">
        <w:rPr>
          <w:rFonts w:eastAsia="Calibri"/>
          <w:noProof w:val="0"/>
          <w:lang w:val="en-US"/>
        </w:rPr>
        <w:t xml:space="preserve">both </w:t>
      </w:r>
      <w:r w:rsidR="00632773" w:rsidRPr="002433F3">
        <w:rPr>
          <w:rFonts w:eastAsia="Calibri"/>
          <w:noProof w:val="0"/>
          <w:lang w:val="en-US"/>
        </w:rPr>
        <w:t>scheme</w:t>
      </w:r>
      <w:r w:rsidR="008358D4" w:rsidRPr="002433F3">
        <w:rPr>
          <w:rFonts w:eastAsia="Calibri"/>
          <w:noProof w:val="0"/>
          <w:lang w:val="en-US"/>
        </w:rPr>
        <w:t>s</w:t>
      </w:r>
      <w:r w:rsidR="00520392" w:rsidRPr="002433F3">
        <w:rPr>
          <w:rFonts w:eastAsia="Calibri"/>
          <w:noProof w:val="0"/>
          <w:lang w:val="en-US"/>
        </w:rPr>
        <w:t>,</w:t>
      </w:r>
      <w:r w:rsidR="007B0DE4" w:rsidRPr="002433F3">
        <w:rPr>
          <w:rFonts w:eastAsia="Calibri"/>
          <w:noProof w:val="0"/>
          <w:lang w:val="en-US"/>
        </w:rPr>
        <w:t xml:space="preserve"> </w:t>
      </w:r>
      <w:r w:rsidR="00520392" w:rsidRPr="002433F3">
        <w:rPr>
          <w:rFonts w:eastAsia="Calibri"/>
          <w:noProof w:val="0"/>
          <w:lang w:val="en-US"/>
        </w:rPr>
        <w:t xml:space="preserve">and </w:t>
      </w:r>
      <w:r w:rsidR="00F039D7" w:rsidRPr="002433F3">
        <w:rPr>
          <w:rFonts w:eastAsia="Calibri"/>
          <w:noProof w:val="0"/>
          <w:lang w:val="en-US"/>
        </w:rPr>
        <w:t>regardless</w:t>
      </w:r>
      <w:r w:rsidR="007B0DE4" w:rsidRPr="002433F3">
        <w:rPr>
          <w:rFonts w:eastAsia="Calibri"/>
          <w:noProof w:val="0"/>
          <w:lang w:val="en-US"/>
        </w:rPr>
        <w:t xml:space="preserve"> of </w:t>
      </w:r>
      <w:r w:rsidR="00520392" w:rsidRPr="002433F3">
        <w:rPr>
          <w:rFonts w:eastAsia="Calibri"/>
          <w:noProof w:val="0"/>
          <w:lang w:val="en-US"/>
        </w:rPr>
        <w:t xml:space="preserve">their </w:t>
      </w:r>
      <w:r w:rsidR="00617D05" w:rsidRPr="002433F3">
        <w:rPr>
          <w:rFonts w:eastAsia="Calibri"/>
          <w:noProof w:val="0"/>
          <w:lang w:val="en-US"/>
        </w:rPr>
        <w:t>ability to pay</w:t>
      </w:r>
      <w:r w:rsidR="007B0DE4" w:rsidRPr="002433F3">
        <w:rPr>
          <w:rFonts w:eastAsia="Calibri"/>
          <w:noProof w:val="0"/>
          <w:lang w:val="en-US"/>
        </w:rPr>
        <w:t>,</w:t>
      </w:r>
      <w:r w:rsidR="00520392" w:rsidRPr="002433F3">
        <w:rPr>
          <w:rFonts w:eastAsia="Calibri"/>
          <w:noProof w:val="0"/>
          <w:lang w:val="en-US"/>
        </w:rPr>
        <w:t xml:space="preserve"> persons with HIV-AIDS have </w:t>
      </w:r>
      <w:r w:rsidR="007B0DE4" w:rsidRPr="002433F3">
        <w:rPr>
          <w:rFonts w:eastAsia="Calibri"/>
          <w:noProof w:val="0"/>
          <w:lang w:val="en-US"/>
        </w:rPr>
        <w:t>access to</w:t>
      </w:r>
      <w:r w:rsidR="00617D05" w:rsidRPr="002433F3">
        <w:rPr>
          <w:rFonts w:eastAsia="Calibri"/>
          <w:noProof w:val="0"/>
          <w:lang w:val="en-US"/>
        </w:rPr>
        <w:t xml:space="preserve"> the</w:t>
      </w:r>
      <w:r w:rsidR="007B0DE4" w:rsidRPr="002433F3">
        <w:rPr>
          <w:rFonts w:eastAsia="Calibri"/>
          <w:noProof w:val="0"/>
          <w:lang w:val="en-US"/>
        </w:rPr>
        <w:t xml:space="preserve"> same pa</w:t>
      </w:r>
      <w:r w:rsidR="00617D05" w:rsidRPr="002433F3">
        <w:rPr>
          <w:rFonts w:eastAsia="Calibri"/>
          <w:noProof w:val="0"/>
          <w:lang w:val="en-US"/>
        </w:rPr>
        <w:t xml:space="preserve">ckage of services including </w:t>
      </w:r>
      <w:r w:rsidR="00B26B23" w:rsidRPr="002433F3">
        <w:rPr>
          <w:rFonts w:eastAsia="Calibri"/>
          <w:noProof w:val="0"/>
          <w:lang w:val="en-US"/>
        </w:rPr>
        <w:t>antiretroviral</w:t>
      </w:r>
      <w:r w:rsidR="00617D05" w:rsidRPr="002433F3">
        <w:rPr>
          <w:rFonts w:eastAsia="Calibri"/>
          <w:noProof w:val="0"/>
          <w:lang w:val="en-US"/>
        </w:rPr>
        <w:t xml:space="preserve"> drugs</w:t>
      </w:r>
      <w:r w:rsidR="007A7205" w:rsidRPr="002433F3">
        <w:rPr>
          <w:rFonts w:eastAsia="Calibri"/>
          <w:noProof w:val="0"/>
          <w:lang w:val="en-US"/>
        </w:rPr>
        <w:t>; and iii)</w:t>
      </w:r>
      <w:r w:rsidR="00520392" w:rsidRPr="002433F3">
        <w:rPr>
          <w:rFonts w:eastAsia="Calibri"/>
          <w:noProof w:val="0"/>
          <w:lang w:val="en-US"/>
        </w:rPr>
        <w:t xml:space="preserve"> there are </w:t>
      </w:r>
      <w:r w:rsidR="00520392" w:rsidRPr="002433F3">
        <w:rPr>
          <w:rFonts w:cs="Calibri"/>
          <w:lang w:val="en-US"/>
        </w:rPr>
        <w:t xml:space="preserve">differences in the </w:t>
      </w:r>
      <w:r w:rsidR="00520392" w:rsidRPr="002433F3">
        <w:rPr>
          <w:rFonts w:eastAsiaTheme="minorHAnsi"/>
          <w:lang w:val="en-GB"/>
        </w:rPr>
        <w:t>value of the</w:t>
      </w:r>
      <w:r w:rsidR="007A7205" w:rsidRPr="002433F3">
        <w:rPr>
          <w:rFonts w:eastAsia="Calibri"/>
          <w:noProof w:val="0"/>
          <w:lang w:val="en-US"/>
        </w:rPr>
        <w:t xml:space="preserve"> </w:t>
      </w:r>
      <w:r w:rsidR="007A7205" w:rsidRPr="002433F3">
        <w:rPr>
          <w:rFonts w:eastAsia="Calibri"/>
          <w:i/>
          <w:noProof w:val="0"/>
          <w:lang w:val="en-US"/>
        </w:rPr>
        <w:t>Unidad de Pago por Capitación</w:t>
      </w:r>
      <w:r w:rsidR="007A7205" w:rsidRPr="002433F3">
        <w:rPr>
          <w:rFonts w:eastAsia="Calibri"/>
          <w:noProof w:val="0"/>
          <w:lang w:val="en-GB"/>
        </w:rPr>
        <w:t>-</w:t>
      </w:r>
      <w:r w:rsidR="007B0DE4" w:rsidRPr="002433F3">
        <w:rPr>
          <w:rFonts w:eastAsia="Calibri"/>
          <w:noProof w:val="0"/>
          <w:lang w:val="en-US"/>
        </w:rPr>
        <w:t xml:space="preserve">UPC </w:t>
      </w:r>
      <w:r w:rsidR="007B0DE4" w:rsidRPr="002433F3">
        <w:rPr>
          <w:rFonts w:eastAsia="Calibri"/>
          <w:noProof w:val="0"/>
          <w:lang w:val="en-US"/>
        </w:rPr>
        <w:lastRenderedPageBreak/>
        <w:t>(“</w:t>
      </w:r>
      <w:r w:rsidR="007B0DE4" w:rsidRPr="002433F3">
        <w:rPr>
          <w:rFonts w:eastAsia="Calibri" w:cs="Arial"/>
          <w:bCs w:val="0"/>
          <w:noProof w:val="0"/>
          <w:lang w:val="en-US" w:eastAsia="x-none"/>
        </w:rPr>
        <w:t>Capitation</w:t>
      </w:r>
      <w:r w:rsidR="007A7205" w:rsidRPr="002433F3">
        <w:rPr>
          <w:rFonts w:eastAsia="Calibri" w:cs="Arial"/>
          <w:bCs w:val="0"/>
          <w:noProof w:val="0"/>
          <w:lang w:val="en-US" w:eastAsia="x-none"/>
        </w:rPr>
        <w:t xml:space="preserve"> Payment Unit</w:t>
      </w:r>
      <w:r w:rsidR="007B0DE4" w:rsidRPr="002433F3">
        <w:rPr>
          <w:rFonts w:eastAsia="Calibri" w:cs="Arial"/>
          <w:bCs w:val="0"/>
          <w:noProof w:val="0"/>
          <w:lang w:val="en-US" w:eastAsia="x-none"/>
        </w:rPr>
        <w:t xml:space="preserve">”) </w:t>
      </w:r>
      <w:r w:rsidR="00C318EE" w:rsidRPr="002433F3">
        <w:rPr>
          <w:rFonts w:eastAsia="Calibri"/>
          <w:noProof w:val="0"/>
          <w:lang w:val="en-US"/>
        </w:rPr>
        <w:t xml:space="preserve">between </w:t>
      </w:r>
      <w:r w:rsidR="00520392" w:rsidRPr="002433F3">
        <w:rPr>
          <w:rFonts w:eastAsia="Calibri"/>
          <w:noProof w:val="0"/>
          <w:lang w:val="en-US"/>
        </w:rPr>
        <w:t xml:space="preserve">the </w:t>
      </w:r>
      <w:r w:rsidR="007B0DE4" w:rsidRPr="002433F3">
        <w:rPr>
          <w:rFonts w:eastAsia="Calibri"/>
          <w:noProof w:val="0"/>
          <w:lang w:val="en-US"/>
        </w:rPr>
        <w:t>contribut</w:t>
      </w:r>
      <w:r w:rsidR="000A1C55" w:rsidRPr="002433F3">
        <w:rPr>
          <w:rFonts w:eastAsia="Calibri"/>
          <w:noProof w:val="0"/>
          <w:lang w:val="en-US"/>
        </w:rPr>
        <w:t xml:space="preserve">ory </w:t>
      </w:r>
      <w:r w:rsidR="00520392" w:rsidRPr="002433F3">
        <w:rPr>
          <w:rFonts w:eastAsia="Calibri"/>
          <w:noProof w:val="0"/>
          <w:lang w:val="en-US"/>
        </w:rPr>
        <w:t xml:space="preserve">and the </w:t>
      </w:r>
      <w:r w:rsidR="007B0DE4" w:rsidRPr="002433F3">
        <w:rPr>
          <w:rFonts w:eastAsia="Calibri"/>
          <w:noProof w:val="0"/>
          <w:lang w:val="en-US"/>
        </w:rPr>
        <w:t xml:space="preserve">subsidized </w:t>
      </w:r>
      <w:r w:rsidR="00632773" w:rsidRPr="002433F3">
        <w:rPr>
          <w:rFonts w:eastAsia="Calibri"/>
          <w:noProof w:val="0"/>
          <w:lang w:val="en-US"/>
        </w:rPr>
        <w:t>s</w:t>
      </w:r>
      <w:r w:rsidR="000A1C55" w:rsidRPr="002433F3">
        <w:rPr>
          <w:rFonts w:eastAsia="Calibri"/>
          <w:noProof w:val="0"/>
          <w:lang w:val="en-US"/>
        </w:rPr>
        <w:t>ystems</w:t>
      </w:r>
      <w:r w:rsidR="007B0DE4" w:rsidRPr="002433F3">
        <w:rPr>
          <w:rFonts w:eastAsia="Calibri"/>
          <w:noProof w:val="0"/>
          <w:lang w:val="en-US"/>
        </w:rPr>
        <w:t xml:space="preserve">, but this does not affect </w:t>
      </w:r>
      <w:r w:rsidR="00520392" w:rsidRPr="002433F3">
        <w:rPr>
          <w:rFonts w:eastAsia="Calibri"/>
          <w:noProof w:val="0"/>
          <w:lang w:val="en-US"/>
        </w:rPr>
        <w:t xml:space="preserve">the </w:t>
      </w:r>
      <w:r w:rsidR="007B0DE4" w:rsidRPr="002433F3">
        <w:rPr>
          <w:rFonts w:eastAsia="Calibri"/>
          <w:noProof w:val="0"/>
          <w:lang w:val="en-US"/>
        </w:rPr>
        <w:t xml:space="preserve">coverage </w:t>
      </w:r>
      <w:r w:rsidR="00520392" w:rsidRPr="002433F3">
        <w:rPr>
          <w:rFonts w:eastAsia="Calibri"/>
          <w:noProof w:val="0"/>
          <w:lang w:val="en-US"/>
        </w:rPr>
        <w:t xml:space="preserve">of </w:t>
      </w:r>
      <w:r w:rsidR="007B0DE4" w:rsidRPr="002433F3">
        <w:rPr>
          <w:rFonts w:eastAsia="Calibri"/>
          <w:noProof w:val="0"/>
          <w:lang w:val="en-US"/>
        </w:rPr>
        <w:t>services for high-cost diseases.</w:t>
      </w:r>
    </w:p>
    <w:p w14:paraId="7C6DF00A" w14:textId="77777777" w:rsidR="007B0DE4" w:rsidRPr="002433F3" w:rsidRDefault="007B0DE4" w:rsidP="007B0DE4">
      <w:pPr>
        <w:numPr>
          <w:ilvl w:val="0"/>
          <w:numId w:val="2"/>
        </w:numPr>
        <w:spacing w:before="120" w:after="120"/>
        <w:rPr>
          <w:szCs w:val="20"/>
          <w:lang w:val="en-US"/>
        </w:rPr>
      </w:pPr>
      <w:r w:rsidRPr="002433F3">
        <w:rPr>
          <w:rFonts w:eastAsia="Calibri" w:cs="Arial"/>
          <w:szCs w:val="20"/>
          <w:lang w:val="en-US"/>
        </w:rPr>
        <w:t xml:space="preserve">Consequently, the Court considers that </w:t>
      </w:r>
      <w:r w:rsidR="00BF6A82" w:rsidRPr="002433F3">
        <w:rPr>
          <w:rFonts w:eastAsia="Calibri" w:cs="Arial"/>
          <w:szCs w:val="20"/>
          <w:lang w:val="en-US"/>
        </w:rPr>
        <w:t xml:space="preserve">it does not have </w:t>
      </w:r>
      <w:r w:rsidRPr="002433F3">
        <w:rPr>
          <w:rFonts w:eastAsia="Calibri" w:cs="Arial"/>
          <w:szCs w:val="20"/>
          <w:lang w:val="en-US"/>
        </w:rPr>
        <w:t>elements to conclude that in the specific case of Mr. Duque the subsidi</w:t>
      </w:r>
      <w:r w:rsidR="00260F06" w:rsidRPr="002433F3">
        <w:rPr>
          <w:rFonts w:eastAsia="Calibri" w:cs="Arial"/>
          <w:szCs w:val="20"/>
          <w:lang w:val="en-US"/>
        </w:rPr>
        <w:t xml:space="preserve">zed system </w:t>
      </w:r>
      <w:r w:rsidR="007514D2" w:rsidRPr="002433F3">
        <w:rPr>
          <w:rFonts w:eastAsia="Calibri" w:cs="Arial"/>
          <w:szCs w:val="20"/>
          <w:lang w:val="en-US"/>
        </w:rPr>
        <w:t xml:space="preserve">would have provided him with </w:t>
      </w:r>
      <w:r w:rsidR="003178A8" w:rsidRPr="002433F3">
        <w:rPr>
          <w:rFonts w:eastAsia="Calibri" w:cs="Arial"/>
          <w:szCs w:val="20"/>
          <w:lang w:val="en-US"/>
        </w:rPr>
        <w:t xml:space="preserve">lower </w:t>
      </w:r>
      <w:r w:rsidRPr="002433F3">
        <w:rPr>
          <w:rFonts w:eastAsia="Calibri" w:cs="Arial"/>
          <w:szCs w:val="20"/>
          <w:lang w:val="en-US"/>
        </w:rPr>
        <w:t xml:space="preserve">quality </w:t>
      </w:r>
      <w:r w:rsidR="000A1C55" w:rsidRPr="002433F3">
        <w:rPr>
          <w:rFonts w:eastAsia="Calibri" w:cs="Arial"/>
          <w:szCs w:val="20"/>
          <w:lang w:val="en-US"/>
        </w:rPr>
        <w:t xml:space="preserve">protection </w:t>
      </w:r>
      <w:r w:rsidRPr="002433F3">
        <w:rPr>
          <w:rFonts w:eastAsia="Calibri" w:cs="Arial"/>
          <w:szCs w:val="20"/>
          <w:lang w:val="en-US"/>
        </w:rPr>
        <w:t>than the contribut</w:t>
      </w:r>
      <w:r w:rsidR="000A1C55" w:rsidRPr="002433F3">
        <w:rPr>
          <w:rFonts w:eastAsia="Calibri" w:cs="Arial"/>
          <w:szCs w:val="20"/>
          <w:lang w:val="en-US"/>
        </w:rPr>
        <w:t xml:space="preserve">ory </w:t>
      </w:r>
      <w:r w:rsidR="00632773" w:rsidRPr="002433F3">
        <w:rPr>
          <w:rFonts w:eastAsia="Calibri" w:cs="Arial"/>
          <w:szCs w:val="20"/>
          <w:lang w:val="en-US"/>
        </w:rPr>
        <w:t>s</w:t>
      </w:r>
      <w:r w:rsidR="000A1C55" w:rsidRPr="002433F3">
        <w:rPr>
          <w:rFonts w:eastAsia="Calibri" w:cs="Arial"/>
          <w:szCs w:val="20"/>
          <w:lang w:val="en-US"/>
        </w:rPr>
        <w:t>ystem</w:t>
      </w:r>
      <w:r w:rsidRPr="002433F3">
        <w:rPr>
          <w:rFonts w:eastAsia="Calibri" w:cs="Arial"/>
          <w:szCs w:val="20"/>
          <w:lang w:val="en-US"/>
        </w:rPr>
        <w:t xml:space="preserve">. </w:t>
      </w:r>
    </w:p>
    <w:p w14:paraId="209EA4BF" w14:textId="77777777" w:rsidR="007B0DE4" w:rsidRPr="002433F3" w:rsidRDefault="007B0DE4" w:rsidP="007B0DE4">
      <w:pPr>
        <w:numPr>
          <w:ilvl w:val="0"/>
          <w:numId w:val="2"/>
        </w:numPr>
        <w:spacing w:before="120" w:after="120"/>
        <w:rPr>
          <w:lang w:val="en-US"/>
        </w:rPr>
      </w:pPr>
      <w:r w:rsidRPr="002433F3">
        <w:rPr>
          <w:rFonts w:cs="TimesNewRomanPSMT"/>
          <w:szCs w:val="20"/>
          <w:lang w:val="en-US"/>
        </w:rPr>
        <w:t xml:space="preserve">Therefore, the Court concludes that </w:t>
      </w:r>
      <w:r w:rsidRPr="002433F3">
        <w:rPr>
          <w:szCs w:val="20"/>
          <w:lang w:val="en-US"/>
        </w:rPr>
        <w:t>th</w:t>
      </w:r>
      <w:r w:rsidR="007514D2" w:rsidRPr="002433F3">
        <w:rPr>
          <w:szCs w:val="20"/>
          <w:lang w:val="en-US"/>
        </w:rPr>
        <w:t xml:space="preserve">e State is not responsible for </w:t>
      </w:r>
      <w:r w:rsidRPr="002433F3">
        <w:rPr>
          <w:szCs w:val="20"/>
          <w:lang w:val="en-US"/>
        </w:rPr>
        <w:t xml:space="preserve">the violation of </w:t>
      </w:r>
      <w:r w:rsidR="003178A8" w:rsidRPr="002433F3">
        <w:rPr>
          <w:szCs w:val="20"/>
          <w:lang w:val="en-US"/>
        </w:rPr>
        <w:t>the rights</w:t>
      </w:r>
      <w:r w:rsidRPr="002433F3">
        <w:rPr>
          <w:szCs w:val="20"/>
          <w:lang w:val="en-US"/>
        </w:rPr>
        <w:t xml:space="preserve"> to</w:t>
      </w:r>
      <w:r w:rsidR="007514D2" w:rsidRPr="002433F3">
        <w:rPr>
          <w:szCs w:val="20"/>
          <w:lang w:val="en-US"/>
        </w:rPr>
        <w:t xml:space="preserve"> personal integrity and to life</w:t>
      </w:r>
      <w:r w:rsidR="007A7205" w:rsidRPr="002433F3">
        <w:rPr>
          <w:szCs w:val="20"/>
          <w:lang w:val="en-US"/>
        </w:rPr>
        <w:t>, enshrined in Articles 4(</w:t>
      </w:r>
      <w:r w:rsidRPr="002433F3">
        <w:rPr>
          <w:szCs w:val="20"/>
          <w:lang w:val="en-US"/>
        </w:rPr>
        <w:t>1</w:t>
      </w:r>
      <w:r w:rsidR="007A7205" w:rsidRPr="002433F3">
        <w:rPr>
          <w:szCs w:val="20"/>
          <w:lang w:val="en-US"/>
        </w:rPr>
        <w:t>) and 5(</w:t>
      </w:r>
      <w:r w:rsidRPr="002433F3">
        <w:rPr>
          <w:szCs w:val="20"/>
          <w:lang w:val="en-US"/>
        </w:rPr>
        <w:t>1</w:t>
      </w:r>
      <w:r w:rsidR="007A7205" w:rsidRPr="002433F3">
        <w:rPr>
          <w:szCs w:val="20"/>
          <w:lang w:val="en-US"/>
        </w:rPr>
        <w:t>)</w:t>
      </w:r>
      <w:r w:rsidRPr="002433F3">
        <w:rPr>
          <w:szCs w:val="20"/>
          <w:lang w:val="en-US"/>
        </w:rPr>
        <w:t xml:space="preserve"> of the American Convention, to the detriment </w:t>
      </w:r>
      <w:r w:rsidR="003178A8" w:rsidRPr="002433F3">
        <w:rPr>
          <w:szCs w:val="20"/>
          <w:lang w:val="en-US"/>
        </w:rPr>
        <w:t>of Ángel</w:t>
      </w:r>
      <w:r w:rsidRPr="002433F3">
        <w:rPr>
          <w:szCs w:val="20"/>
          <w:lang w:val="en-US"/>
        </w:rPr>
        <w:t xml:space="preserve"> Alberto Duque.</w:t>
      </w:r>
    </w:p>
    <w:p w14:paraId="012309A2" w14:textId="77777777" w:rsidR="007B0DE4" w:rsidRPr="002433F3" w:rsidRDefault="007B0DE4" w:rsidP="007B0DE4">
      <w:pPr>
        <w:pStyle w:val="Ttulo1"/>
        <w:spacing w:before="460" w:after="460"/>
        <w:rPr>
          <w:noProof w:val="0"/>
          <w:lang w:val="en-US"/>
        </w:rPr>
      </w:pPr>
      <w:bookmarkStart w:id="141" w:name="_Toc448482279"/>
      <w:r w:rsidRPr="002433F3">
        <w:rPr>
          <w:caps w:val="0"/>
          <w:noProof w:val="0"/>
          <w:lang w:val="en-US"/>
        </w:rPr>
        <w:t>IX</w:t>
      </w:r>
      <w:r w:rsidRPr="002433F3">
        <w:rPr>
          <w:caps w:val="0"/>
          <w:noProof w:val="0"/>
          <w:lang w:val="en-US"/>
        </w:rPr>
        <w:br/>
      </w:r>
      <w:r w:rsidR="00EE568C" w:rsidRPr="002433F3">
        <w:rPr>
          <w:bCs w:val="0"/>
          <w:noProof w:val="0"/>
          <w:lang w:val="en-US"/>
        </w:rPr>
        <w:t xml:space="preserve">REPARATIONS </w:t>
      </w:r>
      <w:r w:rsidRPr="002433F3">
        <w:rPr>
          <w:rStyle w:val="Ttulo1Car"/>
          <w:rFonts w:eastAsia="Batang"/>
          <w:b/>
          <w:noProof w:val="0"/>
          <w:lang w:val="en-US"/>
        </w:rPr>
        <w:br/>
      </w:r>
      <w:r w:rsidRPr="002433F3">
        <w:rPr>
          <w:caps w:val="0"/>
          <w:noProof w:val="0"/>
          <w:lang w:val="en-US"/>
        </w:rPr>
        <w:t>(Application of Article 63(1) of the American Convention)</w:t>
      </w:r>
      <w:bookmarkEnd w:id="141"/>
    </w:p>
    <w:p w14:paraId="383541F3" w14:textId="77777777" w:rsidR="007B0DE4" w:rsidRPr="002433F3" w:rsidRDefault="00B20BC2" w:rsidP="007B0DE4">
      <w:pPr>
        <w:numPr>
          <w:ilvl w:val="0"/>
          <w:numId w:val="2"/>
        </w:numPr>
        <w:spacing w:before="120" w:after="120"/>
        <w:rPr>
          <w:lang w:val="en-US" w:bidi="en-US"/>
        </w:rPr>
      </w:pPr>
      <w:r w:rsidRPr="002433F3">
        <w:rPr>
          <w:lang w:val="en-US" w:bidi="en-US"/>
        </w:rPr>
        <w:t>T</w:t>
      </w:r>
      <w:r w:rsidR="005C40D2" w:rsidRPr="002433F3">
        <w:rPr>
          <w:lang w:val="en-US" w:bidi="en-US"/>
        </w:rPr>
        <w:t>he</w:t>
      </w:r>
      <w:r w:rsidR="007B0DE4" w:rsidRPr="002433F3">
        <w:rPr>
          <w:lang w:val="en-US" w:bidi="en-US"/>
        </w:rPr>
        <w:t xml:space="preserve"> Court will </w:t>
      </w:r>
      <w:r w:rsidRPr="002433F3">
        <w:rPr>
          <w:lang w:val="en-US" w:bidi="en-US"/>
        </w:rPr>
        <w:t xml:space="preserve">now </w:t>
      </w:r>
      <w:r w:rsidR="005B4BD7" w:rsidRPr="002433F3">
        <w:rPr>
          <w:lang w:val="en-US" w:bidi="en-US"/>
        </w:rPr>
        <w:t xml:space="preserve">consider </w:t>
      </w:r>
      <w:r w:rsidR="007B0DE4" w:rsidRPr="002433F3">
        <w:rPr>
          <w:lang w:val="en-US" w:bidi="en-US"/>
        </w:rPr>
        <w:t>the pert</w:t>
      </w:r>
      <w:r w:rsidR="003178A8" w:rsidRPr="002433F3">
        <w:rPr>
          <w:lang w:val="en-US" w:bidi="en-US"/>
        </w:rPr>
        <w:t xml:space="preserve">inence of granting measures of </w:t>
      </w:r>
      <w:r w:rsidR="007B0DE4" w:rsidRPr="002433F3">
        <w:rPr>
          <w:lang w:val="en-US" w:bidi="en-US"/>
        </w:rPr>
        <w:t xml:space="preserve">reparation </w:t>
      </w:r>
      <w:r w:rsidR="00D6131A" w:rsidRPr="002433F3">
        <w:rPr>
          <w:lang w:val="en-US" w:bidi="en-US"/>
        </w:rPr>
        <w:t xml:space="preserve">for the </w:t>
      </w:r>
      <w:r w:rsidR="007B0DE4" w:rsidRPr="002433F3">
        <w:rPr>
          <w:lang w:val="en-US" w:bidi="en-US"/>
        </w:rPr>
        <w:t>violation</w:t>
      </w:r>
      <w:r w:rsidR="00D6131A" w:rsidRPr="002433F3">
        <w:rPr>
          <w:lang w:val="en-US" w:bidi="en-US"/>
        </w:rPr>
        <w:t>s</w:t>
      </w:r>
      <w:r w:rsidR="007B0DE4" w:rsidRPr="002433F3">
        <w:rPr>
          <w:lang w:val="en-US" w:bidi="en-US"/>
        </w:rPr>
        <w:t xml:space="preserve"> declared in this Judgment and </w:t>
      </w:r>
      <w:r w:rsidR="003178A8" w:rsidRPr="002433F3">
        <w:rPr>
          <w:lang w:val="en-US" w:bidi="en-US"/>
        </w:rPr>
        <w:t xml:space="preserve">will </w:t>
      </w:r>
      <w:r w:rsidR="00D6131A" w:rsidRPr="002433F3">
        <w:rPr>
          <w:lang w:val="en-US" w:bidi="en-US"/>
        </w:rPr>
        <w:t xml:space="preserve">specify </w:t>
      </w:r>
      <w:r w:rsidR="00C318EE" w:rsidRPr="002433F3">
        <w:rPr>
          <w:lang w:val="en-US" w:bidi="en-US"/>
        </w:rPr>
        <w:t xml:space="preserve">those </w:t>
      </w:r>
      <w:r w:rsidR="007B0DE4" w:rsidRPr="002433F3">
        <w:rPr>
          <w:lang w:val="en-US" w:bidi="en-US"/>
        </w:rPr>
        <w:t xml:space="preserve">measures. </w:t>
      </w:r>
      <w:r w:rsidR="005C40D2" w:rsidRPr="002433F3">
        <w:rPr>
          <w:lang w:val="en-US" w:bidi="en-US"/>
        </w:rPr>
        <w:t>However</w:t>
      </w:r>
      <w:r w:rsidR="007B0DE4" w:rsidRPr="002433F3">
        <w:rPr>
          <w:lang w:val="en-US" w:bidi="en-US"/>
        </w:rPr>
        <w:t xml:space="preserve">, </w:t>
      </w:r>
      <w:r w:rsidR="005B4BD7" w:rsidRPr="002433F3">
        <w:rPr>
          <w:lang w:val="en-US" w:bidi="en-US"/>
        </w:rPr>
        <w:t xml:space="preserve">the Court deems it </w:t>
      </w:r>
      <w:r w:rsidR="003178A8" w:rsidRPr="002433F3">
        <w:rPr>
          <w:lang w:val="en-US" w:bidi="en-US"/>
        </w:rPr>
        <w:t xml:space="preserve">appropriate to </w:t>
      </w:r>
      <w:r w:rsidR="005C40D2" w:rsidRPr="002433F3">
        <w:rPr>
          <w:lang w:val="en-US" w:bidi="en-US"/>
        </w:rPr>
        <w:t xml:space="preserve">acknowledge the fact </w:t>
      </w:r>
      <w:r w:rsidR="007B0DE4" w:rsidRPr="002433F3">
        <w:rPr>
          <w:lang w:val="en-US" w:bidi="en-US"/>
        </w:rPr>
        <w:t xml:space="preserve">that Colombia has made great strides in recognizing the right of same-sex </w:t>
      </w:r>
      <w:r w:rsidR="005B4BD7" w:rsidRPr="002433F3">
        <w:rPr>
          <w:lang w:val="en-US" w:bidi="en-US"/>
        </w:rPr>
        <w:t>couples to a survivor’s pension;</w:t>
      </w:r>
      <w:r w:rsidR="007B0DE4" w:rsidRPr="002433F3">
        <w:rPr>
          <w:lang w:val="en-US" w:bidi="en-US"/>
        </w:rPr>
        <w:t xml:space="preserve"> that </w:t>
      </w:r>
      <w:r w:rsidR="003178A8" w:rsidRPr="002433F3">
        <w:rPr>
          <w:lang w:val="en-US" w:bidi="en-US"/>
        </w:rPr>
        <w:t xml:space="preserve">the </w:t>
      </w:r>
      <w:r w:rsidR="005B4BD7" w:rsidRPr="002433F3">
        <w:rPr>
          <w:lang w:val="en-US" w:bidi="en-US"/>
        </w:rPr>
        <w:t xml:space="preserve">jurisprudence </w:t>
      </w:r>
      <w:r w:rsidR="007B0DE4" w:rsidRPr="002433F3">
        <w:rPr>
          <w:lang w:val="en-US" w:bidi="en-US"/>
        </w:rPr>
        <w:t xml:space="preserve">of its Constitutional Court recognizes “that </w:t>
      </w:r>
      <w:r w:rsidR="005B4BD7" w:rsidRPr="002433F3">
        <w:rPr>
          <w:lang w:val="en-US" w:bidi="en-US"/>
        </w:rPr>
        <w:t xml:space="preserve">the </w:t>
      </w:r>
      <w:r w:rsidR="007B0DE4" w:rsidRPr="002433F3">
        <w:rPr>
          <w:lang w:val="en-US" w:bidi="en-US"/>
        </w:rPr>
        <w:t xml:space="preserve">permanent partners of </w:t>
      </w:r>
      <w:r w:rsidR="005B4BD7" w:rsidRPr="002433F3">
        <w:rPr>
          <w:lang w:val="en-US" w:bidi="en-US"/>
        </w:rPr>
        <w:t>same-</w:t>
      </w:r>
      <w:r w:rsidR="007B0DE4" w:rsidRPr="002433F3">
        <w:rPr>
          <w:lang w:val="en-US" w:bidi="en-US"/>
        </w:rPr>
        <w:t xml:space="preserve">sex </w:t>
      </w:r>
      <w:r w:rsidR="005B4BD7" w:rsidRPr="002433F3">
        <w:rPr>
          <w:lang w:val="en-US" w:bidi="en-US"/>
        </w:rPr>
        <w:t xml:space="preserve">couples </w:t>
      </w:r>
      <w:r w:rsidR="007B0DE4" w:rsidRPr="002433F3">
        <w:rPr>
          <w:lang w:val="en-US" w:bidi="en-US"/>
        </w:rPr>
        <w:t xml:space="preserve">who can certify </w:t>
      </w:r>
      <w:r w:rsidR="005B4BD7" w:rsidRPr="002433F3">
        <w:rPr>
          <w:lang w:val="en-US" w:bidi="en-US"/>
        </w:rPr>
        <w:t xml:space="preserve">their </w:t>
      </w:r>
      <w:r w:rsidR="007B0DE4" w:rsidRPr="002433F3">
        <w:rPr>
          <w:lang w:val="en-US" w:bidi="en-US"/>
        </w:rPr>
        <w:t xml:space="preserve">status </w:t>
      </w:r>
      <w:r w:rsidR="003178A8" w:rsidRPr="002433F3">
        <w:rPr>
          <w:lang w:val="en-US" w:bidi="en-US"/>
        </w:rPr>
        <w:t>have right</w:t>
      </w:r>
      <w:r w:rsidR="005B4BD7" w:rsidRPr="002433F3">
        <w:rPr>
          <w:lang w:val="en-US" w:bidi="en-US"/>
        </w:rPr>
        <w:t xml:space="preserve"> to a survivor’s pension;</w:t>
      </w:r>
      <w:r w:rsidR="007B0DE4" w:rsidRPr="002433F3">
        <w:rPr>
          <w:lang w:val="en-US" w:bidi="en-US"/>
        </w:rPr>
        <w:t>”</w:t>
      </w:r>
      <w:r w:rsidR="007B0DE4" w:rsidRPr="002433F3">
        <w:rPr>
          <w:rStyle w:val="Refdenotaalpie"/>
          <w:spacing w:val="-3"/>
          <w:lang w:val="en-US"/>
        </w:rPr>
        <w:footnoteReference w:id="161"/>
      </w:r>
      <w:r w:rsidR="007B0DE4" w:rsidRPr="002433F3">
        <w:rPr>
          <w:spacing w:val="-3"/>
          <w:lang w:val="en-US"/>
        </w:rPr>
        <w:t xml:space="preserve"> a</w:t>
      </w:r>
      <w:r w:rsidR="005B4BD7" w:rsidRPr="002433F3">
        <w:rPr>
          <w:spacing w:val="-3"/>
          <w:lang w:val="en-US"/>
        </w:rPr>
        <w:t xml:space="preserve">nd </w:t>
      </w:r>
      <w:r w:rsidR="003178A8" w:rsidRPr="002433F3">
        <w:rPr>
          <w:spacing w:val="-3"/>
          <w:lang w:val="en-US"/>
        </w:rPr>
        <w:t>the willingness</w:t>
      </w:r>
      <w:r w:rsidR="007B0DE4" w:rsidRPr="002433F3">
        <w:rPr>
          <w:spacing w:val="-3"/>
          <w:lang w:val="en-US"/>
        </w:rPr>
        <w:t xml:space="preserve"> of </w:t>
      </w:r>
      <w:r w:rsidR="003178A8" w:rsidRPr="002433F3">
        <w:rPr>
          <w:spacing w:val="-3"/>
          <w:lang w:val="en-US"/>
        </w:rPr>
        <w:t>the different</w:t>
      </w:r>
      <w:r w:rsidR="007B0DE4" w:rsidRPr="002433F3">
        <w:rPr>
          <w:spacing w:val="-3"/>
          <w:lang w:val="en-US"/>
        </w:rPr>
        <w:t xml:space="preserve"> State institutions to </w:t>
      </w:r>
      <w:r w:rsidR="005B4BD7" w:rsidRPr="002433F3">
        <w:rPr>
          <w:spacing w:val="-3"/>
          <w:lang w:val="en-US"/>
        </w:rPr>
        <w:t xml:space="preserve">move forward </w:t>
      </w:r>
      <w:r w:rsidR="007B0DE4" w:rsidRPr="002433F3">
        <w:rPr>
          <w:spacing w:val="-3"/>
          <w:lang w:val="en-US"/>
        </w:rPr>
        <w:t>in that direction.</w:t>
      </w:r>
      <w:r w:rsidR="007B0DE4" w:rsidRPr="002433F3">
        <w:rPr>
          <w:lang w:val="en-US" w:bidi="en-US"/>
        </w:rPr>
        <w:t xml:space="preserve"> </w:t>
      </w:r>
    </w:p>
    <w:p w14:paraId="6E2FE6A9" w14:textId="77777777" w:rsidR="007B0DE4" w:rsidRPr="002433F3" w:rsidRDefault="007B0DE4" w:rsidP="007B0DE4">
      <w:pPr>
        <w:numPr>
          <w:ilvl w:val="0"/>
          <w:numId w:val="2"/>
        </w:numPr>
        <w:spacing w:before="120" w:after="120"/>
        <w:rPr>
          <w:lang w:val="en-US" w:bidi="en-US"/>
        </w:rPr>
      </w:pPr>
      <w:r w:rsidRPr="002433F3">
        <w:rPr>
          <w:lang w:val="en-US"/>
        </w:rPr>
        <w:t>Based on Article 63(1) of the American Convention</w:t>
      </w:r>
      <w:r w:rsidRPr="002433F3">
        <w:rPr>
          <w:lang w:val="en-US" w:bidi="en-US"/>
        </w:rPr>
        <w:t>,</w:t>
      </w:r>
      <w:r w:rsidRPr="002433F3">
        <w:rPr>
          <w:rStyle w:val="Refdenotaalpie"/>
          <w:caps/>
          <w:lang w:val="en-US"/>
        </w:rPr>
        <w:footnoteReference w:id="162"/>
      </w:r>
      <w:r w:rsidRPr="002433F3">
        <w:rPr>
          <w:lang w:val="en-US" w:bidi="en-US"/>
        </w:rPr>
        <w:t xml:space="preserve"> </w:t>
      </w:r>
      <w:r w:rsidRPr="002433F3">
        <w:rPr>
          <w:lang w:val="en-US"/>
        </w:rPr>
        <w:t xml:space="preserve">the Court has indicated </w:t>
      </w:r>
      <w:r w:rsidRPr="002433F3">
        <w:rPr>
          <w:szCs w:val="20"/>
          <w:lang w:val="en-US"/>
        </w:rPr>
        <w:t xml:space="preserve">that any violation of an international obligation that has </w:t>
      </w:r>
      <w:r w:rsidR="00080293" w:rsidRPr="002433F3">
        <w:rPr>
          <w:szCs w:val="20"/>
          <w:lang w:val="en-US"/>
        </w:rPr>
        <w:t xml:space="preserve">caused </w:t>
      </w:r>
      <w:r w:rsidRPr="002433F3">
        <w:rPr>
          <w:szCs w:val="20"/>
          <w:lang w:val="en-US"/>
        </w:rPr>
        <w:t xml:space="preserve">harm entails the </w:t>
      </w:r>
      <w:r w:rsidR="00080293" w:rsidRPr="002433F3">
        <w:rPr>
          <w:szCs w:val="20"/>
          <w:lang w:val="en-US"/>
        </w:rPr>
        <w:t xml:space="preserve">duty </w:t>
      </w:r>
      <w:r w:rsidRPr="002433F3">
        <w:rPr>
          <w:szCs w:val="20"/>
          <w:lang w:val="en-US"/>
        </w:rPr>
        <w:t>to make adequate reparation</w:t>
      </w:r>
      <w:r w:rsidRPr="002433F3">
        <w:rPr>
          <w:rStyle w:val="Refdenotaalpie"/>
          <w:lang w:val="en-US" w:bidi="en-US"/>
        </w:rPr>
        <w:footnoteReference w:id="163"/>
      </w:r>
      <w:r w:rsidRPr="002433F3">
        <w:rPr>
          <w:lang w:val="en-US" w:bidi="en-US"/>
        </w:rPr>
        <w:t xml:space="preserve"> and that this provision “</w:t>
      </w:r>
      <w:r w:rsidRPr="002433F3">
        <w:rPr>
          <w:szCs w:val="20"/>
          <w:lang w:val="en-US"/>
        </w:rPr>
        <w:t>reflects a customary norm that constitutes one</w:t>
      </w:r>
      <w:r w:rsidRPr="002433F3">
        <w:rPr>
          <w:lang w:val="en-US" w:bidi="en-US"/>
        </w:rPr>
        <w:t xml:space="preserve"> of the </w:t>
      </w:r>
      <w:r w:rsidRPr="002433F3">
        <w:rPr>
          <w:szCs w:val="20"/>
          <w:lang w:val="en-US"/>
        </w:rPr>
        <w:t>fundamental principles of contemporary</w:t>
      </w:r>
      <w:r w:rsidRPr="002433F3">
        <w:rPr>
          <w:lang w:val="en-US"/>
        </w:rPr>
        <w:t xml:space="preserve"> international law</w:t>
      </w:r>
      <w:r w:rsidRPr="002433F3">
        <w:rPr>
          <w:lang w:val="en-US" w:bidi="en-US"/>
        </w:rPr>
        <w:t xml:space="preserve"> on State responsibility.”</w:t>
      </w:r>
      <w:r w:rsidRPr="002433F3">
        <w:rPr>
          <w:rStyle w:val="Refdenotaalpie"/>
          <w:lang w:val="en-US" w:bidi="en-US"/>
        </w:rPr>
        <w:footnoteReference w:id="164"/>
      </w:r>
      <w:r w:rsidRPr="002433F3">
        <w:rPr>
          <w:lang w:val="en-US" w:bidi="en-US"/>
        </w:rPr>
        <w:t xml:space="preserve"> </w:t>
      </w:r>
      <w:r w:rsidR="00080293" w:rsidRPr="002433F3">
        <w:rPr>
          <w:lang w:val="en-US" w:bidi="en-US"/>
        </w:rPr>
        <w:t xml:space="preserve">The </w:t>
      </w:r>
      <w:r w:rsidRPr="002433F3">
        <w:rPr>
          <w:lang w:val="en-US" w:bidi="en-US"/>
        </w:rPr>
        <w:t xml:space="preserve">Court has </w:t>
      </w:r>
      <w:r w:rsidR="00080293" w:rsidRPr="002433F3">
        <w:rPr>
          <w:lang w:val="en-US" w:bidi="en-US"/>
        </w:rPr>
        <w:t xml:space="preserve">also </w:t>
      </w:r>
      <w:r w:rsidRPr="002433F3">
        <w:rPr>
          <w:lang w:val="en-US" w:bidi="en-US"/>
        </w:rPr>
        <w:t xml:space="preserve">established that </w:t>
      </w:r>
      <w:r w:rsidRPr="002433F3">
        <w:rPr>
          <w:lang w:val="en-US"/>
        </w:rPr>
        <w:t xml:space="preserve">reparations must have a causal nexus with the facts of the case, the violations </w:t>
      </w:r>
      <w:r w:rsidR="008B416A" w:rsidRPr="002433F3">
        <w:rPr>
          <w:lang w:val="en-US"/>
        </w:rPr>
        <w:t xml:space="preserve">that have been </w:t>
      </w:r>
      <w:r w:rsidRPr="002433F3">
        <w:rPr>
          <w:lang w:val="en-US"/>
        </w:rPr>
        <w:t xml:space="preserve">declared, the harm proved, and the measures requested to redress the respective </w:t>
      </w:r>
      <w:r w:rsidR="008B416A" w:rsidRPr="002433F3">
        <w:rPr>
          <w:lang w:val="en-US"/>
        </w:rPr>
        <w:t>harm</w:t>
      </w:r>
      <w:r w:rsidRPr="002433F3">
        <w:rPr>
          <w:lang w:val="en-US"/>
        </w:rPr>
        <w:t>.</w:t>
      </w:r>
      <w:r w:rsidRPr="002433F3">
        <w:rPr>
          <w:lang w:val="en-US" w:bidi="en-US"/>
        </w:rPr>
        <w:t xml:space="preserve"> </w:t>
      </w:r>
      <w:r w:rsidRPr="002433F3">
        <w:rPr>
          <w:lang w:val="en-US"/>
        </w:rPr>
        <w:t xml:space="preserve">Therefore, the Court must </w:t>
      </w:r>
      <w:r w:rsidR="008B416A" w:rsidRPr="002433F3">
        <w:rPr>
          <w:lang w:val="en-US"/>
        </w:rPr>
        <w:t xml:space="preserve">examine </w:t>
      </w:r>
      <w:r w:rsidRPr="002433F3">
        <w:rPr>
          <w:lang w:val="en-US"/>
        </w:rPr>
        <w:t xml:space="preserve">the concurrence of these </w:t>
      </w:r>
      <w:r w:rsidR="008B416A" w:rsidRPr="002433F3">
        <w:rPr>
          <w:lang w:val="en-US"/>
        </w:rPr>
        <w:t xml:space="preserve">elements </w:t>
      </w:r>
      <w:r w:rsidRPr="002433F3">
        <w:rPr>
          <w:lang w:val="en-US"/>
        </w:rPr>
        <w:t>in order to rule appropriately and according to the law</w:t>
      </w:r>
      <w:r w:rsidRPr="002433F3">
        <w:rPr>
          <w:lang w:val="en-US" w:bidi="en-US"/>
        </w:rPr>
        <w:t>.</w:t>
      </w:r>
      <w:r w:rsidRPr="002433F3">
        <w:rPr>
          <w:vertAlign w:val="superscript"/>
          <w:lang w:val="en-US" w:bidi="en-US"/>
        </w:rPr>
        <w:footnoteReference w:id="165"/>
      </w:r>
    </w:p>
    <w:p w14:paraId="3EB0CF77" w14:textId="77777777" w:rsidR="007B0DE4" w:rsidRPr="002433F3" w:rsidRDefault="007B0DE4" w:rsidP="007B0DE4">
      <w:pPr>
        <w:numPr>
          <w:ilvl w:val="0"/>
          <w:numId w:val="2"/>
        </w:numPr>
        <w:spacing w:before="120" w:after="120"/>
        <w:rPr>
          <w:lang w:val="en-US" w:bidi="en-US"/>
        </w:rPr>
      </w:pPr>
      <w:r w:rsidRPr="002433F3">
        <w:rPr>
          <w:lang w:val="en-US" w:bidi="en-US"/>
        </w:rPr>
        <w:t xml:space="preserve">The reparation of the </w:t>
      </w:r>
      <w:r w:rsidRPr="002433F3">
        <w:rPr>
          <w:bCs/>
          <w:iCs/>
          <w:lang w:val="en-US"/>
        </w:rPr>
        <w:t>harm caused by the violation of an international obligation requires, whenever possible, full restitution</w:t>
      </w:r>
      <w:r w:rsidRPr="002433F3">
        <w:rPr>
          <w:lang w:val="en-US"/>
        </w:rPr>
        <w:t xml:space="preserve">, </w:t>
      </w:r>
      <w:r w:rsidR="00B5036F" w:rsidRPr="002433F3">
        <w:rPr>
          <w:bCs/>
          <w:iCs/>
          <w:lang w:val="en-US"/>
        </w:rPr>
        <w:t>consisting</w:t>
      </w:r>
      <w:r w:rsidRPr="002433F3">
        <w:rPr>
          <w:bCs/>
          <w:iCs/>
          <w:lang w:val="en-US"/>
        </w:rPr>
        <w:t xml:space="preserve"> of the re-establishment of the previous situation</w:t>
      </w:r>
      <w:r w:rsidRPr="002433F3">
        <w:rPr>
          <w:bCs/>
          <w:lang w:val="en-US"/>
        </w:rPr>
        <w:t xml:space="preserve">. </w:t>
      </w:r>
      <w:r w:rsidRPr="002433F3">
        <w:rPr>
          <w:lang w:val="en-US"/>
        </w:rPr>
        <w:t xml:space="preserve">If this is not feasible, </w:t>
      </w:r>
      <w:r w:rsidRPr="002433F3">
        <w:rPr>
          <w:bCs/>
          <w:iCs/>
          <w:lang w:val="en-US"/>
        </w:rPr>
        <w:t xml:space="preserve">the Court will determine measures to </w:t>
      </w:r>
      <w:r w:rsidR="005C40D2" w:rsidRPr="002433F3">
        <w:rPr>
          <w:bCs/>
          <w:iCs/>
          <w:lang w:val="en-US"/>
        </w:rPr>
        <w:t xml:space="preserve">ensure </w:t>
      </w:r>
      <w:r w:rsidRPr="002433F3">
        <w:rPr>
          <w:bCs/>
          <w:iCs/>
          <w:lang w:val="en-US"/>
        </w:rPr>
        <w:t xml:space="preserve">the rights that have been violated and to redress the consequences of </w:t>
      </w:r>
      <w:r w:rsidRPr="002433F3">
        <w:rPr>
          <w:lang w:val="en-US"/>
        </w:rPr>
        <w:t>those violations.</w:t>
      </w:r>
      <w:r w:rsidRPr="002433F3">
        <w:rPr>
          <w:rStyle w:val="Refdenotaalpie"/>
          <w:rFonts w:eastAsia="MS Mincho"/>
          <w:lang w:val="en-US"/>
        </w:rPr>
        <w:footnoteReference w:id="166"/>
      </w:r>
      <w:r w:rsidRPr="002433F3">
        <w:rPr>
          <w:lang w:val="en-US"/>
        </w:rPr>
        <w:t xml:space="preserve"> Therefore, the Court has considered </w:t>
      </w:r>
      <w:r w:rsidR="00B5036F" w:rsidRPr="002433F3">
        <w:rPr>
          <w:lang w:val="en-US"/>
        </w:rPr>
        <w:t xml:space="preserve">the need </w:t>
      </w:r>
      <w:r w:rsidRPr="002433F3">
        <w:rPr>
          <w:lang w:val="en-US"/>
        </w:rPr>
        <w:t xml:space="preserve">to grant different measures of reparation in order to redress </w:t>
      </w:r>
      <w:r w:rsidRPr="002433F3">
        <w:rPr>
          <w:lang w:val="en-US"/>
        </w:rPr>
        <w:lastRenderedPageBreak/>
        <w:t>the harm comprehensively; thus, in addition to pecuniary compensation, measures of restitution, rehabilitation and satisfaction, and guarantees of non-repetition have special relevance for the harm caused.</w:t>
      </w:r>
      <w:r w:rsidRPr="002433F3">
        <w:rPr>
          <w:rStyle w:val="Refdenotaalpie"/>
          <w:rFonts w:eastAsia="MS Mincho"/>
          <w:lang w:val="en-US"/>
        </w:rPr>
        <w:footnoteReference w:id="167"/>
      </w:r>
    </w:p>
    <w:p w14:paraId="2013DBA1" w14:textId="77777777" w:rsidR="007B0DE4" w:rsidRPr="002433F3" w:rsidRDefault="007B0DE4" w:rsidP="007B0DE4">
      <w:pPr>
        <w:numPr>
          <w:ilvl w:val="0"/>
          <w:numId w:val="2"/>
        </w:numPr>
        <w:spacing w:before="120" w:after="120"/>
        <w:rPr>
          <w:lang w:val="en-US" w:bidi="en-US"/>
        </w:rPr>
      </w:pPr>
      <w:r w:rsidRPr="002433F3">
        <w:rPr>
          <w:lang w:val="en-US" w:bidi="en-US"/>
        </w:rPr>
        <w:t xml:space="preserve">Consequently, </w:t>
      </w:r>
      <w:r w:rsidR="005C40D2" w:rsidRPr="002433F3">
        <w:rPr>
          <w:lang w:val="en-US" w:bidi="en-US"/>
        </w:rPr>
        <w:t xml:space="preserve">and </w:t>
      </w:r>
      <w:r w:rsidRPr="002433F3">
        <w:rPr>
          <w:lang w:val="en-US" w:bidi="en-US"/>
        </w:rPr>
        <w:t xml:space="preserve">without detriment to any reparation that might </w:t>
      </w:r>
      <w:r w:rsidRPr="002433F3">
        <w:rPr>
          <w:lang w:val="en-US"/>
        </w:rPr>
        <w:t>subsequently</w:t>
      </w:r>
      <w:r w:rsidRPr="002433F3">
        <w:rPr>
          <w:lang w:val="en-US" w:bidi="en-US"/>
        </w:rPr>
        <w:t xml:space="preserve"> be agreed between the State and the victim, the Court will order measures aimed at redressing the </w:t>
      </w:r>
      <w:r w:rsidR="00B5036F" w:rsidRPr="002433F3">
        <w:rPr>
          <w:lang w:val="en-US" w:bidi="en-US"/>
        </w:rPr>
        <w:t xml:space="preserve">harm </w:t>
      </w:r>
      <w:r w:rsidRPr="002433F3">
        <w:rPr>
          <w:lang w:val="en-US" w:bidi="en-US"/>
        </w:rPr>
        <w:t>cau</w:t>
      </w:r>
      <w:r w:rsidR="00B5036F" w:rsidRPr="002433F3">
        <w:rPr>
          <w:lang w:val="en-US" w:bidi="en-US"/>
        </w:rPr>
        <w:t xml:space="preserve">sed. In doing so, it will take into account the </w:t>
      </w:r>
      <w:r w:rsidRPr="002433F3">
        <w:rPr>
          <w:lang w:val="en-US" w:bidi="en-US"/>
        </w:rPr>
        <w:t xml:space="preserve">claims presented by the Commission and the representatives, </w:t>
      </w:r>
      <w:r w:rsidR="00B5036F" w:rsidRPr="002433F3">
        <w:rPr>
          <w:lang w:val="en-US" w:bidi="en-US"/>
        </w:rPr>
        <w:t xml:space="preserve">together with the arguments of the State, based on </w:t>
      </w:r>
      <w:r w:rsidRPr="002433F3">
        <w:rPr>
          <w:lang w:val="en-US" w:bidi="en-US"/>
        </w:rPr>
        <w:t>criteria established in its case law regarding the nature and scope of the obligation to provide reparation.</w:t>
      </w:r>
      <w:r w:rsidRPr="002433F3">
        <w:rPr>
          <w:rStyle w:val="Refdenotaalpie"/>
          <w:lang w:val="en-US" w:bidi="en-US"/>
        </w:rPr>
        <w:footnoteReference w:id="168"/>
      </w:r>
      <w:r w:rsidRPr="002433F3">
        <w:rPr>
          <w:lang w:val="en-US" w:bidi="en-US"/>
        </w:rPr>
        <w:t xml:space="preserve"> </w:t>
      </w:r>
    </w:p>
    <w:p w14:paraId="34DD6955" w14:textId="77777777" w:rsidR="007B0DE4" w:rsidRPr="002433F3" w:rsidRDefault="007B0DE4" w:rsidP="007B0DE4">
      <w:pPr>
        <w:pStyle w:val="Ttulo2"/>
        <w:numPr>
          <w:ilvl w:val="0"/>
          <w:numId w:val="13"/>
        </w:numPr>
        <w:spacing w:before="280" w:after="280"/>
        <w:rPr>
          <w:noProof w:val="0"/>
          <w:lang w:val="en-US"/>
        </w:rPr>
      </w:pPr>
      <w:r w:rsidRPr="002433F3">
        <w:rPr>
          <w:noProof w:val="0"/>
          <w:lang w:val="en-US" w:eastAsia="es-ES"/>
        </w:rPr>
        <w:t>Injured party</w:t>
      </w:r>
    </w:p>
    <w:p w14:paraId="2D1EC469" w14:textId="77777777" w:rsidR="007B0DE4" w:rsidRPr="002433F3" w:rsidRDefault="007B0DE4" w:rsidP="007B0DE4">
      <w:pPr>
        <w:numPr>
          <w:ilvl w:val="0"/>
          <w:numId w:val="2"/>
        </w:numPr>
        <w:spacing w:before="120" w:after="120"/>
        <w:rPr>
          <w:lang w:val="en-US"/>
        </w:rPr>
      </w:pPr>
      <w:r w:rsidRPr="002433F3">
        <w:rPr>
          <w:lang w:val="en-US"/>
        </w:rPr>
        <w:t xml:space="preserve">The Court reiterates that, </w:t>
      </w:r>
      <w:r w:rsidR="00B5036F" w:rsidRPr="002433F3">
        <w:rPr>
          <w:lang w:val="en-US"/>
        </w:rPr>
        <w:t xml:space="preserve">pursuant to </w:t>
      </w:r>
      <w:r w:rsidRPr="002433F3">
        <w:rPr>
          <w:lang w:val="en-US"/>
        </w:rPr>
        <w:t>Article 63(1) of the American Convention, th</w:t>
      </w:r>
      <w:r w:rsidR="00B5036F" w:rsidRPr="002433F3">
        <w:rPr>
          <w:lang w:val="en-US"/>
        </w:rPr>
        <w:t xml:space="preserve">e </w:t>
      </w:r>
      <w:r w:rsidRPr="002433F3">
        <w:rPr>
          <w:lang w:val="en-US"/>
        </w:rPr>
        <w:t xml:space="preserve">injured party </w:t>
      </w:r>
      <w:r w:rsidR="00B5036F" w:rsidRPr="002433F3">
        <w:rPr>
          <w:lang w:val="en-US"/>
        </w:rPr>
        <w:t xml:space="preserve">is </w:t>
      </w:r>
      <w:r w:rsidRPr="002433F3">
        <w:rPr>
          <w:lang w:val="en-US"/>
        </w:rPr>
        <w:t xml:space="preserve">anyone who has been declared a victim of the violation of any right recognized therein. Therefore, the Court considers </w:t>
      </w:r>
      <w:r w:rsidR="00B5036F" w:rsidRPr="002433F3">
        <w:rPr>
          <w:lang w:val="en-US"/>
        </w:rPr>
        <w:t xml:space="preserve">that </w:t>
      </w:r>
      <w:r w:rsidRPr="002433F3">
        <w:rPr>
          <w:lang w:val="en-US"/>
        </w:rPr>
        <w:t xml:space="preserve">Mr. Ángel Alberto Duque </w:t>
      </w:r>
      <w:r w:rsidR="00B5036F" w:rsidRPr="002433F3">
        <w:rPr>
          <w:lang w:val="en-US"/>
        </w:rPr>
        <w:t xml:space="preserve">is the injured party and, as the victim of </w:t>
      </w:r>
      <w:r w:rsidRPr="002433F3">
        <w:rPr>
          <w:lang w:val="en-US"/>
        </w:rPr>
        <w:t xml:space="preserve">the violations declared in this Judgment, </w:t>
      </w:r>
      <w:r w:rsidR="00B5036F" w:rsidRPr="002433F3">
        <w:rPr>
          <w:lang w:val="en-US"/>
        </w:rPr>
        <w:t xml:space="preserve">he will </w:t>
      </w:r>
      <w:r w:rsidRPr="002433F3">
        <w:rPr>
          <w:lang w:val="en-US"/>
        </w:rPr>
        <w:t xml:space="preserve">be considered </w:t>
      </w:r>
      <w:r w:rsidR="00B5036F" w:rsidRPr="002433F3">
        <w:rPr>
          <w:lang w:val="en-US"/>
        </w:rPr>
        <w:t xml:space="preserve">the </w:t>
      </w:r>
      <w:r w:rsidRPr="002433F3">
        <w:rPr>
          <w:lang w:val="en-US"/>
        </w:rPr>
        <w:t xml:space="preserve">beneficiary of </w:t>
      </w:r>
      <w:r w:rsidR="00113815" w:rsidRPr="002433F3">
        <w:rPr>
          <w:lang w:val="en-US"/>
        </w:rPr>
        <w:t xml:space="preserve">any </w:t>
      </w:r>
      <w:r w:rsidRPr="002433F3">
        <w:rPr>
          <w:lang w:val="en-US"/>
        </w:rPr>
        <w:t>reparations ordered by the Court.</w:t>
      </w:r>
    </w:p>
    <w:p w14:paraId="1061C484" w14:textId="77777777" w:rsidR="007B0DE4" w:rsidRPr="002433F3" w:rsidRDefault="007B0DE4" w:rsidP="007B0DE4">
      <w:pPr>
        <w:pStyle w:val="Ttulo2"/>
        <w:numPr>
          <w:ilvl w:val="0"/>
          <w:numId w:val="13"/>
        </w:numPr>
        <w:spacing w:before="280" w:after="280"/>
        <w:rPr>
          <w:noProof w:val="0"/>
          <w:lang w:val="en-US"/>
        </w:rPr>
      </w:pPr>
      <w:bookmarkStart w:id="142" w:name="_Toc448482281"/>
      <w:r w:rsidRPr="002433F3">
        <w:rPr>
          <w:noProof w:val="0"/>
          <w:lang w:val="en-US"/>
        </w:rPr>
        <w:t>Measure of Restitution</w:t>
      </w:r>
      <w:bookmarkEnd w:id="142"/>
    </w:p>
    <w:p w14:paraId="11BCC3AA" w14:textId="77777777" w:rsidR="007B0DE4" w:rsidRPr="002433F3" w:rsidRDefault="007B0DE4" w:rsidP="007B0DE4">
      <w:pPr>
        <w:numPr>
          <w:ilvl w:val="0"/>
          <w:numId w:val="2"/>
        </w:numPr>
        <w:spacing w:before="120" w:after="120"/>
        <w:rPr>
          <w:lang w:val="en-US"/>
        </w:rPr>
      </w:pPr>
      <w:r w:rsidRPr="002433F3">
        <w:rPr>
          <w:lang w:val="en-US"/>
        </w:rPr>
        <w:t xml:space="preserve">The </w:t>
      </w:r>
      <w:r w:rsidRPr="002433F3">
        <w:rPr>
          <w:i/>
          <w:lang w:val="en-US"/>
        </w:rPr>
        <w:t>representatives</w:t>
      </w:r>
      <w:r w:rsidRPr="002433F3">
        <w:rPr>
          <w:b/>
          <w:lang w:val="en-US"/>
        </w:rPr>
        <w:t xml:space="preserve"> </w:t>
      </w:r>
      <w:r w:rsidRPr="002433F3">
        <w:rPr>
          <w:lang w:val="en-US"/>
        </w:rPr>
        <w:t>asked the</w:t>
      </w:r>
      <w:r w:rsidRPr="002433F3">
        <w:rPr>
          <w:b/>
          <w:lang w:val="en-US"/>
        </w:rPr>
        <w:t xml:space="preserve"> </w:t>
      </w:r>
      <w:r w:rsidRPr="002433F3">
        <w:rPr>
          <w:lang w:val="en-US"/>
        </w:rPr>
        <w:t xml:space="preserve">Court to order the State to </w:t>
      </w:r>
      <w:r w:rsidR="00113815" w:rsidRPr="002433F3">
        <w:rPr>
          <w:lang w:val="en-US"/>
        </w:rPr>
        <w:t xml:space="preserve">require </w:t>
      </w:r>
      <w:r w:rsidRPr="002433F3">
        <w:rPr>
          <w:lang w:val="en-US"/>
        </w:rPr>
        <w:t xml:space="preserve">the private pension fund COLFONDOS to process, within a period not exceeding four months, the survivor’s pension to which Ángel Alberto Duque is entitled and </w:t>
      </w:r>
      <w:r w:rsidR="00612CDA" w:rsidRPr="002433F3">
        <w:rPr>
          <w:lang w:val="en-US"/>
        </w:rPr>
        <w:t xml:space="preserve">to </w:t>
      </w:r>
      <w:r w:rsidRPr="002433F3">
        <w:rPr>
          <w:lang w:val="en-US"/>
        </w:rPr>
        <w:t xml:space="preserve">begin to pay him monthly. The </w:t>
      </w:r>
      <w:r w:rsidRPr="002433F3">
        <w:rPr>
          <w:i/>
          <w:lang w:val="en-US"/>
        </w:rPr>
        <w:t>Commission</w:t>
      </w:r>
      <w:r w:rsidRPr="002433F3">
        <w:rPr>
          <w:lang w:val="en-US"/>
        </w:rPr>
        <w:t xml:space="preserve"> indicated that the reparations made to Mr. Duque should include the granting of a survivor’s pension and fair compensation. The </w:t>
      </w:r>
      <w:r w:rsidRPr="002433F3">
        <w:rPr>
          <w:i/>
          <w:lang w:val="en-US"/>
        </w:rPr>
        <w:t>State</w:t>
      </w:r>
      <w:r w:rsidRPr="002433F3">
        <w:rPr>
          <w:lang w:val="en-US"/>
        </w:rPr>
        <w:t xml:space="preserve"> did not present arguments in relation to this measure of reparation.</w:t>
      </w:r>
    </w:p>
    <w:p w14:paraId="11AAFDB8" w14:textId="77777777" w:rsidR="007B0DE4" w:rsidRPr="002433F3" w:rsidRDefault="00113815" w:rsidP="007B0DE4">
      <w:pPr>
        <w:numPr>
          <w:ilvl w:val="0"/>
          <w:numId w:val="2"/>
        </w:numPr>
        <w:spacing w:before="120" w:after="120"/>
        <w:rPr>
          <w:lang w:val="en-US"/>
        </w:rPr>
      </w:pPr>
      <w:r w:rsidRPr="002433F3">
        <w:rPr>
          <w:lang w:val="en-US"/>
        </w:rPr>
        <w:t xml:space="preserve">With regard to </w:t>
      </w:r>
      <w:r w:rsidR="00753FF7" w:rsidRPr="002433F3">
        <w:rPr>
          <w:lang w:val="en-US"/>
        </w:rPr>
        <w:t xml:space="preserve">the </w:t>
      </w:r>
      <w:r w:rsidR="007B0DE4" w:rsidRPr="002433F3">
        <w:rPr>
          <w:lang w:val="en-US"/>
        </w:rPr>
        <w:t xml:space="preserve">foregoing, the Court confirms, in the first place, that the State was found responsible for </w:t>
      </w:r>
      <w:r w:rsidR="00753FF7" w:rsidRPr="002433F3">
        <w:rPr>
          <w:lang w:val="en-US"/>
        </w:rPr>
        <w:t xml:space="preserve">violating </w:t>
      </w:r>
      <w:r w:rsidR="007B0DE4" w:rsidRPr="002433F3">
        <w:rPr>
          <w:lang w:val="en-US"/>
        </w:rPr>
        <w:t>the right to equality and non-discrimination established in Article 24 of the Convention, to the detriment of Mr. Duque</w:t>
      </w:r>
      <w:r w:rsidR="00753FF7" w:rsidRPr="002433F3">
        <w:rPr>
          <w:lang w:val="en-US"/>
        </w:rPr>
        <w:t>,</w:t>
      </w:r>
      <w:r w:rsidR="007B0DE4" w:rsidRPr="002433F3">
        <w:rPr>
          <w:lang w:val="en-US"/>
        </w:rPr>
        <w:t xml:space="preserve"> given that he was not allowed access</w:t>
      </w:r>
      <w:r w:rsidRPr="002433F3">
        <w:rPr>
          <w:lang w:val="en-US"/>
        </w:rPr>
        <w:t>, on an equal footing,</w:t>
      </w:r>
      <w:r w:rsidR="007B0DE4" w:rsidRPr="002433F3">
        <w:rPr>
          <w:lang w:val="en-US"/>
        </w:rPr>
        <w:t xml:space="preserve"> the survivor’s pension</w:t>
      </w:r>
      <w:r w:rsidRPr="002433F3">
        <w:rPr>
          <w:lang w:val="en-US"/>
        </w:rPr>
        <w:t xml:space="preserve"> </w:t>
      </w:r>
      <w:r w:rsidR="007B0DE4" w:rsidRPr="002433F3">
        <w:rPr>
          <w:lang w:val="en-US"/>
        </w:rPr>
        <w:t>established in Colombia’s domestic legislation (</w:t>
      </w:r>
      <w:r w:rsidR="007B0DE4" w:rsidRPr="002433F3">
        <w:rPr>
          <w:i/>
          <w:lang w:val="en-US"/>
        </w:rPr>
        <w:t>supra</w:t>
      </w:r>
      <w:r w:rsidR="007B0DE4" w:rsidRPr="002433F3">
        <w:rPr>
          <w:lang w:val="en-US"/>
        </w:rPr>
        <w:t xml:space="preserve"> para. 138). Consequently, the State must guarante</w:t>
      </w:r>
      <w:r w:rsidR="00753FF7" w:rsidRPr="002433F3">
        <w:rPr>
          <w:lang w:val="en-US"/>
        </w:rPr>
        <w:t>e that once Mr. Duque submits his</w:t>
      </w:r>
      <w:r w:rsidR="007B0DE4" w:rsidRPr="002433F3">
        <w:rPr>
          <w:lang w:val="en-US"/>
        </w:rPr>
        <w:t xml:space="preserve"> application for the survivor’s pension, </w:t>
      </w:r>
      <w:r w:rsidR="00753FF7" w:rsidRPr="002433F3">
        <w:rPr>
          <w:lang w:val="en-US"/>
        </w:rPr>
        <w:t xml:space="preserve">it </w:t>
      </w:r>
      <w:r w:rsidR="007B0DE4" w:rsidRPr="002433F3">
        <w:rPr>
          <w:lang w:val="en-US"/>
        </w:rPr>
        <w:t>will be processed as a priority, wit</w:t>
      </w:r>
      <w:r w:rsidR="00753FF7" w:rsidRPr="002433F3">
        <w:rPr>
          <w:lang w:val="en-US"/>
        </w:rPr>
        <w:t xml:space="preserve">hin three months. </w:t>
      </w:r>
      <w:r w:rsidR="002161F8" w:rsidRPr="002433F3">
        <w:rPr>
          <w:lang w:val="en-US"/>
        </w:rPr>
        <w:t>Likewise, t</w:t>
      </w:r>
      <w:r w:rsidR="00753FF7" w:rsidRPr="002433F3">
        <w:rPr>
          <w:lang w:val="en-US"/>
        </w:rPr>
        <w:t>he</w:t>
      </w:r>
      <w:r w:rsidR="007B0DE4" w:rsidRPr="002433F3">
        <w:rPr>
          <w:lang w:val="en-US"/>
        </w:rPr>
        <w:t xml:space="preserve"> Court establishes that, </w:t>
      </w:r>
      <w:r w:rsidR="00753FF7" w:rsidRPr="002433F3">
        <w:rPr>
          <w:lang w:val="en-US"/>
        </w:rPr>
        <w:t>should</w:t>
      </w:r>
      <w:r w:rsidR="003619BD" w:rsidRPr="002433F3">
        <w:rPr>
          <w:lang w:val="en-US"/>
        </w:rPr>
        <w:t xml:space="preserve"> </w:t>
      </w:r>
      <w:r w:rsidR="007B0DE4" w:rsidRPr="002433F3">
        <w:rPr>
          <w:lang w:val="en-US"/>
        </w:rPr>
        <w:t xml:space="preserve">Mr. Duque </w:t>
      </w:r>
      <w:r w:rsidR="00753FF7" w:rsidRPr="002433F3">
        <w:rPr>
          <w:lang w:val="en-US"/>
        </w:rPr>
        <w:t xml:space="preserve">be granted the pension, the </w:t>
      </w:r>
      <w:r w:rsidR="00753FF7" w:rsidRPr="002433F3">
        <w:rPr>
          <w:szCs w:val="20"/>
          <w:lang w:val="en-US"/>
        </w:rPr>
        <w:t>State must include the sum equivalent to all payments, plus the corresponding i</w:t>
      </w:r>
      <w:r w:rsidR="002161F8" w:rsidRPr="002433F3">
        <w:rPr>
          <w:szCs w:val="20"/>
          <w:lang w:val="en-US"/>
        </w:rPr>
        <w:t>nterest</w:t>
      </w:r>
      <w:r w:rsidR="00753FF7" w:rsidRPr="002433F3">
        <w:rPr>
          <w:szCs w:val="20"/>
          <w:lang w:val="en-US"/>
        </w:rPr>
        <w:t xml:space="preserve"> in accordance with Colombia’s domestic regulations, which Mr. Duque did not receive since </w:t>
      </w:r>
      <w:r w:rsidR="002161F8" w:rsidRPr="002433F3">
        <w:rPr>
          <w:szCs w:val="20"/>
          <w:lang w:val="en-US"/>
        </w:rPr>
        <w:t xml:space="preserve">he presented </w:t>
      </w:r>
      <w:r w:rsidR="00753FF7" w:rsidRPr="002433F3">
        <w:rPr>
          <w:szCs w:val="20"/>
          <w:lang w:val="en-US"/>
        </w:rPr>
        <w:t xml:space="preserve">his request for information </w:t>
      </w:r>
      <w:r w:rsidR="00753FF7" w:rsidRPr="002433F3">
        <w:rPr>
          <w:szCs w:val="20"/>
        </w:rPr>
        <w:t>to COLFONDOS</w:t>
      </w:r>
      <w:r w:rsidR="00753FF7" w:rsidRPr="002433F3">
        <w:rPr>
          <w:lang w:val="en-US"/>
        </w:rPr>
        <w:t>, on April 3, 2002.</w:t>
      </w:r>
      <w:r w:rsidR="007B0DE4" w:rsidRPr="002433F3">
        <w:rPr>
          <w:lang w:val="en-US"/>
        </w:rPr>
        <w:t xml:space="preserve"> </w:t>
      </w:r>
    </w:p>
    <w:p w14:paraId="67D42EB8" w14:textId="77777777" w:rsidR="007B0DE4" w:rsidRPr="002433F3" w:rsidRDefault="007B0DE4" w:rsidP="007B0DE4">
      <w:pPr>
        <w:numPr>
          <w:ilvl w:val="0"/>
          <w:numId w:val="2"/>
        </w:numPr>
        <w:spacing w:before="120" w:after="120"/>
        <w:rPr>
          <w:lang w:val="en-US"/>
        </w:rPr>
      </w:pPr>
      <w:r w:rsidRPr="002433F3">
        <w:rPr>
          <w:lang w:val="en-US"/>
        </w:rPr>
        <w:t xml:space="preserve">On this last point, the Court finds that the State referred to the testimony of Mr. Juan Manuel Trujillo, Secretary General of COLFONDOS, </w:t>
      </w:r>
      <w:r w:rsidR="00405CEA" w:rsidRPr="002433F3">
        <w:rPr>
          <w:lang w:val="en-US"/>
        </w:rPr>
        <w:t xml:space="preserve">who stated </w:t>
      </w:r>
      <w:r w:rsidRPr="002433F3">
        <w:rPr>
          <w:lang w:val="en-US"/>
        </w:rPr>
        <w:t xml:space="preserve">that “the refusal in [the] letter sent by COLFONDOS </w:t>
      </w:r>
      <w:r w:rsidR="00027FE0" w:rsidRPr="002433F3">
        <w:rPr>
          <w:lang w:val="en-US"/>
        </w:rPr>
        <w:t>on April 3, 2002, stopped</w:t>
      </w:r>
      <w:r w:rsidRPr="002433F3">
        <w:rPr>
          <w:lang w:val="en-US"/>
        </w:rPr>
        <w:t xml:space="preserve"> or discouraged or deterred Mr. […] Duque from continuing with the steps that he himself was asking about in his communication of March 19. Under that </w:t>
      </w:r>
      <w:r w:rsidR="00027FE0" w:rsidRPr="002433F3">
        <w:rPr>
          <w:lang w:val="en-US"/>
        </w:rPr>
        <w:t>assumption</w:t>
      </w:r>
      <w:r w:rsidRPr="002433F3">
        <w:rPr>
          <w:lang w:val="en-US"/>
        </w:rPr>
        <w:t>, we could say that altho</w:t>
      </w:r>
      <w:r w:rsidR="00405CEA" w:rsidRPr="002433F3">
        <w:rPr>
          <w:lang w:val="en-US"/>
        </w:rPr>
        <w:t>ugh it was not a formal request</w:t>
      </w:r>
      <w:r w:rsidRPr="002433F3">
        <w:rPr>
          <w:lang w:val="en-US"/>
        </w:rPr>
        <w:t xml:space="preserve"> in legal terms, there was a direct and expres</w:t>
      </w:r>
      <w:r w:rsidR="008C3023" w:rsidRPr="002433F3">
        <w:rPr>
          <w:lang w:val="en-US"/>
        </w:rPr>
        <w:t>s intention by Mr. […] Duque to pause</w:t>
      </w:r>
      <w:r w:rsidR="009C06F1" w:rsidRPr="002433F3">
        <w:rPr>
          <w:lang w:val="en-US"/>
        </w:rPr>
        <w:t xml:space="preserve"> </w:t>
      </w:r>
      <w:r w:rsidRPr="002433F3">
        <w:rPr>
          <w:lang w:val="en-US"/>
        </w:rPr>
        <w:t xml:space="preserve">the </w:t>
      </w:r>
      <w:r w:rsidR="008C3023" w:rsidRPr="002433F3">
        <w:rPr>
          <w:lang w:val="en-US"/>
        </w:rPr>
        <w:t xml:space="preserve">statute of limitations on </w:t>
      </w:r>
      <w:r w:rsidRPr="002433F3">
        <w:rPr>
          <w:lang w:val="en-US"/>
        </w:rPr>
        <w:t>the monthly payments and to claim his right.”</w:t>
      </w:r>
    </w:p>
    <w:p w14:paraId="52112F7F" w14:textId="77777777" w:rsidR="007B0DE4" w:rsidRPr="002433F3" w:rsidRDefault="007B0DE4" w:rsidP="007B0DE4">
      <w:pPr>
        <w:pStyle w:val="Ttulo2"/>
        <w:numPr>
          <w:ilvl w:val="0"/>
          <w:numId w:val="13"/>
        </w:numPr>
        <w:spacing w:before="280" w:after="280"/>
        <w:rPr>
          <w:noProof w:val="0"/>
          <w:lang w:val="en-US"/>
        </w:rPr>
      </w:pPr>
      <w:bookmarkStart w:id="143" w:name="_Toc448482282"/>
      <w:r w:rsidRPr="002433F3">
        <w:rPr>
          <w:noProof w:val="0"/>
          <w:lang w:val="en-US"/>
        </w:rPr>
        <w:lastRenderedPageBreak/>
        <w:t xml:space="preserve">Measures of </w:t>
      </w:r>
      <w:r w:rsidRPr="002433F3">
        <w:rPr>
          <w:noProof w:val="0"/>
          <w:lang w:val="en-US" w:eastAsia="es-ES"/>
        </w:rPr>
        <w:t>satisfaction</w:t>
      </w:r>
      <w:bookmarkEnd w:id="143"/>
    </w:p>
    <w:p w14:paraId="7857EF21" w14:textId="77777777" w:rsidR="007B0DE4" w:rsidRPr="002433F3" w:rsidRDefault="007B0DE4" w:rsidP="007B0DE4">
      <w:pPr>
        <w:numPr>
          <w:ilvl w:val="0"/>
          <w:numId w:val="2"/>
        </w:numPr>
        <w:spacing w:before="120" w:after="120"/>
        <w:rPr>
          <w:lang w:val="en-US"/>
        </w:rPr>
      </w:pPr>
      <w:r w:rsidRPr="002433F3">
        <w:rPr>
          <w:lang w:val="en-US"/>
        </w:rPr>
        <w:t xml:space="preserve">The Court will </w:t>
      </w:r>
      <w:r w:rsidR="008C3023" w:rsidRPr="002433F3">
        <w:rPr>
          <w:lang w:val="en-US"/>
        </w:rPr>
        <w:t xml:space="preserve">decide on </w:t>
      </w:r>
      <w:r w:rsidRPr="002433F3">
        <w:rPr>
          <w:lang w:val="en-US"/>
        </w:rPr>
        <w:t xml:space="preserve">measures </w:t>
      </w:r>
      <w:r w:rsidR="008C3023" w:rsidRPr="002433F3">
        <w:rPr>
          <w:lang w:val="en-US"/>
        </w:rPr>
        <w:t xml:space="preserve">aimed at </w:t>
      </w:r>
      <w:r w:rsidRPr="002433F3">
        <w:rPr>
          <w:lang w:val="en-US"/>
        </w:rPr>
        <w:t>redress</w:t>
      </w:r>
      <w:r w:rsidR="008C3023" w:rsidRPr="002433F3">
        <w:rPr>
          <w:lang w:val="en-US"/>
        </w:rPr>
        <w:t>ing</w:t>
      </w:r>
      <w:r w:rsidRPr="002433F3">
        <w:rPr>
          <w:lang w:val="en-US"/>
        </w:rPr>
        <w:t xml:space="preserve"> non-pecuniary </w:t>
      </w:r>
      <w:r w:rsidR="008C3023" w:rsidRPr="002433F3">
        <w:rPr>
          <w:lang w:val="en-US"/>
        </w:rPr>
        <w:t>damage</w:t>
      </w:r>
      <w:r w:rsidRPr="002433F3">
        <w:rPr>
          <w:lang w:val="en-US"/>
        </w:rPr>
        <w:t xml:space="preserve">, as well as measures </w:t>
      </w:r>
      <w:r w:rsidR="008C3023" w:rsidRPr="002433F3">
        <w:rPr>
          <w:lang w:val="en-US"/>
        </w:rPr>
        <w:t xml:space="preserve">of </w:t>
      </w:r>
      <w:r w:rsidRPr="002433F3">
        <w:rPr>
          <w:lang w:val="en-US"/>
        </w:rPr>
        <w:t xml:space="preserve">a public </w:t>
      </w:r>
      <w:r w:rsidR="008C3023" w:rsidRPr="002433F3">
        <w:rPr>
          <w:lang w:val="en-US"/>
        </w:rPr>
        <w:t xml:space="preserve">nature </w:t>
      </w:r>
      <w:r w:rsidRPr="002433F3">
        <w:rPr>
          <w:lang w:val="en-US"/>
        </w:rPr>
        <w:t xml:space="preserve">or </w:t>
      </w:r>
      <w:r w:rsidR="002161F8" w:rsidRPr="002433F3">
        <w:rPr>
          <w:lang w:val="en-US"/>
        </w:rPr>
        <w:t xml:space="preserve">with </w:t>
      </w:r>
      <w:r w:rsidRPr="002433F3">
        <w:rPr>
          <w:lang w:val="en-US"/>
        </w:rPr>
        <w:t>repercussion</w:t>
      </w:r>
      <w:r w:rsidR="002161F8" w:rsidRPr="002433F3">
        <w:rPr>
          <w:lang w:val="en-US"/>
        </w:rPr>
        <w:t>s</w:t>
      </w:r>
      <w:r w:rsidRPr="002433F3">
        <w:rPr>
          <w:lang w:val="en-US"/>
        </w:rPr>
        <w:t>.</w:t>
      </w:r>
      <w:r w:rsidRPr="002433F3">
        <w:rPr>
          <w:rStyle w:val="Refdenotaalpie"/>
          <w:rFonts w:eastAsia="MS Mincho"/>
          <w:lang w:val="en-US"/>
        </w:rPr>
        <w:footnoteReference w:id="169"/>
      </w:r>
      <w:r w:rsidRPr="002433F3">
        <w:rPr>
          <w:lang w:val="en-US"/>
        </w:rPr>
        <w:t xml:space="preserve"> I</w:t>
      </w:r>
      <w:r w:rsidRPr="002433F3">
        <w:rPr>
          <w:rFonts w:eastAsia="Calibri"/>
          <w:lang w:val="en-US"/>
        </w:rPr>
        <w:t>nternational case law</w:t>
      </w:r>
      <w:r w:rsidRPr="002433F3">
        <w:rPr>
          <w:lang w:val="en-US"/>
        </w:rPr>
        <w:t xml:space="preserve">, and </w:t>
      </w:r>
      <w:r w:rsidR="002161F8" w:rsidRPr="002433F3">
        <w:rPr>
          <w:lang w:val="en-US"/>
        </w:rPr>
        <w:t xml:space="preserve">particularly </w:t>
      </w:r>
      <w:r w:rsidRPr="002433F3">
        <w:rPr>
          <w:lang w:val="en-US"/>
        </w:rPr>
        <w:t>that of the Court, has established repeatedly that the judgment constitutes</w:t>
      </w:r>
      <w:r w:rsidRPr="002433F3">
        <w:rPr>
          <w:i/>
          <w:iCs/>
          <w:lang w:val="en-US"/>
        </w:rPr>
        <w:t xml:space="preserve"> per se</w:t>
      </w:r>
      <w:r w:rsidRPr="002433F3">
        <w:rPr>
          <w:lang w:val="en-US"/>
        </w:rPr>
        <w:t xml:space="preserve"> a form of reparation.</w:t>
      </w:r>
      <w:r w:rsidRPr="002433F3">
        <w:rPr>
          <w:rStyle w:val="Refdenotaalpie"/>
          <w:rFonts w:eastAsia="MS Mincho"/>
          <w:lang w:val="en-US"/>
        </w:rPr>
        <w:footnoteReference w:id="170"/>
      </w:r>
    </w:p>
    <w:p w14:paraId="607DB694" w14:textId="77777777" w:rsidR="007B0DE4" w:rsidRPr="002433F3" w:rsidRDefault="007B0DE4" w:rsidP="007B0DE4">
      <w:pPr>
        <w:numPr>
          <w:ilvl w:val="0"/>
          <w:numId w:val="2"/>
        </w:numPr>
        <w:spacing w:before="120" w:after="120"/>
        <w:rPr>
          <w:lang w:val="en-US"/>
        </w:rPr>
      </w:pPr>
      <w:r w:rsidRPr="002433F3">
        <w:rPr>
          <w:lang w:val="en-US"/>
        </w:rPr>
        <w:t xml:space="preserve">The </w:t>
      </w:r>
      <w:r w:rsidRPr="002433F3">
        <w:rPr>
          <w:i/>
          <w:lang w:val="en-US"/>
        </w:rPr>
        <w:t>representatives</w:t>
      </w:r>
      <w:r w:rsidRPr="002433F3">
        <w:rPr>
          <w:b/>
          <w:lang w:val="en-US"/>
        </w:rPr>
        <w:t xml:space="preserve"> </w:t>
      </w:r>
      <w:r w:rsidRPr="002433F3">
        <w:rPr>
          <w:lang w:val="en-US"/>
        </w:rPr>
        <w:t>requested that t</w:t>
      </w:r>
      <w:r w:rsidR="008C3023" w:rsidRPr="002433F3">
        <w:rPr>
          <w:lang w:val="en-US"/>
        </w:rPr>
        <w:t>he Court order “the publication,</w:t>
      </w:r>
      <w:r w:rsidRPr="002433F3">
        <w:rPr>
          <w:lang w:val="en-US"/>
        </w:rPr>
        <w:t xml:space="preserve"> in legible form</w:t>
      </w:r>
      <w:r w:rsidR="008C3023" w:rsidRPr="002433F3">
        <w:rPr>
          <w:lang w:val="en-US"/>
        </w:rPr>
        <w:t xml:space="preserve">at, </w:t>
      </w:r>
      <w:r w:rsidRPr="002433F3">
        <w:rPr>
          <w:lang w:val="en-US"/>
        </w:rPr>
        <w:t xml:space="preserve">of the relevant parts of the Judgment, </w:t>
      </w:r>
      <w:r w:rsidR="008C3023" w:rsidRPr="002433F3">
        <w:rPr>
          <w:lang w:val="en-US"/>
        </w:rPr>
        <w:t xml:space="preserve">once, in the Official Gazette, </w:t>
      </w:r>
      <w:r w:rsidRPr="002433F3">
        <w:rPr>
          <w:lang w:val="en-US"/>
        </w:rPr>
        <w:t>including the titles of each chapter and the respective s</w:t>
      </w:r>
      <w:r w:rsidR="008C3023" w:rsidRPr="002433F3">
        <w:rPr>
          <w:lang w:val="en-US"/>
        </w:rPr>
        <w:t>ection– without the footnotes -</w:t>
      </w:r>
      <w:r w:rsidRPr="002433F3">
        <w:rPr>
          <w:lang w:val="en-US"/>
        </w:rPr>
        <w:t xml:space="preserve"> as well as </w:t>
      </w:r>
      <w:r w:rsidR="00C318EE" w:rsidRPr="002433F3">
        <w:rPr>
          <w:lang w:val="en-US"/>
        </w:rPr>
        <w:t>the operative</w:t>
      </w:r>
      <w:r w:rsidR="008C3023" w:rsidRPr="002433F3">
        <w:rPr>
          <w:lang w:val="en-US"/>
        </w:rPr>
        <w:t xml:space="preserve"> paragraphs of this Judgment;</w:t>
      </w:r>
      <w:r w:rsidRPr="002433F3">
        <w:rPr>
          <w:lang w:val="en-US"/>
        </w:rPr>
        <w:t xml:space="preserve"> </w:t>
      </w:r>
      <w:r w:rsidR="008C3023" w:rsidRPr="002433F3">
        <w:rPr>
          <w:lang w:val="en-US"/>
        </w:rPr>
        <w:t>a</w:t>
      </w:r>
      <w:r w:rsidR="00C97219" w:rsidRPr="002433F3">
        <w:rPr>
          <w:lang w:val="en-US"/>
        </w:rPr>
        <w:t xml:space="preserve">nd </w:t>
      </w:r>
      <w:r w:rsidR="008C3023" w:rsidRPr="002433F3">
        <w:rPr>
          <w:lang w:val="en-US"/>
        </w:rPr>
        <w:t>the publication</w:t>
      </w:r>
      <w:r w:rsidRPr="002433F3">
        <w:rPr>
          <w:lang w:val="en-US"/>
        </w:rPr>
        <w:t xml:space="preserve"> of the official summary of the</w:t>
      </w:r>
      <w:r w:rsidR="00C97219" w:rsidRPr="002433F3">
        <w:rPr>
          <w:lang w:val="en-US"/>
        </w:rPr>
        <w:t xml:space="preserve"> Judgment prepared by the Court in a newspaper with wide national circulation</w:t>
      </w:r>
      <w:r w:rsidR="002161F8" w:rsidRPr="002433F3">
        <w:rPr>
          <w:lang w:val="en-US"/>
        </w:rPr>
        <w:t>. The sked that this</w:t>
      </w:r>
      <w:r w:rsidRPr="002433F3">
        <w:rPr>
          <w:lang w:val="en-US"/>
        </w:rPr>
        <w:t xml:space="preserve"> measure be implemented within six months of notification of this Judgment.” </w:t>
      </w:r>
      <w:r w:rsidR="00C97219" w:rsidRPr="002433F3">
        <w:rPr>
          <w:lang w:val="en-US"/>
        </w:rPr>
        <w:t xml:space="preserve">Also, </w:t>
      </w:r>
      <w:r w:rsidRPr="002433F3">
        <w:rPr>
          <w:lang w:val="en-US"/>
        </w:rPr>
        <w:t>“the immediate publication of the full text o</w:t>
      </w:r>
      <w:r w:rsidR="00C97219" w:rsidRPr="002433F3">
        <w:rPr>
          <w:lang w:val="en-US"/>
        </w:rPr>
        <w:t>f the Judgment on the official web sites</w:t>
      </w:r>
      <w:r w:rsidRPr="002433F3">
        <w:rPr>
          <w:lang w:val="en-US"/>
        </w:rPr>
        <w:t xml:space="preserve"> of the Office of th</w:t>
      </w:r>
      <w:r w:rsidR="00C97219" w:rsidRPr="002433F3">
        <w:rPr>
          <w:lang w:val="en-US"/>
        </w:rPr>
        <w:t xml:space="preserve">e President of the Republic, </w:t>
      </w:r>
      <w:r w:rsidRPr="002433F3">
        <w:rPr>
          <w:lang w:val="en-US"/>
        </w:rPr>
        <w:t>the Minis</w:t>
      </w:r>
      <w:r w:rsidR="00C97219" w:rsidRPr="002433F3">
        <w:rPr>
          <w:lang w:val="en-US"/>
        </w:rPr>
        <w:t xml:space="preserve">try of Foreign Relations and </w:t>
      </w:r>
      <w:r w:rsidRPr="002433F3">
        <w:rPr>
          <w:lang w:val="en-US"/>
        </w:rPr>
        <w:t xml:space="preserve">the Ministry of Labor and Social Security.” The </w:t>
      </w:r>
      <w:r w:rsidRPr="002433F3">
        <w:rPr>
          <w:i/>
          <w:lang w:val="en-US"/>
        </w:rPr>
        <w:t>State</w:t>
      </w:r>
      <w:r w:rsidRPr="002433F3">
        <w:rPr>
          <w:lang w:val="en-US"/>
        </w:rPr>
        <w:t xml:space="preserve"> </w:t>
      </w:r>
      <w:r w:rsidR="00C97219" w:rsidRPr="002433F3">
        <w:rPr>
          <w:lang w:val="en-US"/>
        </w:rPr>
        <w:t>requested that</w:t>
      </w:r>
      <w:r w:rsidR="00C318EE" w:rsidRPr="002433F3">
        <w:rPr>
          <w:lang w:val="en-US"/>
        </w:rPr>
        <w:t xml:space="preserve">, should a </w:t>
      </w:r>
      <w:r w:rsidRPr="002433F3">
        <w:rPr>
          <w:lang w:val="en-US"/>
        </w:rPr>
        <w:t xml:space="preserve">judgment </w:t>
      </w:r>
      <w:r w:rsidR="00C318EE" w:rsidRPr="002433F3">
        <w:rPr>
          <w:lang w:val="en-US"/>
        </w:rPr>
        <w:t xml:space="preserve">be issued </w:t>
      </w:r>
      <w:r w:rsidRPr="002433F3">
        <w:rPr>
          <w:lang w:val="en-US"/>
        </w:rPr>
        <w:t>against it</w:t>
      </w:r>
      <w:r w:rsidR="00C318EE" w:rsidRPr="002433F3">
        <w:rPr>
          <w:lang w:val="en-US"/>
        </w:rPr>
        <w:t>,</w:t>
      </w:r>
      <w:r w:rsidR="00B379BA" w:rsidRPr="002433F3">
        <w:rPr>
          <w:lang w:val="en-US"/>
        </w:rPr>
        <w:t xml:space="preserve"> th</w:t>
      </w:r>
      <w:r w:rsidR="00C97219" w:rsidRPr="002433F3">
        <w:rPr>
          <w:lang w:val="en-US"/>
        </w:rPr>
        <w:t xml:space="preserve">e Court </w:t>
      </w:r>
      <w:r w:rsidR="00B379BA" w:rsidRPr="002433F3">
        <w:rPr>
          <w:lang w:val="en-US"/>
        </w:rPr>
        <w:t xml:space="preserve">consider </w:t>
      </w:r>
      <w:r w:rsidRPr="002433F3">
        <w:rPr>
          <w:lang w:val="en-US"/>
        </w:rPr>
        <w:t xml:space="preserve">the judgment, </w:t>
      </w:r>
      <w:r w:rsidR="00B379BA" w:rsidRPr="002433F3">
        <w:rPr>
          <w:i/>
          <w:lang w:val="en-US"/>
        </w:rPr>
        <w:t>per se</w:t>
      </w:r>
      <w:r w:rsidRPr="002433F3">
        <w:rPr>
          <w:lang w:val="en-US"/>
        </w:rPr>
        <w:t xml:space="preserve">, and its publication, </w:t>
      </w:r>
      <w:r w:rsidR="00B379BA" w:rsidRPr="002433F3">
        <w:rPr>
          <w:lang w:val="en-US"/>
        </w:rPr>
        <w:t xml:space="preserve">as </w:t>
      </w:r>
      <w:r w:rsidRPr="002433F3">
        <w:rPr>
          <w:lang w:val="en-US"/>
        </w:rPr>
        <w:t>a measure of satisfaction an</w:t>
      </w:r>
      <w:r w:rsidR="00B379BA" w:rsidRPr="002433F3">
        <w:rPr>
          <w:lang w:val="en-US"/>
        </w:rPr>
        <w:t xml:space="preserve">d a guarantee of non-repetition, </w:t>
      </w:r>
      <w:r w:rsidR="00C97219" w:rsidRPr="002433F3">
        <w:rPr>
          <w:lang w:val="en-US"/>
        </w:rPr>
        <w:t xml:space="preserve">in accordance with </w:t>
      </w:r>
      <w:r w:rsidR="00B379BA" w:rsidRPr="002433F3">
        <w:rPr>
          <w:lang w:val="en-US"/>
        </w:rPr>
        <w:t>its own case law.</w:t>
      </w:r>
      <w:r w:rsidRPr="002433F3">
        <w:rPr>
          <w:lang w:val="en-US"/>
        </w:rPr>
        <w:t xml:space="preserve"> The </w:t>
      </w:r>
      <w:r w:rsidRPr="002433F3">
        <w:rPr>
          <w:i/>
          <w:lang w:val="en-US"/>
        </w:rPr>
        <w:t>Commission</w:t>
      </w:r>
      <w:r w:rsidRPr="002433F3">
        <w:rPr>
          <w:lang w:val="en-US"/>
        </w:rPr>
        <w:t xml:space="preserve"> did not comment </w:t>
      </w:r>
      <w:r w:rsidR="002161F8" w:rsidRPr="002433F3">
        <w:rPr>
          <w:lang w:val="en-US"/>
        </w:rPr>
        <w:t xml:space="preserve">specifically </w:t>
      </w:r>
      <w:r w:rsidRPr="002433F3">
        <w:rPr>
          <w:lang w:val="en-US"/>
        </w:rPr>
        <w:t xml:space="preserve">on this request. </w:t>
      </w:r>
    </w:p>
    <w:p w14:paraId="51D233B1" w14:textId="77777777" w:rsidR="007B0DE4" w:rsidRPr="002433F3" w:rsidRDefault="007012A7" w:rsidP="007B0DE4">
      <w:pPr>
        <w:numPr>
          <w:ilvl w:val="0"/>
          <w:numId w:val="2"/>
        </w:numPr>
        <w:spacing w:before="120" w:after="120"/>
        <w:rPr>
          <w:lang w:val="en-US"/>
        </w:rPr>
      </w:pPr>
      <w:r w:rsidRPr="002433F3">
        <w:rPr>
          <w:szCs w:val="20"/>
          <w:lang w:val="en-US"/>
        </w:rPr>
        <w:t>A</w:t>
      </w:r>
      <w:r w:rsidR="007B0DE4" w:rsidRPr="002433F3">
        <w:rPr>
          <w:szCs w:val="20"/>
          <w:lang w:val="en-US"/>
        </w:rPr>
        <w:t>s it has</w:t>
      </w:r>
      <w:r w:rsidRPr="002433F3">
        <w:rPr>
          <w:szCs w:val="20"/>
          <w:lang w:val="en-US"/>
        </w:rPr>
        <w:t xml:space="preserve"> done</w:t>
      </w:r>
      <w:r w:rsidR="007B0DE4" w:rsidRPr="002433F3">
        <w:rPr>
          <w:szCs w:val="20"/>
          <w:lang w:val="en-US"/>
        </w:rPr>
        <w:t xml:space="preserve"> in other cases,</w:t>
      </w:r>
      <w:r w:rsidR="007B0DE4" w:rsidRPr="002433F3">
        <w:rPr>
          <w:rStyle w:val="Refdenotaalpie"/>
          <w:lang w:val="en-US" w:bidi="en-US"/>
        </w:rPr>
        <w:footnoteReference w:id="171"/>
      </w:r>
      <w:r w:rsidR="007B0DE4" w:rsidRPr="002433F3">
        <w:rPr>
          <w:szCs w:val="20"/>
          <w:lang w:val="en-US"/>
        </w:rPr>
        <w:t xml:space="preserve"> </w:t>
      </w:r>
      <w:r w:rsidRPr="002433F3">
        <w:rPr>
          <w:szCs w:val="20"/>
          <w:lang w:val="en-US"/>
        </w:rPr>
        <w:t xml:space="preserve">the Court deems it pertinent to order </w:t>
      </w:r>
      <w:r w:rsidR="007B0DE4" w:rsidRPr="002433F3">
        <w:rPr>
          <w:szCs w:val="20"/>
          <w:lang w:val="en-US"/>
        </w:rPr>
        <w:t xml:space="preserve">the State </w:t>
      </w:r>
      <w:r w:rsidRPr="002433F3">
        <w:rPr>
          <w:szCs w:val="20"/>
          <w:lang w:val="en-US"/>
        </w:rPr>
        <w:t xml:space="preserve">to make </w:t>
      </w:r>
      <w:r w:rsidR="007B0DE4" w:rsidRPr="002433F3">
        <w:rPr>
          <w:szCs w:val="20"/>
          <w:lang w:val="en-US"/>
        </w:rPr>
        <w:t>the fol</w:t>
      </w:r>
      <w:r w:rsidR="00836FE8" w:rsidRPr="002433F3">
        <w:rPr>
          <w:szCs w:val="20"/>
          <w:lang w:val="en-US"/>
        </w:rPr>
        <w:t>lowing publications within six m</w:t>
      </w:r>
      <w:r w:rsidR="007B0DE4" w:rsidRPr="002433F3">
        <w:rPr>
          <w:szCs w:val="20"/>
          <w:lang w:val="en-US"/>
        </w:rPr>
        <w:t xml:space="preserve">onths of notification of this Judgment: a) the official summary of this Judgment prepared by the Court, </w:t>
      </w:r>
      <w:r w:rsidRPr="002433F3">
        <w:rPr>
          <w:szCs w:val="20"/>
          <w:lang w:val="en-US"/>
        </w:rPr>
        <w:t xml:space="preserve">to be </w:t>
      </w:r>
      <w:r w:rsidR="007B0DE4" w:rsidRPr="002433F3">
        <w:rPr>
          <w:szCs w:val="20"/>
          <w:lang w:val="en-US"/>
        </w:rPr>
        <w:t>published in the Official Gazette and in a newspaper with wide national circ</w:t>
      </w:r>
      <w:r w:rsidR="00B77E78" w:rsidRPr="002433F3">
        <w:rPr>
          <w:szCs w:val="20"/>
          <w:lang w:val="en-US"/>
        </w:rPr>
        <w:t>ulation in Colombia, and b) the publication of this</w:t>
      </w:r>
      <w:r w:rsidR="007B0DE4" w:rsidRPr="002433F3">
        <w:rPr>
          <w:szCs w:val="20"/>
          <w:lang w:val="en-US"/>
        </w:rPr>
        <w:t xml:space="preserve"> Judgment in its entirety, </w:t>
      </w:r>
      <w:r w:rsidR="002161F8" w:rsidRPr="002433F3">
        <w:rPr>
          <w:szCs w:val="20"/>
          <w:lang w:val="en-US"/>
        </w:rPr>
        <w:t>available for at least one year</w:t>
      </w:r>
      <w:r w:rsidR="007B0DE4" w:rsidRPr="002433F3">
        <w:rPr>
          <w:szCs w:val="20"/>
          <w:lang w:val="en-US"/>
        </w:rPr>
        <w:t xml:space="preserve"> on an official web site of the State.</w:t>
      </w:r>
    </w:p>
    <w:p w14:paraId="0815E4AC" w14:textId="77777777" w:rsidR="007B0DE4" w:rsidRPr="002433F3" w:rsidRDefault="007B0DE4" w:rsidP="007B0DE4">
      <w:pPr>
        <w:pStyle w:val="Ttulo2"/>
        <w:numPr>
          <w:ilvl w:val="0"/>
          <w:numId w:val="13"/>
        </w:numPr>
        <w:spacing w:before="280" w:after="280"/>
        <w:rPr>
          <w:noProof w:val="0"/>
          <w:lang w:val="en-US"/>
        </w:rPr>
      </w:pPr>
      <w:bookmarkStart w:id="144" w:name="_Toc448482283"/>
      <w:r w:rsidRPr="002433F3">
        <w:rPr>
          <w:noProof w:val="0"/>
          <w:lang w:val="en-US"/>
        </w:rPr>
        <w:t>Other</w:t>
      </w:r>
      <w:r w:rsidRPr="002433F3">
        <w:rPr>
          <w:noProof w:val="0"/>
          <w:lang w:val="en-US" w:eastAsia="es-ES"/>
        </w:rPr>
        <w:t xml:space="preserve"> measures of reparation requested</w:t>
      </w:r>
      <w:bookmarkEnd w:id="144"/>
    </w:p>
    <w:p w14:paraId="4AF24604" w14:textId="77777777" w:rsidR="007B0DE4" w:rsidRPr="002433F3" w:rsidRDefault="007B0DE4" w:rsidP="007B0DE4">
      <w:pPr>
        <w:numPr>
          <w:ilvl w:val="0"/>
          <w:numId w:val="2"/>
        </w:numPr>
        <w:spacing w:before="120" w:after="120"/>
        <w:rPr>
          <w:lang w:val="en-US"/>
        </w:rPr>
      </w:pPr>
      <w:r w:rsidRPr="002433F3">
        <w:rPr>
          <w:lang w:val="en-US"/>
        </w:rPr>
        <w:t xml:space="preserve">As measures of non-repetition, the </w:t>
      </w:r>
      <w:r w:rsidRPr="002433F3">
        <w:rPr>
          <w:i/>
          <w:lang w:val="en-US"/>
        </w:rPr>
        <w:t>representatives</w:t>
      </w:r>
      <w:r w:rsidRPr="002433F3">
        <w:rPr>
          <w:b/>
          <w:i/>
          <w:lang w:val="en-US"/>
        </w:rPr>
        <w:t xml:space="preserve"> </w:t>
      </w:r>
      <w:r w:rsidRPr="002433F3">
        <w:rPr>
          <w:lang w:val="en-US"/>
        </w:rPr>
        <w:t xml:space="preserve">requested: a) the  </w:t>
      </w:r>
      <w:r w:rsidR="00443800" w:rsidRPr="002433F3">
        <w:rPr>
          <w:lang w:val="en-US"/>
        </w:rPr>
        <w:t>promulgation of a law recognizing equal property rights for same-sex couples, in relation to the survivor’s pension to which heterosexual couples are entitled</w:t>
      </w:r>
      <w:r w:rsidRPr="002433F3">
        <w:rPr>
          <w:lang w:val="en-US"/>
        </w:rPr>
        <w:t xml:space="preserve">; b) a public policy </w:t>
      </w:r>
      <w:r w:rsidR="00B77E78" w:rsidRPr="002433F3">
        <w:rPr>
          <w:lang w:val="en-US"/>
        </w:rPr>
        <w:t xml:space="preserve">for the </w:t>
      </w:r>
      <w:r w:rsidRPr="002433F3">
        <w:rPr>
          <w:lang w:val="en-US"/>
        </w:rPr>
        <w:t xml:space="preserve">training </w:t>
      </w:r>
      <w:r w:rsidR="00B77E78" w:rsidRPr="002433F3">
        <w:rPr>
          <w:lang w:val="en-US"/>
        </w:rPr>
        <w:t xml:space="preserve">of </w:t>
      </w:r>
      <w:r w:rsidRPr="002433F3">
        <w:rPr>
          <w:lang w:val="en-US"/>
        </w:rPr>
        <w:t>officials of p</w:t>
      </w:r>
      <w:r w:rsidR="00B77E78" w:rsidRPr="002433F3">
        <w:rPr>
          <w:lang w:val="en-US"/>
        </w:rPr>
        <w:t>ublic and private pension funds</w:t>
      </w:r>
      <w:r w:rsidRPr="002433F3">
        <w:rPr>
          <w:lang w:val="en-US"/>
        </w:rPr>
        <w:t xml:space="preserve"> </w:t>
      </w:r>
      <w:r w:rsidR="00A143FE" w:rsidRPr="002433F3">
        <w:rPr>
          <w:lang w:val="en-US"/>
        </w:rPr>
        <w:t xml:space="preserve">and </w:t>
      </w:r>
      <w:r w:rsidR="00836FE8" w:rsidRPr="002433F3">
        <w:rPr>
          <w:lang w:val="en-US"/>
        </w:rPr>
        <w:t>members of the judiciary</w:t>
      </w:r>
      <w:r w:rsidRPr="002433F3">
        <w:rPr>
          <w:lang w:val="en-US"/>
        </w:rPr>
        <w:t xml:space="preserve">, </w:t>
      </w:r>
      <w:r w:rsidR="00BE122A" w:rsidRPr="002433F3">
        <w:rPr>
          <w:lang w:val="en-US"/>
        </w:rPr>
        <w:t>in order to eradicate</w:t>
      </w:r>
      <w:r w:rsidRPr="002433F3">
        <w:rPr>
          <w:lang w:val="en-US"/>
        </w:rPr>
        <w:t xml:space="preserve"> </w:t>
      </w:r>
      <w:r w:rsidR="00BE122A" w:rsidRPr="002433F3">
        <w:rPr>
          <w:lang w:val="en-US"/>
        </w:rPr>
        <w:t xml:space="preserve">all </w:t>
      </w:r>
      <w:r w:rsidRPr="002433F3">
        <w:rPr>
          <w:lang w:val="en-US"/>
        </w:rPr>
        <w:t>form</w:t>
      </w:r>
      <w:r w:rsidR="00BE122A" w:rsidRPr="002433F3">
        <w:rPr>
          <w:lang w:val="en-US"/>
        </w:rPr>
        <w:t>s</w:t>
      </w:r>
      <w:r w:rsidRPr="002433F3">
        <w:rPr>
          <w:lang w:val="en-US"/>
        </w:rPr>
        <w:t xml:space="preserve"> of discrimination </w:t>
      </w:r>
      <w:r w:rsidR="00BE122A" w:rsidRPr="002433F3">
        <w:rPr>
          <w:lang w:val="en-US"/>
        </w:rPr>
        <w:t xml:space="preserve">based on </w:t>
      </w:r>
      <w:r w:rsidRPr="002433F3">
        <w:rPr>
          <w:lang w:val="en-US"/>
        </w:rPr>
        <w:t>sexual identity and sexual orientation, and c) t</w:t>
      </w:r>
      <w:r w:rsidR="00BE122A" w:rsidRPr="002433F3">
        <w:rPr>
          <w:lang w:val="en-US"/>
        </w:rPr>
        <w:t xml:space="preserve">hat </w:t>
      </w:r>
      <w:r w:rsidRPr="002433F3">
        <w:rPr>
          <w:lang w:val="en-US"/>
        </w:rPr>
        <w:t xml:space="preserve">the Colombian State </w:t>
      </w:r>
      <w:r w:rsidR="00BE122A" w:rsidRPr="002433F3">
        <w:rPr>
          <w:lang w:val="en-US"/>
        </w:rPr>
        <w:t xml:space="preserve">be required </w:t>
      </w:r>
      <w:r w:rsidRPr="002433F3">
        <w:rPr>
          <w:lang w:val="en-US"/>
        </w:rPr>
        <w:t xml:space="preserve">to organize a public act of acknowledgement of responsibility and apology to Ángel Alberto Duque, for </w:t>
      </w:r>
      <w:r w:rsidR="00BE122A" w:rsidRPr="002433F3">
        <w:rPr>
          <w:lang w:val="en-US"/>
        </w:rPr>
        <w:t xml:space="preserve">the </w:t>
      </w:r>
      <w:r w:rsidRPr="002433F3">
        <w:rPr>
          <w:lang w:val="en-US"/>
        </w:rPr>
        <w:t xml:space="preserve">discrimination </w:t>
      </w:r>
      <w:r w:rsidR="00A143FE" w:rsidRPr="002433F3">
        <w:rPr>
          <w:lang w:val="en-US"/>
        </w:rPr>
        <w:t xml:space="preserve">he </w:t>
      </w:r>
      <w:r w:rsidR="00BE122A" w:rsidRPr="002433F3">
        <w:rPr>
          <w:lang w:val="en-US"/>
        </w:rPr>
        <w:t xml:space="preserve">suffered </w:t>
      </w:r>
      <w:r w:rsidR="00A143FE" w:rsidRPr="002433F3">
        <w:rPr>
          <w:lang w:val="en-US"/>
        </w:rPr>
        <w:t xml:space="preserve">owing to </w:t>
      </w:r>
      <w:r w:rsidRPr="002433F3">
        <w:rPr>
          <w:lang w:val="en-US"/>
        </w:rPr>
        <w:t xml:space="preserve">his sexual identity and for </w:t>
      </w:r>
      <w:r w:rsidR="00A143FE" w:rsidRPr="002433F3">
        <w:rPr>
          <w:lang w:val="en-US"/>
        </w:rPr>
        <w:t xml:space="preserve">being denied his request for a survivor’s pension by </w:t>
      </w:r>
      <w:r w:rsidRPr="002433F3">
        <w:rPr>
          <w:lang w:val="en-US"/>
        </w:rPr>
        <w:t xml:space="preserve">the administrative and judicial authorities because he was a homosexual. </w:t>
      </w:r>
    </w:p>
    <w:p w14:paraId="4B74F5BF" w14:textId="77777777" w:rsidR="007B0DE4" w:rsidRPr="002433F3" w:rsidRDefault="00CC1AA7" w:rsidP="007B0DE4">
      <w:pPr>
        <w:numPr>
          <w:ilvl w:val="0"/>
          <w:numId w:val="2"/>
        </w:numPr>
        <w:spacing w:before="120" w:after="120"/>
        <w:rPr>
          <w:lang w:val="en-US"/>
        </w:rPr>
      </w:pPr>
      <w:r w:rsidRPr="002433F3">
        <w:rPr>
          <w:lang w:val="en-US"/>
        </w:rPr>
        <w:t>I</w:t>
      </w:r>
      <w:r w:rsidR="00A143FE" w:rsidRPr="002433F3">
        <w:rPr>
          <w:lang w:val="en-US"/>
        </w:rPr>
        <w:t xml:space="preserve">n response to </w:t>
      </w:r>
      <w:r w:rsidRPr="002433F3">
        <w:rPr>
          <w:lang w:val="en-US"/>
        </w:rPr>
        <w:t xml:space="preserve">the </w:t>
      </w:r>
      <w:r w:rsidR="007B0DE4" w:rsidRPr="002433F3">
        <w:rPr>
          <w:lang w:val="en-US"/>
        </w:rPr>
        <w:t>first request,</w:t>
      </w:r>
      <w:r w:rsidR="00360407" w:rsidRPr="002433F3">
        <w:rPr>
          <w:lang w:val="en-US"/>
        </w:rPr>
        <w:t xml:space="preserve"> the </w:t>
      </w:r>
      <w:r w:rsidR="00360407" w:rsidRPr="002433F3">
        <w:rPr>
          <w:i/>
          <w:lang w:val="en-US"/>
        </w:rPr>
        <w:t>State</w:t>
      </w:r>
      <w:r w:rsidR="00360407" w:rsidRPr="002433F3">
        <w:rPr>
          <w:lang w:val="en-US"/>
        </w:rPr>
        <w:t xml:space="preserve"> argued that: a) </w:t>
      </w:r>
      <w:r w:rsidR="00265268" w:rsidRPr="002433F3">
        <w:rPr>
          <w:lang w:val="en-US"/>
        </w:rPr>
        <w:t xml:space="preserve">there is no need </w:t>
      </w:r>
      <w:r w:rsidR="007B0DE4" w:rsidRPr="002433F3">
        <w:rPr>
          <w:lang w:val="en-US"/>
        </w:rPr>
        <w:t>to pr</w:t>
      </w:r>
      <w:r w:rsidR="00A143FE" w:rsidRPr="002433F3">
        <w:rPr>
          <w:lang w:val="en-US"/>
        </w:rPr>
        <w:t>omulgate a law recognizing</w:t>
      </w:r>
      <w:r w:rsidRPr="002433F3">
        <w:rPr>
          <w:lang w:val="en-US"/>
        </w:rPr>
        <w:t xml:space="preserve"> </w:t>
      </w:r>
      <w:r w:rsidR="007B0DE4" w:rsidRPr="002433F3">
        <w:rPr>
          <w:lang w:val="en-US"/>
        </w:rPr>
        <w:t xml:space="preserve">equal property rights </w:t>
      </w:r>
      <w:r w:rsidR="00A143FE" w:rsidRPr="002433F3">
        <w:rPr>
          <w:lang w:val="en-US"/>
        </w:rPr>
        <w:t xml:space="preserve">for same-sex couples </w:t>
      </w:r>
      <w:r w:rsidR="00360407" w:rsidRPr="002433F3">
        <w:rPr>
          <w:lang w:val="en-US"/>
        </w:rPr>
        <w:t xml:space="preserve">because </w:t>
      </w:r>
      <w:r w:rsidR="007B0DE4" w:rsidRPr="002433F3">
        <w:rPr>
          <w:lang w:val="en-US"/>
        </w:rPr>
        <w:t xml:space="preserve">the </w:t>
      </w:r>
      <w:r w:rsidR="00360407" w:rsidRPr="002433F3">
        <w:rPr>
          <w:lang w:val="en-US"/>
        </w:rPr>
        <w:t xml:space="preserve">jurisprudence of </w:t>
      </w:r>
      <w:r w:rsidR="00265268" w:rsidRPr="002433F3">
        <w:rPr>
          <w:lang w:val="en-US"/>
        </w:rPr>
        <w:t xml:space="preserve">Colombia’s </w:t>
      </w:r>
      <w:r w:rsidR="00360407" w:rsidRPr="002433F3">
        <w:rPr>
          <w:lang w:val="en-US"/>
        </w:rPr>
        <w:t>Constitutional Court has</w:t>
      </w:r>
      <w:r w:rsidR="007B0DE4" w:rsidRPr="002433F3">
        <w:rPr>
          <w:lang w:val="en-US"/>
        </w:rPr>
        <w:t xml:space="preserve"> </w:t>
      </w:r>
      <w:r w:rsidRPr="002433F3">
        <w:rPr>
          <w:lang w:val="en-US"/>
        </w:rPr>
        <w:t xml:space="preserve">incorporated </w:t>
      </w:r>
      <w:r w:rsidR="007B0DE4" w:rsidRPr="002433F3">
        <w:rPr>
          <w:lang w:val="en-US"/>
        </w:rPr>
        <w:t xml:space="preserve">sexual </w:t>
      </w:r>
      <w:r w:rsidR="00360407" w:rsidRPr="002433F3">
        <w:rPr>
          <w:lang w:val="en-US"/>
        </w:rPr>
        <w:t xml:space="preserve">choice </w:t>
      </w:r>
      <w:r w:rsidR="007B0DE4" w:rsidRPr="002433F3">
        <w:rPr>
          <w:lang w:val="en-US"/>
        </w:rPr>
        <w:t xml:space="preserve">into the </w:t>
      </w:r>
      <w:r w:rsidR="00265268" w:rsidRPr="002433F3">
        <w:rPr>
          <w:lang w:val="en-US"/>
        </w:rPr>
        <w:t xml:space="preserve">country’s </w:t>
      </w:r>
      <w:r w:rsidR="007B0DE4" w:rsidRPr="002433F3">
        <w:rPr>
          <w:lang w:val="en-US"/>
        </w:rPr>
        <w:t xml:space="preserve">legal system and </w:t>
      </w:r>
      <w:r w:rsidR="00A143FE" w:rsidRPr="002433F3">
        <w:rPr>
          <w:lang w:val="en-US"/>
        </w:rPr>
        <w:t xml:space="preserve">nowadays there would be </w:t>
      </w:r>
      <w:r w:rsidR="007B0DE4" w:rsidRPr="002433F3">
        <w:rPr>
          <w:lang w:val="en-US"/>
        </w:rPr>
        <w:t>full certa</w:t>
      </w:r>
      <w:r w:rsidR="00A143FE" w:rsidRPr="002433F3">
        <w:rPr>
          <w:lang w:val="en-US"/>
        </w:rPr>
        <w:t xml:space="preserve">inty regarding </w:t>
      </w:r>
      <w:r w:rsidR="00265268" w:rsidRPr="002433F3">
        <w:rPr>
          <w:lang w:val="en-US"/>
        </w:rPr>
        <w:t xml:space="preserve">such </w:t>
      </w:r>
      <w:r w:rsidR="00A143FE" w:rsidRPr="002433F3">
        <w:rPr>
          <w:lang w:val="en-US"/>
        </w:rPr>
        <w:t xml:space="preserve">recognition. </w:t>
      </w:r>
      <w:r w:rsidR="00360407" w:rsidRPr="002433F3">
        <w:rPr>
          <w:lang w:val="en-US"/>
        </w:rPr>
        <w:t xml:space="preserve">As to </w:t>
      </w:r>
      <w:r w:rsidR="00A143FE" w:rsidRPr="002433F3">
        <w:rPr>
          <w:lang w:val="en-US"/>
        </w:rPr>
        <w:t xml:space="preserve">the </w:t>
      </w:r>
      <w:r w:rsidR="007B0DE4" w:rsidRPr="002433F3">
        <w:rPr>
          <w:lang w:val="en-US"/>
        </w:rPr>
        <w:t>second request</w:t>
      </w:r>
      <w:r w:rsidR="00A143FE" w:rsidRPr="002433F3">
        <w:rPr>
          <w:lang w:val="en-US"/>
        </w:rPr>
        <w:t>,</w:t>
      </w:r>
      <w:r w:rsidR="00265268" w:rsidRPr="002433F3">
        <w:rPr>
          <w:lang w:val="en-US"/>
        </w:rPr>
        <w:t xml:space="preserve"> the State</w:t>
      </w:r>
      <w:r w:rsidR="00A143FE" w:rsidRPr="002433F3">
        <w:rPr>
          <w:lang w:val="en-US"/>
        </w:rPr>
        <w:t xml:space="preserve"> indicated that</w:t>
      </w:r>
      <w:r w:rsidR="007B0DE4" w:rsidRPr="002433F3">
        <w:rPr>
          <w:lang w:val="en-US"/>
        </w:rPr>
        <w:t>: b) the measure requested by the representat</w:t>
      </w:r>
      <w:r w:rsidR="00360407" w:rsidRPr="002433F3">
        <w:rPr>
          <w:lang w:val="en-US"/>
        </w:rPr>
        <w:t xml:space="preserve">ives </w:t>
      </w:r>
      <w:r w:rsidR="00265268" w:rsidRPr="002433F3">
        <w:rPr>
          <w:lang w:val="en-US"/>
        </w:rPr>
        <w:t xml:space="preserve">appears </w:t>
      </w:r>
      <w:r w:rsidR="00360407" w:rsidRPr="002433F3">
        <w:rPr>
          <w:lang w:val="en-US"/>
        </w:rPr>
        <w:t xml:space="preserve">to be based on </w:t>
      </w:r>
      <w:r w:rsidR="00265268" w:rsidRPr="002433F3">
        <w:rPr>
          <w:lang w:val="en-US"/>
        </w:rPr>
        <w:t>(i) a</w:t>
      </w:r>
      <w:r w:rsidR="00A143FE" w:rsidRPr="002433F3">
        <w:rPr>
          <w:lang w:val="en-US"/>
        </w:rPr>
        <w:t xml:space="preserve"> </w:t>
      </w:r>
      <w:r w:rsidR="007B0DE4" w:rsidRPr="002433F3">
        <w:rPr>
          <w:lang w:val="en-US"/>
        </w:rPr>
        <w:t>supposed fa</w:t>
      </w:r>
      <w:r w:rsidRPr="002433F3">
        <w:rPr>
          <w:lang w:val="en-US"/>
        </w:rPr>
        <w:t>ilure</w:t>
      </w:r>
      <w:r w:rsidR="00360407" w:rsidRPr="002433F3">
        <w:rPr>
          <w:lang w:val="en-US"/>
        </w:rPr>
        <w:t>,</w:t>
      </w:r>
      <w:r w:rsidRPr="002433F3">
        <w:rPr>
          <w:lang w:val="en-US"/>
        </w:rPr>
        <w:t xml:space="preserve"> in </w:t>
      </w:r>
      <w:r w:rsidR="00360407" w:rsidRPr="002433F3">
        <w:rPr>
          <w:lang w:val="en-US"/>
        </w:rPr>
        <w:t>practical terms,</w:t>
      </w:r>
      <w:r w:rsidR="007B0DE4" w:rsidRPr="002433F3">
        <w:rPr>
          <w:lang w:val="en-US"/>
        </w:rPr>
        <w:t xml:space="preserve"> </w:t>
      </w:r>
      <w:r w:rsidRPr="002433F3">
        <w:rPr>
          <w:lang w:val="en-US"/>
        </w:rPr>
        <w:t xml:space="preserve">to comply </w:t>
      </w:r>
      <w:r w:rsidR="007B0DE4" w:rsidRPr="002433F3">
        <w:rPr>
          <w:lang w:val="en-US"/>
        </w:rPr>
        <w:t>with the judgments of the Constitutional Court and (</w:t>
      </w:r>
      <w:r w:rsidR="00265268" w:rsidRPr="002433F3">
        <w:rPr>
          <w:lang w:val="en-US"/>
        </w:rPr>
        <w:t xml:space="preserve">ii) alleged discrimination by </w:t>
      </w:r>
      <w:r w:rsidR="007B0DE4" w:rsidRPr="002433F3">
        <w:rPr>
          <w:lang w:val="en-US"/>
        </w:rPr>
        <w:t xml:space="preserve">the </w:t>
      </w:r>
      <w:r w:rsidR="007B0DE4" w:rsidRPr="002433F3">
        <w:rPr>
          <w:i/>
          <w:lang w:val="en-US"/>
        </w:rPr>
        <w:t>tutela</w:t>
      </w:r>
      <w:r w:rsidR="007B0DE4" w:rsidRPr="002433F3">
        <w:rPr>
          <w:lang w:val="en-US"/>
        </w:rPr>
        <w:t xml:space="preserve"> </w:t>
      </w:r>
      <w:r w:rsidR="00B77E78" w:rsidRPr="002433F3">
        <w:rPr>
          <w:lang w:val="en-US"/>
        </w:rPr>
        <w:lastRenderedPageBreak/>
        <w:t>j</w:t>
      </w:r>
      <w:r w:rsidR="007B0DE4" w:rsidRPr="002433F3">
        <w:rPr>
          <w:lang w:val="en-US"/>
        </w:rPr>
        <w:t xml:space="preserve">udges in 2002. </w:t>
      </w:r>
      <w:r w:rsidR="00C318EE" w:rsidRPr="002433F3">
        <w:rPr>
          <w:lang w:val="en-US"/>
        </w:rPr>
        <w:t xml:space="preserve">It argued </w:t>
      </w:r>
      <w:r w:rsidR="007B0DE4" w:rsidRPr="002433F3">
        <w:rPr>
          <w:lang w:val="en-US"/>
        </w:rPr>
        <w:t xml:space="preserve">that </w:t>
      </w:r>
      <w:r w:rsidR="00265268" w:rsidRPr="002433F3">
        <w:rPr>
          <w:lang w:val="en-US"/>
        </w:rPr>
        <w:t>no evidence was presented regarding the first point</w:t>
      </w:r>
      <w:r w:rsidR="007B0DE4" w:rsidRPr="002433F3">
        <w:rPr>
          <w:lang w:val="en-US"/>
        </w:rPr>
        <w:t xml:space="preserve"> and</w:t>
      </w:r>
      <w:r w:rsidR="00265268" w:rsidRPr="002433F3">
        <w:rPr>
          <w:lang w:val="en-US"/>
        </w:rPr>
        <w:t>,</w:t>
      </w:r>
      <w:r w:rsidR="007B0DE4" w:rsidRPr="002433F3">
        <w:rPr>
          <w:lang w:val="en-US"/>
        </w:rPr>
        <w:t xml:space="preserve"> </w:t>
      </w:r>
      <w:r w:rsidR="00265268" w:rsidRPr="002433F3">
        <w:rPr>
          <w:lang w:val="en-US"/>
        </w:rPr>
        <w:t xml:space="preserve">in relation to </w:t>
      </w:r>
      <w:r w:rsidR="007B0DE4" w:rsidRPr="002433F3">
        <w:rPr>
          <w:lang w:val="en-US"/>
        </w:rPr>
        <w:t>the second</w:t>
      </w:r>
      <w:r w:rsidR="00265268" w:rsidRPr="002433F3">
        <w:rPr>
          <w:lang w:val="en-US"/>
        </w:rPr>
        <w:t xml:space="preserve"> point</w:t>
      </w:r>
      <w:r w:rsidR="007B0DE4" w:rsidRPr="002433F3">
        <w:rPr>
          <w:lang w:val="en-US"/>
        </w:rPr>
        <w:t xml:space="preserve">, </w:t>
      </w:r>
      <w:r w:rsidR="00265268" w:rsidRPr="002433F3">
        <w:rPr>
          <w:lang w:val="en-US"/>
        </w:rPr>
        <w:t xml:space="preserve">it indicated that in 2002 </w:t>
      </w:r>
      <w:r w:rsidR="00444B69" w:rsidRPr="002433F3">
        <w:rPr>
          <w:lang w:val="en-US"/>
        </w:rPr>
        <w:t xml:space="preserve">the </w:t>
      </w:r>
      <w:r w:rsidR="00265268" w:rsidRPr="002433F3">
        <w:rPr>
          <w:lang w:val="en-US"/>
        </w:rPr>
        <w:t>j</w:t>
      </w:r>
      <w:r w:rsidR="007B0DE4" w:rsidRPr="002433F3">
        <w:rPr>
          <w:lang w:val="en-US"/>
        </w:rPr>
        <w:t xml:space="preserve">udges would not have been required to agree to Mr. Duque’s claims. With respect to the request for a public act of acknowledgement of responsibility, the </w:t>
      </w:r>
      <w:r w:rsidR="007B0DE4" w:rsidRPr="002433F3">
        <w:rPr>
          <w:i/>
          <w:lang w:val="en-US"/>
        </w:rPr>
        <w:t>State</w:t>
      </w:r>
      <w:r w:rsidR="00265268" w:rsidRPr="002433F3">
        <w:rPr>
          <w:lang w:val="en-US"/>
        </w:rPr>
        <w:t xml:space="preserve"> argued that </w:t>
      </w:r>
      <w:r w:rsidR="007B0DE4" w:rsidRPr="002433F3">
        <w:rPr>
          <w:lang w:val="en-US"/>
        </w:rPr>
        <w:t>the pub</w:t>
      </w:r>
      <w:r w:rsidRPr="002433F3">
        <w:rPr>
          <w:lang w:val="en-US"/>
        </w:rPr>
        <w:t xml:space="preserve">lication and dissemination of </w:t>
      </w:r>
      <w:r w:rsidR="007B0DE4" w:rsidRPr="002433F3">
        <w:rPr>
          <w:lang w:val="en-US"/>
        </w:rPr>
        <w:t xml:space="preserve">the judgment </w:t>
      </w:r>
      <w:r w:rsidR="00265268" w:rsidRPr="002433F3">
        <w:rPr>
          <w:lang w:val="en-US"/>
        </w:rPr>
        <w:t xml:space="preserve">constituted </w:t>
      </w:r>
      <w:r w:rsidR="007B0DE4" w:rsidRPr="002433F3">
        <w:rPr>
          <w:lang w:val="en-US"/>
        </w:rPr>
        <w:t>a measure of satisfaction an</w:t>
      </w:r>
      <w:r w:rsidR="00444B69" w:rsidRPr="002433F3">
        <w:rPr>
          <w:lang w:val="en-US"/>
        </w:rPr>
        <w:t>d a guarantee of non-repetition; therefore,</w:t>
      </w:r>
      <w:r w:rsidR="007B0DE4" w:rsidRPr="002433F3">
        <w:rPr>
          <w:lang w:val="en-US"/>
        </w:rPr>
        <w:t xml:space="preserve"> a public act of acknowledgement of responsibility was not necessary, and the Court should refrain from ordering it.</w:t>
      </w:r>
    </w:p>
    <w:p w14:paraId="6104889C" w14:textId="77777777" w:rsidR="007B0DE4" w:rsidRPr="002433F3" w:rsidRDefault="00265268" w:rsidP="007B0DE4">
      <w:pPr>
        <w:numPr>
          <w:ilvl w:val="0"/>
          <w:numId w:val="2"/>
        </w:numPr>
        <w:spacing w:before="120" w:after="120"/>
        <w:rPr>
          <w:lang w:val="en-US"/>
        </w:rPr>
      </w:pPr>
      <w:r w:rsidRPr="002433F3">
        <w:rPr>
          <w:lang w:val="en-US"/>
        </w:rPr>
        <w:t>T</w:t>
      </w:r>
      <w:r w:rsidR="007B0DE4" w:rsidRPr="002433F3">
        <w:rPr>
          <w:lang w:val="en-US"/>
        </w:rPr>
        <w:t xml:space="preserve">he </w:t>
      </w:r>
      <w:r w:rsidR="007B0DE4" w:rsidRPr="002433F3">
        <w:rPr>
          <w:i/>
          <w:lang w:val="en-US"/>
        </w:rPr>
        <w:t>Commission</w:t>
      </w:r>
      <w:r w:rsidR="007B0DE4" w:rsidRPr="002433F3">
        <w:rPr>
          <w:b/>
          <w:lang w:val="en-US"/>
        </w:rPr>
        <w:t xml:space="preserve"> </w:t>
      </w:r>
      <w:r w:rsidRPr="002433F3">
        <w:rPr>
          <w:lang w:val="en-US"/>
        </w:rPr>
        <w:t>requested</w:t>
      </w:r>
      <w:r w:rsidRPr="002433F3">
        <w:rPr>
          <w:b/>
          <w:lang w:val="en-US"/>
        </w:rPr>
        <w:t xml:space="preserve"> </w:t>
      </w:r>
      <w:r w:rsidRPr="002433F3">
        <w:rPr>
          <w:lang w:val="en-US"/>
        </w:rPr>
        <w:t xml:space="preserve">that the Court order </w:t>
      </w:r>
      <w:r w:rsidR="00F87377" w:rsidRPr="002433F3">
        <w:rPr>
          <w:lang w:val="en-US"/>
        </w:rPr>
        <w:t xml:space="preserve">the State to implement </w:t>
      </w:r>
      <w:r w:rsidRPr="002433F3">
        <w:rPr>
          <w:lang w:val="en-US"/>
        </w:rPr>
        <w:t>the following measures as guarantees of non-repetition in this case</w:t>
      </w:r>
      <w:r w:rsidR="007B0DE4" w:rsidRPr="002433F3">
        <w:rPr>
          <w:lang w:val="en-US"/>
        </w:rPr>
        <w:t xml:space="preserve">: a) </w:t>
      </w:r>
      <w:r w:rsidR="00FA6A00" w:rsidRPr="002433F3">
        <w:rPr>
          <w:lang w:val="en-US"/>
        </w:rPr>
        <w:t xml:space="preserve">adopt </w:t>
      </w:r>
      <w:r w:rsidR="00F87377" w:rsidRPr="002433F3">
        <w:rPr>
          <w:lang w:val="en-US"/>
        </w:rPr>
        <w:t xml:space="preserve">the </w:t>
      </w:r>
      <w:r w:rsidR="002B4224" w:rsidRPr="002433F3">
        <w:rPr>
          <w:lang w:val="en-US"/>
        </w:rPr>
        <w:t xml:space="preserve">necessary </w:t>
      </w:r>
      <w:r w:rsidR="00FA6A00" w:rsidRPr="002433F3">
        <w:rPr>
          <w:lang w:val="en-US"/>
        </w:rPr>
        <w:t xml:space="preserve">measures </w:t>
      </w:r>
      <w:r w:rsidR="00F87377" w:rsidRPr="002433F3">
        <w:rPr>
          <w:lang w:val="en-US"/>
        </w:rPr>
        <w:t xml:space="preserve">to ensure </w:t>
      </w:r>
      <w:r w:rsidR="002B4224" w:rsidRPr="002433F3">
        <w:rPr>
          <w:lang w:val="en-US"/>
        </w:rPr>
        <w:t xml:space="preserve">that </w:t>
      </w:r>
      <w:r w:rsidR="007B0DE4" w:rsidRPr="002433F3">
        <w:rPr>
          <w:lang w:val="en-US"/>
        </w:rPr>
        <w:t>all case law decisions taken</w:t>
      </w:r>
      <w:r w:rsidRPr="002433F3">
        <w:rPr>
          <w:lang w:val="en-US"/>
        </w:rPr>
        <w:t xml:space="preserve"> in Colombia subsequent to the </w:t>
      </w:r>
      <w:r w:rsidR="00F87377" w:rsidRPr="002433F3">
        <w:rPr>
          <w:lang w:val="en-US"/>
        </w:rPr>
        <w:t xml:space="preserve">facts of this case, which recognized the right of </w:t>
      </w:r>
      <w:r w:rsidR="007B0DE4" w:rsidRPr="002433F3">
        <w:rPr>
          <w:lang w:val="en-US"/>
        </w:rPr>
        <w:t xml:space="preserve">same-sex couples </w:t>
      </w:r>
      <w:r w:rsidR="00405CEA" w:rsidRPr="002433F3">
        <w:rPr>
          <w:lang w:val="en-US"/>
        </w:rPr>
        <w:t xml:space="preserve">to a survivor’s pension </w:t>
      </w:r>
      <w:r w:rsidR="007B0DE4" w:rsidRPr="002433F3">
        <w:rPr>
          <w:lang w:val="en-US"/>
        </w:rPr>
        <w:t xml:space="preserve">and determined </w:t>
      </w:r>
      <w:r w:rsidR="00F87377" w:rsidRPr="002433F3">
        <w:rPr>
          <w:lang w:val="en-US"/>
        </w:rPr>
        <w:t>that in cases prior to those rulings said decisions would have retroactive effects</w:t>
      </w:r>
      <w:r w:rsidR="00405CEA" w:rsidRPr="002433F3">
        <w:rPr>
          <w:lang w:val="en-US"/>
        </w:rPr>
        <w:t>,</w:t>
      </w:r>
      <w:r w:rsidR="002B4224" w:rsidRPr="002433F3">
        <w:rPr>
          <w:lang w:val="en-US"/>
        </w:rPr>
        <w:t xml:space="preserve"> </w:t>
      </w:r>
      <w:r w:rsidR="007B0DE4" w:rsidRPr="002433F3">
        <w:rPr>
          <w:lang w:val="en-US"/>
        </w:rPr>
        <w:t xml:space="preserve">are duly </w:t>
      </w:r>
      <w:r w:rsidR="002B4224" w:rsidRPr="002433F3">
        <w:rPr>
          <w:lang w:val="en-US"/>
        </w:rPr>
        <w:t xml:space="preserve">complied with </w:t>
      </w:r>
      <w:r w:rsidR="007B0DE4" w:rsidRPr="002433F3">
        <w:rPr>
          <w:lang w:val="en-US"/>
        </w:rPr>
        <w:t xml:space="preserve">and enforced; b) adopt all necessary measures </w:t>
      </w:r>
      <w:r w:rsidR="00F87377" w:rsidRPr="002433F3">
        <w:rPr>
          <w:lang w:val="en-US"/>
        </w:rPr>
        <w:t xml:space="preserve">to ensure </w:t>
      </w:r>
      <w:r w:rsidR="007B0DE4" w:rsidRPr="002433F3">
        <w:rPr>
          <w:lang w:val="en-US"/>
        </w:rPr>
        <w:t>that those who provide social se</w:t>
      </w:r>
      <w:r w:rsidR="00F87377" w:rsidRPr="002433F3">
        <w:rPr>
          <w:lang w:val="en-US"/>
        </w:rPr>
        <w:t xml:space="preserve">curity services, whether </w:t>
      </w:r>
      <w:r w:rsidR="007B0DE4" w:rsidRPr="002433F3">
        <w:rPr>
          <w:lang w:val="en-US"/>
        </w:rPr>
        <w:t xml:space="preserve">public or private, receive appropriate training to process the </w:t>
      </w:r>
      <w:r w:rsidR="00F87377" w:rsidRPr="002433F3">
        <w:rPr>
          <w:lang w:val="en-US"/>
        </w:rPr>
        <w:t xml:space="preserve">applications </w:t>
      </w:r>
      <w:r w:rsidR="007B0DE4" w:rsidRPr="002433F3">
        <w:rPr>
          <w:lang w:val="en-US"/>
        </w:rPr>
        <w:t xml:space="preserve">of persons </w:t>
      </w:r>
      <w:r w:rsidR="00952392" w:rsidRPr="002433F3">
        <w:rPr>
          <w:lang w:val="en-US"/>
        </w:rPr>
        <w:t xml:space="preserve">who formed or form </w:t>
      </w:r>
      <w:r w:rsidR="007B0DE4" w:rsidRPr="002433F3">
        <w:rPr>
          <w:lang w:val="en-US"/>
        </w:rPr>
        <w:t xml:space="preserve">same-sex couples, </w:t>
      </w:r>
      <w:r w:rsidR="00F87377" w:rsidRPr="002433F3">
        <w:rPr>
          <w:lang w:val="en-US"/>
        </w:rPr>
        <w:t xml:space="preserve">in accordance with </w:t>
      </w:r>
      <w:r w:rsidR="007B0DE4" w:rsidRPr="002433F3">
        <w:rPr>
          <w:lang w:val="en-US"/>
        </w:rPr>
        <w:t>domestic l</w:t>
      </w:r>
      <w:r w:rsidR="00F87377" w:rsidRPr="002433F3">
        <w:rPr>
          <w:lang w:val="en-US"/>
        </w:rPr>
        <w:t>aws</w:t>
      </w:r>
      <w:r w:rsidR="007B0DE4" w:rsidRPr="002433F3">
        <w:rPr>
          <w:lang w:val="en-US"/>
        </w:rPr>
        <w:t xml:space="preserve">; and c) adopt the necessary </w:t>
      </w:r>
      <w:r w:rsidR="0087157E" w:rsidRPr="002433F3">
        <w:rPr>
          <w:lang w:val="en-US"/>
        </w:rPr>
        <w:t xml:space="preserve">measures </w:t>
      </w:r>
      <w:r w:rsidR="007B0DE4" w:rsidRPr="002433F3">
        <w:rPr>
          <w:lang w:val="en-US"/>
        </w:rPr>
        <w:t xml:space="preserve">to </w:t>
      </w:r>
      <w:r w:rsidR="0087157E" w:rsidRPr="002433F3">
        <w:rPr>
          <w:lang w:val="en-US"/>
        </w:rPr>
        <w:t xml:space="preserve">ensure </w:t>
      </w:r>
      <w:r w:rsidR="007B0DE4" w:rsidRPr="002433F3">
        <w:rPr>
          <w:lang w:val="en-US"/>
        </w:rPr>
        <w:t>that same-sex couples do not face discrimination in acce</w:t>
      </w:r>
      <w:r w:rsidR="0087157E" w:rsidRPr="002433F3">
        <w:rPr>
          <w:lang w:val="en-US"/>
        </w:rPr>
        <w:t xml:space="preserve">ssing social security services and, </w:t>
      </w:r>
      <w:r w:rsidR="007B0DE4" w:rsidRPr="002433F3">
        <w:rPr>
          <w:lang w:val="en-US"/>
        </w:rPr>
        <w:t xml:space="preserve">in particular, </w:t>
      </w:r>
      <w:r w:rsidR="0087157E" w:rsidRPr="002433F3">
        <w:rPr>
          <w:lang w:val="en-US"/>
        </w:rPr>
        <w:t xml:space="preserve">that they can present the </w:t>
      </w:r>
      <w:r w:rsidR="007B0DE4" w:rsidRPr="002433F3">
        <w:rPr>
          <w:lang w:val="en-US"/>
        </w:rPr>
        <w:t xml:space="preserve">same evidence </w:t>
      </w:r>
      <w:r w:rsidR="0087157E" w:rsidRPr="002433F3">
        <w:rPr>
          <w:lang w:val="en-US"/>
        </w:rPr>
        <w:t xml:space="preserve">as that mandated for heterosexual </w:t>
      </w:r>
      <w:r w:rsidR="007B0DE4" w:rsidRPr="002433F3">
        <w:rPr>
          <w:lang w:val="en-US"/>
        </w:rPr>
        <w:t xml:space="preserve">couples, </w:t>
      </w:r>
      <w:r w:rsidR="0087157E" w:rsidRPr="002433F3">
        <w:rPr>
          <w:lang w:val="en-US"/>
        </w:rPr>
        <w:t xml:space="preserve">pursuant to </w:t>
      </w:r>
      <w:r w:rsidR="00F87377" w:rsidRPr="002433F3">
        <w:rPr>
          <w:lang w:val="en-US"/>
        </w:rPr>
        <w:t xml:space="preserve">the </w:t>
      </w:r>
      <w:r w:rsidR="007B0DE4" w:rsidRPr="002433F3">
        <w:rPr>
          <w:lang w:val="en-US"/>
        </w:rPr>
        <w:t xml:space="preserve">domestic legal system. </w:t>
      </w:r>
    </w:p>
    <w:p w14:paraId="05F9BBEA" w14:textId="77777777" w:rsidR="007B0DE4" w:rsidRPr="002433F3" w:rsidRDefault="0066798F" w:rsidP="007B0DE4">
      <w:pPr>
        <w:numPr>
          <w:ilvl w:val="0"/>
          <w:numId w:val="2"/>
        </w:numPr>
        <w:spacing w:before="120" w:after="120"/>
        <w:rPr>
          <w:lang w:val="en-US"/>
        </w:rPr>
      </w:pPr>
      <w:r w:rsidRPr="002433F3">
        <w:rPr>
          <w:lang w:val="en-US"/>
        </w:rPr>
        <w:t xml:space="preserve">Regarding </w:t>
      </w:r>
      <w:r w:rsidR="00BC5953" w:rsidRPr="002433F3">
        <w:rPr>
          <w:lang w:val="en-US"/>
        </w:rPr>
        <w:t xml:space="preserve">the </w:t>
      </w:r>
      <w:r w:rsidR="00FA6A00" w:rsidRPr="002433F3">
        <w:rPr>
          <w:lang w:val="en-US"/>
        </w:rPr>
        <w:t xml:space="preserve">representatives’ </w:t>
      </w:r>
      <w:r w:rsidR="007B0DE4" w:rsidRPr="002433F3">
        <w:rPr>
          <w:lang w:val="en-US"/>
        </w:rPr>
        <w:t xml:space="preserve">request </w:t>
      </w:r>
      <w:r w:rsidR="00BC5953" w:rsidRPr="002433F3">
        <w:rPr>
          <w:lang w:val="en-US"/>
        </w:rPr>
        <w:t xml:space="preserve">for a </w:t>
      </w:r>
      <w:r w:rsidR="007B0DE4" w:rsidRPr="002433F3">
        <w:rPr>
          <w:lang w:val="en-US"/>
        </w:rPr>
        <w:t xml:space="preserve">measure </w:t>
      </w:r>
      <w:r w:rsidR="0087157E" w:rsidRPr="002433F3">
        <w:rPr>
          <w:lang w:val="en-US"/>
        </w:rPr>
        <w:t xml:space="preserve">to introduce </w:t>
      </w:r>
      <w:r w:rsidR="00CC1AA7" w:rsidRPr="002433F3">
        <w:rPr>
          <w:lang w:val="en-US"/>
        </w:rPr>
        <w:t xml:space="preserve">legislative </w:t>
      </w:r>
      <w:r w:rsidR="007B0DE4" w:rsidRPr="002433F3">
        <w:rPr>
          <w:lang w:val="en-US"/>
        </w:rPr>
        <w:t>reform</w:t>
      </w:r>
      <w:r w:rsidRPr="002433F3">
        <w:rPr>
          <w:lang w:val="en-US"/>
        </w:rPr>
        <w:t>, in this case the Court does</w:t>
      </w:r>
      <w:r w:rsidR="007B0DE4" w:rsidRPr="002433F3">
        <w:rPr>
          <w:lang w:val="en-US"/>
        </w:rPr>
        <w:t xml:space="preserve"> not find the Sta</w:t>
      </w:r>
      <w:r w:rsidR="00C318EE" w:rsidRPr="002433F3">
        <w:rPr>
          <w:lang w:val="en-US"/>
        </w:rPr>
        <w:t xml:space="preserve">te responsible for a violation of the </w:t>
      </w:r>
      <w:r w:rsidR="007B0DE4" w:rsidRPr="002433F3">
        <w:rPr>
          <w:lang w:val="en-US"/>
        </w:rPr>
        <w:t xml:space="preserve">obligation </w:t>
      </w:r>
      <w:r w:rsidRPr="002433F3">
        <w:rPr>
          <w:lang w:val="en-US"/>
        </w:rPr>
        <w:t>to ado</w:t>
      </w:r>
      <w:r w:rsidR="00C318EE" w:rsidRPr="002433F3">
        <w:rPr>
          <w:lang w:val="en-US"/>
        </w:rPr>
        <w:t xml:space="preserve">pt </w:t>
      </w:r>
      <w:r w:rsidR="007B0DE4" w:rsidRPr="002433F3">
        <w:rPr>
          <w:lang w:val="en-US"/>
        </w:rPr>
        <w:t xml:space="preserve">domestic </w:t>
      </w:r>
      <w:r w:rsidR="0087157E" w:rsidRPr="002433F3">
        <w:rPr>
          <w:lang w:val="en-US"/>
        </w:rPr>
        <w:t>legal effects</w:t>
      </w:r>
      <w:r w:rsidRPr="002433F3">
        <w:rPr>
          <w:lang w:val="en-US"/>
        </w:rPr>
        <w:t>;</w:t>
      </w:r>
      <w:r w:rsidR="0087157E" w:rsidRPr="002433F3">
        <w:rPr>
          <w:lang w:val="en-US"/>
        </w:rPr>
        <w:t xml:space="preserve"> </w:t>
      </w:r>
      <w:r w:rsidRPr="002433F3">
        <w:rPr>
          <w:lang w:val="en-US"/>
        </w:rPr>
        <w:t>n</w:t>
      </w:r>
      <w:r w:rsidR="002860ED" w:rsidRPr="002433F3">
        <w:rPr>
          <w:lang w:val="en-US"/>
        </w:rPr>
        <w:t xml:space="preserve">or </w:t>
      </w:r>
      <w:r w:rsidRPr="002433F3">
        <w:rPr>
          <w:lang w:val="en-US"/>
        </w:rPr>
        <w:t xml:space="preserve">does it consider </w:t>
      </w:r>
      <w:r w:rsidR="00FA6A00" w:rsidRPr="002433F3">
        <w:rPr>
          <w:lang w:val="en-US"/>
        </w:rPr>
        <w:t>that the</w:t>
      </w:r>
      <w:r w:rsidR="002860ED" w:rsidRPr="002433F3">
        <w:rPr>
          <w:lang w:val="en-US"/>
        </w:rPr>
        <w:t xml:space="preserve"> </w:t>
      </w:r>
      <w:r w:rsidR="00FA6A00" w:rsidRPr="002433F3">
        <w:rPr>
          <w:lang w:val="en-US"/>
        </w:rPr>
        <w:t xml:space="preserve">provision </w:t>
      </w:r>
      <w:r w:rsidR="002860ED" w:rsidRPr="002433F3">
        <w:rPr>
          <w:lang w:val="en-US"/>
        </w:rPr>
        <w:t>currently in force</w:t>
      </w:r>
      <w:r w:rsidR="00BC5953" w:rsidRPr="002433F3">
        <w:rPr>
          <w:lang w:val="en-US"/>
        </w:rPr>
        <w:t xml:space="preserve"> </w:t>
      </w:r>
      <w:r w:rsidR="007B0DE4" w:rsidRPr="002433F3">
        <w:rPr>
          <w:lang w:val="en-US"/>
        </w:rPr>
        <w:t>violat</w:t>
      </w:r>
      <w:r w:rsidR="002860ED" w:rsidRPr="002433F3">
        <w:rPr>
          <w:lang w:val="en-US"/>
        </w:rPr>
        <w:t xml:space="preserve">es the </w:t>
      </w:r>
      <w:r w:rsidR="007B0DE4" w:rsidRPr="002433F3">
        <w:rPr>
          <w:lang w:val="en-US"/>
        </w:rPr>
        <w:t>right to eq</w:t>
      </w:r>
      <w:r w:rsidR="00982D34" w:rsidRPr="002433F3">
        <w:rPr>
          <w:lang w:val="en-US"/>
        </w:rPr>
        <w:t>uality before the law</w:t>
      </w:r>
      <w:r w:rsidR="007B0DE4" w:rsidRPr="002433F3">
        <w:rPr>
          <w:lang w:val="en-US"/>
        </w:rPr>
        <w:t xml:space="preserve">. </w:t>
      </w:r>
      <w:r w:rsidR="00BA5AF7" w:rsidRPr="002433F3">
        <w:rPr>
          <w:lang w:val="en-US"/>
        </w:rPr>
        <w:t xml:space="preserve">Furthermore, </w:t>
      </w:r>
      <w:r w:rsidR="007B0DE4" w:rsidRPr="002433F3">
        <w:rPr>
          <w:lang w:val="en-US"/>
        </w:rPr>
        <w:t>th</w:t>
      </w:r>
      <w:r w:rsidR="00405CEA" w:rsidRPr="002433F3">
        <w:rPr>
          <w:lang w:val="en-US"/>
        </w:rPr>
        <w:t xml:space="preserve">e Court </w:t>
      </w:r>
      <w:r w:rsidRPr="002433F3">
        <w:rPr>
          <w:lang w:val="en-US"/>
        </w:rPr>
        <w:t>does</w:t>
      </w:r>
      <w:r w:rsidR="002860ED" w:rsidRPr="002433F3">
        <w:rPr>
          <w:lang w:val="en-US"/>
        </w:rPr>
        <w:t xml:space="preserve"> not con</w:t>
      </w:r>
      <w:r w:rsidR="00BA5AF7" w:rsidRPr="002433F3">
        <w:rPr>
          <w:lang w:val="en-US"/>
        </w:rPr>
        <w:t xml:space="preserve">clude that a </w:t>
      </w:r>
      <w:r w:rsidR="007B0DE4" w:rsidRPr="002433F3">
        <w:rPr>
          <w:lang w:val="en-US"/>
        </w:rPr>
        <w:t xml:space="preserve">violation of the right to judicial protection </w:t>
      </w:r>
      <w:r w:rsidR="00BA5AF7" w:rsidRPr="002433F3">
        <w:rPr>
          <w:lang w:val="en-US"/>
        </w:rPr>
        <w:t xml:space="preserve">exists </w:t>
      </w:r>
      <w:r w:rsidRPr="002433F3">
        <w:rPr>
          <w:lang w:val="en-US"/>
        </w:rPr>
        <w:t>owing to</w:t>
      </w:r>
      <w:r w:rsidR="00BA5AF7" w:rsidRPr="002433F3">
        <w:rPr>
          <w:lang w:val="en-US"/>
        </w:rPr>
        <w:t xml:space="preserve"> the lack of remedies to request a survivor’s pension for same-sex couples</w:t>
      </w:r>
      <w:r w:rsidR="007B0DE4" w:rsidRPr="002433F3">
        <w:rPr>
          <w:lang w:val="en-US"/>
        </w:rPr>
        <w:t>. Consequently, it is not ap</w:t>
      </w:r>
      <w:r w:rsidR="00BA5AF7" w:rsidRPr="002433F3">
        <w:rPr>
          <w:lang w:val="en-US"/>
        </w:rPr>
        <w:t>propriate to grant the requested</w:t>
      </w:r>
      <w:r w:rsidR="007B0DE4" w:rsidRPr="002433F3">
        <w:rPr>
          <w:lang w:val="en-US"/>
        </w:rPr>
        <w:t xml:space="preserve"> measure of reparation </w:t>
      </w:r>
      <w:r w:rsidR="00BA5AF7" w:rsidRPr="002433F3">
        <w:rPr>
          <w:lang w:val="en-US"/>
        </w:rPr>
        <w:t xml:space="preserve">since </w:t>
      </w:r>
      <w:r w:rsidR="00C318EE" w:rsidRPr="002433F3">
        <w:rPr>
          <w:lang w:val="en-US"/>
        </w:rPr>
        <w:t xml:space="preserve">there is no </w:t>
      </w:r>
      <w:r w:rsidR="007B0DE4" w:rsidRPr="002433F3">
        <w:rPr>
          <w:lang w:val="en-US"/>
        </w:rPr>
        <w:t>link between the reparation requested by the representatives and the Court</w:t>
      </w:r>
      <w:r w:rsidR="00952392" w:rsidRPr="002433F3">
        <w:rPr>
          <w:lang w:val="en-US"/>
        </w:rPr>
        <w:t xml:space="preserve">’s </w:t>
      </w:r>
      <w:r w:rsidR="00BA5AF7" w:rsidRPr="002433F3">
        <w:rPr>
          <w:lang w:val="en-US"/>
        </w:rPr>
        <w:t xml:space="preserve">pronouncements </w:t>
      </w:r>
      <w:r w:rsidR="007B0DE4" w:rsidRPr="002433F3">
        <w:rPr>
          <w:lang w:val="en-US"/>
        </w:rPr>
        <w:t xml:space="preserve">in this Judgment. </w:t>
      </w:r>
    </w:p>
    <w:p w14:paraId="58AAC16B" w14:textId="77777777" w:rsidR="007B0DE4" w:rsidRPr="002433F3" w:rsidRDefault="007B0DE4" w:rsidP="007B0DE4">
      <w:pPr>
        <w:numPr>
          <w:ilvl w:val="0"/>
          <w:numId w:val="2"/>
        </w:numPr>
        <w:spacing w:before="120" w:after="120"/>
        <w:rPr>
          <w:lang w:val="en-US"/>
        </w:rPr>
      </w:pPr>
      <w:r w:rsidRPr="002433F3">
        <w:rPr>
          <w:lang w:val="en-US"/>
        </w:rPr>
        <w:t xml:space="preserve">As to the request for training measures, in this case the Court </w:t>
      </w:r>
      <w:r w:rsidR="002A4601" w:rsidRPr="002433F3">
        <w:rPr>
          <w:lang w:val="en-US"/>
        </w:rPr>
        <w:t xml:space="preserve">did </w:t>
      </w:r>
      <w:r w:rsidRPr="002433F3">
        <w:rPr>
          <w:lang w:val="en-US"/>
        </w:rPr>
        <w:t xml:space="preserve">not </w:t>
      </w:r>
      <w:r w:rsidR="00FA6A00" w:rsidRPr="002433F3">
        <w:rPr>
          <w:lang w:val="en-US"/>
        </w:rPr>
        <w:t xml:space="preserve">find </w:t>
      </w:r>
      <w:r w:rsidRPr="002433F3">
        <w:rPr>
          <w:lang w:val="en-US"/>
        </w:rPr>
        <w:t xml:space="preserve">that </w:t>
      </w:r>
      <w:r w:rsidR="004123EB" w:rsidRPr="002433F3">
        <w:rPr>
          <w:lang w:val="en-US"/>
        </w:rPr>
        <w:t xml:space="preserve">the </w:t>
      </w:r>
      <w:r w:rsidRPr="002433F3">
        <w:rPr>
          <w:lang w:val="en-US"/>
        </w:rPr>
        <w:t xml:space="preserve">officials of public and private pension funds </w:t>
      </w:r>
      <w:r w:rsidR="00C318EE" w:rsidRPr="002433F3">
        <w:rPr>
          <w:lang w:val="en-US"/>
        </w:rPr>
        <w:t xml:space="preserve">were not </w:t>
      </w:r>
      <w:r w:rsidR="00BA5AF7" w:rsidRPr="002433F3">
        <w:rPr>
          <w:lang w:val="en-US"/>
        </w:rPr>
        <w:t xml:space="preserve">applying </w:t>
      </w:r>
      <w:r w:rsidRPr="002433F3">
        <w:rPr>
          <w:lang w:val="en-US"/>
        </w:rPr>
        <w:t xml:space="preserve">the </w:t>
      </w:r>
      <w:r w:rsidR="00BA5AF7" w:rsidRPr="002433F3">
        <w:rPr>
          <w:lang w:val="en-US"/>
        </w:rPr>
        <w:t xml:space="preserve">legal </w:t>
      </w:r>
      <w:r w:rsidRPr="002433F3">
        <w:rPr>
          <w:lang w:val="en-US"/>
        </w:rPr>
        <w:t>change</w:t>
      </w:r>
      <w:r w:rsidR="00BA5AF7" w:rsidRPr="002433F3">
        <w:rPr>
          <w:lang w:val="en-US"/>
        </w:rPr>
        <w:t>s</w:t>
      </w:r>
      <w:r w:rsidRPr="002433F3">
        <w:rPr>
          <w:lang w:val="en-US"/>
        </w:rPr>
        <w:t xml:space="preserve"> </w:t>
      </w:r>
      <w:r w:rsidR="00BA5AF7" w:rsidRPr="002433F3">
        <w:rPr>
          <w:lang w:val="en-US"/>
        </w:rPr>
        <w:t xml:space="preserve">resulting from </w:t>
      </w:r>
      <w:r w:rsidR="00FA6CD1" w:rsidRPr="002433F3">
        <w:rPr>
          <w:lang w:val="en-US"/>
        </w:rPr>
        <w:t>j</w:t>
      </w:r>
      <w:r w:rsidRPr="002433F3">
        <w:rPr>
          <w:lang w:val="en-US"/>
        </w:rPr>
        <w:t xml:space="preserve">udgment C-336 of 2008. </w:t>
      </w:r>
      <w:r w:rsidR="009719A3" w:rsidRPr="002433F3">
        <w:rPr>
          <w:lang w:val="en-US"/>
        </w:rPr>
        <w:t>N</w:t>
      </w:r>
      <w:r w:rsidR="002A4601" w:rsidRPr="002433F3">
        <w:rPr>
          <w:lang w:val="en-US"/>
        </w:rPr>
        <w:t>or did</w:t>
      </w:r>
      <w:r w:rsidR="009719A3" w:rsidRPr="002433F3">
        <w:rPr>
          <w:lang w:val="en-US"/>
        </w:rPr>
        <w:t xml:space="preserve"> this </w:t>
      </w:r>
      <w:r w:rsidRPr="002433F3">
        <w:rPr>
          <w:lang w:val="en-US"/>
        </w:rPr>
        <w:t xml:space="preserve">Court </w:t>
      </w:r>
      <w:r w:rsidR="006B4F31" w:rsidRPr="002433F3">
        <w:rPr>
          <w:lang w:val="en-US"/>
        </w:rPr>
        <w:t xml:space="preserve">consider </w:t>
      </w:r>
      <w:r w:rsidRPr="002433F3">
        <w:rPr>
          <w:lang w:val="en-US"/>
        </w:rPr>
        <w:t xml:space="preserve">that the right to judicial guarantees </w:t>
      </w:r>
      <w:r w:rsidR="00EE568C" w:rsidRPr="002433F3">
        <w:rPr>
          <w:lang w:val="en-US"/>
        </w:rPr>
        <w:t xml:space="preserve">was violated </w:t>
      </w:r>
      <w:r w:rsidR="00CC1AA7" w:rsidRPr="002433F3">
        <w:rPr>
          <w:lang w:val="en-US"/>
        </w:rPr>
        <w:t>through the failure</w:t>
      </w:r>
      <w:r w:rsidR="006B4F31" w:rsidRPr="002433F3">
        <w:rPr>
          <w:lang w:val="en-US"/>
        </w:rPr>
        <w:t xml:space="preserve"> of the judges hearing the </w:t>
      </w:r>
      <w:r w:rsidR="006B4F31" w:rsidRPr="002433F3">
        <w:rPr>
          <w:i/>
          <w:lang w:val="en-US"/>
        </w:rPr>
        <w:t>tutela</w:t>
      </w:r>
      <w:r w:rsidR="006B4F31" w:rsidRPr="002433F3">
        <w:rPr>
          <w:lang w:val="en-US"/>
        </w:rPr>
        <w:t xml:space="preserve"> action </w:t>
      </w:r>
      <w:r w:rsidR="00CC1AA7" w:rsidRPr="002433F3">
        <w:rPr>
          <w:lang w:val="en-US"/>
        </w:rPr>
        <w:t xml:space="preserve">to </w:t>
      </w:r>
      <w:r w:rsidRPr="002433F3">
        <w:rPr>
          <w:lang w:val="en-US"/>
        </w:rPr>
        <w:t>respe</w:t>
      </w:r>
      <w:r w:rsidR="00CC1AA7" w:rsidRPr="002433F3">
        <w:rPr>
          <w:lang w:val="en-US"/>
        </w:rPr>
        <w:t>ct</w:t>
      </w:r>
      <w:r w:rsidR="006B4F31" w:rsidRPr="002433F3">
        <w:rPr>
          <w:lang w:val="en-US"/>
        </w:rPr>
        <w:t xml:space="preserve"> or guarantee rights</w:t>
      </w:r>
      <w:r w:rsidRPr="002433F3">
        <w:rPr>
          <w:lang w:val="en-US"/>
        </w:rPr>
        <w:t>. Consequently, the Court does not deem it appropriate to grant the</w:t>
      </w:r>
      <w:r w:rsidR="009719A3" w:rsidRPr="002433F3">
        <w:rPr>
          <w:lang w:val="en-US"/>
        </w:rPr>
        <w:t xml:space="preserve"> requested</w:t>
      </w:r>
      <w:r w:rsidRPr="002433F3">
        <w:rPr>
          <w:lang w:val="en-US"/>
        </w:rPr>
        <w:t xml:space="preserve"> measure of reparation. </w:t>
      </w:r>
    </w:p>
    <w:p w14:paraId="29CB15AA" w14:textId="77777777" w:rsidR="007B0DE4" w:rsidRPr="002433F3" w:rsidRDefault="007B0DE4" w:rsidP="007B0DE4">
      <w:pPr>
        <w:numPr>
          <w:ilvl w:val="0"/>
          <w:numId w:val="2"/>
        </w:numPr>
        <w:spacing w:before="120" w:after="120"/>
        <w:rPr>
          <w:lang w:val="en-US"/>
        </w:rPr>
      </w:pPr>
      <w:r w:rsidRPr="002433F3">
        <w:rPr>
          <w:lang w:val="en-US"/>
        </w:rPr>
        <w:t>With respect to the other measures of reparation requested, this Court consid</w:t>
      </w:r>
      <w:r w:rsidR="00CC1AA7" w:rsidRPr="002433F3">
        <w:rPr>
          <w:lang w:val="en-US"/>
        </w:rPr>
        <w:t xml:space="preserve">ers </w:t>
      </w:r>
      <w:r w:rsidR="00C23806" w:rsidRPr="002433F3">
        <w:rPr>
          <w:lang w:val="en-US"/>
        </w:rPr>
        <w:t>that this</w:t>
      </w:r>
      <w:r w:rsidR="00CC1AA7" w:rsidRPr="002433F3">
        <w:rPr>
          <w:lang w:val="en-US"/>
        </w:rPr>
        <w:t xml:space="preserve"> Judgment</w:t>
      </w:r>
      <w:r w:rsidR="002A4601" w:rsidRPr="002433F3">
        <w:rPr>
          <w:lang w:val="en-US"/>
        </w:rPr>
        <w:t>,</w:t>
      </w:r>
      <w:r w:rsidR="00CC1AA7" w:rsidRPr="002433F3">
        <w:rPr>
          <w:lang w:val="en-US"/>
        </w:rPr>
        <w:t xml:space="preserve"> </w:t>
      </w:r>
      <w:r w:rsidR="00952392" w:rsidRPr="002433F3">
        <w:rPr>
          <w:i/>
          <w:lang w:val="en-US"/>
        </w:rPr>
        <w:t>per se</w:t>
      </w:r>
      <w:r w:rsidR="002A4601" w:rsidRPr="002433F3">
        <w:rPr>
          <w:i/>
          <w:lang w:val="en-US"/>
        </w:rPr>
        <w:t>,</w:t>
      </w:r>
      <w:r w:rsidR="00952392" w:rsidRPr="002433F3">
        <w:rPr>
          <w:lang w:val="en-US"/>
        </w:rPr>
        <w:t xml:space="preserve"> </w:t>
      </w:r>
      <w:r w:rsidRPr="002433F3">
        <w:rPr>
          <w:lang w:val="en-US"/>
        </w:rPr>
        <w:t>and the reparations orde</w:t>
      </w:r>
      <w:r w:rsidR="00CC1AA7" w:rsidRPr="002433F3">
        <w:rPr>
          <w:lang w:val="en-US"/>
        </w:rPr>
        <w:t>red</w:t>
      </w:r>
      <w:r w:rsidRPr="002433F3">
        <w:rPr>
          <w:lang w:val="en-US"/>
        </w:rPr>
        <w:t xml:space="preserve"> therein are sufficient and adequate. </w:t>
      </w:r>
    </w:p>
    <w:p w14:paraId="6F0AF4E5" w14:textId="77777777" w:rsidR="007B0DE4" w:rsidRPr="002433F3" w:rsidRDefault="007B0DE4" w:rsidP="007B0DE4">
      <w:pPr>
        <w:pStyle w:val="Ttulo2"/>
        <w:numPr>
          <w:ilvl w:val="0"/>
          <w:numId w:val="13"/>
        </w:numPr>
        <w:spacing w:before="280" w:after="280"/>
        <w:rPr>
          <w:noProof w:val="0"/>
          <w:lang w:val="en-US"/>
        </w:rPr>
      </w:pPr>
      <w:bookmarkStart w:id="145" w:name="_Toc448482284"/>
      <w:r w:rsidRPr="002433F3">
        <w:rPr>
          <w:noProof w:val="0"/>
          <w:lang w:val="en-US"/>
        </w:rPr>
        <w:t>Measure of rehabilitation</w:t>
      </w:r>
      <w:bookmarkEnd w:id="145"/>
    </w:p>
    <w:p w14:paraId="1261E2BD" w14:textId="77777777" w:rsidR="007B0DE4" w:rsidRPr="002433F3" w:rsidRDefault="00BC6855" w:rsidP="007B0DE4">
      <w:pPr>
        <w:numPr>
          <w:ilvl w:val="0"/>
          <w:numId w:val="2"/>
        </w:numPr>
        <w:spacing w:before="120" w:after="120"/>
        <w:rPr>
          <w:lang w:val="en-US"/>
        </w:rPr>
      </w:pPr>
      <w:r w:rsidRPr="002433F3">
        <w:rPr>
          <w:lang w:val="en-US"/>
        </w:rPr>
        <w:t xml:space="preserve">In requesting </w:t>
      </w:r>
      <w:r w:rsidR="007B0DE4" w:rsidRPr="002433F3">
        <w:rPr>
          <w:lang w:val="en-US"/>
        </w:rPr>
        <w:t xml:space="preserve">a measure of rehabilitation, the </w:t>
      </w:r>
      <w:r w:rsidR="007B0DE4" w:rsidRPr="002433F3">
        <w:rPr>
          <w:i/>
          <w:lang w:val="en-US"/>
        </w:rPr>
        <w:t>representatives</w:t>
      </w:r>
      <w:r w:rsidR="007B0DE4" w:rsidRPr="002433F3">
        <w:rPr>
          <w:b/>
          <w:lang w:val="en-US"/>
        </w:rPr>
        <w:t xml:space="preserve"> </w:t>
      </w:r>
      <w:r w:rsidRPr="002433F3">
        <w:rPr>
          <w:lang w:val="en-US"/>
        </w:rPr>
        <w:t xml:space="preserve">cited </w:t>
      </w:r>
      <w:r w:rsidR="007B0DE4" w:rsidRPr="002433F3">
        <w:rPr>
          <w:lang w:val="en-US"/>
        </w:rPr>
        <w:t>the psychological and moral harm suffered by Mr. Duque, both because of the discriminatory treatment to which he was subjected, and the distress</w:t>
      </w:r>
      <w:r w:rsidR="00FA6A00" w:rsidRPr="002433F3">
        <w:rPr>
          <w:lang w:val="en-US"/>
        </w:rPr>
        <w:t>,</w:t>
      </w:r>
      <w:r w:rsidR="007B0DE4" w:rsidRPr="002433F3">
        <w:rPr>
          <w:lang w:val="en-US"/>
        </w:rPr>
        <w:t xml:space="preserve"> anxiety </w:t>
      </w:r>
      <w:r w:rsidR="00FA6A00" w:rsidRPr="002433F3">
        <w:rPr>
          <w:lang w:val="en-US"/>
        </w:rPr>
        <w:t xml:space="preserve">and uncertainty </w:t>
      </w:r>
      <w:r w:rsidRPr="002433F3">
        <w:rPr>
          <w:lang w:val="en-US"/>
        </w:rPr>
        <w:t xml:space="preserve">he </w:t>
      </w:r>
      <w:r w:rsidR="007B0DE4" w:rsidRPr="002433F3">
        <w:rPr>
          <w:lang w:val="en-US"/>
        </w:rPr>
        <w:t xml:space="preserve">experienced </w:t>
      </w:r>
      <w:r w:rsidR="002A4601" w:rsidRPr="002433F3">
        <w:rPr>
          <w:lang w:val="en-US"/>
        </w:rPr>
        <w:t xml:space="preserve">regarding access to the essential medical treatment he needed for </w:t>
      </w:r>
      <w:r w:rsidR="007B0DE4" w:rsidRPr="002433F3">
        <w:rPr>
          <w:lang w:val="en-US"/>
        </w:rPr>
        <w:t xml:space="preserve">his </w:t>
      </w:r>
      <w:r w:rsidRPr="002433F3">
        <w:rPr>
          <w:lang w:val="en-US"/>
        </w:rPr>
        <w:t xml:space="preserve">HIV </w:t>
      </w:r>
      <w:r w:rsidR="007B0DE4" w:rsidRPr="002433F3">
        <w:rPr>
          <w:lang w:val="en-US"/>
        </w:rPr>
        <w:t>condition</w:t>
      </w:r>
      <w:r w:rsidRPr="002433F3">
        <w:rPr>
          <w:lang w:val="en-US"/>
        </w:rPr>
        <w:t>.</w:t>
      </w:r>
      <w:r w:rsidR="007B0DE4" w:rsidRPr="002433F3">
        <w:rPr>
          <w:lang w:val="en-US"/>
        </w:rPr>
        <w:t xml:space="preserve"> </w:t>
      </w:r>
      <w:r w:rsidR="00FA6A00" w:rsidRPr="002433F3">
        <w:rPr>
          <w:lang w:val="en-US"/>
        </w:rPr>
        <w:t>Accordingly</w:t>
      </w:r>
      <w:r w:rsidRPr="002433F3">
        <w:rPr>
          <w:lang w:val="en-US"/>
        </w:rPr>
        <w:t>, the</w:t>
      </w:r>
      <w:r w:rsidR="002A4601" w:rsidRPr="002433F3">
        <w:rPr>
          <w:lang w:val="en-US"/>
        </w:rPr>
        <w:t xml:space="preserve"> representatives </w:t>
      </w:r>
      <w:r w:rsidR="003B346F" w:rsidRPr="002433F3">
        <w:rPr>
          <w:lang w:val="en-US"/>
        </w:rPr>
        <w:t xml:space="preserve">requested that </w:t>
      </w:r>
      <w:r w:rsidR="007B0DE4" w:rsidRPr="002433F3">
        <w:rPr>
          <w:lang w:val="en-US"/>
        </w:rPr>
        <w:t xml:space="preserve">the Court </w:t>
      </w:r>
      <w:r w:rsidR="003B346F" w:rsidRPr="002433F3">
        <w:rPr>
          <w:lang w:val="en-US"/>
        </w:rPr>
        <w:t xml:space="preserve">order </w:t>
      </w:r>
      <w:r w:rsidR="007B0DE4" w:rsidRPr="002433F3">
        <w:rPr>
          <w:lang w:val="en-US"/>
        </w:rPr>
        <w:t xml:space="preserve">the State to provide Mr. Duque </w:t>
      </w:r>
      <w:r w:rsidRPr="002433F3">
        <w:rPr>
          <w:lang w:val="en-US"/>
        </w:rPr>
        <w:t xml:space="preserve">with </w:t>
      </w:r>
      <w:r w:rsidR="007B0DE4" w:rsidRPr="002433F3">
        <w:rPr>
          <w:lang w:val="en-US"/>
        </w:rPr>
        <w:t xml:space="preserve">the required medical and psychological treatment, free of charge and for the time necessary, by competent professionals, </w:t>
      </w:r>
      <w:r w:rsidR="003B346F" w:rsidRPr="002433F3">
        <w:rPr>
          <w:lang w:val="en-US"/>
        </w:rPr>
        <w:t>including</w:t>
      </w:r>
      <w:r w:rsidRPr="002433F3">
        <w:rPr>
          <w:lang w:val="en-US"/>
        </w:rPr>
        <w:t xml:space="preserve"> essential </w:t>
      </w:r>
      <w:r w:rsidR="003B346F" w:rsidRPr="002433F3">
        <w:rPr>
          <w:lang w:val="en-US"/>
        </w:rPr>
        <w:t>supplies</w:t>
      </w:r>
      <w:r w:rsidR="007B0DE4" w:rsidRPr="002433F3">
        <w:rPr>
          <w:lang w:val="en-US"/>
        </w:rPr>
        <w:t xml:space="preserve"> of </w:t>
      </w:r>
      <w:r w:rsidR="00AC71D9" w:rsidRPr="002433F3">
        <w:rPr>
          <w:lang w:val="en-US"/>
        </w:rPr>
        <w:t>antiretroviral</w:t>
      </w:r>
      <w:r w:rsidR="007B0DE4" w:rsidRPr="002433F3">
        <w:rPr>
          <w:lang w:val="en-US"/>
        </w:rPr>
        <w:t xml:space="preserve"> drugs to treat his disease.</w:t>
      </w:r>
    </w:p>
    <w:p w14:paraId="504435B7" w14:textId="77777777" w:rsidR="007B0DE4" w:rsidRPr="002433F3" w:rsidRDefault="007B0DE4" w:rsidP="007B0DE4">
      <w:pPr>
        <w:numPr>
          <w:ilvl w:val="0"/>
          <w:numId w:val="2"/>
        </w:numPr>
        <w:spacing w:before="120" w:after="120"/>
        <w:rPr>
          <w:lang w:val="en-US"/>
        </w:rPr>
      </w:pPr>
      <w:r w:rsidRPr="002433F3">
        <w:rPr>
          <w:lang w:val="en-US"/>
        </w:rPr>
        <w:t>In re</w:t>
      </w:r>
      <w:r w:rsidR="00BC6855" w:rsidRPr="002433F3">
        <w:rPr>
          <w:lang w:val="en-US"/>
        </w:rPr>
        <w:t>sponse</w:t>
      </w:r>
      <w:r w:rsidRPr="002433F3">
        <w:rPr>
          <w:lang w:val="en-US"/>
        </w:rPr>
        <w:t xml:space="preserve">, the </w:t>
      </w:r>
      <w:r w:rsidRPr="002433F3">
        <w:rPr>
          <w:i/>
          <w:lang w:val="en-US"/>
        </w:rPr>
        <w:t>State</w:t>
      </w:r>
      <w:r w:rsidRPr="002433F3">
        <w:rPr>
          <w:b/>
          <w:lang w:val="en-US"/>
        </w:rPr>
        <w:t xml:space="preserve"> </w:t>
      </w:r>
      <w:r w:rsidR="00BC6855" w:rsidRPr="002433F3">
        <w:rPr>
          <w:lang w:val="en-US"/>
        </w:rPr>
        <w:t xml:space="preserve">reiterated that “the </w:t>
      </w:r>
      <w:r w:rsidRPr="002433F3">
        <w:rPr>
          <w:lang w:val="en-US"/>
        </w:rPr>
        <w:t>alleged victim has access</w:t>
      </w:r>
      <w:r w:rsidR="00BC6855" w:rsidRPr="002433F3">
        <w:rPr>
          <w:lang w:val="en-US"/>
        </w:rPr>
        <w:t xml:space="preserve"> to the General Social Security </w:t>
      </w:r>
      <w:r w:rsidRPr="002433F3">
        <w:rPr>
          <w:lang w:val="en-US"/>
        </w:rPr>
        <w:t>System, which includes medic</w:t>
      </w:r>
      <w:r w:rsidR="00BC6855" w:rsidRPr="002433F3">
        <w:rPr>
          <w:lang w:val="en-US"/>
        </w:rPr>
        <w:t xml:space="preserve">ines, as well as </w:t>
      </w:r>
      <w:r w:rsidRPr="002433F3">
        <w:rPr>
          <w:lang w:val="en-US"/>
        </w:rPr>
        <w:t>medical and psychological</w:t>
      </w:r>
      <w:r w:rsidR="00BC6855" w:rsidRPr="002433F3">
        <w:rPr>
          <w:lang w:val="en-US"/>
        </w:rPr>
        <w:t xml:space="preserve"> treatment.”</w:t>
      </w:r>
      <w:r w:rsidRPr="002433F3">
        <w:rPr>
          <w:lang w:val="en-US"/>
        </w:rPr>
        <w:t xml:space="preserve"> </w:t>
      </w:r>
      <w:r w:rsidR="00BC6855" w:rsidRPr="002433F3">
        <w:rPr>
          <w:lang w:val="en-US"/>
        </w:rPr>
        <w:t xml:space="preserve">It also indicated that “both </w:t>
      </w:r>
      <w:r w:rsidR="002A4601" w:rsidRPr="002433F3">
        <w:rPr>
          <w:lang w:val="en-US"/>
        </w:rPr>
        <w:t>health</w:t>
      </w:r>
      <w:r w:rsidR="00BC6855" w:rsidRPr="002433F3">
        <w:rPr>
          <w:lang w:val="en-US"/>
        </w:rPr>
        <w:t xml:space="preserve">care regimes </w:t>
      </w:r>
      <w:r w:rsidRPr="002433F3">
        <w:rPr>
          <w:lang w:val="en-US"/>
        </w:rPr>
        <w:t xml:space="preserve">of the </w:t>
      </w:r>
      <w:r w:rsidR="00BC6855" w:rsidRPr="002433F3">
        <w:rPr>
          <w:lang w:val="en-US"/>
        </w:rPr>
        <w:t>General Social Security System</w:t>
      </w:r>
      <w:r w:rsidRPr="002433F3">
        <w:rPr>
          <w:lang w:val="en-US"/>
        </w:rPr>
        <w:t xml:space="preserve"> </w:t>
      </w:r>
      <w:r w:rsidR="00BC6855" w:rsidRPr="002433F3">
        <w:rPr>
          <w:lang w:val="en-US"/>
        </w:rPr>
        <w:t xml:space="preserve">are required to </w:t>
      </w:r>
      <w:r w:rsidRPr="002433F3">
        <w:rPr>
          <w:lang w:val="en-US"/>
        </w:rPr>
        <w:t xml:space="preserve">provide HIV/AIDS patients </w:t>
      </w:r>
      <w:r w:rsidR="00AC71D9" w:rsidRPr="002433F3">
        <w:rPr>
          <w:lang w:val="en-US"/>
        </w:rPr>
        <w:t xml:space="preserve">with all the </w:t>
      </w:r>
      <w:r w:rsidRPr="002433F3">
        <w:rPr>
          <w:lang w:val="en-US"/>
        </w:rPr>
        <w:t xml:space="preserve">necessary </w:t>
      </w:r>
      <w:r w:rsidR="00AC71D9" w:rsidRPr="002433F3">
        <w:rPr>
          <w:lang w:val="en-US"/>
        </w:rPr>
        <w:t xml:space="preserve">assistance </w:t>
      </w:r>
      <w:r w:rsidRPr="002433F3">
        <w:rPr>
          <w:lang w:val="en-US"/>
        </w:rPr>
        <w:t xml:space="preserve">so that </w:t>
      </w:r>
      <w:r w:rsidR="00AC71D9" w:rsidRPr="002433F3">
        <w:rPr>
          <w:lang w:val="en-US"/>
        </w:rPr>
        <w:lastRenderedPageBreak/>
        <w:t xml:space="preserve">they can properly </w:t>
      </w:r>
      <w:r w:rsidR="00FA6A00" w:rsidRPr="002433F3">
        <w:rPr>
          <w:lang w:val="en-US"/>
        </w:rPr>
        <w:t xml:space="preserve">address </w:t>
      </w:r>
      <w:r w:rsidRPr="002433F3">
        <w:rPr>
          <w:lang w:val="en-US"/>
        </w:rPr>
        <w:t>the</w:t>
      </w:r>
      <w:r w:rsidR="00C318EE" w:rsidRPr="002433F3">
        <w:rPr>
          <w:lang w:val="en-US"/>
        </w:rPr>
        <w:t>ir illness</w:t>
      </w:r>
      <w:r w:rsidRPr="002433F3">
        <w:rPr>
          <w:lang w:val="en-US"/>
        </w:rPr>
        <w:t xml:space="preserve">. This includes all treatments prescribed by the attending physician, whether or not </w:t>
      </w:r>
      <w:r w:rsidR="00FA6A00" w:rsidRPr="002433F3">
        <w:rPr>
          <w:lang w:val="en-US"/>
        </w:rPr>
        <w:t>they</w:t>
      </w:r>
      <w:r w:rsidR="00BC6855" w:rsidRPr="002433F3">
        <w:rPr>
          <w:lang w:val="en-US"/>
        </w:rPr>
        <w:t xml:space="preserve"> are </w:t>
      </w:r>
      <w:r w:rsidRPr="002433F3">
        <w:rPr>
          <w:lang w:val="en-US"/>
        </w:rPr>
        <w:t xml:space="preserve">included in the Mandatory Health Plan. Those services, </w:t>
      </w:r>
      <w:r w:rsidR="00AC71D9" w:rsidRPr="002433F3">
        <w:rPr>
          <w:lang w:val="en-US"/>
        </w:rPr>
        <w:t xml:space="preserve">where </w:t>
      </w:r>
      <w:r w:rsidRPr="002433F3">
        <w:rPr>
          <w:lang w:val="en-US"/>
        </w:rPr>
        <w:t xml:space="preserve">necessary, </w:t>
      </w:r>
      <w:r w:rsidR="00AC71D9" w:rsidRPr="002433F3">
        <w:rPr>
          <w:lang w:val="en-US"/>
        </w:rPr>
        <w:t xml:space="preserve">may be </w:t>
      </w:r>
      <w:r w:rsidRPr="002433F3">
        <w:rPr>
          <w:lang w:val="en-US"/>
        </w:rPr>
        <w:t xml:space="preserve">prescribed free of charge.” In conclusion, the State </w:t>
      </w:r>
      <w:r w:rsidR="00AC71D9" w:rsidRPr="002433F3">
        <w:rPr>
          <w:lang w:val="en-US"/>
        </w:rPr>
        <w:t>a</w:t>
      </w:r>
      <w:r w:rsidR="00BC6855" w:rsidRPr="002433F3">
        <w:rPr>
          <w:lang w:val="en-US"/>
        </w:rPr>
        <w:t xml:space="preserve">rgued </w:t>
      </w:r>
      <w:r w:rsidRPr="002433F3">
        <w:rPr>
          <w:lang w:val="en-US"/>
        </w:rPr>
        <w:t xml:space="preserve">that Mr. Duque </w:t>
      </w:r>
      <w:r w:rsidR="002A4601" w:rsidRPr="002433F3">
        <w:rPr>
          <w:lang w:val="en-US"/>
        </w:rPr>
        <w:t xml:space="preserve">would be able to </w:t>
      </w:r>
      <w:r w:rsidR="00AC71D9" w:rsidRPr="002433F3">
        <w:rPr>
          <w:lang w:val="en-US"/>
        </w:rPr>
        <w:t xml:space="preserve">obtain </w:t>
      </w:r>
      <w:r w:rsidRPr="002433F3">
        <w:rPr>
          <w:lang w:val="en-US"/>
        </w:rPr>
        <w:t xml:space="preserve">the </w:t>
      </w:r>
      <w:r w:rsidR="002A4601" w:rsidRPr="002433F3">
        <w:rPr>
          <w:lang w:val="en-US"/>
        </w:rPr>
        <w:t xml:space="preserve">necessary </w:t>
      </w:r>
      <w:r w:rsidRPr="002433F3">
        <w:rPr>
          <w:lang w:val="en-US"/>
        </w:rPr>
        <w:t>medical and psychological assistance</w:t>
      </w:r>
      <w:r w:rsidR="00AC71D9" w:rsidRPr="002433F3">
        <w:rPr>
          <w:lang w:val="en-US"/>
        </w:rPr>
        <w:t xml:space="preserve">, free of charge, if he </w:t>
      </w:r>
      <w:r w:rsidR="002A4601" w:rsidRPr="002433F3">
        <w:rPr>
          <w:lang w:val="en-US"/>
        </w:rPr>
        <w:t xml:space="preserve">meets </w:t>
      </w:r>
      <w:r w:rsidR="00BC6855" w:rsidRPr="002433F3">
        <w:rPr>
          <w:lang w:val="en-US"/>
        </w:rPr>
        <w:t xml:space="preserve">the </w:t>
      </w:r>
      <w:r w:rsidR="002A4601" w:rsidRPr="002433F3">
        <w:rPr>
          <w:lang w:val="en-US"/>
        </w:rPr>
        <w:t xml:space="preserve">requirements </w:t>
      </w:r>
      <w:r w:rsidR="00C318EE" w:rsidRPr="002433F3">
        <w:rPr>
          <w:lang w:val="en-US"/>
        </w:rPr>
        <w:t>for this</w:t>
      </w:r>
      <w:r w:rsidRPr="002433F3">
        <w:rPr>
          <w:lang w:val="en-US"/>
        </w:rPr>
        <w:t>, through the SGSSS</w:t>
      </w:r>
      <w:r w:rsidR="002A4601" w:rsidRPr="002433F3">
        <w:rPr>
          <w:lang w:val="en-US"/>
        </w:rPr>
        <w:t>.</w:t>
      </w:r>
      <w:r w:rsidRPr="002433F3">
        <w:rPr>
          <w:lang w:val="en-US"/>
        </w:rPr>
        <w:t xml:space="preserve"> </w:t>
      </w:r>
      <w:r w:rsidR="002A4601" w:rsidRPr="002433F3">
        <w:rPr>
          <w:lang w:val="en-US"/>
        </w:rPr>
        <w:t xml:space="preserve">Consequently, </w:t>
      </w:r>
      <w:r w:rsidRPr="002433F3">
        <w:rPr>
          <w:lang w:val="en-US"/>
        </w:rPr>
        <w:t xml:space="preserve">the </w:t>
      </w:r>
      <w:r w:rsidR="002A4601" w:rsidRPr="002433F3">
        <w:rPr>
          <w:lang w:val="en-US"/>
        </w:rPr>
        <w:t xml:space="preserve">State asked the Court to reject the </w:t>
      </w:r>
      <w:r w:rsidRPr="002433F3">
        <w:rPr>
          <w:lang w:val="en-US"/>
        </w:rPr>
        <w:t>measure in question</w:t>
      </w:r>
      <w:r w:rsidR="002A4601" w:rsidRPr="002433F3">
        <w:rPr>
          <w:lang w:val="en-US"/>
        </w:rPr>
        <w:t>, arguing that it</w:t>
      </w:r>
      <w:r w:rsidRPr="002433F3">
        <w:rPr>
          <w:lang w:val="en-US"/>
        </w:rPr>
        <w:t xml:space="preserve"> </w:t>
      </w:r>
      <w:r w:rsidR="002A4601" w:rsidRPr="002433F3">
        <w:rPr>
          <w:lang w:val="en-US"/>
        </w:rPr>
        <w:t>wa</w:t>
      </w:r>
      <w:r w:rsidR="00AC71D9" w:rsidRPr="002433F3">
        <w:rPr>
          <w:lang w:val="en-US"/>
        </w:rPr>
        <w:t xml:space="preserve">s not </w:t>
      </w:r>
      <w:r w:rsidR="002A4601" w:rsidRPr="002433F3">
        <w:rPr>
          <w:lang w:val="en-US"/>
        </w:rPr>
        <w:t>essential</w:t>
      </w:r>
      <w:r w:rsidRPr="002433F3">
        <w:rPr>
          <w:lang w:val="en-US"/>
        </w:rPr>
        <w:t>.</w:t>
      </w:r>
    </w:p>
    <w:p w14:paraId="63CD8B24" w14:textId="77777777" w:rsidR="007B0DE4" w:rsidRPr="002433F3" w:rsidRDefault="002A4601" w:rsidP="007B0DE4">
      <w:pPr>
        <w:numPr>
          <w:ilvl w:val="0"/>
          <w:numId w:val="2"/>
        </w:numPr>
        <w:spacing w:before="120" w:after="120"/>
        <w:rPr>
          <w:lang w:val="en-US"/>
        </w:rPr>
      </w:pPr>
      <w:r w:rsidRPr="002433F3">
        <w:rPr>
          <w:lang w:val="en-US"/>
        </w:rPr>
        <w:t>In the instant</w:t>
      </w:r>
      <w:r w:rsidR="007B0DE4" w:rsidRPr="002433F3">
        <w:rPr>
          <w:lang w:val="en-US"/>
        </w:rPr>
        <w:t xml:space="preserve"> case, the Court d</w:t>
      </w:r>
      <w:r w:rsidRPr="002433F3">
        <w:rPr>
          <w:lang w:val="en-US"/>
        </w:rPr>
        <w:t xml:space="preserve">id not declare </w:t>
      </w:r>
      <w:r w:rsidR="007B0DE4" w:rsidRPr="002433F3">
        <w:rPr>
          <w:lang w:val="en-US"/>
        </w:rPr>
        <w:t>the State responsible for the violation</w:t>
      </w:r>
      <w:r w:rsidRPr="002433F3">
        <w:rPr>
          <w:lang w:val="en-US"/>
        </w:rPr>
        <w:t xml:space="preserve"> of Mr. Duque’s right to life </w:t>
      </w:r>
      <w:r w:rsidR="00CF576A" w:rsidRPr="002433F3">
        <w:rPr>
          <w:lang w:val="en-US"/>
        </w:rPr>
        <w:t xml:space="preserve">or his right to </w:t>
      </w:r>
      <w:r w:rsidR="007B0DE4" w:rsidRPr="002433F3">
        <w:rPr>
          <w:lang w:val="en-US"/>
        </w:rPr>
        <w:t xml:space="preserve">integrity. Consequently, it is not appropriate to </w:t>
      </w:r>
      <w:r w:rsidR="00F46AE5" w:rsidRPr="002433F3">
        <w:rPr>
          <w:lang w:val="en-US"/>
        </w:rPr>
        <w:t xml:space="preserve">order </w:t>
      </w:r>
      <w:r w:rsidR="007B0DE4" w:rsidRPr="002433F3">
        <w:rPr>
          <w:lang w:val="en-US"/>
        </w:rPr>
        <w:t>the measure of reparation requested. Nevertheless, this Court recalls that</w:t>
      </w:r>
      <w:r w:rsidR="00CF576A" w:rsidRPr="002433F3">
        <w:rPr>
          <w:lang w:val="en-US"/>
        </w:rPr>
        <w:t xml:space="preserve"> </w:t>
      </w:r>
      <w:r w:rsidR="00F46AE5" w:rsidRPr="002433F3">
        <w:rPr>
          <w:lang w:val="en-US"/>
        </w:rPr>
        <w:t xml:space="preserve">the State has </w:t>
      </w:r>
      <w:r w:rsidR="00CF576A" w:rsidRPr="002433F3">
        <w:rPr>
          <w:lang w:val="en-US"/>
        </w:rPr>
        <w:t>confirmed that Mr. Duque, as a HIV-positive patient, has the</w:t>
      </w:r>
      <w:r w:rsidR="007B0DE4" w:rsidRPr="002433F3">
        <w:rPr>
          <w:lang w:val="en-US"/>
        </w:rPr>
        <w:t xml:space="preserve"> right to access a contribut</w:t>
      </w:r>
      <w:r w:rsidR="00CF576A" w:rsidRPr="002433F3">
        <w:rPr>
          <w:lang w:val="en-US"/>
        </w:rPr>
        <w:t xml:space="preserve">ory or </w:t>
      </w:r>
      <w:r w:rsidR="007B0DE4" w:rsidRPr="002433F3">
        <w:rPr>
          <w:lang w:val="en-US"/>
        </w:rPr>
        <w:t xml:space="preserve">subsidized </w:t>
      </w:r>
      <w:r w:rsidR="00CF576A" w:rsidRPr="002433F3">
        <w:rPr>
          <w:lang w:val="en-US"/>
        </w:rPr>
        <w:t>healthcare regime t</w:t>
      </w:r>
      <w:r w:rsidR="00C318EE" w:rsidRPr="002433F3">
        <w:rPr>
          <w:lang w:val="en-US"/>
        </w:rPr>
        <w:t>hat would</w:t>
      </w:r>
      <w:r w:rsidR="007B0DE4" w:rsidRPr="002433F3">
        <w:rPr>
          <w:lang w:val="en-US"/>
        </w:rPr>
        <w:t xml:space="preserve"> provide him with essential medical treatment for his condition</w:t>
      </w:r>
      <w:r w:rsidR="00CF576A" w:rsidRPr="002433F3">
        <w:rPr>
          <w:lang w:val="en-US"/>
        </w:rPr>
        <w:t>.</w:t>
      </w:r>
      <w:r w:rsidR="007B0DE4" w:rsidRPr="002433F3">
        <w:rPr>
          <w:lang w:val="en-US"/>
        </w:rPr>
        <w:t xml:space="preserve"> (</w:t>
      </w:r>
      <w:r w:rsidR="007B0DE4" w:rsidRPr="002433F3">
        <w:rPr>
          <w:i/>
          <w:lang w:val="en-US"/>
        </w:rPr>
        <w:t>supra</w:t>
      </w:r>
      <w:r w:rsidR="007B0DE4" w:rsidRPr="002433F3">
        <w:rPr>
          <w:lang w:val="en-US"/>
        </w:rPr>
        <w:t xml:space="preserve"> paras. 172 to 181).</w:t>
      </w:r>
    </w:p>
    <w:p w14:paraId="5F5FBFDD" w14:textId="77777777" w:rsidR="007B0DE4" w:rsidRPr="002433F3" w:rsidRDefault="007B0DE4" w:rsidP="007B0DE4">
      <w:pPr>
        <w:pStyle w:val="Ttulo2"/>
        <w:numPr>
          <w:ilvl w:val="0"/>
          <w:numId w:val="13"/>
        </w:numPr>
        <w:spacing w:before="280" w:after="280"/>
        <w:rPr>
          <w:noProof w:val="0"/>
          <w:lang w:val="en-US" w:eastAsia="es-ES"/>
        </w:rPr>
      </w:pPr>
      <w:bookmarkStart w:id="146" w:name="_Toc448482285"/>
      <w:r w:rsidRPr="002433F3">
        <w:rPr>
          <w:noProof w:val="0"/>
          <w:lang w:val="en-US"/>
        </w:rPr>
        <w:t xml:space="preserve">Compensation for </w:t>
      </w:r>
      <w:r w:rsidRPr="002433F3">
        <w:rPr>
          <w:noProof w:val="0"/>
          <w:lang w:val="en-US" w:eastAsia="es-ES"/>
        </w:rPr>
        <w:t xml:space="preserve">pecuniary and non-pecuniary damage </w:t>
      </w:r>
      <w:bookmarkEnd w:id="146"/>
    </w:p>
    <w:p w14:paraId="77506EAD" w14:textId="77777777" w:rsidR="007B0DE4" w:rsidRPr="002433F3" w:rsidRDefault="007B0DE4" w:rsidP="007B0DE4">
      <w:pPr>
        <w:pStyle w:val="Ttulo3"/>
        <w:spacing w:before="280" w:after="280"/>
        <w:ind w:left="1066"/>
        <w:rPr>
          <w:noProof w:val="0"/>
          <w:lang w:val="en-US"/>
        </w:rPr>
      </w:pPr>
      <w:bookmarkStart w:id="147" w:name="_Toc448482286"/>
      <w:r w:rsidRPr="002433F3">
        <w:rPr>
          <w:noProof w:val="0"/>
          <w:lang w:val="en-US" w:eastAsia="es-ES"/>
        </w:rPr>
        <w:t>F.1. Pecuniary damage</w:t>
      </w:r>
      <w:bookmarkEnd w:id="147"/>
      <w:r w:rsidRPr="002433F3">
        <w:rPr>
          <w:noProof w:val="0"/>
          <w:lang w:val="en-US" w:eastAsia="es-ES"/>
        </w:rPr>
        <w:t xml:space="preserve"> </w:t>
      </w:r>
    </w:p>
    <w:p w14:paraId="63B2EA8A" w14:textId="77777777" w:rsidR="007B0DE4" w:rsidRPr="002433F3" w:rsidRDefault="007B0DE4" w:rsidP="007B0DE4">
      <w:pPr>
        <w:numPr>
          <w:ilvl w:val="0"/>
          <w:numId w:val="2"/>
        </w:numPr>
        <w:spacing w:before="120" w:after="120"/>
        <w:rPr>
          <w:lang w:val="en-US"/>
        </w:rPr>
      </w:pPr>
      <w:r w:rsidRPr="002433F3">
        <w:rPr>
          <w:lang w:val="en-US"/>
        </w:rPr>
        <w:t>In rel</w:t>
      </w:r>
      <w:r w:rsidR="00982D34" w:rsidRPr="002433F3">
        <w:rPr>
          <w:lang w:val="en-US"/>
        </w:rPr>
        <w:t xml:space="preserve">ation to pecuniary damage, the </w:t>
      </w:r>
      <w:r w:rsidRPr="002433F3">
        <w:rPr>
          <w:i/>
          <w:lang w:val="en-US"/>
        </w:rPr>
        <w:t>representatives</w:t>
      </w:r>
      <w:r w:rsidRPr="002433F3">
        <w:rPr>
          <w:lang w:val="en-US"/>
        </w:rPr>
        <w:t xml:space="preserve"> </w:t>
      </w:r>
      <w:r w:rsidR="00600D92" w:rsidRPr="002433F3">
        <w:rPr>
          <w:lang w:val="en-US"/>
        </w:rPr>
        <w:t xml:space="preserve">recalled </w:t>
      </w:r>
      <w:r w:rsidRPr="002433F3">
        <w:rPr>
          <w:lang w:val="en-US"/>
        </w:rPr>
        <w:t xml:space="preserve">that Ángel Alberto Duque </w:t>
      </w:r>
      <w:r w:rsidR="00FA5871" w:rsidRPr="002433F3">
        <w:rPr>
          <w:lang w:val="en-US"/>
        </w:rPr>
        <w:t>submitted a</w:t>
      </w:r>
      <w:r w:rsidR="00982D34" w:rsidRPr="002433F3">
        <w:rPr>
          <w:lang w:val="en-US"/>
        </w:rPr>
        <w:t xml:space="preserve"> request for the</w:t>
      </w:r>
      <w:r w:rsidRPr="002433F3">
        <w:rPr>
          <w:lang w:val="en-US"/>
        </w:rPr>
        <w:t xml:space="preserve"> survivor’s pension to which he was entitled after </w:t>
      </w:r>
      <w:r w:rsidR="008434F0" w:rsidRPr="002433F3">
        <w:rPr>
          <w:lang w:val="en-US"/>
        </w:rPr>
        <w:t>the death</w:t>
      </w:r>
      <w:r w:rsidRPr="002433F3">
        <w:rPr>
          <w:lang w:val="en-US"/>
        </w:rPr>
        <w:t xml:space="preserve"> of </w:t>
      </w:r>
      <w:r w:rsidR="00C318EE" w:rsidRPr="002433F3">
        <w:rPr>
          <w:lang w:val="en-US"/>
        </w:rPr>
        <w:t>his partner</w:t>
      </w:r>
      <w:r w:rsidR="00982D34" w:rsidRPr="002433F3">
        <w:rPr>
          <w:lang w:val="en-US"/>
        </w:rPr>
        <w:t xml:space="preserve">, </w:t>
      </w:r>
      <w:r w:rsidRPr="002433F3">
        <w:rPr>
          <w:lang w:val="en-US"/>
        </w:rPr>
        <w:t>JOJG</w:t>
      </w:r>
      <w:r w:rsidR="00982D34" w:rsidRPr="002433F3">
        <w:rPr>
          <w:lang w:val="en-US"/>
        </w:rPr>
        <w:t>,</w:t>
      </w:r>
      <w:r w:rsidR="00C318EE" w:rsidRPr="002433F3">
        <w:rPr>
          <w:lang w:val="en-US"/>
        </w:rPr>
        <w:t xml:space="preserve"> on</w:t>
      </w:r>
      <w:r w:rsidRPr="002433F3">
        <w:rPr>
          <w:lang w:val="en-US"/>
        </w:rPr>
        <w:t xml:space="preserve"> March 19, 2002</w:t>
      </w:r>
      <w:r w:rsidR="00C318EE" w:rsidRPr="002433F3">
        <w:rPr>
          <w:lang w:val="en-US"/>
        </w:rPr>
        <w:t xml:space="preserve">, </w:t>
      </w:r>
      <w:r w:rsidR="00600D92" w:rsidRPr="002433F3">
        <w:rPr>
          <w:lang w:val="en-US"/>
        </w:rPr>
        <w:t xml:space="preserve">a request that </w:t>
      </w:r>
      <w:r w:rsidR="008434F0" w:rsidRPr="002433F3">
        <w:rPr>
          <w:lang w:val="en-US"/>
        </w:rPr>
        <w:t xml:space="preserve">was denied by </w:t>
      </w:r>
      <w:r w:rsidR="00C318EE" w:rsidRPr="002433F3">
        <w:rPr>
          <w:lang w:val="en-US"/>
        </w:rPr>
        <w:t>COLFONDOS</w:t>
      </w:r>
      <w:r w:rsidRPr="002433F3">
        <w:rPr>
          <w:lang w:val="en-US"/>
        </w:rPr>
        <w:t xml:space="preserve">. Consequently, </w:t>
      </w:r>
      <w:r w:rsidR="008434F0" w:rsidRPr="002433F3">
        <w:rPr>
          <w:lang w:val="en-US"/>
        </w:rPr>
        <w:t>from that date onwards,</w:t>
      </w:r>
      <w:r w:rsidRPr="002433F3">
        <w:rPr>
          <w:lang w:val="en-US"/>
        </w:rPr>
        <w:t xml:space="preserve"> Ángel Alberto Duque suf</w:t>
      </w:r>
      <w:r w:rsidR="00C318EE" w:rsidRPr="002433F3">
        <w:rPr>
          <w:lang w:val="en-US"/>
        </w:rPr>
        <w:t xml:space="preserve">fered financial </w:t>
      </w:r>
      <w:r w:rsidR="008434F0" w:rsidRPr="002433F3">
        <w:rPr>
          <w:lang w:val="en-US"/>
        </w:rPr>
        <w:t>hards</w:t>
      </w:r>
      <w:r w:rsidR="0028126B" w:rsidRPr="002433F3">
        <w:rPr>
          <w:lang w:val="en-US"/>
        </w:rPr>
        <w:t>hip owing to a</w:t>
      </w:r>
      <w:r w:rsidR="008434F0" w:rsidRPr="002433F3">
        <w:rPr>
          <w:lang w:val="en-US"/>
        </w:rPr>
        <w:t xml:space="preserve"> </w:t>
      </w:r>
      <w:r w:rsidRPr="002433F3">
        <w:rPr>
          <w:lang w:val="en-US"/>
        </w:rPr>
        <w:t xml:space="preserve">lack of income from the social benefits to which he was entitled. </w:t>
      </w:r>
      <w:r w:rsidR="008434F0" w:rsidRPr="002433F3">
        <w:rPr>
          <w:lang w:val="en-US"/>
        </w:rPr>
        <w:t xml:space="preserve">The </w:t>
      </w:r>
      <w:r w:rsidR="008434F0" w:rsidRPr="002433F3">
        <w:rPr>
          <w:i/>
          <w:lang w:val="en-US"/>
        </w:rPr>
        <w:t>representatives</w:t>
      </w:r>
      <w:r w:rsidR="008434F0" w:rsidRPr="002433F3">
        <w:rPr>
          <w:lang w:val="en-US"/>
        </w:rPr>
        <w:t xml:space="preserve"> </w:t>
      </w:r>
      <w:r w:rsidR="0028126B" w:rsidRPr="002433F3">
        <w:rPr>
          <w:lang w:val="en-US"/>
        </w:rPr>
        <w:t xml:space="preserve">cited </w:t>
      </w:r>
      <w:r w:rsidR="008434F0" w:rsidRPr="002433F3">
        <w:rPr>
          <w:lang w:val="en-US"/>
        </w:rPr>
        <w:t xml:space="preserve">the attached </w:t>
      </w:r>
      <w:r w:rsidR="00CF38CD" w:rsidRPr="002433F3">
        <w:rPr>
          <w:lang w:val="en-US"/>
        </w:rPr>
        <w:t xml:space="preserve">expert opinion </w:t>
      </w:r>
      <w:r w:rsidRPr="002433F3">
        <w:rPr>
          <w:lang w:val="en-US"/>
        </w:rPr>
        <w:t xml:space="preserve">and </w:t>
      </w:r>
      <w:r w:rsidR="00C61C83" w:rsidRPr="002433F3">
        <w:rPr>
          <w:lang w:val="en-US"/>
        </w:rPr>
        <w:t xml:space="preserve">asked the </w:t>
      </w:r>
      <w:r w:rsidRPr="002433F3">
        <w:rPr>
          <w:lang w:val="en-US"/>
        </w:rPr>
        <w:t>Court</w:t>
      </w:r>
      <w:r w:rsidR="00C61C83" w:rsidRPr="002433F3">
        <w:rPr>
          <w:lang w:val="en-US"/>
        </w:rPr>
        <w:t xml:space="preserve"> to order </w:t>
      </w:r>
      <w:r w:rsidR="0028126B" w:rsidRPr="002433F3">
        <w:rPr>
          <w:lang w:val="en-US"/>
        </w:rPr>
        <w:t>the State to pay</w:t>
      </w:r>
      <w:r w:rsidRPr="002433F3">
        <w:rPr>
          <w:lang w:val="en-US"/>
        </w:rPr>
        <w:t xml:space="preserve"> s</w:t>
      </w:r>
      <w:r w:rsidR="00AC71D9" w:rsidRPr="002433F3">
        <w:rPr>
          <w:lang w:val="en-US"/>
        </w:rPr>
        <w:t>ix hundred and eighty-five million</w:t>
      </w:r>
      <w:r w:rsidRPr="002433F3">
        <w:rPr>
          <w:lang w:val="en-US"/>
        </w:rPr>
        <w:t xml:space="preserve"> </w:t>
      </w:r>
      <w:r w:rsidR="00AC71D9" w:rsidRPr="002433F3">
        <w:rPr>
          <w:lang w:val="en-US"/>
        </w:rPr>
        <w:t>Colombian pesos</w:t>
      </w:r>
      <w:r w:rsidR="00F46AE5" w:rsidRPr="002433F3">
        <w:rPr>
          <w:lang w:val="en-US"/>
        </w:rPr>
        <w:t xml:space="preserve"> ($COP 685,000,</w:t>
      </w:r>
      <w:r w:rsidRPr="002433F3">
        <w:rPr>
          <w:lang w:val="en-US"/>
        </w:rPr>
        <w:t>000) equivalent to two hundred and eighty four thousand, seven hundred and four United States dollars ($US 284,704)</w:t>
      </w:r>
      <w:r w:rsidR="0028126B" w:rsidRPr="002433F3">
        <w:rPr>
          <w:lang w:val="en-US"/>
        </w:rPr>
        <w:t>,</w:t>
      </w:r>
      <w:r w:rsidRPr="002433F3">
        <w:rPr>
          <w:lang w:val="en-US"/>
        </w:rPr>
        <w:t xml:space="preserve"> </w:t>
      </w:r>
      <w:r w:rsidR="00F46AE5" w:rsidRPr="002433F3">
        <w:rPr>
          <w:lang w:val="en-US"/>
        </w:rPr>
        <w:t xml:space="preserve">this </w:t>
      </w:r>
      <w:r w:rsidR="0028126B" w:rsidRPr="002433F3">
        <w:rPr>
          <w:lang w:val="en-US"/>
        </w:rPr>
        <w:t xml:space="preserve">being </w:t>
      </w:r>
      <w:r w:rsidRPr="002433F3">
        <w:rPr>
          <w:lang w:val="en-US"/>
        </w:rPr>
        <w:t xml:space="preserve">the </w:t>
      </w:r>
      <w:r w:rsidR="0028126B" w:rsidRPr="002433F3">
        <w:rPr>
          <w:lang w:val="en-US"/>
        </w:rPr>
        <w:t xml:space="preserve">amount </w:t>
      </w:r>
      <w:r w:rsidR="00FA5871" w:rsidRPr="002433F3">
        <w:rPr>
          <w:lang w:val="en-US"/>
        </w:rPr>
        <w:t xml:space="preserve">that </w:t>
      </w:r>
      <w:r w:rsidRPr="002433F3">
        <w:rPr>
          <w:lang w:val="en-US"/>
        </w:rPr>
        <w:t xml:space="preserve">the victim did not receive because he was unable to </w:t>
      </w:r>
      <w:r w:rsidR="00F46AE5" w:rsidRPr="002433F3">
        <w:rPr>
          <w:lang w:val="en-US"/>
        </w:rPr>
        <w:t xml:space="preserve">access the </w:t>
      </w:r>
      <w:r w:rsidRPr="002433F3">
        <w:rPr>
          <w:lang w:val="en-US"/>
        </w:rPr>
        <w:t xml:space="preserve">survivor’s pension. </w:t>
      </w:r>
      <w:r w:rsidR="0028126B" w:rsidRPr="002433F3">
        <w:rPr>
          <w:lang w:val="en-US"/>
        </w:rPr>
        <w:t>T</w:t>
      </w:r>
      <w:r w:rsidR="008434F0" w:rsidRPr="002433F3">
        <w:rPr>
          <w:lang w:val="en-US"/>
        </w:rPr>
        <w:t xml:space="preserve">hey </w:t>
      </w:r>
      <w:r w:rsidR="0028126B" w:rsidRPr="002433F3">
        <w:rPr>
          <w:lang w:val="en-US"/>
        </w:rPr>
        <w:t xml:space="preserve">also </w:t>
      </w:r>
      <w:r w:rsidR="008434F0" w:rsidRPr="002433F3">
        <w:rPr>
          <w:lang w:val="en-US"/>
        </w:rPr>
        <w:t>urged t</w:t>
      </w:r>
      <w:r w:rsidR="00C61C83" w:rsidRPr="002433F3">
        <w:rPr>
          <w:lang w:val="en-US"/>
        </w:rPr>
        <w:t>he State to</w:t>
      </w:r>
      <w:r w:rsidRPr="002433F3">
        <w:rPr>
          <w:lang w:val="en-US"/>
        </w:rPr>
        <w:t xml:space="preserve"> </w:t>
      </w:r>
      <w:r w:rsidR="00FA5871" w:rsidRPr="002433F3">
        <w:rPr>
          <w:lang w:val="en-US"/>
        </w:rPr>
        <w:t xml:space="preserve">order </w:t>
      </w:r>
      <w:r w:rsidRPr="002433F3">
        <w:rPr>
          <w:lang w:val="en-US"/>
        </w:rPr>
        <w:t xml:space="preserve">COLFONDOS </w:t>
      </w:r>
      <w:r w:rsidR="00FA5871" w:rsidRPr="002433F3">
        <w:rPr>
          <w:lang w:val="en-US"/>
        </w:rPr>
        <w:t xml:space="preserve">to </w:t>
      </w:r>
      <w:r w:rsidR="00AC71D9" w:rsidRPr="002433F3">
        <w:rPr>
          <w:lang w:val="en-US"/>
        </w:rPr>
        <w:t xml:space="preserve">process, </w:t>
      </w:r>
      <w:r w:rsidRPr="002433F3">
        <w:rPr>
          <w:lang w:val="en-US"/>
        </w:rPr>
        <w:t>within a period no</w:t>
      </w:r>
      <w:r w:rsidR="0028126B" w:rsidRPr="002433F3">
        <w:rPr>
          <w:lang w:val="en-US"/>
        </w:rPr>
        <w:t>t exceeding</w:t>
      </w:r>
      <w:r w:rsidRPr="002433F3">
        <w:rPr>
          <w:lang w:val="en-US"/>
        </w:rPr>
        <w:t xml:space="preserve"> four months, the survivor’s pension to which Ángel Alberto Duque is entitled and to begin to pay it monthly. </w:t>
      </w:r>
    </w:p>
    <w:p w14:paraId="61DCAE89" w14:textId="77777777" w:rsidR="007B0DE4" w:rsidRPr="002433F3" w:rsidRDefault="007B0DE4" w:rsidP="007B0DE4">
      <w:pPr>
        <w:numPr>
          <w:ilvl w:val="0"/>
          <w:numId w:val="2"/>
        </w:numPr>
        <w:spacing w:before="120" w:after="120"/>
        <w:rPr>
          <w:lang w:val="en-US"/>
        </w:rPr>
      </w:pPr>
      <w:r w:rsidRPr="002433F3">
        <w:rPr>
          <w:lang w:val="en-US"/>
        </w:rPr>
        <w:t xml:space="preserve">The </w:t>
      </w:r>
      <w:r w:rsidRPr="002433F3">
        <w:rPr>
          <w:i/>
          <w:lang w:val="en-US"/>
        </w:rPr>
        <w:t>State</w:t>
      </w:r>
      <w:r w:rsidRPr="002433F3">
        <w:rPr>
          <w:b/>
          <w:lang w:val="en-US"/>
        </w:rPr>
        <w:t xml:space="preserve"> </w:t>
      </w:r>
      <w:r w:rsidRPr="002433F3">
        <w:rPr>
          <w:lang w:val="en-US"/>
        </w:rPr>
        <w:t xml:space="preserve">considered that “the </w:t>
      </w:r>
      <w:r w:rsidR="00FA5871" w:rsidRPr="002433F3">
        <w:rPr>
          <w:lang w:val="en-US"/>
        </w:rPr>
        <w:t xml:space="preserve">pecuniary damage in this case is </w:t>
      </w:r>
      <w:r w:rsidRPr="002433F3">
        <w:rPr>
          <w:lang w:val="en-US"/>
        </w:rPr>
        <w:t xml:space="preserve">repaired </w:t>
      </w:r>
      <w:r w:rsidR="0028126B" w:rsidRPr="002433F3">
        <w:rPr>
          <w:lang w:val="en-US"/>
        </w:rPr>
        <w:t xml:space="preserve">through the </w:t>
      </w:r>
      <w:r w:rsidRPr="002433F3">
        <w:rPr>
          <w:lang w:val="en-US"/>
        </w:rPr>
        <w:t xml:space="preserve">granting </w:t>
      </w:r>
      <w:r w:rsidR="0028126B" w:rsidRPr="002433F3">
        <w:rPr>
          <w:lang w:val="en-US"/>
        </w:rPr>
        <w:t xml:space="preserve">of the </w:t>
      </w:r>
      <w:r w:rsidRPr="002433F3">
        <w:rPr>
          <w:lang w:val="en-US"/>
        </w:rPr>
        <w:t>survivor’s pension</w:t>
      </w:r>
      <w:r w:rsidR="00FA5871" w:rsidRPr="002433F3">
        <w:rPr>
          <w:lang w:val="en-US"/>
        </w:rPr>
        <w:t>.”</w:t>
      </w:r>
      <w:r w:rsidRPr="002433F3">
        <w:rPr>
          <w:lang w:val="en-US"/>
        </w:rPr>
        <w:t xml:space="preserve"> </w:t>
      </w:r>
      <w:r w:rsidR="00FA5871" w:rsidRPr="002433F3">
        <w:rPr>
          <w:lang w:val="en-US"/>
        </w:rPr>
        <w:t xml:space="preserve">It reiterated that the </w:t>
      </w:r>
      <w:r w:rsidRPr="002433F3">
        <w:rPr>
          <w:lang w:val="en-US"/>
        </w:rPr>
        <w:t xml:space="preserve">measure of reparation under </w:t>
      </w:r>
      <w:r w:rsidR="00FA5871" w:rsidRPr="002433F3">
        <w:rPr>
          <w:lang w:val="en-US"/>
        </w:rPr>
        <w:t xml:space="preserve">consideration could </w:t>
      </w:r>
      <w:r w:rsidRPr="002433F3">
        <w:rPr>
          <w:lang w:val="en-US"/>
        </w:rPr>
        <w:t xml:space="preserve">be </w:t>
      </w:r>
      <w:r w:rsidR="008434F0" w:rsidRPr="002433F3">
        <w:rPr>
          <w:lang w:val="en-US"/>
        </w:rPr>
        <w:t xml:space="preserve">implemented </w:t>
      </w:r>
      <w:r w:rsidRPr="002433F3">
        <w:rPr>
          <w:lang w:val="en-US"/>
        </w:rPr>
        <w:t xml:space="preserve">without the need for a Court order and that the State </w:t>
      </w:r>
      <w:r w:rsidR="00C318EE" w:rsidRPr="002433F3">
        <w:rPr>
          <w:lang w:val="en-US"/>
        </w:rPr>
        <w:t>and the private pension fund had</w:t>
      </w:r>
      <w:r w:rsidR="00FA5871" w:rsidRPr="002433F3">
        <w:rPr>
          <w:lang w:val="en-US"/>
        </w:rPr>
        <w:t xml:space="preserve"> informed the </w:t>
      </w:r>
      <w:r w:rsidRPr="002433F3">
        <w:rPr>
          <w:lang w:val="en-US"/>
        </w:rPr>
        <w:t xml:space="preserve">victim’s representatives of the possibility of submitting documents </w:t>
      </w:r>
      <w:r w:rsidR="0028126B" w:rsidRPr="002433F3">
        <w:rPr>
          <w:lang w:val="en-US"/>
        </w:rPr>
        <w:t xml:space="preserve">in order to </w:t>
      </w:r>
      <w:r w:rsidR="008434F0" w:rsidRPr="002433F3">
        <w:rPr>
          <w:lang w:val="en-US"/>
        </w:rPr>
        <w:t xml:space="preserve">begin the </w:t>
      </w:r>
      <w:r w:rsidRPr="002433F3">
        <w:rPr>
          <w:lang w:val="en-US"/>
        </w:rPr>
        <w:t xml:space="preserve">necessary </w:t>
      </w:r>
      <w:r w:rsidR="008434F0" w:rsidRPr="002433F3">
        <w:rPr>
          <w:lang w:val="en-US"/>
        </w:rPr>
        <w:t xml:space="preserve">procedures to </w:t>
      </w:r>
      <w:r w:rsidR="00A12912" w:rsidRPr="002433F3">
        <w:rPr>
          <w:lang w:val="en-US"/>
        </w:rPr>
        <w:t xml:space="preserve">claim </w:t>
      </w:r>
      <w:r w:rsidR="008434F0" w:rsidRPr="002433F3">
        <w:rPr>
          <w:lang w:val="en-US"/>
        </w:rPr>
        <w:t xml:space="preserve">his right to </w:t>
      </w:r>
      <w:r w:rsidR="00A12912" w:rsidRPr="002433F3">
        <w:rPr>
          <w:lang w:val="en-US"/>
        </w:rPr>
        <w:t xml:space="preserve">the </w:t>
      </w:r>
      <w:r w:rsidR="008434F0" w:rsidRPr="002433F3">
        <w:rPr>
          <w:lang w:val="en-US"/>
        </w:rPr>
        <w:t>pension in question</w:t>
      </w:r>
      <w:r w:rsidR="00FA5871" w:rsidRPr="002433F3">
        <w:rPr>
          <w:lang w:val="en-US"/>
        </w:rPr>
        <w:t xml:space="preserve">, </w:t>
      </w:r>
      <w:r w:rsidR="00CB0136" w:rsidRPr="002433F3">
        <w:rPr>
          <w:lang w:val="en-US"/>
        </w:rPr>
        <w:t xml:space="preserve">as long as </w:t>
      </w:r>
      <w:r w:rsidR="0028126B" w:rsidRPr="002433F3">
        <w:rPr>
          <w:lang w:val="en-US"/>
        </w:rPr>
        <w:t xml:space="preserve">he </w:t>
      </w:r>
      <w:r w:rsidR="00CB0136" w:rsidRPr="002433F3">
        <w:rPr>
          <w:lang w:val="en-US"/>
        </w:rPr>
        <w:t xml:space="preserve">met </w:t>
      </w:r>
      <w:r w:rsidR="008434F0" w:rsidRPr="002433F3">
        <w:rPr>
          <w:lang w:val="en-US"/>
        </w:rPr>
        <w:t xml:space="preserve">the </w:t>
      </w:r>
      <w:r w:rsidRPr="002433F3">
        <w:rPr>
          <w:lang w:val="en-US"/>
        </w:rPr>
        <w:t>general requirements for that</w:t>
      </w:r>
      <w:r w:rsidR="00A12912" w:rsidRPr="002433F3">
        <w:rPr>
          <w:lang w:val="en-US"/>
        </w:rPr>
        <w:t xml:space="preserve"> purpose.</w:t>
      </w:r>
      <w:r w:rsidRPr="002433F3">
        <w:rPr>
          <w:lang w:val="en-US"/>
        </w:rPr>
        <w:t xml:space="preserve"> </w:t>
      </w:r>
      <w:r w:rsidR="00DF3925" w:rsidRPr="002433F3">
        <w:rPr>
          <w:lang w:val="en-US"/>
        </w:rPr>
        <w:t xml:space="preserve">It added that because these </w:t>
      </w:r>
      <w:r w:rsidR="00CB0136" w:rsidRPr="002433F3">
        <w:rPr>
          <w:lang w:val="en-US"/>
        </w:rPr>
        <w:t xml:space="preserve">aspects </w:t>
      </w:r>
      <w:r w:rsidR="0028126B" w:rsidRPr="002433F3">
        <w:rPr>
          <w:lang w:val="en-US"/>
        </w:rPr>
        <w:t xml:space="preserve">relate to </w:t>
      </w:r>
      <w:r w:rsidR="00CB0136" w:rsidRPr="002433F3">
        <w:rPr>
          <w:lang w:val="en-US"/>
        </w:rPr>
        <w:t xml:space="preserve">personal matters of </w:t>
      </w:r>
      <w:r w:rsidRPr="002433F3">
        <w:rPr>
          <w:lang w:val="en-US"/>
        </w:rPr>
        <w:t xml:space="preserve">Mr. Ángel Alberto Duque, </w:t>
      </w:r>
      <w:r w:rsidR="00DF3925" w:rsidRPr="002433F3">
        <w:rPr>
          <w:lang w:val="en-US"/>
        </w:rPr>
        <w:t xml:space="preserve">they </w:t>
      </w:r>
      <w:r w:rsidRPr="002433F3">
        <w:rPr>
          <w:lang w:val="en-US"/>
        </w:rPr>
        <w:t xml:space="preserve">cannot be obtained </w:t>
      </w:r>
      <w:r w:rsidRPr="002433F3">
        <w:rPr>
          <w:i/>
          <w:lang w:val="en-US"/>
        </w:rPr>
        <w:t>ex officio</w:t>
      </w:r>
      <w:r w:rsidRPr="002433F3">
        <w:rPr>
          <w:lang w:val="en-US"/>
        </w:rPr>
        <w:t xml:space="preserve"> by private pension funds. </w:t>
      </w:r>
      <w:r w:rsidR="00AF5AF2" w:rsidRPr="002433F3">
        <w:rPr>
          <w:lang w:val="en-US"/>
        </w:rPr>
        <w:t>T</w:t>
      </w:r>
      <w:r w:rsidR="008434F0" w:rsidRPr="002433F3">
        <w:rPr>
          <w:lang w:val="en-US"/>
        </w:rPr>
        <w:t xml:space="preserve">he State </w:t>
      </w:r>
      <w:r w:rsidR="00AF5AF2" w:rsidRPr="002433F3">
        <w:rPr>
          <w:lang w:val="en-US"/>
        </w:rPr>
        <w:t xml:space="preserve">also </w:t>
      </w:r>
      <w:r w:rsidR="00CB0136" w:rsidRPr="002433F3">
        <w:rPr>
          <w:lang w:val="en-US"/>
        </w:rPr>
        <w:t xml:space="preserve">pointed out </w:t>
      </w:r>
      <w:r w:rsidR="008434F0" w:rsidRPr="002433F3">
        <w:rPr>
          <w:lang w:val="en-US"/>
        </w:rPr>
        <w:t xml:space="preserve">that the </w:t>
      </w:r>
      <w:r w:rsidRPr="002433F3">
        <w:rPr>
          <w:lang w:val="en-US"/>
        </w:rPr>
        <w:t>repre</w:t>
      </w:r>
      <w:r w:rsidR="00FA418D" w:rsidRPr="002433F3">
        <w:rPr>
          <w:lang w:val="en-US"/>
        </w:rPr>
        <w:t xml:space="preserve">sentatives </w:t>
      </w:r>
      <w:r w:rsidR="00AF5AF2" w:rsidRPr="002433F3">
        <w:rPr>
          <w:lang w:val="en-US"/>
        </w:rPr>
        <w:t xml:space="preserve">had not provided any </w:t>
      </w:r>
      <w:r w:rsidR="00F46AE5" w:rsidRPr="002433F3">
        <w:rPr>
          <w:lang w:val="en-US"/>
        </w:rPr>
        <w:t xml:space="preserve">evidence </w:t>
      </w:r>
      <w:r w:rsidR="00AF5AF2" w:rsidRPr="002433F3">
        <w:rPr>
          <w:lang w:val="en-US"/>
        </w:rPr>
        <w:t xml:space="preserve">to support the sum </w:t>
      </w:r>
      <w:r w:rsidR="00F46AE5" w:rsidRPr="002433F3">
        <w:rPr>
          <w:lang w:val="en-US"/>
        </w:rPr>
        <w:t xml:space="preserve">claimed </w:t>
      </w:r>
      <w:r w:rsidR="00FA418D" w:rsidRPr="002433F3">
        <w:rPr>
          <w:lang w:val="en-US"/>
        </w:rPr>
        <w:t>for pecuniary damage</w:t>
      </w:r>
      <w:r w:rsidR="00CB0136" w:rsidRPr="002433F3">
        <w:rPr>
          <w:lang w:val="en-US"/>
        </w:rPr>
        <w:t xml:space="preserve"> </w:t>
      </w:r>
      <w:r w:rsidR="003619BD" w:rsidRPr="002433F3">
        <w:rPr>
          <w:lang w:val="en-US"/>
        </w:rPr>
        <w:t xml:space="preserve">during the </w:t>
      </w:r>
      <w:r w:rsidR="00EE568C" w:rsidRPr="002433F3">
        <w:rPr>
          <w:lang w:val="en-US"/>
        </w:rPr>
        <w:t xml:space="preserve">international </w:t>
      </w:r>
      <w:r w:rsidRPr="002433F3">
        <w:rPr>
          <w:lang w:val="en-US"/>
        </w:rPr>
        <w:t>proceeding</w:t>
      </w:r>
      <w:r w:rsidR="00AF5AF2" w:rsidRPr="002433F3">
        <w:rPr>
          <w:lang w:val="en-US"/>
        </w:rPr>
        <w:t>s</w:t>
      </w:r>
      <w:r w:rsidR="00CF38CD" w:rsidRPr="002433F3">
        <w:rPr>
          <w:lang w:val="en-US"/>
        </w:rPr>
        <w:t xml:space="preserve"> </w:t>
      </w:r>
      <w:r w:rsidRPr="002433F3">
        <w:rPr>
          <w:lang w:val="en-US"/>
        </w:rPr>
        <w:t xml:space="preserve">and </w:t>
      </w:r>
      <w:r w:rsidR="00FA418D" w:rsidRPr="002433F3">
        <w:rPr>
          <w:lang w:val="en-US"/>
        </w:rPr>
        <w:t xml:space="preserve">noted </w:t>
      </w:r>
      <w:r w:rsidRPr="002433F3">
        <w:rPr>
          <w:lang w:val="en-US"/>
        </w:rPr>
        <w:t xml:space="preserve">that the expert opinion was not provided as an annex. </w:t>
      </w:r>
    </w:p>
    <w:p w14:paraId="6A20A804" w14:textId="77777777" w:rsidR="007B0DE4" w:rsidRPr="002433F3" w:rsidRDefault="007B0DE4" w:rsidP="007B0DE4">
      <w:pPr>
        <w:numPr>
          <w:ilvl w:val="0"/>
          <w:numId w:val="2"/>
        </w:numPr>
        <w:spacing w:before="120" w:after="120"/>
        <w:rPr>
          <w:lang w:val="en-US"/>
        </w:rPr>
      </w:pPr>
      <w:r w:rsidRPr="002433F3">
        <w:rPr>
          <w:lang w:val="en-US"/>
        </w:rPr>
        <w:t xml:space="preserve">The </w:t>
      </w:r>
      <w:r w:rsidRPr="002433F3">
        <w:rPr>
          <w:i/>
          <w:lang w:val="en-US"/>
        </w:rPr>
        <w:t>Commission</w:t>
      </w:r>
      <w:r w:rsidRPr="002433F3">
        <w:rPr>
          <w:b/>
          <w:lang w:val="en-US"/>
        </w:rPr>
        <w:t xml:space="preserve"> </w:t>
      </w:r>
      <w:r w:rsidRPr="002433F3">
        <w:rPr>
          <w:lang w:val="en-US"/>
        </w:rPr>
        <w:t xml:space="preserve">referred to pecuniary and non-pecuniary damage </w:t>
      </w:r>
      <w:r w:rsidR="00A12912" w:rsidRPr="002433F3">
        <w:rPr>
          <w:lang w:val="en-US"/>
        </w:rPr>
        <w:t>jointly</w:t>
      </w:r>
      <w:r w:rsidRPr="002433F3">
        <w:rPr>
          <w:lang w:val="en-US"/>
        </w:rPr>
        <w:t xml:space="preserve">. It requested that </w:t>
      </w:r>
      <w:r w:rsidR="00A12912" w:rsidRPr="002433F3">
        <w:rPr>
          <w:lang w:val="en-US"/>
        </w:rPr>
        <w:t>the State provide adequate repa</w:t>
      </w:r>
      <w:r w:rsidRPr="002433F3">
        <w:rPr>
          <w:lang w:val="en-US"/>
        </w:rPr>
        <w:t>r</w:t>
      </w:r>
      <w:r w:rsidR="00A12912" w:rsidRPr="002433F3">
        <w:rPr>
          <w:lang w:val="en-US"/>
        </w:rPr>
        <w:t>ation to</w:t>
      </w:r>
      <w:r w:rsidRPr="002433F3">
        <w:rPr>
          <w:lang w:val="en-US"/>
        </w:rPr>
        <w:t xml:space="preserve"> Mr. Duque for the alleged violations, </w:t>
      </w:r>
      <w:r w:rsidR="00F46AE5" w:rsidRPr="002433F3">
        <w:rPr>
          <w:lang w:val="en-US"/>
        </w:rPr>
        <w:t xml:space="preserve">including </w:t>
      </w:r>
      <w:r w:rsidRPr="002433F3">
        <w:rPr>
          <w:lang w:val="en-US"/>
        </w:rPr>
        <w:t>pecuniary and non-pecuniary damage</w:t>
      </w:r>
      <w:r w:rsidR="00F46AE5" w:rsidRPr="002433F3">
        <w:rPr>
          <w:lang w:val="en-US"/>
        </w:rPr>
        <w:t>,</w:t>
      </w:r>
      <w:r w:rsidRPr="002433F3">
        <w:rPr>
          <w:lang w:val="en-US"/>
        </w:rPr>
        <w:t xml:space="preserve"> </w:t>
      </w:r>
      <w:r w:rsidR="00F46AE5" w:rsidRPr="002433F3">
        <w:rPr>
          <w:lang w:val="en-US"/>
        </w:rPr>
        <w:t xml:space="preserve">by </w:t>
      </w:r>
      <w:r w:rsidR="00A12912" w:rsidRPr="002433F3">
        <w:rPr>
          <w:lang w:val="en-US"/>
        </w:rPr>
        <w:t>a</w:t>
      </w:r>
      <w:r w:rsidR="00F46AE5" w:rsidRPr="002433F3">
        <w:rPr>
          <w:lang w:val="en-US"/>
        </w:rPr>
        <w:t>t least</w:t>
      </w:r>
      <w:r w:rsidR="00AF5AF2" w:rsidRPr="002433F3">
        <w:rPr>
          <w:lang w:val="en-US"/>
        </w:rPr>
        <w:t xml:space="preserve"> </w:t>
      </w:r>
      <w:r w:rsidRPr="002433F3">
        <w:rPr>
          <w:lang w:val="en-US"/>
        </w:rPr>
        <w:t xml:space="preserve">granting </w:t>
      </w:r>
      <w:r w:rsidR="00F46AE5" w:rsidRPr="002433F3">
        <w:rPr>
          <w:lang w:val="en-US"/>
        </w:rPr>
        <w:t xml:space="preserve">him a </w:t>
      </w:r>
      <w:r w:rsidR="00A12912" w:rsidRPr="002433F3">
        <w:rPr>
          <w:lang w:val="en-US"/>
        </w:rPr>
        <w:t>survivor’s pension and just</w:t>
      </w:r>
      <w:r w:rsidRPr="002433F3">
        <w:rPr>
          <w:lang w:val="en-US"/>
        </w:rPr>
        <w:t xml:space="preserve"> compensation. </w:t>
      </w:r>
      <w:r w:rsidR="00F46AE5" w:rsidRPr="002433F3">
        <w:rPr>
          <w:lang w:val="en-US"/>
        </w:rPr>
        <w:t>I</w:t>
      </w:r>
      <w:r w:rsidR="00A12912" w:rsidRPr="002433F3">
        <w:rPr>
          <w:lang w:val="en-US"/>
        </w:rPr>
        <w:t xml:space="preserve">t </w:t>
      </w:r>
      <w:r w:rsidR="00F46AE5" w:rsidRPr="002433F3">
        <w:rPr>
          <w:lang w:val="en-US"/>
        </w:rPr>
        <w:t xml:space="preserve">also </w:t>
      </w:r>
      <w:r w:rsidR="00AF5AF2" w:rsidRPr="002433F3">
        <w:rPr>
          <w:lang w:val="en-US"/>
        </w:rPr>
        <w:t xml:space="preserve">asked </w:t>
      </w:r>
      <w:r w:rsidR="00C61C83" w:rsidRPr="002433F3">
        <w:rPr>
          <w:lang w:val="en-US"/>
        </w:rPr>
        <w:t xml:space="preserve">the State </w:t>
      </w:r>
      <w:r w:rsidR="00A12912" w:rsidRPr="002433F3">
        <w:rPr>
          <w:lang w:val="en-US"/>
        </w:rPr>
        <w:t xml:space="preserve">to </w:t>
      </w:r>
      <w:r w:rsidR="00DC7C64" w:rsidRPr="002433F3">
        <w:rPr>
          <w:lang w:val="en-US"/>
        </w:rPr>
        <w:t xml:space="preserve">provide Mr. Duque with </w:t>
      </w:r>
      <w:r w:rsidR="00AF5AF2" w:rsidRPr="002433F3">
        <w:rPr>
          <w:lang w:val="en-US"/>
        </w:rPr>
        <w:t xml:space="preserve">continuous </w:t>
      </w:r>
      <w:r w:rsidRPr="002433F3">
        <w:rPr>
          <w:lang w:val="en-US"/>
        </w:rPr>
        <w:t xml:space="preserve">access to </w:t>
      </w:r>
      <w:r w:rsidR="00A12912" w:rsidRPr="002433F3">
        <w:rPr>
          <w:lang w:val="en-US"/>
        </w:rPr>
        <w:t xml:space="preserve">the </w:t>
      </w:r>
      <w:r w:rsidRPr="002433F3">
        <w:rPr>
          <w:lang w:val="en-US"/>
        </w:rPr>
        <w:t xml:space="preserve">health services and treatment </w:t>
      </w:r>
      <w:r w:rsidR="00A12912" w:rsidRPr="002433F3">
        <w:rPr>
          <w:lang w:val="en-US"/>
        </w:rPr>
        <w:t>he requires</w:t>
      </w:r>
      <w:r w:rsidRPr="002433F3">
        <w:rPr>
          <w:lang w:val="en-US"/>
        </w:rPr>
        <w:t xml:space="preserve"> as a person living with HIV. </w:t>
      </w:r>
    </w:p>
    <w:p w14:paraId="01DA9107" w14:textId="77777777" w:rsidR="007B0DE4" w:rsidRPr="002433F3" w:rsidRDefault="007B0DE4" w:rsidP="007B0DE4">
      <w:pPr>
        <w:numPr>
          <w:ilvl w:val="0"/>
          <w:numId w:val="2"/>
        </w:numPr>
        <w:spacing w:before="120" w:after="120"/>
        <w:rPr>
          <w:lang w:val="en-US"/>
        </w:rPr>
      </w:pPr>
      <w:r w:rsidRPr="002433F3">
        <w:rPr>
          <w:lang w:val="en-US"/>
        </w:rPr>
        <w:t>In its case law, the Court has developed the concept of pecuniary</w:t>
      </w:r>
      <w:r w:rsidR="00DC7C64" w:rsidRPr="002433F3">
        <w:rPr>
          <w:lang w:val="en-US"/>
        </w:rPr>
        <w:t xml:space="preserve"> damage and has established the </w:t>
      </w:r>
      <w:r w:rsidRPr="002433F3">
        <w:rPr>
          <w:lang w:val="en-US"/>
        </w:rPr>
        <w:t>situations in which compensation must be provided.</w:t>
      </w:r>
      <w:r w:rsidRPr="002433F3">
        <w:rPr>
          <w:rStyle w:val="Refdenotaalpie"/>
          <w:lang w:val="en-US"/>
        </w:rPr>
        <w:footnoteReference w:id="172"/>
      </w:r>
      <w:r w:rsidRPr="002433F3">
        <w:rPr>
          <w:lang w:val="en-US"/>
        </w:rPr>
        <w:t xml:space="preserve"> </w:t>
      </w:r>
      <w:r w:rsidR="006E7A00" w:rsidRPr="002433F3">
        <w:rPr>
          <w:bCs/>
          <w:lang w:val="en-US"/>
        </w:rPr>
        <w:t>This</w:t>
      </w:r>
      <w:r w:rsidRPr="002433F3">
        <w:rPr>
          <w:bCs/>
          <w:lang w:val="en-US"/>
        </w:rPr>
        <w:t xml:space="preserve"> Court has </w:t>
      </w:r>
      <w:r w:rsidRPr="002433F3">
        <w:rPr>
          <w:bCs/>
          <w:lang w:val="en-US"/>
        </w:rPr>
        <w:lastRenderedPageBreak/>
        <w:t xml:space="preserve">determined that pecuniary damage involves “the loss of or detriment to the victims’ income, the expenses incurred as a result of the facts </w:t>
      </w:r>
      <w:r w:rsidRPr="002433F3">
        <w:rPr>
          <w:lang w:val="en-US"/>
        </w:rPr>
        <w:t>and the consequences of a pecuniary nature that have</w:t>
      </w:r>
      <w:r w:rsidRPr="002433F3">
        <w:rPr>
          <w:bCs/>
          <w:lang w:val="en-US"/>
        </w:rPr>
        <w:t xml:space="preserve"> a casual nexus with the facts of the case</w:t>
      </w:r>
      <w:r w:rsidRPr="002433F3">
        <w:rPr>
          <w:lang w:val="en-US"/>
        </w:rPr>
        <w:t>.”</w:t>
      </w:r>
      <w:r w:rsidRPr="002433F3">
        <w:rPr>
          <w:rStyle w:val="Refdenotaalpie"/>
          <w:lang w:val="en-US"/>
        </w:rPr>
        <w:footnoteReference w:id="173"/>
      </w:r>
    </w:p>
    <w:p w14:paraId="38FA586A" w14:textId="77777777" w:rsidR="007B0DE4" w:rsidRPr="002433F3" w:rsidRDefault="007B0DE4" w:rsidP="007B0DE4">
      <w:pPr>
        <w:pStyle w:val="PrrafodeSentencia0"/>
        <w:rPr>
          <w:noProof w:val="0"/>
          <w:lang w:val="en-US"/>
        </w:rPr>
      </w:pPr>
      <w:r w:rsidRPr="002433F3">
        <w:rPr>
          <w:noProof w:val="0"/>
          <w:lang w:val="en-US"/>
        </w:rPr>
        <w:t xml:space="preserve">In the </w:t>
      </w:r>
      <w:r w:rsidR="00B02AD1" w:rsidRPr="002433F3">
        <w:rPr>
          <w:noProof w:val="0"/>
          <w:lang w:val="en-US"/>
        </w:rPr>
        <w:t xml:space="preserve">instant </w:t>
      </w:r>
      <w:r w:rsidRPr="002433F3">
        <w:rPr>
          <w:noProof w:val="0"/>
          <w:lang w:val="en-US"/>
        </w:rPr>
        <w:t>case, the Court has found</w:t>
      </w:r>
      <w:r w:rsidR="00DC7C64" w:rsidRPr="002433F3">
        <w:rPr>
          <w:noProof w:val="0"/>
          <w:lang w:val="en-US"/>
        </w:rPr>
        <w:t xml:space="preserve"> the State responsible for the </w:t>
      </w:r>
      <w:r w:rsidRPr="002433F3">
        <w:rPr>
          <w:noProof w:val="0"/>
          <w:lang w:val="en-US"/>
        </w:rPr>
        <w:t>violation of the right to equality before the law</w:t>
      </w:r>
      <w:r w:rsidR="00DC7C64" w:rsidRPr="002433F3">
        <w:rPr>
          <w:noProof w:val="0"/>
          <w:lang w:val="en-US"/>
        </w:rPr>
        <w:t xml:space="preserve">, </w:t>
      </w:r>
      <w:r w:rsidR="00B02AD1" w:rsidRPr="002433F3">
        <w:rPr>
          <w:noProof w:val="0"/>
          <w:lang w:val="en-US"/>
        </w:rPr>
        <w:t xml:space="preserve">arising from </w:t>
      </w:r>
      <w:r w:rsidR="00DC7C64" w:rsidRPr="002433F3">
        <w:rPr>
          <w:noProof w:val="0"/>
          <w:lang w:val="en-US"/>
        </w:rPr>
        <w:t xml:space="preserve">the application of </w:t>
      </w:r>
      <w:r w:rsidRPr="002433F3">
        <w:rPr>
          <w:noProof w:val="0"/>
          <w:lang w:val="en-US"/>
        </w:rPr>
        <w:t>a discriminatory r</w:t>
      </w:r>
      <w:r w:rsidR="00DC7C64" w:rsidRPr="002433F3">
        <w:rPr>
          <w:noProof w:val="0"/>
          <w:lang w:val="en-US"/>
        </w:rPr>
        <w:t xml:space="preserve">egulation against </w:t>
      </w:r>
      <w:r w:rsidRPr="002433F3">
        <w:rPr>
          <w:noProof w:val="0"/>
          <w:lang w:val="en-US"/>
        </w:rPr>
        <w:t>Mr. Duque (</w:t>
      </w:r>
      <w:r w:rsidRPr="002433F3">
        <w:rPr>
          <w:i/>
          <w:noProof w:val="0"/>
          <w:lang w:val="en-US"/>
        </w:rPr>
        <w:t>supra</w:t>
      </w:r>
      <w:r w:rsidRPr="002433F3">
        <w:rPr>
          <w:noProof w:val="0"/>
          <w:lang w:val="en-US"/>
        </w:rPr>
        <w:t xml:space="preserve"> para. 138). Accordingly, the Court concluded that Mr. Duque did not have </w:t>
      </w:r>
      <w:r w:rsidR="00B02AD1" w:rsidRPr="002433F3">
        <w:rPr>
          <w:noProof w:val="0"/>
          <w:lang w:val="en-US"/>
        </w:rPr>
        <w:t xml:space="preserve">the possibility of claiming </w:t>
      </w:r>
      <w:r w:rsidRPr="002433F3">
        <w:rPr>
          <w:noProof w:val="0"/>
          <w:lang w:val="en-US"/>
        </w:rPr>
        <w:t>a surviv</w:t>
      </w:r>
      <w:r w:rsidR="00B02AD1" w:rsidRPr="002433F3">
        <w:rPr>
          <w:noProof w:val="0"/>
          <w:lang w:val="en-US"/>
        </w:rPr>
        <w:t>or’s pension in conditions of equality and non-discrimination.</w:t>
      </w:r>
      <w:r w:rsidRPr="002433F3">
        <w:rPr>
          <w:noProof w:val="0"/>
          <w:lang w:val="en-US"/>
        </w:rPr>
        <w:t xml:space="preserve"> </w:t>
      </w:r>
      <w:r w:rsidR="00B02AD1" w:rsidRPr="002433F3">
        <w:rPr>
          <w:noProof w:val="0"/>
          <w:lang w:val="en-US"/>
        </w:rPr>
        <w:t xml:space="preserve">However, </w:t>
      </w:r>
      <w:r w:rsidR="003619BD" w:rsidRPr="002433F3">
        <w:rPr>
          <w:noProof w:val="0"/>
          <w:lang w:val="en-US"/>
        </w:rPr>
        <w:t xml:space="preserve">the </w:t>
      </w:r>
      <w:r w:rsidRPr="002433F3">
        <w:rPr>
          <w:noProof w:val="0"/>
          <w:lang w:val="en-US"/>
        </w:rPr>
        <w:t>repre</w:t>
      </w:r>
      <w:r w:rsidR="006E7A00" w:rsidRPr="002433F3">
        <w:rPr>
          <w:noProof w:val="0"/>
          <w:lang w:val="en-US"/>
        </w:rPr>
        <w:t>sentatives have not proved</w:t>
      </w:r>
      <w:r w:rsidR="000A7A70" w:rsidRPr="002433F3">
        <w:rPr>
          <w:noProof w:val="0"/>
          <w:lang w:val="en-US"/>
        </w:rPr>
        <w:t xml:space="preserve"> the </w:t>
      </w:r>
      <w:r w:rsidRPr="002433F3">
        <w:rPr>
          <w:noProof w:val="0"/>
          <w:lang w:val="en-US"/>
        </w:rPr>
        <w:t xml:space="preserve">existence of </w:t>
      </w:r>
      <w:r w:rsidR="00EE568C" w:rsidRPr="002433F3">
        <w:rPr>
          <w:noProof w:val="0"/>
          <w:lang w:val="en-US"/>
        </w:rPr>
        <w:t xml:space="preserve">consequential damages </w:t>
      </w:r>
      <w:r w:rsidRPr="002433F3">
        <w:rPr>
          <w:noProof w:val="0"/>
          <w:lang w:val="en-US"/>
        </w:rPr>
        <w:t xml:space="preserve">in this case. Consequently, </w:t>
      </w:r>
      <w:r w:rsidR="00921D68" w:rsidRPr="002433F3">
        <w:rPr>
          <w:noProof w:val="0"/>
          <w:lang w:val="en-US"/>
        </w:rPr>
        <w:t xml:space="preserve">it is not appropriate to </w:t>
      </w:r>
      <w:r w:rsidRPr="002433F3">
        <w:rPr>
          <w:noProof w:val="0"/>
          <w:lang w:val="en-US"/>
        </w:rPr>
        <w:t xml:space="preserve">grant this measure of reparation </w:t>
      </w:r>
      <w:r w:rsidR="00C61C83" w:rsidRPr="002433F3">
        <w:rPr>
          <w:noProof w:val="0"/>
          <w:lang w:val="en-US"/>
        </w:rPr>
        <w:t>since it concerns damage of an uncertain or potential nature</w:t>
      </w:r>
      <w:r w:rsidR="00B02AD1" w:rsidRPr="002433F3">
        <w:rPr>
          <w:noProof w:val="0"/>
          <w:lang w:val="en-US"/>
        </w:rPr>
        <w:t>;</w:t>
      </w:r>
      <w:r w:rsidR="00C318EE" w:rsidRPr="002433F3">
        <w:rPr>
          <w:noProof w:val="0"/>
          <w:lang w:val="en-US"/>
        </w:rPr>
        <w:t xml:space="preserve"> </w:t>
      </w:r>
      <w:r w:rsidR="00A001FB" w:rsidRPr="002433F3">
        <w:rPr>
          <w:noProof w:val="0"/>
          <w:lang w:val="en-US"/>
        </w:rPr>
        <w:t xml:space="preserve">also, </w:t>
      </w:r>
      <w:r w:rsidR="00817300" w:rsidRPr="002433F3">
        <w:rPr>
          <w:noProof w:val="0"/>
          <w:lang w:val="en-US"/>
        </w:rPr>
        <w:t xml:space="preserve">any </w:t>
      </w:r>
      <w:r w:rsidR="00EE568C" w:rsidRPr="002433F3">
        <w:rPr>
          <w:noProof w:val="0"/>
          <w:lang w:val="en-US"/>
        </w:rPr>
        <w:t xml:space="preserve">loss of income </w:t>
      </w:r>
      <w:r w:rsidRPr="002433F3">
        <w:rPr>
          <w:noProof w:val="0"/>
          <w:lang w:val="en-US"/>
        </w:rPr>
        <w:t xml:space="preserve">that </w:t>
      </w:r>
      <w:r w:rsidR="000A7A70" w:rsidRPr="002433F3">
        <w:rPr>
          <w:noProof w:val="0"/>
          <w:lang w:val="en-US"/>
        </w:rPr>
        <w:t xml:space="preserve">could be </w:t>
      </w:r>
      <w:r w:rsidRPr="002433F3">
        <w:rPr>
          <w:noProof w:val="0"/>
          <w:lang w:val="en-US"/>
        </w:rPr>
        <w:t xml:space="preserve">declared at the domestic level, </w:t>
      </w:r>
      <w:r w:rsidR="00C318EE" w:rsidRPr="002433F3">
        <w:rPr>
          <w:noProof w:val="0"/>
          <w:lang w:val="en-US"/>
        </w:rPr>
        <w:t xml:space="preserve">would be compensated </w:t>
      </w:r>
      <w:r w:rsidR="006D311E" w:rsidRPr="002433F3">
        <w:rPr>
          <w:noProof w:val="0"/>
          <w:lang w:val="en-US"/>
        </w:rPr>
        <w:t xml:space="preserve">through </w:t>
      </w:r>
      <w:r w:rsidR="00817300" w:rsidRPr="002433F3">
        <w:rPr>
          <w:noProof w:val="0"/>
          <w:lang w:val="en-US"/>
        </w:rPr>
        <w:t xml:space="preserve">the </w:t>
      </w:r>
      <w:r w:rsidRPr="002433F3">
        <w:rPr>
          <w:noProof w:val="0"/>
          <w:lang w:val="en-US"/>
        </w:rPr>
        <w:t xml:space="preserve">retroactive </w:t>
      </w:r>
      <w:r w:rsidR="00C61C83" w:rsidRPr="002433F3">
        <w:rPr>
          <w:noProof w:val="0"/>
          <w:lang w:val="en-US"/>
        </w:rPr>
        <w:t xml:space="preserve">recognition </w:t>
      </w:r>
      <w:r w:rsidRPr="002433F3">
        <w:rPr>
          <w:noProof w:val="0"/>
          <w:lang w:val="en-US"/>
        </w:rPr>
        <w:t>of the pension.</w:t>
      </w:r>
    </w:p>
    <w:p w14:paraId="771EAE0D" w14:textId="77777777" w:rsidR="007B0DE4" w:rsidRPr="002433F3" w:rsidRDefault="007B0DE4" w:rsidP="007B0DE4">
      <w:pPr>
        <w:pStyle w:val="Ttulo3"/>
        <w:spacing w:before="280" w:after="280"/>
        <w:ind w:left="1066"/>
        <w:rPr>
          <w:noProof w:val="0"/>
          <w:lang w:val="en-US"/>
        </w:rPr>
      </w:pPr>
      <w:bookmarkStart w:id="148" w:name="_Toc448482287"/>
      <w:r w:rsidRPr="002433F3">
        <w:rPr>
          <w:noProof w:val="0"/>
          <w:lang w:val="en-US"/>
        </w:rPr>
        <w:t xml:space="preserve">F.2. </w:t>
      </w:r>
      <w:r w:rsidRPr="002433F3">
        <w:rPr>
          <w:noProof w:val="0"/>
          <w:lang w:val="en-US" w:eastAsia="es-ES"/>
        </w:rPr>
        <w:t>Non-pecuniary damage</w:t>
      </w:r>
      <w:bookmarkEnd w:id="148"/>
    </w:p>
    <w:p w14:paraId="6F082DDE" w14:textId="77777777" w:rsidR="007B0DE4" w:rsidRPr="002433F3" w:rsidRDefault="007B0DE4" w:rsidP="007B0DE4">
      <w:pPr>
        <w:numPr>
          <w:ilvl w:val="0"/>
          <w:numId w:val="2"/>
        </w:numPr>
        <w:spacing w:before="120" w:after="120"/>
        <w:rPr>
          <w:lang w:val="en-US"/>
        </w:rPr>
      </w:pPr>
      <w:r w:rsidRPr="002433F3">
        <w:rPr>
          <w:lang w:val="en-US"/>
        </w:rPr>
        <w:t>In relatio</w:t>
      </w:r>
      <w:r w:rsidR="00900EB0" w:rsidRPr="002433F3">
        <w:rPr>
          <w:lang w:val="en-US"/>
        </w:rPr>
        <w:t xml:space="preserve">n to non-pecuniary damage, the </w:t>
      </w:r>
      <w:r w:rsidRPr="002433F3">
        <w:rPr>
          <w:i/>
          <w:lang w:val="en-US"/>
        </w:rPr>
        <w:t>representatives</w:t>
      </w:r>
      <w:r w:rsidRPr="002433F3">
        <w:rPr>
          <w:lang w:val="en-US"/>
        </w:rPr>
        <w:t xml:space="preserve"> asked the Court to award </w:t>
      </w:r>
      <w:r w:rsidR="00BA1A85" w:rsidRPr="002433F3">
        <w:rPr>
          <w:lang w:val="en-US"/>
        </w:rPr>
        <w:t xml:space="preserve">Mr. Duque </w:t>
      </w:r>
      <w:r w:rsidRPr="002433F3">
        <w:rPr>
          <w:lang w:val="en-US"/>
        </w:rPr>
        <w:t xml:space="preserve">the sum of USD 80,000, </w:t>
      </w:r>
      <w:r w:rsidR="006D311E" w:rsidRPr="002433F3">
        <w:rPr>
          <w:lang w:val="en-US"/>
        </w:rPr>
        <w:t xml:space="preserve">by virtue of </w:t>
      </w:r>
      <w:r w:rsidR="00397FAF" w:rsidRPr="002433F3">
        <w:rPr>
          <w:lang w:val="en-US"/>
        </w:rPr>
        <w:t xml:space="preserve">being subjected to a </w:t>
      </w:r>
      <w:r w:rsidR="00CD4CB9" w:rsidRPr="002433F3">
        <w:rPr>
          <w:lang w:val="en-US"/>
        </w:rPr>
        <w:t xml:space="preserve">situation </w:t>
      </w:r>
      <w:r w:rsidR="00397FAF" w:rsidRPr="002433F3">
        <w:rPr>
          <w:lang w:val="en-US"/>
        </w:rPr>
        <w:t xml:space="preserve">that </w:t>
      </w:r>
      <w:r w:rsidR="00CD4CB9" w:rsidRPr="002433F3">
        <w:rPr>
          <w:lang w:val="en-US"/>
        </w:rPr>
        <w:t xml:space="preserve">adversely affected </w:t>
      </w:r>
      <w:r w:rsidRPr="002433F3">
        <w:rPr>
          <w:lang w:val="en-US"/>
        </w:rPr>
        <w:t xml:space="preserve">his life and personal integrity, </w:t>
      </w:r>
      <w:r w:rsidR="006D311E" w:rsidRPr="002433F3">
        <w:rPr>
          <w:lang w:val="en-US"/>
        </w:rPr>
        <w:t>namely</w:t>
      </w:r>
      <w:r w:rsidRPr="002433F3">
        <w:rPr>
          <w:lang w:val="en-US"/>
        </w:rPr>
        <w:t xml:space="preserve">: (i) discriminatory treatment </w:t>
      </w:r>
      <w:r w:rsidR="00DC5496" w:rsidRPr="002433F3">
        <w:rPr>
          <w:lang w:val="en-US"/>
        </w:rPr>
        <w:t xml:space="preserve">through a </w:t>
      </w:r>
      <w:r w:rsidRPr="002433F3">
        <w:rPr>
          <w:lang w:val="en-US"/>
        </w:rPr>
        <w:t xml:space="preserve">refusal to grant him a survivor’s pension because of his sexual orientation; and (ii) the deep anguish of </w:t>
      </w:r>
      <w:r w:rsidR="00BA1A85" w:rsidRPr="002433F3">
        <w:rPr>
          <w:lang w:val="en-US"/>
        </w:rPr>
        <w:t xml:space="preserve">wondering if he could continue </w:t>
      </w:r>
      <w:r w:rsidRPr="002433F3">
        <w:rPr>
          <w:lang w:val="en-US"/>
        </w:rPr>
        <w:t xml:space="preserve">living because he lacked the financial </w:t>
      </w:r>
      <w:r w:rsidR="00397FAF" w:rsidRPr="002433F3">
        <w:rPr>
          <w:lang w:val="en-US"/>
        </w:rPr>
        <w:t xml:space="preserve">means </w:t>
      </w:r>
      <w:r w:rsidRPr="002433F3">
        <w:rPr>
          <w:lang w:val="en-US"/>
        </w:rPr>
        <w:t xml:space="preserve">to ensure the continuity of his medical treatment for his </w:t>
      </w:r>
      <w:r w:rsidR="008828CD" w:rsidRPr="002433F3">
        <w:rPr>
          <w:lang w:val="en-US"/>
        </w:rPr>
        <w:t xml:space="preserve">HIV </w:t>
      </w:r>
      <w:r w:rsidRPr="002433F3">
        <w:rPr>
          <w:lang w:val="en-US"/>
        </w:rPr>
        <w:t>condition</w:t>
      </w:r>
      <w:r w:rsidR="002020CD" w:rsidRPr="002433F3">
        <w:rPr>
          <w:lang w:val="en-US"/>
        </w:rPr>
        <w:t xml:space="preserve">. They pointed out </w:t>
      </w:r>
      <w:r w:rsidRPr="002433F3">
        <w:rPr>
          <w:lang w:val="en-US"/>
        </w:rPr>
        <w:t>that “both circumstances […], caused deep affliction and a feeling of dejection in Ángel Alberto Duque</w:t>
      </w:r>
      <w:r w:rsidR="00397FAF" w:rsidRPr="002433F3">
        <w:rPr>
          <w:lang w:val="en-US"/>
        </w:rPr>
        <w:t>.”</w:t>
      </w:r>
      <w:r w:rsidRPr="002433F3">
        <w:rPr>
          <w:lang w:val="en-US"/>
        </w:rPr>
        <w:t xml:space="preserve"> </w:t>
      </w:r>
    </w:p>
    <w:p w14:paraId="27D49550" w14:textId="77777777" w:rsidR="007B0DE4" w:rsidRPr="002433F3" w:rsidRDefault="007B0DE4" w:rsidP="007B0DE4">
      <w:pPr>
        <w:numPr>
          <w:ilvl w:val="0"/>
          <w:numId w:val="2"/>
        </w:numPr>
        <w:spacing w:before="120" w:after="120"/>
        <w:rPr>
          <w:lang w:val="en-US"/>
        </w:rPr>
      </w:pPr>
      <w:r w:rsidRPr="002433F3">
        <w:rPr>
          <w:lang w:val="en-US"/>
        </w:rPr>
        <w:t xml:space="preserve">The </w:t>
      </w:r>
      <w:r w:rsidRPr="002433F3">
        <w:rPr>
          <w:i/>
          <w:lang w:val="en-US"/>
        </w:rPr>
        <w:t>State</w:t>
      </w:r>
      <w:r w:rsidRPr="002433F3">
        <w:rPr>
          <w:b/>
          <w:lang w:val="en-US"/>
        </w:rPr>
        <w:t xml:space="preserve"> </w:t>
      </w:r>
      <w:r w:rsidR="00397FAF" w:rsidRPr="002433F3">
        <w:rPr>
          <w:lang w:val="en-US"/>
        </w:rPr>
        <w:t>argued</w:t>
      </w:r>
      <w:r w:rsidRPr="002433F3">
        <w:rPr>
          <w:lang w:val="en-US"/>
        </w:rPr>
        <w:t xml:space="preserve"> that the re</w:t>
      </w:r>
      <w:r w:rsidR="002020CD" w:rsidRPr="002433F3">
        <w:rPr>
          <w:lang w:val="en-US"/>
        </w:rPr>
        <w:t xml:space="preserve">presentatives </w:t>
      </w:r>
      <w:r w:rsidR="00397FAF" w:rsidRPr="002433F3">
        <w:rPr>
          <w:lang w:val="en-US"/>
        </w:rPr>
        <w:t xml:space="preserve">were claiming </w:t>
      </w:r>
      <w:r w:rsidR="0065509F" w:rsidRPr="002433F3">
        <w:rPr>
          <w:lang w:val="en-US"/>
        </w:rPr>
        <w:t xml:space="preserve">that Mr. Duque’s </w:t>
      </w:r>
      <w:r w:rsidR="00397FAF" w:rsidRPr="002433F3">
        <w:rPr>
          <w:lang w:val="en-US"/>
        </w:rPr>
        <w:t xml:space="preserve">alleged </w:t>
      </w:r>
      <w:r w:rsidRPr="002433F3">
        <w:rPr>
          <w:lang w:val="en-US"/>
        </w:rPr>
        <w:t>af</w:t>
      </w:r>
      <w:r w:rsidR="002020CD" w:rsidRPr="002433F3">
        <w:rPr>
          <w:lang w:val="en-US"/>
        </w:rPr>
        <w:t>f</w:t>
      </w:r>
      <w:r w:rsidRPr="002433F3">
        <w:rPr>
          <w:lang w:val="en-US"/>
        </w:rPr>
        <w:t>lictio</w:t>
      </w:r>
      <w:r w:rsidR="003619BD" w:rsidRPr="002433F3">
        <w:rPr>
          <w:lang w:val="en-US"/>
        </w:rPr>
        <w:t xml:space="preserve">n </w:t>
      </w:r>
      <w:r w:rsidR="0065509F" w:rsidRPr="002433F3">
        <w:rPr>
          <w:lang w:val="en-US"/>
        </w:rPr>
        <w:t>was supposedly caused by his</w:t>
      </w:r>
      <w:r w:rsidR="003619BD" w:rsidRPr="002433F3">
        <w:rPr>
          <w:lang w:val="en-US"/>
        </w:rPr>
        <w:t xml:space="preserve"> </w:t>
      </w:r>
      <w:r w:rsidRPr="002433F3">
        <w:rPr>
          <w:lang w:val="en-US"/>
        </w:rPr>
        <w:t xml:space="preserve">uncertainty </w:t>
      </w:r>
      <w:r w:rsidR="0065509F" w:rsidRPr="002433F3">
        <w:rPr>
          <w:lang w:val="en-US"/>
        </w:rPr>
        <w:t xml:space="preserve">regarding </w:t>
      </w:r>
      <w:r w:rsidR="00BA1A85" w:rsidRPr="002433F3">
        <w:rPr>
          <w:lang w:val="en-US"/>
        </w:rPr>
        <w:t xml:space="preserve">the continuity </w:t>
      </w:r>
      <w:r w:rsidRPr="002433F3">
        <w:rPr>
          <w:lang w:val="en-US"/>
        </w:rPr>
        <w:t xml:space="preserve">of the medical services </w:t>
      </w:r>
      <w:r w:rsidR="0065509F" w:rsidRPr="002433F3">
        <w:rPr>
          <w:lang w:val="en-US"/>
        </w:rPr>
        <w:t>he needed</w:t>
      </w:r>
      <w:r w:rsidRPr="002433F3">
        <w:rPr>
          <w:lang w:val="en-US"/>
        </w:rPr>
        <w:t xml:space="preserve">, without providing any evidence to </w:t>
      </w:r>
      <w:r w:rsidR="0065509F" w:rsidRPr="002433F3">
        <w:rPr>
          <w:lang w:val="en-US"/>
        </w:rPr>
        <w:t xml:space="preserve">prove the </w:t>
      </w:r>
      <w:r w:rsidRPr="002433F3">
        <w:rPr>
          <w:lang w:val="en-US"/>
        </w:rPr>
        <w:t xml:space="preserve">suspension of his </w:t>
      </w:r>
      <w:r w:rsidR="00AC71D9" w:rsidRPr="002433F3">
        <w:rPr>
          <w:lang w:val="en-US"/>
        </w:rPr>
        <w:t>antiretroviral</w:t>
      </w:r>
      <w:r w:rsidRPr="002433F3">
        <w:rPr>
          <w:lang w:val="en-US"/>
        </w:rPr>
        <w:t xml:space="preserve"> treatment. </w:t>
      </w:r>
      <w:r w:rsidR="0065509F" w:rsidRPr="002433F3">
        <w:rPr>
          <w:lang w:val="en-US"/>
        </w:rPr>
        <w:t xml:space="preserve">It added that </w:t>
      </w:r>
      <w:r w:rsidRPr="002433F3">
        <w:rPr>
          <w:lang w:val="en-US"/>
        </w:rPr>
        <w:t xml:space="preserve">the necessary </w:t>
      </w:r>
      <w:r w:rsidR="0065509F" w:rsidRPr="002433F3">
        <w:rPr>
          <w:lang w:val="en-US"/>
        </w:rPr>
        <w:t xml:space="preserve">treatment </w:t>
      </w:r>
      <w:r w:rsidRPr="002433F3">
        <w:rPr>
          <w:lang w:val="en-US"/>
        </w:rPr>
        <w:t xml:space="preserve">for </w:t>
      </w:r>
      <w:r w:rsidR="0065509F" w:rsidRPr="002433F3">
        <w:rPr>
          <w:lang w:val="en-US"/>
        </w:rPr>
        <w:t xml:space="preserve">HIV </w:t>
      </w:r>
      <w:r w:rsidRPr="002433F3">
        <w:rPr>
          <w:lang w:val="en-US"/>
        </w:rPr>
        <w:t>patients is not conditional upon the recognition of the</w:t>
      </w:r>
      <w:r w:rsidR="0065509F" w:rsidRPr="002433F3">
        <w:rPr>
          <w:lang w:val="en-US"/>
        </w:rPr>
        <w:t>ir</w:t>
      </w:r>
      <w:r w:rsidRPr="002433F3">
        <w:rPr>
          <w:lang w:val="en-US"/>
        </w:rPr>
        <w:t xml:space="preserve"> pension rights, or the</w:t>
      </w:r>
      <w:r w:rsidR="0065509F" w:rsidRPr="002433F3">
        <w:rPr>
          <w:lang w:val="en-US"/>
        </w:rPr>
        <w:t>ir</w:t>
      </w:r>
      <w:r w:rsidRPr="002433F3">
        <w:rPr>
          <w:lang w:val="en-US"/>
        </w:rPr>
        <w:t xml:space="preserve"> capacity </w:t>
      </w:r>
      <w:r w:rsidR="0065509F" w:rsidRPr="002433F3">
        <w:rPr>
          <w:lang w:val="en-US"/>
        </w:rPr>
        <w:t xml:space="preserve">to pay. </w:t>
      </w:r>
      <w:r w:rsidRPr="002433F3">
        <w:rPr>
          <w:lang w:val="en-US"/>
        </w:rPr>
        <w:t xml:space="preserve">Therefore, most of the facts cited by the representatives as indicators of the moral </w:t>
      </w:r>
      <w:r w:rsidR="00C61C83" w:rsidRPr="002433F3">
        <w:rPr>
          <w:lang w:val="en-US"/>
        </w:rPr>
        <w:t xml:space="preserve">damage </w:t>
      </w:r>
      <w:r w:rsidRPr="002433F3">
        <w:rPr>
          <w:lang w:val="en-US"/>
        </w:rPr>
        <w:t xml:space="preserve">allegedly </w:t>
      </w:r>
      <w:r w:rsidR="00D333F5" w:rsidRPr="002433F3">
        <w:rPr>
          <w:lang w:val="en-US"/>
        </w:rPr>
        <w:t xml:space="preserve">inflicted on </w:t>
      </w:r>
      <w:r w:rsidRPr="002433F3">
        <w:rPr>
          <w:lang w:val="en-US"/>
        </w:rPr>
        <w:t xml:space="preserve">Mr. Duque, were not proven. The </w:t>
      </w:r>
      <w:r w:rsidR="00D333F5" w:rsidRPr="002433F3">
        <w:rPr>
          <w:lang w:val="en-US"/>
        </w:rPr>
        <w:t>arguments</w:t>
      </w:r>
      <w:r w:rsidRPr="002433F3">
        <w:rPr>
          <w:lang w:val="en-US"/>
        </w:rPr>
        <w:t xml:space="preserve"> </w:t>
      </w:r>
      <w:r w:rsidR="009030F2" w:rsidRPr="002433F3">
        <w:rPr>
          <w:lang w:val="en-US"/>
        </w:rPr>
        <w:t xml:space="preserve">of the </w:t>
      </w:r>
      <w:r w:rsidR="009030F2" w:rsidRPr="002433F3">
        <w:rPr>
          <w:i/>
          <w:lang w:val="en-US"/>
        </w:rPr>
        <w:t>Commission</w:t>
      </w:r>
      <w:r w:rsidR="009030F2" w:rsidRPr="002433F3">
        <w:rPr>
          <w:lang w:val="en-US"/>
        </w:rPr>
        <w:t xml:space="preserve"> concerning this </w:t>
      </w:r>
      <w:r w:rsidRPr="002433F3">
        <w:rPr>
          <w:lang w:val="en-US"/>
        </w:rPr>
        <w:t xml:space="preserve">measure were </w:t>
      </w:r>
      <w:r w:rsidR="00DC5496" w:rsidRPr="002433F3">
        <w:rPr>
          <w:lang w:val="en-US"/>
        </w:rPr>
        <w:t xml:space="preserve">presented </w:t>
      </w:r>
      <w:r w:rsidRPr="002433F3">
        <w:rPr>
          <w:lang w:val="en-US"/>
        </w:rPr>
        <w:t>in the preceding point, together with the pecuniary damage.</w:t>
      </w:r>
    </w:p>
    <w:p w14:paraId="2170D4B0" w14:textId="77777777" w:rsidR="007B0DE4" w:rsidRPr="002433F3" w:rsidRDefault="007B0DE4" w:rsidP="007B0DE4">
      <w:pPr>
        <w:numPr>
          <w:ilvl w:val="0"/>
          <w:numId w:val="2"/>
        </w:numPr>
        <w:spacing w:before="120" w:after="120"/>
        <w:rPr>
          <w:lang w:val="en-US"/>
        </w:rPr>
      </w:pPr>
      <w:r w:rsidRPr="002433F3">
        <w:rPr>
          <w:lang w:val="en-US" w:bidi="en-US"/>
        </w:rPr>
        <w:t xml:space="preserve">In </w:t>
      </w:r>
      <w:r w:rsidRPr="002433F3">
        <w:rPr>
          <w:lang w:val="en-US"/>
        </w:rPr>
        <w:t>its case law, the Court</w:t>
      </w:r>
      <w:r w:rsidRPr="002433F3">
        <w:rPr>
          <w:b/>
          <w:lang w:val="en-US"/>
        </w:rPr>
        <w:t xml:space="preserve"> </w:t>
      </w:r>
      <w:r w:rsidRPr="002433F3">
        <w:rPr>
          <w:lang w:val="en-US"/>
        </w:rPr>
        <w:t xml:space="preserve">has </w:t>
      </w:r>
      <w:r w:rsidRPr="002433F3">
        <w:rPr>
          <w:lang w:val="en-US" w:bidi="en-US"/>
        </w:rPr>
        <w:t xml:space="preserve">developed the concept of non-pecuniary damage and </w:t>
      </w:r>
      <w:r w:rsidRPr="002433F3">
        <w:rPr>
          <w:lang w:val="en-US"/>
        </w:rPr>
        <w:t>has established that this “may include both the suffering and distress caused to the direct victim and his next of kin, the impairment of values that are highly significant to them, as well as suffering of a non-pecuniary nature that affects the living conditions of the victim or his family.”</w:t>
      </w:r>
      <w:r w:rsidRPr="002433F3">
        <w:rPr>
          <w:rStyle w:val="Refdenotaalpie"/>
          <w:lang w:val="en-US"/>
        </w:rPr>
        <w:footnoteReference w:id="174"/>
      </w:r>
      <w:r w:rsidRPr="002433F3">
        <w:rPr>
          <w:lang w:val="en-US"/>
        </w:rPr>
        <w:t xml:space="preserve"> The Court has indicated that “</w:t>
      </w:r>
      <w:r w:rsidR="009030F2" w:rsidRPr="002433F3">
        <w:rPr>
          <w:lang w:val="en-US"/>
        </w:rPr>
        <w:t xml:space="preserve">since </w:t>
      </w:r>
      <w:r w:rsidRPr="002433F3">
        <w:rPr>
          <w:lang w:val="en-US"/>
        </w:rPr>
        <w:t xml:space="preserve">it is impossible to assess the value of the </w:t>
      </w:r>
      <w:r w:rsidR="00C61C83" w:rsidRPr="002433F3">
        <w:rPr>
          <w:lang w:val="en-US"/>
        </w:rPr>
        <w:t>non-pecuniary</w:t>
      </w:r>
      <w:r w:rsidRPr="002433F3">
        <w:rPr>
          <w:lang w:val="en-US"/>
        </w:rPr>
        <w:t xml:space="preserve"> damage sustained in a precise equivalent in money, for the purposes of full reparation to the victim, compensation may be made effective by paying an amount of money or by delivering property or services whose value may be established in money, as the Court may reasonably determine at its judicial discretion and based on equitable standards.”</w:t>
      </w:r>
      <w:r w:rsidRPr="002433F3">
        <w:rPr>
          <w:rStyle w:val="Refdenotaalpie"/>
          <w:lang w:val="en-US"/>
        </w:rPr>
        <w:footnoteReference w:id="175"/>
      </w:r>
    </w:p>
    <w:p w14:paraId="009C2761" w14:textId="77777777" w:rsidR="007B0DE4" w:rsidRPr="002433F3" w:rsidRDefault="007B0DE4" w:rsidP="007B0DE4">
      <w:pPr>
        <w:numPr>
          <w:ilvl w:val="0"/>
          <w:numId w:val="2"/>
        </w:numPr>
        <w:spacing w:before="120" w:after="120"/>
        <w:rPr>
          <w:lang w:val="en-US"/>
        </w:rPr>
      </w:pPr>
      <w:r w:rsidRPr="002433F3">
        <w:rPr>
          <w:lang w:val="en-US"/>
        </w:rPr>
        <w:t xml:space="preserve">In this regard, the Court </w:t>
      </w:r>
      <w:r w:rsidR="00D15B80" w:rsidRPr="002433F3">
        <w:rPr>
          <w:lang w:val="en-US"/>
        </w:rPr>
        <w:t>notes that in the present</w:t>
      </w:r>
      <w:r w:rsidRPr="002433F3">
        <w:rPr>
          <w:lang w:val="en-US"/>
        </w:rPr>
        <w:t xml:space="preserve"> case it concluded that the State is responsible for the violation </w:t>
      </w:r>
      <w:r w:rsidR="00DC2D9F" w:rsidRPr="002433F3">
        <w:rPr>
          <w:lang w:val="en-US"/>
        </w:rPr>
        <w:t xml:space="preserve">of the </w:t>
      </w:r>
      <w:r w:rsidRPr="002433F3">
        <w:rPr>
          <w:lang w:val="en-US"/>
        </w:rPr>
        <w:t xml:space="preserve">right to equality and non-discrimination </w:t>
      </w:r>
      <w:r w:rsidR="00DC2D9F" w:rsidRPr="002433F3">
        <w:rPr>
          <w:lang w:val="en-US"/>
        </w:rPr>
        <w:t xml:space="preserve">recognized </w:t>
      </w:r>
      <w:r w:rsidRPr="002433F3">
        <w:rPr>
          <w:lang w:val="en-US"/>
        </w:rPr>
        <w:t>in Article 24 of the Convention, in relation to 1(1) thereof, to the detriment of Mr. Angel Duque</w:t>
      </w:r>
      <w:r w:rsidR="00DC2D9F" w:rsidRPr="002433F3">
        <w:rPr>
          <w:lang w:val="en-US"/>
        </w:rPr>
        <w:t>,</w:t>
      </w:r>
      <w:r w:rsidRPr="002433F3">
        <w:rPr>
          <w:lang w:val="en-US"/>
        </w:rPr>
        <w:t xml:space="preserve"> given that he </w:t>
      </w:r>
      <w:r w:rsidR="00DC2D9F" w:rsidRPr="002433F3">
        <w:rPr>
          <w:lang w:val="en-US"/>
        </w:rPr>
        <w:t>did not have access, u</w:t>
      </w:r>
      <w:r w:rsidRPr="002433F3">
        <w:rPr>
          <w:lang w:val="en-US"/>
        </w:rPr>
        <w:t>n</w:t>
      </w:r>
      <w:r w:rsidR="00DC2D9F" w:rsidRPr="002433F3">
        <w:rPr>
          <w:lang w:val="en-US"/>
        </w:rPr>
        <w:t>der</w:t>
      </w:r>
      <w:r w:rsidRPr="002433F3">
        <w:rPr>
          <w:lang w:val="en-US"/>
        </w:rPr>
        <w:t xml:space="preserve"> equal conditions, to the survivor’s pension</w:t>
      </w:r>
      <w:r w:rsidR="00DC2D9F" w:rsidRPr="002433F3">
        <w:rPr>
          <w:lang w:val="en-US"/>
        </w:rPr>
        <w:t>,</w:t>
      </w:r>
      <w:r w:rsidRPr="002433F3">
        <w:rPr>
          <w:lang w:val="en-US"/>
        </w:rPr>
        <w:t xml:space="preserve"> </w:t>
      </w:r>
      <w:r w:rsidR="00D15B80" w:rsidRPr="002433F3">
        <w:rPr>
          <w:lang w:val="en-US"/>
        </w:rPr>
        <w:t xml:space="preserve">pursuant </w:t>
      </w:r>
      <w:r w:rsidR="00D15B80" w:rsidRPr="002433F3">
        <w:rPr>
          <w:lang w:val="en-US"/>
        </w:rPr>
        <w:lastRenderedPageBreak/>
        <w:t xml:space="preserve">to </w:t>
      </w:r>
      <w:r w:rsidRPr="002433F3">
        <w:rPr>
          <w:lang w:val="en-US"/>
        </w:rPr>
        <w:t xml:space="preserve">Colombia’s domestic legislation. </w:t>
      </w:r>
      <w:r w:rsidR="00DC2D9F" w:rsidRPr="002433F3">
        <w:rPr>
          <w:lang w:val="en-US"/>
        </w:rPr>
        <w:t xml:space="preserve">As a result, </w:t>
      </w:r>
      <w:r w:rsidRPr="002433F3">
        <w:rPr>
          <w:lang w:val="en-US"/>
        </w:rPr>
        <w:t>for more than thirteen years</w:t>
      </w:r>
      <w:r w:rsidR="00DC2D9F" w:rsidRPr="002433F3">
        <w:rPr>
          <w:lang w:val="en-US"/>
        </w:rPr>
        <w:t>,</w:t>
      </w:r>
      <w:r w:rsidRPr="002433F3">
        <w:rPr>
          <w:lang w:val="en-US"/>
        </w:rPr>
        <w:t xml:space="preserve"> </w:t>
      </w:r>
      <w:r w:rsidR="00DC2D9F" w:rsidRPr="002433F3">
        <w:rPr>
          <w:lang w:val="en-US"/>
        </w:rPr>
        <w:t xml:space="preserve">Mr. Duque was deprived of </w:t>
      </w:r>
      <w:r w:rsidRPr="002433F3">
        <w:rPr>
          <w:lang w:val="en-US"/>
        </w:rPr>
        <w:t xml:space="preserve">income </w:t>
      </w:r>
      <w:r w:rsidR="00D15B80" w:rsidRPr="002433F3">
        <w:rPr>
          <w:lang w:val="en-US"/>
        </w:rPr>
        <w:t xml:space="preserve">would have </w:t>
      </w:r>
      <w:r w:rsidR="00DC2D9F" w:rsidRPr="002433F3">
        <w:rPr>
          <w:lang w:val="en-US"/>
        </w:rPr>
        <w:t xml:space="preserve">contributed </w:t>
      </w:r>
      <w:r w:rsidR="00D15B80" w:rsidRPr="002433F3">
        <w:rPr>
          <w:lang w:val="en-US"/>
        </w:rPr>
        <w:t>significantly to improving</w:t>
      </w:r>
      <w:r w:rsidRPr="002433F3">
        <w:rPr>
          <w:lang w:val="en-US"/>
        </w:rPr>
        <w:t xml:space="preserve"> his living conditions, </w:t>
      </w:r>
      <w:r w:rsidR="00DC2D9F" w:rsidRPr="002433F3">
        <w:rPr>
          <w:lang w:val="en-US"/>
        </w:rPr>
        <w:t xml:space="preserve">especially as </w:t>
      </w:r>
      <w:r w:rsidR="00D15B80" w:rsidRPr="002433F3">
        <w:rPr>
          <w:lang w:val="en-US"/>
        </w:rPr>
        <w:t xml:space="preserve">he had been </w:t>
      </w:r>
      <w:r w:rsidRPr="002433F3">
        <w:rPr>
          <w:lang w:val="en-US"/>
        </w:rPr>
        <w:t>diagnosed with a “</w:t>
      </w:r>
      <w:r w:rsidR="00C61C83" w:rsidRPr="002433F3">
        <w:rPr>
          <w:lang w:val="en-US"/>
        </w:rPr>
        <w:t xml:space="preserve">severe </w:t>
      </w:r>
      <w:r w:rsidRPr="002433F3">
        <w:rPr>
          <w:lang w:val="en-US"/>
        </w:rPr>
        <w:t xml:space="preserve">or catastrophic” </w:t>
      </w:r>
      <w:r w:rsidR="00C61C83" w:rsidRPr="002433F3">
        <w:rPr>
          <w:lang w:val="en-US"/>
        </w:rPr>
        <w:t>illness</w:t>
      </w:r>
      <w:r w:rsidRPr="002433F3">
        <w:rPr>
          <w:lang w:val="en-US"/>
        </w:rPr>
        <w:t xml:space="preserve">, such as HIV. </w:t>
      </w:r>
      <w:r w:rsidR="00DC2D9F" w:rsidRPr="002433F3">
        <w:rPr>
          <w:lang w:val="en-US"/>
        </w:rPr>
        <w:t xml:space="preserve">In consideration of </w:t>
      </w:r>
      <w:r w:rsidRPr="002433F3">
        <w:rPr>
          <w:lang w:val="en-US"/>
        </w:rPr>
        <w:t>his suffering and the non-pecuniary damage caused to the victim by that violation, the Court de</w:t>
      </w:r>
      <w:r w:rsidR="001A1DB1" w:rsidRPr="002433F3">
        <w:rPr>
          <w:lang w:val="en-US"/>
        </w:rPr>
        <w:t xml:space="preserve">cides to set in equity the sum of USD 10,000 as compensation </w:t>
      </w:r>
      <w:r w:rsidRPr="002433F3">
        <w:rPr>
          <w:lang w:val="en-US"/>
        </w:rPr>
        <w:t xml:space="preserve">for non-pecuniary damage. </w:t>
      </w:r>
    </w:p>
    <w:p w14:paraId="019F53A3" w14:textId="77777777" w:rsidR="007B0DE4" w:rsidRPr="002433F3" w:rsidRDefault="007B0DE4" w:rsidP="007B0DE4">
      <w:pPr>
        <w:pStyle w:val="Ttulo2"/>
        <w:numPr>
          <w:ilvl w:val="0"/>
          <w:numId w:val="13"/>
        </w:numPr>
        <w:spacing w:before="280" w:after="280"/>
        <w:rPr>
          <w:noProof w:val="0"/>
          <w:lang w:val="en-US"/>
        </w:rPr>
      </w:pPr>
      <w:bookmarkStart w:id="149" w:name="_Toc426108489"/>
      <w:bookmarkStart w:id="150" w:name="_Toc430339042"/>
      <w:bookmarkStart w:id="151" w:name="_Toc426108490"/>
      <w:bookmarkStart w:id="152" w:name="_Toc430339043"/>
      <w:r w:rsidRPr="002433F3">
        <w:rPr>
          <w:noProof w:val="0"/>
          <w:lang w:val="en-US"/>
        </w:rPr>
        <w:t>Costs and expenses</w:t>
      </w:r>
    </w:p>
    <w:p w14:paraId="58584BD0" w14:textId="77777777" w:rsidR="007B0DE4" w:rsidRPr="002433F3" w:rsidRDefault="007B0DE4" w:rsidP="007B0DE4">
      <w:pPr>
        <w:numPr>
          <w:ilvl w:val="0"/>
          <w:numId w:val="2"/>
        </w:numPr>
        <w:spacing w:before="120" w:after="120"/>
        <w:rPr>
          <w:spacing w:val="-2"/>
          <w:szCs w:val="20"/>
          <w:lang w:val="en-US"/>
        </w:rPr>
      </w:pPr>
      <w:r w:rsidRPr="002433F3">
        <w:rPr>
          <w:spacing w:val="-2"/>
          <w:szCs w:val="20"/>
          <w:lang w:val="en-US"/>
        </w:rPr>
        <w:t xml:space="preserve"> The </w:t>
      </w:r>
      <w:r w:rsidRPr="002433F3">
        <w:rPr>
          <w:i/>
          <w:spacing w:val="-2"/>
          <w:szCs w:val="20"/>
          <w:lang w:val="en-US"/>
        </w:rPr>
        <w:t>representatives</w:t>
      </w:r>
      <w:r w:rsidRPr="002433F3">
        <w:rPr>
          <w:b/>
          <w:i/>
          <w:spacing w:val="-2"/>
          <w:szCs w:val="20"/>
          <w:lang w:val="en-US"/>
        </w:rPr>
        <w:t xml:space="preserve"> </w:t>
      </w:r>
      <w:r w:rsidRPr="002433F3">
        <w:rPr>
          <w:lang w:val="en-US"/>
        </w:rPr>
        <w:t>a</w:t>
      </w:r>
      <w:r w:rsidR="00824713" w:rsidRPr="002433F3">
        <w:rPr>
          <w:lang w:val="en-US"/>
        </w:rPr>
        <w:t xml:space="preserve">lleged </w:t>
      </w:r>
      <w:r w:rsidRPr="002433F3">
        <w:rPr>
          <w:spacing w:val="-2"/>
          <w:szCs w:val="20"/>
          <w:lang w:val="en-US"/>
        </w:rPr>
        <w:t>that the Colombian Commission of Jur</w:t>
      </w:r>
      <w:r w:rsidR="00824713" w:rsidRPr="002433F3">
        <w:rPr>
          <w:spacing w:val="-2"/>
          <w:szCs w:val="20"/>
          <w:lang w:val="en-US"/>
        </w:rPr>
        <w:t xml:space="preserve">ists had </w:t>
      </w:r>
      <w:r w:rsidRPr="002433F3">
        <w:rPr>
          <w:spacing w:val="-2"/>
          <w:szCs w:val="20"/>
          <w:lang w:val="en-US"/>
        </w:rPr>
        <w:t xml:space="preserve">incurred a number of expenses </w:t>
      </w:r>
      <w:r w:rsidR="00824713" w:rsidRPr="002433F3">
        <w:rPr>
          <w:spacing w:val="-2"/>
          <w:szCs w:val="20"/>
          <w:lang w:val="en-US"/>
        </w:rPr>
        <w:t xml:space="preserve">related to </w:t>
      </w:r>
      <w:r w:rsidRPr="002433F3">
        <w:rPr>
          <w:spacing w:val="-2"/>
          <w:szCs w:val="20"/>
          <w:lang w:val="en-US"/>
        </w:rPr>
        <w:t xml:space="preserve">its work </w:t>
      </w:r>
      <w:r w:rsidR="00824713" w:rsidRPr="002433F3">
        <w:rPr>
          <w:spacing w:val="-2"/>
          <w:szCs w:val="20"/>
          <w:lang w:val="en-US"/>
        </w:rPr>
        <w:t xml:space="preserve">on behalf of </w:t>
      </w:r>
      <w:r w:rsidRPr="002433F3">
        <w:rPr>
          <w:spacing w:val="-2"/>
          <w:szCs w:val="20"/>
          <w:lang w:val="en-US"/>
        </w:rPr>
        <w:t>the victim, including travel and hotel expenses, communications, photocopies</w:t>
      </w:r>
      <w:r w:rsidR="00824713" w:rsidRPr="002433F3">
        <w:rPr>
          <w:spacing w:val="-2"/>
          <w:szCs w:val="20"/>
          <w:lang w:val="en-US"/>
        </w:rPr>
        <w:t>, stationer</w:t>
      </w:r>
      <w:r w:rsidR="005E18ED" w:rsidRPr="002433F3">
        <w:rPr>
          <w:spacing w:val="-2"/>
          <w:szCs w:val="20"/>
          <w:lang w:val="en-US"/>
        </w:rPr>
        <w:t>y and mail costs. They stated that these</w:t>
      </w:r>
      <w:r w:rsidR="00824713" w:rsidRPr="002433F3">
        <w:rPr>
          <w:spacing w:val="-2"/>
          <w:szCs w:val="20"/>
          <w:lang w:val="en-US"/>
        </w:rPr>
        <w:t xml:space="preserve"> expenses corresponded to </w:t>
      </w:r>
      <w:r w:rsidRPr="002433F3">
        <w:rPr>
          <w:spacing w:val="-2"/>
          <w:szCs w:val="20"/>
          <w:lang w:val="en-US"/>
        </w:rPr>
        <w:t xml:space="preserve">the time </w:t>
      </w:r>
      <w:r w:rsidR="00824713" w:rsidRPr="002433F3">
        <w:rPr>
          <w:spacing w:val="-2"/>
          <w:szCs w:val="20"/>
          <w:lang w:val="en-US"/>
        </w:rPr>
        <w:t xml:space="preserve">dedicated to </w:t>
      </w:r>
      <w:r w:rsidR="001F74DB" w:rsidRPr="002433F3">
        <w:rPr>
          <w:spacing w:val="-2"/>
          <w:szCs w:val="20"/>
          <w:lang w:val="en-US"/>
        </w:rPr>
        <w:t xml:space="preserve">legal work on this </w:t>
      </w:r>
      <w:r w:rsidRPr="002433F3">
        <w:rPr>
          <w:spacing w:val="-2"/>
          <w:szCs w:val="20"/>
          <w:lang w:val="en-US"/>
        </w:rPr>
        <w:t xml:space="preserve">specific case and to the investigation, compilation and presentation of evidence and </w:t>
      </w:r>
      <w:r w:rsidR="00824713" w:rsidRPr="002433F3">
        <w:rPr>
          <w:spacing w:val="-2"/>
          <w:szCs w:val="20"/>
          <w:lang w:val="en-US"/>
        </w:rPr>
        <w:t xml:space="preserve">the </w:t>
      </w:r>
      <w:r w:rsidRPr="002433F3">
        <w:rPr>
          <w:spacing w:val="-2"/>
          <w:szCs w:val="20"/>
          <w:lang w:val="en-US"/>
        </w:rPr>
        <w:t xml:space="preserve">preparation of briefs, </w:t>
      </w:r>
      <w:r w:rsidR="00824713" w:rsidRPr="002433F3">
        <w:rPr>
          <w:spacing w:val="-2"/>
          <w:szCs w:val="20"/>
          <w:lang w:val="en-US"/>
        </w:rPr>
        <w:t xml:space="preserve">for a total sum of </w:t>
      </w:r>
      <w:r w:rsidRPr="002433F3">
        <w:rPr>
          <w:spacing w:val="-2"/>
          <w:szCs w:val="20"/>
          <w:lang w:val="en-US"/>
        </w:rPr>
        <w:t>USD 40,275. They also indicated that the attorney Ger</w:t>
      </w:r>
      <w:r w:rsidR="00824713" w:rsidRPr="002433F3">
        <w:rPr>
          <w:spacing w:val="-2"/>
          <w:szCs w:val="20"/>
          <w:lang w:val="en-US"/>
        </w:rPr>
        <w:t>mán Humberto Rincón Perfetti had</w:t>
      </w:r>
      <w:r w:rsidRPr="002433F3">
        <w:rPr>
          <w:spacing w:val="-2"/>
          <w:szCs w:val="20"/>
          <w:lang w:val="en-US"/>
        </w:rPr>
        <w:t xml:space="preserve"> represented the victim twelve years ago, </w:t>
      </w:r>
      <w:r w:rsidR="005F67FE" w:rsidRPr="002433F3">
        <w:rPr>
          <w:spacing w:val="-2"/>
          <w:szCs w:val="20"/>
          <w:lang w:val="en-US"/>
        </w:rPr>
        <w:t xml:space="preserve">but that he </w:t>
      </w:r>
      <w:r w:rsidRPr="002433F3">
        <w:rPr>
          <w:spacing w:val="-2"/>
          <w:szCs w:val="20"/>
          <w:lang w:val="en-US"/>
        </w:rPr>
        <w:t>“does not have receipts and documentary evidence of the</w:t>
      </w:r>
      <w:r w:rsidR="002020CD" w:rsidRPr="002433F3">
        <w:rPr>
          <w:spacing w:val="-2"/>
          <w:szCs w:val="20"/>
          <w:lang w:val="en-US"/>
        </w:rPr>
        <w:t xml:space="preserve"> expenses incurred</w:t>
      </w:r>
      <w:r w:rsidR="005F67FE" w:rsidRPr="002433F3">
        <w:rPr>
          <w:spacing w:val="-2"/>
          <w:szCs w:val="20"/>
          <w:lang w:val="en-US"/>
        </w:rPr>
        <w:t>,</w:t>
      </w:r>
      <w:r w:rsidR="002020CD" w:rsidRPr="002433F3">
        <w:rPr>
          <w:spacing w:val="-2"/>
          <w:szCs w:val="20"/>
          <w:lang w:val="en-US"/>
        </w:rPr>
        <w:t xml:space="preserve"> both in the </w:t>
      </w:r>
      <w:r w:rsidRPr="002433F3">
        <w:rPr>
          <w:spacing w:val="-2"/>
          <w:szCs w:val="20"/>
          <w:lang w:val="en-US"/>
        </w:rPr>
        <w:t xml:space="preserve">proceedings at the domestic level, and in </w:t>
      </w:r>
      <w:r w:rsidR="000A7A70" w:rsidRPr="002433F3">
        <w:rPr>
          <w:spacing w:val="-2"/>
          <w:szCs w:val="20"/>
          <w:lang w:val="en-US"/>
        </w:rPr>
        <w:t>the inter</w:t>
      </w:r>
      <w:r w:rsidRPr="002433F3">
        <w:rPr>
          <w:spacing w:val="-2"/>
          <w:szCs w:val="20"/>
          <w:lang w:val="en-US"/>
        </w:rPr>
        <w:t>-American System</w:t>
      </w:r>
      <w:r w:rsidR="005F67FE" w:rsidRPr="002433F3">
        <w:rPr>
          <w:spacing w:val="-2"/>
          <w:szCs w:val="20"/>
          <w:lang w:val="en-US"/>
        </w:rPr>
        <w:t>.</w:t>
      </w:r>
      <w:r w:rsidRPr="002433F3">
        <w:rPr>
          <w:spacing w:val="-2"/>
          <w:szCs w:val="20"/>
          <w:lang w:val="en-US"/>
        </w:rPr>
        <w:t xml:space="preserve">” </w:t>
      </w:r>
      <w:r w:rsidR="00821209" w:rsidRPr="002433F3">
        <w:rPr>
          <w:spacing w:val="-2"/>
          <w:szCs w:val="20"/>
          <w:lang w:val="en-US"/>
        </w:rPr>
        <w:t>Consequently</w:t>
      </w:r>
      <w:r w:rsidR="005F67FE" w:rsidRPr="002433F3">
        <w:rPr>
          <w:spacing w:val="-2"/>
          <w:szCs w:val="20"/>
          <w:lang w:val="en-US"/>
        </w:rPr>
        <w:t xml:space="preserve">, they </w:t>
      </w:r>
      <w:r w:rsidRPr="002433F3">
        <w:rPr>
          <w:spacing w:val="-2"/>
          <w:szCs w:val="20"/>
          <w:lang w:val="en-US"/>
        </w:rPr>
        <w:t>request</w:t>
      </w:r>
      <w:r w:rsidR="005F67FE" w:rsidRPr="002433F3">
        <w:rPr>
          <w:spacing w:val="-2"/>
          <w:szCs w:val="20"/>
          <w:lang w:val="en-US"/>
        </w:rPr>
        <w:t>ed</w:t>
      </w:r>
      <w:r w:rsidRPr="002433F3">
        <w:rPr>
          <w:spacing w:val="-2"/>
          <w:szCs w:val="20"/>
          <w:lang w:val="en-US"/>
        </w:rPr>
        <w:t xml:space="preserve"> </w:t>
      </w:r>
      <w:r w:rsidR="005F67FE" w:rsidRPr="002433F3">
        <w:rPr>
          <w:spacing w:val="-2"/>
          <w:szCs w:val="20"/>
          <w:lang w:val="en-US"/>
        </w:rPr>
        <w:t>that the Court</w:t>
      </w:r>
      <w:r w:rsidR="005D2D70" w:rsidRPr="002433F3">
        <w:rPr>
          <w:spacing w:val="-2"/>
          <w:szCs w:val="20"/>
          <w:lang w:val="en-US"/>
        </w:rPr>
        <w:t xml:space="preserve"> </w:t>
      </w:r>
      <w:r w:rsidR="000A7A70" w:rsidRPr="002433F3">
        <w:rPr>
          <w:spacing w:val="-2"/>
          <w:szCs w:val="20"/>
          <w:lang w:val="en-US"/>
        </w:rPr>
        <w:t>“</w:t>
      </w:r>
      <w:r w:rsidRPr="002433F3">
        <w:rPr>
          <w:spacing w:val="-2"/>
          <w:szCs w:val="20"/>
          <w:lang w:val="en-US"/>
        </w:rPr>
        <w:t>[…]</w:t>
      </w:r>
      <w:r w:rsidR="005F67FE" w:rsidRPr="002433F3">
        <w:rPr>
          <w:spacing w:val="-2"/>
          <w:szCs w:val="20"/>
          <w:lang w:val="en-US"/>
        </w:rPr>
        <w:t xml:space="preserve"> set in equity, </w:t>
      </w:r>
      <w:r w:rsidRPr="002433F3">
        <w:rPr>
          <w:spacing w:val="-2"/>
          <w:szCs w:val="20"/>
          <w:lang w:val="en-US"/>
        </w:rPr>
        <w:t>as payment for this professional</w:t>
      </w:r>
      <w:r w:rsidR="005F67FE" w:rsidRPr="002433F3">
        <w:rPr>
          <w:spacing w:val="-2"/>
          <w:szCs w:val="20"/>
          <w:lang w:val="en-US"/>
        </w:rPr>
        <w:t>’s</w:t>
      </w:r>
      <w:r w:rsidRPr="002433F3">
        <w:rPr>
          <w:spacing w:val="-2"/>
          <w:szCs w:val="20"/>
          <w:lang w:val="en-US"/>
        </w:rPr>
        <w:t xml:space="preserve"> costs and expenses” the sum of USD 15,000. Lastly, the </w:t>
      </w:r>
      <w:r w:rsidR="00654788" w:rsidRPr="002433F3">
        <w:rPr>
          <w:spacing w:val="-2"/>
          <w:szCs w:val="20"/>
          <w:lang w:val="en-US"/>
        </w:rPr>
        <w:t xml:space="preserve">representatives referred to </w:t>
      </w:r>
      <w:r w:rsidRPr="002433F3">
        <w:rPr>
          <w:spacing w:val="-2"/>
          <w:szCs w:val="20"/>
          <w:lang w:val="en-US"/>
        </w:rPr>
        <w:t xml:space="preserve">future expenses, </w:t>
      </w:r>
      <w:r w:rsidR="00821209" w:rsidRPr="002433F3">
        <w:rPr>
          <w:spacing w:val="-2"/>
          <w:szCs w:val="20"/>
          <w:lang w:val="en-US"/>
        </w:rPr>
        <w:t xml:space="preserve">pointing out that the aforementioned </w:t>
      </w:r>
      <w:r w:rsidRPr="002433F3">
        <w:rPr>
          <w:spacing w:val="-2"/>
          <w:szCs w:val="20"/>
          <w:lang w:val="en-US"/>
        </w:rPr>
        <w:t xml:space="preserve">expenses “do not include those incurred by </w:t>
      </w:r>
      <w:r w:rsidR="000A7A70" w:rsidRPr="002433F3">
        <w:rPr>
          <w:spacing w:val="-2"/>
          <w:szCs w:val="20"/>
          <w:lang w:val="en-US"/>
        </w:rPr>
        <w:t>the [</w:t>
      </w:r>
      <w:r w:rsidRPr="002433F3">
        <w:rPr>
          <w:spacing w:val="-2"/>
          <w:szCs w:val="20"/>
          <w:lang w:val="en-US"/>
        </w:rPr>
        <w:t>alleged] victim and his representatives during the remainder of the proceeding</w:t>
      </w:r>
      <w:r w:rsidR="00821209" w:rsidRPr="002433F3">
        <w:rPr>
          <w:spacing w:val="-2"/>
          <w:szCs w:val="20"/>
          <w:lang w:val="en-US"/>
        </w:rPr>
        <w:t>s</w:t>
      </w:r>
      <w:r w:rsidRPr="002433F3">
        <w:rPr>
          <w:spacing w:val="-2"/>
          <w:szCs w:val="20"/>
          <w:lang w:val="en-US"/>
        </w:rPr>
        <w:t xml:space="preserve"> before </w:t>
      </w:r>
      <w:r w:rsidR="000A7A70" w:rsidRPr="002433F3">
        <w:rPr>
          <w:spacing w:val="-2"/>
          <w:szCs w:val="20"/>
          <w:lang w:val="en-US"/>
        </w:rPr>
        <w:t>the [</w:t>
      </w:r>
      <w:r w:rsidRPr="002433F3">
        <w:rPr>
          <w:spacing w:val="-2"/>
          <w:szCs w:val="20"/>
          <w:lang w:val="en-US"/>
        </w:rPr>
        <w:t>…] Court.</w:t>
      </w:r>
      <w:r w:rsidRPr="002433F3">
        <w:rPr>
          <w:rStyle w:val="Refdenotaalpie"/>
          <w:spacing w:val="-2"/>
          <w:lang w:val="en-US"/>
        </w:rPr>
        <w:footnoteReference w:id="176"/>
      </w:r>
      <w:r w:rsidRPr="002433F3">
        <w:rPr>
          <w:spacing w:val="-2"/>
          <w:szCs w:val="20"/>
          <w:lang w:val="en-US"/>
        </w:rPr>
        <w:t xml:space="preserve"> Therefore, </w:t>
      </w:r>
      <w:r w:rsidR="00821209" w:rsidRPr="002433F3">
        <w:rPr>
          <w:spacing w:val="-2"/>
          <w:szCs w:val="20"/>
          <w:lang w:val="en-US"/>
        </w:rPr>
        <w:t>they asked the “[…] Court to grant [them]</w:t>
      </w:r>
      <w:r w:rsidRPr="002433F3">
        <w:rPr>
          <w:spacing w:val="-2"/>
          <w:szCs w:val="20"/>
          <w:lang w:val="en-US"/>
        </w:rPr>
        <w:t xml:space="preserve">, at the appropriate procedural stage, the opportunity to present up-to-date figures and </w:t>
      </w:r>
      <w:r w:rsidR="002020CD" w:rsidRPr="002433F3">
        <w:rPr>
          <w:spacing w:val="-2"/>
          <w:szCs w:val="20"/>
          <w:lang w:val="en-US"/>
        </w:rPr>
        <w:t xml:space="preserve">receipts for </w:t>
      </w:r>
      <w:r w:rsidR="005D2D70" w:rsidRPr="002433F3">
        <w:rPr>
          <w:spacing w:val="-2"/>
          <w:szCs w:val="20"/>
          <w:lang w:val="en-US"/>
        </w:rPr>
        <w:t xml:space="preserve">the </w:t>
      </w:r>
      <w:r w:rsidRPr="002433F3">
        <w:rPr>
          <w:spacing w:val="-2"/>
          <w:szCs w:val="20"/>
          <w:lang w:val="en-US"/>
        </w:rPr>
        <w:t xml:space="preserve">expenses incurred in the course of the international </w:t>
      </w:r>
      <w:r w:rsidR="00821209" w:rsidRPr="002433F3">
        <w:rPr>
          <w:spacing w:val="-2"/>
          <w:szCs w:val="20"/>
          <w:lang w:val="en-US"/>
        </w:rPr>
        <w:t xml:space="preserve">litigation </w:t>
      </w:r>
      <w:r w:rsidRPr="002433F3">
        <w:rPr>
          <w:spacing w:val="-2"/>
          <w:szCs w:val="20"/>
          <w:lang w:val="en-US"/>
        </w:rPr>
        <w:t xml:space="preserve">process.” The </w:t>
      </w:r>
      <w:r w:rsidRPr="002433F3">
        <w:rPr>
          <w:i/>
          <w:spacing w:val="-2"/>
          <w:szCs w:val="20"/>
          <w:lang w:val="en-US"/>
        </w:rPr>
        <w:t>Commission</w:t>
      </w:r>
      <w:r w:rsidRPr="002433F3">
        <w:rPr>
          <w:b/>
          <w:spacing w:val="-2"/>
          <w:szCs w:val="20"/>
          <w:lang w:val="en-US"/>
        </w:rPr>
        <w:t xml:space="preserve"> </w:t>
      </w:r>
      <w:r w:rsidRPr="002433F3">
        <w:rPr>
          <w:spacing w:val="-2"/>
          <w:szCs w:val="20"/>
          <w:lang w:val="en-US"/>
        </w:rPr>
        <w:t>did not refer to</w:t>
      </w:r>
      <w:r w:rsidRPr="002433F3">
        <w:rPr>
          <w:b/>
          <w:spacing w:val="-2"/>
          <w:szCs w:val="20"/>
          <w:lang w:val="en-US"/>
        </w:rPr>
        <w:t xml:space="preserve"> </w:t>
      </w:r>
      <w:r w:rsidRPr="002433F3">
        <w:rPr>
          <w:spacing w:val="-2"/>
          <w:szCs w:val="20"/>
          <w:lang w:val="en-US"/>
        </w:rPr>
        <w:t>the costs and expenses.</w:t>
      </w:r>
    </w:p>
    <w:p w14:paraId="4E61475C" w14:textId="77777777" w:rsidR="007B0DE4" w:rsidRPr="002433F3" w:rsidRDefault="007B0DE4" w:rsidP="007B0DE4">
      <w:pPr>
        <w:numPr>
          <w:ilvl w:val="0"/>
          <w:numId w:val="2"/>
        </w:numPr>
        <w:spacing w:before="120" w:after="120"/>
        <w:contextualSpacing/>
        <w:rPr>
          <w:spacing w:val="-2"/>
          <w:szCs w:val="20"/>
          <w:lang w:val="en-US"/>
        </w:rPr>
      </w:pPr>
      <w:r w:rsidRPr="002433F3">
        <w:rPr>
          <w:spacing w:val="-2"/>
          <w:szCs w:val="20"/>
          <w:lang w:val="en-US"/>
        </w:rPr>
        <w:t xml:space="preserve">The </w:t>
      </w:r>
      <w:r w:rsidRPr="002433F3">
        <w:rPr>
          <w:i/>
          <w:spacing w:val="-2"/>
          <w:szCs w:val="20"/>
          <w:lang w:val="en-US"/>
        </w:rPr>
        <w:t>State</w:t>
      </w:r>
      <w:r w:rsidRPr="002433F3">
        <w:rPr>
          <w:spacing w:val="-2"/>
          <w:szCs w:val="20"/>
          <w:lang w:val="en-US"/>
        </w:rPr>
        <w:t xml:space="preserve"> argued that “</w:t>
      </w:r>
      <w:r w:rsidR="00821209" w:rsidRPr="002433F3">
        <w:rPr>
          <w:spacing w:val="-2"/>
          <w:szCs w:val="20"/>
          <w:lang w:val="en-US"/>
        </w:rPr>
        <w:t xml:space="preserve">proof of the </w:t>
      </w:r>
      <w:r w:rsidRPr="002433F3">
        <w:rPr>
          <w:spacing w:val="-2"/>
          <w:szCs w:val="20"/>
          <w:lang w:val="en-US"/>
        </w:rPr>
        <w:t xml:space="preserve">disbursements made in representing the victim </w:t>
      </w:r>
      <w:r w:rsidR="001C0A0E" w:rsidRPr="002433F3">
        <w:rPr>
          <w:spacing w:val="-2"/>
          <w:szCs w:val="20"/>
          <w:lang w:val="en-US"/>
        </w:rPr>
        <w:t xml:space="preserve">is </w:t>
      </w:r>
      <w:r w:rsidRPr="002433F3">
        <w:rPr>
          <w:spacing w:val="-2"/>
          <w:szCs w:val="20"/>
          <w:lang w:val="en-US"/>
        </w:rPr>
        <w:t>an essential requirement</w:t>
      </w:r>
      <w:r w:rsidR="001C0A0E" w:rsidRPr="002433F3">
        <w:rPr>
          <w:spacing w:val="-2"/>
          <w:szCs w:val="20"/>
          <w:lang w:val="en-US"/>
        </w:rPr>
        <w:t xml:space="preserve"> so that </w:t>
      </w:r>
      <w:r w:rsidR="000A7A70" w:rsidRPr="002433F3">
        <w:rPr>
          <w:spacing w:val="-2"/>
          <w:szCs w:val="20"/>
          <w:lang w:val="en-US"/>
        </w:rPr>
        <w:t>the [</w:t>
      </w:r>
      <w:r w:rsidRPr="002433F3">
        <w:rPr>
          <w:spacing w:val="-2"/>
          <w:szCs w:val="20"/>
          <w:lang w:val="en-US"/>
        </w:rPr>
        <w:t xml:space="preserve">…] Court </w:t>
      </w:r>
      <w:r w:rsidR="001C0A0E" w:rsidRPr="002433F3">
        <w:rPr>
          <w:spacing w:val="-2"/>
          <w:szCs w:val="20"/>
          <w:lang w:val="en-US"/>
        </w:rPr>
        <w:t xml:space="preserve">can </w:t>
      </w:r>
      <w:r w:rsidRPr="002433F3">
        <w:rPr>
          <w:spacing w:val="-2"/>
          <w:szCs w:val="20"/>
          <w:lang w:val="en-US"/>
        </w:rPr>
        <w:t>proce</w:t>
      </w:r>
      <w:r w:rsidR="00782C90" w:rsidRPr="002433F3">
        <w:rPr>
          <w:spacing w:val="-2"/>
          <w:szCs w:val="20"/>
          <w:lang w:val="en-US"/>
        </w:rPr>
        <w:t xml:space="preserve">ed to </w:t>
      </w:r>
      <w:r w:rsidR="001C0A0E" w:rsidRPr="002433F3">
        <w:rPr>
          <w:spacing w:val="-2"/>
          <w:szCs w:val="20"/>
          <w:lang w:val="en-US"/>
        </w:rPr>
        <w:t xml:space="preserve">award </w:t>
      </w:r>
      <w:r w:rsidR="000A7A70" w:rsidRPr="002433F3">
        <w:rPr>
          <w:spacing w:val="-2"/>
          <w:szCs w:val="20"/>
          <w:lang w:val="en-US"/>
        </w:rPr>
        <w:t>the amount</w:t>
      </w:r>
      <w:r w:rsidRPr="002433F3">
        <w:rPr>
          <w:spacing w:val="-2"/>
          <w:szCs w:val="20"/>
          <w:lang w:val="en-US"/>
        </w:rPr>
        <w:t xml:space="preserve"> requested for costs and expenses.” The State indicated that </w:t>
      </w:r>
      <w:r w:rsidR="001C0A0E" w:rsidRPr="002433F3">
        <w:rPr>
          <w:spacing w:val="-2"/>
          <w:szCs w:val="20"/>
          <w:lang w:val="en-US"/>
        </w:rPr>
        <w:t xml:space="preserve">the amount requested by the </w:t>
      </w:r>
      <w:r w:rsidRPr="002433F3">
        <w:rPr>
          <w:spacing w:val="-2"/>
          <w:szCs w:val="20"/>
          <w:lang w:val="en-US"/>
        </w:rPr>
        <w:t>attorney Germán Humberto Rincón Perfetti</w:t>
      </w:r>
      <w:r w:rsidR="005D2D70" w:rsidRPr="002433F3">
        <w:rPr>
          <w:spacing w:val="-2"/>
          <w:szCs w:val="20"/>
          <w:lang w:val="en-US"/>
        </w:rPr>
        <w:t xml:space="preserve"> cannot be verified</w:t>
      </w:r>
      <w:r w:rsidRPr="002433F3">
        <w:rPr>
          <w:spacing w:val="-2"/>
          <w:szCs w:val="20"/>
          <w:lang w:val="en-US"/>
        </w:rPr>
        <w:t xml:space="preserve">, and therefore </w:t>
      </w:r>
      <w:r w:rsidR="001C0A0E" w:rsidRPr="002433F3">
        <w:rPr>
          <w:spacing w:val="-2"/>
          <w:szCs w:val="20"/>
          <w:lang w:val="en-US"/>
        </w:rPr>
        <w:t>asked that the Court reject the request</w:t>
      </w:r>
      <w:r w:rsidRPr="002433F3">
        <w:rPr>
          <w:spacing w:val="-2"/>
          <w:szCs w:val="20"/>
          <w:lang w:val="en-US"/>
        </w:rPr>
        <w:t xml:space="preserve">. </w:t>
      </w:r>
    </w:p>
    <w:p w14:paraId="04FB6905" w14:textId="77777777" w:rsidR="009719A3" w:rsidRPr="002433F3" w:rsidRDefault="009719A3" w:rsidP="009719A3">
      <w:pPr>
        <w:spacing w:before="120" w:after="120"/>
        <w:contextualSpacing/>
        <w:rPr>
          <w:spacing w:val="-2"/>
          <w:szCs w:val="20"/>
          <w:lang w:val="en-US"/>
        </w:rPr>
      </w:pPr>
    </w:p>
    <w:p w14:paraId="3BF89B11" w14:textId="77777777" w:rsidR="007B0DE4" w:rsidRPr="002433F3" w:rsidRDefault="005D2D70" w:rsidP="007B0DE4">
      <w:pPr>
        <w:numPr>
          <w:ilvl w:val="0"/>
          <w:numId w:val="2"/>
        </w:numPr>
        <w:contextualSpacing/>
        <w:rPr>
          <w:spacing w:val="-2"/>
          <w:szCs w:val="20"/>
          <w:lang w:val="en-US"/>
        </w:rPr>
      </w:pPr>
      <w:r w:rsidRPr="002433F3">
        <w:rPr>
          <w:spacing w:val="-2"/>
          <w:szCs w:val="20"/>
          <w:lang w:val="en-US"/>
        </w:rPr>
        <w:t xml:space="preserve">Pursuant to </w:t>
      </w:r>
      <w:r w:rsidR="007B0DE4" w:rsidRPr="002433F3">
        <w:rPr>
          <w:spacing w:val="-2"/>
          <w:szCs w:val="20"/>
          <w:lang w:val="en-US"/>
        </w:rPr>
        <w:t>its case law,</w:t>
      </w:r>
      <w:r w:rsidR="007B0DE4" w:rsidRPr="002433F3">
        <w:rPr>
          <w:rFonts w:cs="Times New Roman"/>
          <w:spacing w:val="-2"/>
          <w:szCs w:val="20"/>
          <w:vertAlign w:val="superscript"/>
          <w:lang w:val="en-US"/>
        </w:rPr>
        <w:footnoteReference w:id="177"/>
      </w:r>
      <w:r w:rsidR="007B0DE4" w:rsidRPr="002433F3">
        <w:rPr>
          <w:spacing w:val="-2"/>
          <w:szCs w:val="20"/>
          <w:lang w:val="en-US"/>
        </w:rPr>
        <w:t xml:space="preserve"> </w:t>
      </w:r>
      <w:r w:rsidR="001C0A0E" w:rsidRPr="002433F3">
        <w:rPr>
          <w:spacing w:val="-2"/>
          <w:szCs w:val="20"/>
          <w:lang w:val="en-US"/>
        </w:rPr>
        <w:t xml:space="preserve">the Court reiterates that </w:t>
      </w:r>
      <w:r w:rsidR="007B0DE4" w:rsidRPr="002433F3">
        <w:rPr>
          <w:spacing w:val="-2"/>
          <w:szCs w:val="20"/>
          <w:lang w:val="en-US"/>
        </w:rPr>
        <w:t xml:space="preserve">costs and expenses form part of the concept of reparation, since the actions taken by the victims </w:t>
      </w:r>
      <w:r w:rsidR="007B0DE4" w:rsidRPr="002433F3">
        <w:rPr>
          <w:lang w:val="en-US"/>
        </w:rPr>
        <w:t>to obtain justice at both the national and the international levels</w:t>
      </w:r>
      <w:r w:rsidR="004E5102" w:rsidRPr="002433F3">
        <w:rPr>
          <w:lang w:val="en-US"/>
        </w:rPr>
        <w:t>,</w:t>
      </w:r>
      <w:r w:rsidR="007B0DE4" w:rsidRPr="002433F3">
        <w:rPr>
          <w:lang w:val="en-US"/>
        </w:rPr>
        <w:t xml:space="preserve"> entail expenditures that must be compensated when a State’s international responsibility has been declared in a judgment against it</w:t>
      </w:r>
      <w:r w:rsidR="007B0DE4" w:rsidRPr="002433F3">
        <w:rPr>
          <w:spacing w:val="-2"/>
          <w:szCs w:val="20"/>
          <w:lang w:val="en-US"/>
        </w:rPr>
        <w:t xml:space="preserve">. As to the reimbursement of costs and expenses, </w:t>
      </w:r>
      <w:r w:rsidR="007B0DE4" w:rsidRPr="002433F3">
        <w:rPr>
          <w:lang w:val="en-US"/>
        </w:rPr>
        <w:t>the Court must prudently assess those arising both before the domes</w:t>
      </w:r>
      <w:r w:rsidR="004E5102" w:rsidRPr="002433F3">
        <w:rPr>
          <w:lang w:val="en-US"/>
        </w:rPr>
        <w:t>tic authorities and before the inter-American s</w:t>
      </w:r>
      <w:r w:rsidR="007B0DE4" w:rsidRPr="002433F3">
        <w:rPr>
          <w:lang w:val="en-US"/>
        </w:rPr>
        <w:t xml:space="preserve">ystem, taking into account the circumstances of the specific case and the nature of the international jurisdiction for the protection of human rights. This assessment can be made based on the principle of equity and taking into account the expenses indicated by the parties, provided their </w:t>
      </w:r>
      <w:r w:rsidR="007B0DE4" w:rsidRPr="002433F3">
        <w:rPr>
          <w:i/>
          <w:lang w:val="en-US"/>
        </w:rPr>
        <w:t>quantum</w:t>
      </w:r>
      <w:r w:rsidR="007B0DE4" w:rsidRPr="002433F3">
        <w:rPr>
          <w:lang w:val="en-US"/>
        </w:rPr>
        <w:t xml:space="preserve"> is reasonable</w:t>
      </w:r>
      <w:r w:rsidR="007B0DE4" w:rsidRPr="002433F3">
        <w:rPr>
          <w:spacing w:val="-2"/>
          <w:szCs w:val="20"/>
          <w:lang w:val="en-US"/>
        </w:rPr>
        <w:t xml:space="preserve">. </w:t>
      </w:r>
      <w:r w:rsidR="007B0DE4" w:rsidRPr="002433F3">
        <w:rPr>
          <w:rFonts w:cs="Times New Roman"/>
          <w:spacing w:val="-2"/>
          <w:szCs w:val="20"/>
          <w:vertAlign w:val="superscript"/>
          <w:lang w:val="en-US"/>
        </w:rPr>
        <w:footnoteReference w:id="178"/>
      </w:r>
    </w:p>
    <w:p w14:paraId="4B61A222" w14:textId="77777777" w:rsidR="007B0DE4" w:rsidRPr="002433F3" w:rsidRDefault="00312881" w:rsidP="007B0DE4">
      <w:pPr>
        <w:numPr>
          <w:ilvl w:val="0"/>
          <w:numId w:val="2"/>
        </w:numPr>
        <w:spacing w:before="120" w:after="120"/>
        <w:rPr>
          <w:spacing w:val="-2"/>
          <w:szCs w:val="20"/>
          <w:lang w:val="en-US"/>
        </w:rPr>
      </w:pPr>
      <w:r w:rsidRPr="002433F3">
        <w:rPr>
          <w:spacing w:val="-2"/>
          <w:szCs w:val="20"/>
          <w:lang w:val="en-US"/>
        </w:rPr>
        <w:lastRenderedPageBreak/>
        <w:t>The</w:t>
      </w:r>
      <w:r w:rsidR="007B0DE4" w:rsidRPr="002433F3">
        <w:rPr>
          <w:spacing w:val="-2"/>
          <w:szCs w:val="20"/>
          <w:lang w:val="en-US"/>
        </w:rPr>
        <w:t xml:space="preserve"> Court </w:t>
      </w:r>
      <w:r w:rsidR="007B0DE4" w:rsidRPr="002433F3">
        <w:rPr>
          <w:rFonts w:eastAsia="Verdana" w:cs="Verdana"/>
          <w:spacing w:val="1"/>
          <w:szCs w:val="20"/>
          <w:lang w:val="en-US"/>
        </w:rPr>
        <w:t>h</w:t>
      </w:r>
      <w:r w:rsidR="007B0DE4" w:rsidRPr="002433F3">
        <w:rPr>
          <w:rFonts w:eastAsia="Verdana" w:cs="Verdana"/>
          <w:szCs w:val="20"/>
          <w:lang w:val="en-US"/>
        </w:rPr>
        <w:t xml:space="preserve">as </w:t>
      </w:r>
      <w:r w:rsidRPr="002433F3">
        <w:rPr>
          <w:rFonts w:eastAsia="Verdana" w:cs="Verdana"/>
          <w:szCs w:val="20"/>
          <w:lang w:val="en-US"/>
        </w:rPr>
        <w:t xml:space="preserve">indicated </w:t>
      </w:r>
      <w:r w:rsidR="007B0DE4" w:rsidRPr="002433F3">
        <w:rPr>
          <w:rFonts w:eastAsia="Verdana" w:cs="Verdana"/>
          <w:szCs w:val="20"/>
          <w:lang w:val="en-US"/>
        </w:rPr>
        <w:t>that</w:t>
      </w:r>
      <w:r w:rsidR="007B0DE4" w:rsidRPr="002433F3">
        <w:rPr>
          <w:rFonts w:eastAsia="Verdana" w:cs="Verdana"/>
          <w:spacing w:val="51"/>
          <w:szCs w:val="20"/>
          <w:lang w:val="en-US"/>
        </w:rPr>
        <w:t xml:space="preserve"> </w:t>
      </w:r>
      <w:r w:rsidR="007B0DE4" w:rsidRPr="002433F3">
        <w:rPr>
          <w:rFonts w:eastAsia="Verdana" w:cs="Verdana"/>
          <w:szCs w:val="20"/>
          <w:lang w:val="en-US"/>
        </w:rPr>
        <w:t>“</w:t>
      </w:r>
      <w:r w:rsidR="007B0DE4" w:rsidRPr="002433F3">
        <w:rPr>
          <w:rFonts w:eastAsia="Verdana" w:cs="Verdana"/>
          <w:spacing w:val="3"/>
          <w:szCs w:val="20"/>
          <w:lang w:val="en-US"/>
        </w:rPr>
        <w:t>the</w:t>
      </w:r>
      <w:r w:rsidR="004E5102" w:rsidRPr="002433F3">
        <w:rPr>
          <w:rFonts w:eastAsia="Verdana" w:cs="Verdana"/>
          <w:spacing w:val="58"/>
          <w:szCs w:val="20"/>
          <w:lang w:val="en-US"/>
        </w:rPr>
        <w:t xml:space="preserve"> </w:t>
      </w:r>
      <w:r w:rsidR="007B0DE4" w:rsidRPr="002433F3">
        <w:rPr>
          <w:rFonts w:eastAsia="Verdana" w:cs="Verdana"/>
          <w:spacing w:val="1"/>
          <w:szCs w:val="20"/>
          <w:lang w:val="en-US"/>
        </w:rPr>
        <w:t>claims of the victims or their</w:t>
      </w:r>
      <w:r w:rsidRPr="002433F3">
        <w:rPr>
          <w:rFonts w:eastAsia="Verdana" w:cs="Verdana"/>
          <w:spacing w:val="57"/>
          <w:szCs w:val="20"/>
          <w:lang w:val="en-US"/>
        </w:rPr>
        <w:t xml:space="preserve"> </w:t>
      </w:r>
      <w:r w:rsidR="007B0DE4" w:rsidRPr="002433F3">
        <w:rPr>
          <w:rFonts w:eastAsia="Verdana" w:cs="Verdana"/>
          <w:spacing w:val="1"/>
          <w:szCs w:val="20"/>
          <w:lang w:val="en-US"/>
        </w:rPr>
        <w:t xml:space="preserve">representatives </w:t>
      </w:r>
      <w:r w:rsidRPr="002433F3">
        <w:rPr>
          <w:rFonts w:eastAsia="Verdana" w:cs="Verdana"/>
          <w:spacing w:val="1"/>
          <w:szCs w:val="20"/>
          <w:lang w:val="en-US"/>
        </w:rPr>
        <w:t xml:space="preserve">in relation to </w:t>
      </w:r>
      <w:r w:rsidR="007B0DE4" w:rsidRPr="002433F3">
        <w:rPr>
          <w:rFonts w:eastAsia="Verdana" w:cs="Verdana"/>
          <w:szCs w:val="20"/>
          <w:lang w:val="en-US"/>
        </w:rPr>
        <w:t>costs and expenses,</w:t>
      </w:r>
      <w:r w:rsidR="007B0DE4" w:rsidRPr="002433F3">
        <w:rPr>
          <w:rFonts w:eastAsia="Verdana" w:cs="Verdana"/>
          <w:spacing w:val="7"/>
          <w:szCs w:val="20"/>
          <w:lang w:val="en-US"/>
        </w:rPr>
        <w:t xml:space="preserve"> and the </w:t>
      </w:r>
      <w:r w:rsidR="007B0DE4" w:rsidRPr="002433F3">
        <w:rPr>
          <w:rFonts w:eastAsia="Verdana" w:cs="Verdana"/>
          <w:spacing w:val="1"/>
          <w:szCs w:val="20"/>
          <w:lang w:val="en-US"/>
        </w:rPr>
        <w:t>evidence</w:t>
      </w:r>
      <w:r w:rsidR="007B0DE4" w:rsidRPr="002433F3">
        <w:rPr>
          <w:rFonts w:eastAsia="Verdana" w:cs="Verdana"/>
          <w:spacing w:val="6"/>
          <w:szCs w:val="20"/>
          <w:lang w:val="en-US"/>
        </w:rPr>
        <w:t xml:space="preserve"> </w:t>
      </w:r>
      <w:r w:rsidRPr="002433F3">
        <w:rPr>
          <w:rFonts w:eastAsia="Verdana" w:cs="Verdana"/>
          <w:spacing w:val="6"/>
          <w:szCs w:val="20"/>
          <w:lang w:val="en-US"/>
        </w:rPr>
        <w:t>supporting</w:t>
      </w:r>
      <w:r w:rsidR="007B0DE4" w:rsidRPr="002433F3">
        <w:rPr>
          <w:rFonts w:eastAsia="Verdana" w:cs="Verdana"/>
          <w:spacing w:val="6"/>
          <w:szCs w:val="20"/>
          <w:lang w:val="en-US"/>
        </w:rPr>
        <w:t xml:space="preserve"> them</w:t>
      </w:r>
      <w:r w:rsidR="007B0DE4" w:rsidRPr="002433F3">
        <w:rPr>
          <w:rFonts w:eastAsia="Verdana" w:cs="Verdana"/>
          <w:szCs w:val="20"/>
          <w:lang w:val="en-US"/>
        </w:rPr>
        <w:t>,</w:t>
      </w:r>
      <w:r w:rsidR="007B0DE4" w:rsidRPr="002433F3">
        <w:rPr>
          <w:rFonts w:eastAsia="Verdana" w:cs="Verdana"/>
          <w:spacing w:val="3"/>
          <w:szCs w:val="20"/>
          <w:lang w:val="en-US"/>
        </w:rPr>
        <w:t xml:space="preserve"> must be </w:t>
      </w:r>
      <w:r w:rsidRPr="002433F3">
        <w:rPr>
          <w:rFonts w:eastAsia="Verdana" w:cs="Verdana"/>
          <w:spacing w:val="3"/>
          <w:szCs w:val="20"/>
          <w:lang w:val="en-US"/>
        </w:rPr>
        <w:t xml:space="preserve">presented </w:t>
      </w:r>
      <w:r w:rsidR="007B0DE4" w:rsidRPr="002433F3">
        <w:rPr>
          <w:rFonts w:eastAsia="Verdana" w:cs="Verdana"/>
          <w:spacing w:val="3"/>
          <w:szCs w:val="20"/>
          <w:lang w:val="en-US"/>
        </w:rPr>
        <w:t>to the Court</w:t>
      </w:r>
      <w:r w:rsidR="007B0DE4" w:rsidRPr="002433F3">
        <w:rPr>
          <w:rFonts w:eastAsia="Verdana" w:cs="Verdana"/>
          <w:spacing w:val="9"/>
          <w:szCs w:val="20"/>
          <w:lang w:val="en-US"/>
        </w:rPr>
        <w:t xml:space="preserve"> at the </w:t>
      </w:r>
      <w:r w:rsidR="007B0DE4" w:rsidRPr="002433F3">
        <w:rPr>
          <w:rFonts w:eastAsia="Verdana" w:cs="Verdana"/>
          <w:spacing w:val="1"/>
          <w:szCs w:val="20"/>
          <w:lang w:val="en-US"/>
        </w:rPr>
        <w:t>first</w:t>
      </w:r>
      <w:r w:rsidR="007B0DE4" w:rsidRPr="002433F3">
        <w:rPr>
          <w:rFonts w:eastAsia="Verdana" w:cs="Verdana"/>
          <w:spacing w:val="-5"/>
          <w:szCs w:val="20"/>
          <w:lang w:val="en-US"/>
        </w:rPr>
        <w:t xml:space="preserve"> procedural opportunity </w:t>
      </w:r>
      <w:r w:rsidR="007B0DE4" w:rsidRPr="002433F3">
        <w:rPr>
          <w:rFonts w:eastAsia="Verdana" w:cs="Verdana"/>
          <w:szCs w:val="20"/>
          <w:lang w:val="en-US"/>
        </w:rPr>
        <w:t>granted them,</w:t>
      </w:r>
      <w:r w:rsidR="007B0DE4" w:rsidRPr="002433F3">
        <w:rPr>
          <w:rFonts w:eastAsia="Verdana" w:cs="Verdana"/>
          <w:spacing w:val="-3"/>
          <w:szCs w:val="20"/>
          <w:lang w:val="en-US"/>
        </w:rPr>
        <w:t xml:space="preserve"> </w:t>
      </w:r>
      <w:r w:rsidRPr="002433F3">
        <w:rPr>
          <w:rFonts w:eastAsia="Verdana" w:cs="Verdana"/>
          <w:spacing w:val="-3"/>
          <w:szCs w:val="20"/>
          <w:lang w:val="en-US"/>
        </w:rPr>
        <w:t>namely</w:t>
      </w:r>
      <w:r w:rsidR="007B0DE4" w:rsidRPr="002433F3">
        <w:rPr>
          <w:rFonts w:eastAsia="Verdana" w:cs="Verdana"/>
          <w:szCs w:val="20"/>
          <w:lang w:val="en-US"/>
        </w:rPr>
        <w:t xml:space="preserve">, in </w:t>
      </w:r>
      <w:r w:rsidR="007B0DE4" w:rsidRPr="002433F3">
        <w:rPr>
          <w:rFonts w:eastAsia="Verdana" w:cs="Verdana"/>
          <w:spacing w:val="3"/>
          <w:szCs w:val="20"/>
          <w:lang w:val="en-US"/>
        </w:rPr>
        <w:t xml:space="preserve">the </w:t>
      </w:r>
      <w:r w:rsidRPr="002433F3">
        <w:rPr>
          <w:rFonts w:eastAsia="Verdana" w:cs="Verdana"/>
          <w:spacing w:val="3"/>
          <w:szCs w:val="20"/>
          <w:lang w:val="en-US"/>
        </w:rPr>
        <w:t xml:space="preserve">brief containing </w:t>
      </w:r>
      <w:r w:rsidR="007B0DE4" w:rsidRPr="002433F3">
        <w:rPr>
          <w:rFonts w:eastAsia="Verdana" w:cs="Verdana"/>
          <w:spacing w:val="3"/>
          <w:szCs w:val="20"/>
          <w:lang w:val="en-US"/>
        </w:rPr>
        <w:t>pleadings and motions</w:t>
      </w:r>
      <w:r w:rsidRPr="002433F3">
        <w:rPr>
          <w:rFonts w:eastAsia="Verdana" w:cs="Verdana"/>
          <w:spacing w:val="3"/>
          <w:szCs w:val="20"/>
          <w:lang w:val="en-US"/>
        </w:rPr>
        <w:t>,</w:t>
      </w:r>
      <w:r w:rsidR="007B0DE4" w:rsidRPr="002433F3">
        <w:rPr>
          <w:rFonts w:eastAsia="Verdana" w:cs="Verdana"/>
          <w:spacing w:val="-10"/>
          <w:szCs w:val="20"/>
          <w:lang w:val="en-US"/>
        </w:rPr>
        <w:t xml:space="preserve"> without </w:t>
      </w:r>
      <w:r w:rsidRPr="002433F3">
        <w:rPr>
          <w:lang w:val="en-US"/>
        </w:rPr>
        <w:t>prejudice to those claims being updated subsequently, to include new costs and expenses incurred as a result of the proceedings before this Court</w:t>
      </w:r>
      <w:r w:rsidR="007B0DE4" w:rsidRPr="002433F3">
        <w:rPr>
          <w:rFonts w:eastAsia="Verdana" w:cs="Verdana"/>
          <w:spacing w:val="-1"/>
          <w:szCs w:val="20"/>
          <w:lang w:val="en-US"/>
        </w:rPr>
        <w:t>.</w:t>
      </w:r>
      <w:r w:rsidR="007B0DE4" w:rsidRPr="002433F3">
        <w:rPr>
          <w:rFonts w:eastAsia="Verdana" w:cs="Verdana"/>
          <w:spacing w:val="11"/>
          <w:szCs w:val="20"/>
          <w:lang w:val="en-US"/>
        </w:rPr>
        <w:t>”</w:t>
      </w:r>
      <w:r w:rsidR="007B0DE4" w:rsidRPr="002433F3">
        <w:rPr>
          <w:rFonts w:eastAsia="Verdana" w:cs="Verdana"/>
          <w:spacing w:val="11"/>
          <w:szCs w:val="20"/>
          <w:vertAlign w:val="superscript"/>
          <w:lang w:val="en-US"/>
        </w:rPr>
        <w:footnoteReference w:id="179"/>
      </w:r>
      <w:r w:rsidR="007B0DE4" w:rsidRPr="002433F3">
        <w:rPr>
          <w:rFonts w:eastAsia="Verdana" w:cs="Verdana"/>
          <w:szCs w:val="20"/>
          <w:lang w:val="en-US"/>
        </w:rPr>
        <w:t xml:space="preserve"> </w:t>
      </w:r>
      <w:r w:rsidRPr="002433F3">
        <w:rPr>
          <w:rFonts w:eastAsia="Verdana" w:cs="Verdana"/>
          <w:szCs w:val="20"/>
          <w:lang w:val="en-US"/>
        </w:rPr>
        <w:t>T</w:t>
      </w:r>
      <w:r w:rsidR="007B0DE4" w:rsidRPr="002433F3">
        <w:rPr>
          <w:rFonts w:eastAsia="Verdana" w:cs="Verdana"/>
          <w:spacing w:val="3"/>
          <w:szCs w:val="20"/>
          <w:lang w:val="en-US"/>
        </w:rPr>
        <w:t>he Court</w:t>
      </w:r>
      <w:r w:rsidR="007B0DE4" w:rsidRPr="002433F3">
        <w:rPr>
          <w:rFonts w:eastAsia="Verdana" w:cs="Verdana"/>
          <w:spacing w:val="7"/>
          <w:szCs w:val="20"/>
          <w:lang w:val="en-US"/>
        </w:rPr>
        <w:t xml:space="preserve"> </w:t>
      </w:r>
      <w:r w:rsidRPr="002433F3">
        <w:rPr>
          <w:rFonts w:eastAsia="Verdana" w:cs="Verdana"/>
          <w:spacing w:val="7"/>
          <w:szCs w:val="20"/>
          <w:lang w:val="en-US"/>
        </w:rPr>
        <w:t xml:space="preserve">also </w:t>
      </w:r>
      <w:r w:rsidR="007B0DE4" w:rsidRPr="002433F3">
        <w:rPr>
          <w:rFonts w:eastAsia="Verdana" w:cs="Verdana"/>
          <w:spacing w:val="-1"/>
          <w:szCs w:val="20"/>
          <w:lang w:val="en-US"/>
        </w:rPr>
        <w:t>reiterates</w:t>
      </w:r>
      <w:r w:rsidR="007B0DE4" w:rsidRPr="002433F3">
        <w:rPr>
          <w:rFonts w:eastAsia="Verdana" w:cs="Verdana"/>
          <w:spacing w:val="7"/>
          <w:szCs w:val="20"/>
          <w:lang w:val="en-US"/>
        </w:rPr>
        <w:t xml:space="preserve"> that </w:t>
      </w:r>
      <w:r w:rsidR="007B0DE4" w:rsidRPr="002433F3">
        <w:rPr>
          <w:lang w:val="en-US"/>
        </w:rPr>
        <w:t xml:space="preserve">it is not sufficient to remit probative documents; rather the parties must provide </w:t>
      </w:r>
      <w:r w:rsidRPr="002433F3">
        <w:rPr>
          <w:lang w:val="en-US"/>
        </w:rPr>
        <w:t xml:space="preserve">the </w:t>
      </w:r>
      <w:r w:rsidR="007B0DE4" w:rsidRPr="002433F3">
        <w:rPr>
          <w:lang w:val="en-US"/>
        </w:rPr>
        <w:t xml:space="preserve">reasoning that relates the evidence to the fact under consideration, and, in the case of alleged financial disbursements, </w:t>
      </w:r>
      <w:r w:rsidRPr="002433F3">
        <w:rPr>
          <w:lang w:val="en-US"/>
        </w:rPr>
        <w:t>the items and their justification must be clearly described</w:t>
      </w:r>
      <w:r w:rsidR="007B0DE4" w:rsidRPr="002433F3">
        <w:rPr>
          <w:rFonts w:eastAsia="Verdana" w:cs="Verdana"/>
          <w:spacing w:val="7"/>
          <w:szCs w:val="20"/>
          <w:lang w:val="en-US"/>
        </w:rPr>
        <w:t>.</w:t>
      </w:r>
      <w:r w:rsidR="007B0DE4" w:rsidRPr="002433F3">
        <w:rPr>
          <w:rFonts w:eastAsia="Verdana" w:cs="Verdana"/>
          <w:spacing w:val="7"/>
          <w:szCs w:val="20"/>
          <w:vertAlign w:val="superscript"/>
          <w:lang w:val="en-US"/>
        </w:rPr>
        <w:footnoteReference w:id="180"/>
      </w:r>
    </w:p>
    <w:p w14:paraId="7B95CCB6" w14:textId="77777777" w:rsidR="007B0DE4" w:rsidRPr="002433F3" w:rsidRDefault="007B0DE4" w:rsidP="007B0DE4">
      <w:pPr>
        <w:numPr>
          <w:ilvl w:val="0"/>
          <w:numId w:val="2"/>
        </w:numPr>
        <w:spacing w:before="120" w:after="120"/>
        <w:rPr>
          <w:spacing w:val="-2"/>
          <w:szCs w:val="20"/>
          <w:lang w:val="en-US"/>
        </w:rPr>
      </w:pPr>
      <w:r w:rsidRPr="002433F3">
        <w:rPr>
          <w:spacing w:val="-2"/>
          <w:szCs w:val="20"/>
          <w:lang w:val="en-US"/>
        </w:rPr>
        <w:t>In this case, the Court finds that the evidence provided by the representatives refers only to travel expenses and airline tickets to Washington D.C. However, no hearing took place before the Commission in relation</w:t>
      </w:r>
      <w:r w:rsidR="00B21888" w:rsidRPr="002433F3">
        <w:rPr>
          <w:spacing w:val="-2"/>
          <w:szCs w:val="20"/>
          <w:lang w:val="en-US"/>
        </w:rPr>
        <w:t xml:space="preserve"> to this case, and therefore </w:t>
      </w:r>
      <w:r w:rsidRPr="002433F3">
        <w:rPr>
          <w:spacing w:val="-2"/>
          <w:szCs w:val="20"/>
          <w:lang w:val="en-US"/>
        </w:rPr>
        <w:t>these expenses are not duly justified.</w:t>
      </w:r>
      <w:r w:rsidRPr="002433F3">
        <w:rPr>
          <w:rStyle w:val="Refdenotaalpie"/>
          <w:spacing w:val="-2"/>
          <w:lang w:val="en-US"/>
        </w:rPr>
        <w:footnoteReference w:id="181"/>
      </w:r>
      <w:r w:rsidRPr="002433F3">
        <w:rPr>
          <w:spacing w:val="-2"/>
          <w:szCs w:val="20"/>
          <w:lang w:val="en-US"/>
        </w:rPr>
        <w:t xml:space="preserve"> </w:t>
      </w:r>
      <w:r w:rsidR="00B21888" w:rsidRPr="002433F3">
        <w:rPr>
          <w:spacing w:val="-2"/>
          <w:szCs w:val="20"/>
          <w:lang w:val="en-US"/>
        </w:rPr>
        <w:t>T</w:t>
      </w:r>
      <w:r w:rsidRPr="002433F3">
        <w:rPr>
          <w:spacing w:val="-2"/>
          <w:szCs w:val="20"/>
          <w:lang w:val="en-US"/>
        </w:rPr>
        <w:t xml:space="preserve">he Court </w:t>
      </w:r>
      <w:r w:rsidR="00B21888" w:rsidRPr="002433F3">
        <w:rPr>
          <w:spacing w:val="-2"/>
          <w:szCs w:val="20"/>
          <w:lang w:val="en-US"/>
        </w:rPr>
        <w:t xml:space="preserve">also </w:t>
      </w:r>
      <w:r w:rsidR="00874097" w:rsidRPr="002433F3">
        <w:rPr>
          <w:spacing w:val="-2"/>
          <w:szCs w:val="20"/>
          <w:lang w:val="en-US"/>
        </w:rPr>
        <w:t xml:space="preserve">notes </w:t>
      </w:r>
      <w:r w:rsidRPr="002433F3">
        <w:rPr>
          <w:spacing w:val="-2"/>
          <w:szCs w:val="20"/>
          <w:lang w:val="en-US"/>
        </w:rPr>
        <w:t xml:space="preserve">that the representatives did not provide evidence of </w:t>
      </w:r>
      <w:r w:rsidR="00B21888" w:rsidRPr="002433F3">
        <w:rPr>
          <w:spacing w:val="-2"/>
          <w:szCs w:val="20"/>
          <w:lang w:val="en-US"/>
        </w:rPr>
        <w:t xml:space="preserve">the </w:t>
      </w:r>
      <w:r w:rsidRPr="002433F3">
        <w:rPr>
          <w:spacing w:val="-2"/>
          <w:szCs w:val="20"/>
          <w:lang w:val="en-US"/>
        </w:rPr>
        <w:t>expenses related to the processing of the case before the Court and the hearing held on August 25, 2015, in Tegucigalpa, Honduras</w:t>
      </w:r>
      <w:r w:rsidR="00B21888" w:rsidRPr="002433F3">
        <w:rPr>
          <w:spacing w:val="-2"/>
          <w:szCs w:val="20"/>
          <w:lang w:val="en-US"/>
        </w:rPr>
        <w:t>,</w:t>
      </w:r>
      <w:r w:rsidRPr="002433F3">
        <w:rPr>
          <w:spacing w:val="-2"/>
          <w:szCs w:val="20"/>
          <w:lang w:val="en-US"/>
        </w:rPr>
        <w:t xml:space="preserve"> during the 53</w:t>
      </w:r>
      <w:r w:rsidRPr="002433F3">
        <w:rPr>
          <w:spacing w:val="-2"/>
          <w:szCs w:val="20"/>
          <w:vertAlign w:val="superscript"/>
          <w:lang w:val="en-US"/>
        </w:rPr>
        <w:t>rd</w:t>
      </w:r>
      <w:r w:rsidRPr="002433F3">
        <w:rPr>
          <w:spacing w:val="-2"/>
          <w:szCs w:val="20"/>
          <w:lang w:val="en-US"/>
        </w:rPr>
        <w:t xml:space="preserve"> Special Session of the Court. </w:t>
      </w:r>
      <w:r w:rsidR="00B21888" w:rsidRPr="002433F3">
        <w:rPr>
          <w:spacing w:val="-2"/>
          <w:szCs w:val="20"/>
          <w:lang w:val="en-US"/>
        </w:rPr>
        <w:t xml:space="preserve">Furthermore, </w:t>
      </w:r>
      <w:r w:rsidRPr="002433F3">
        <w:rPr>
          <w:spacing w:val="-2"/>
          <w:szCs w:val="20"/>
          <w:lang w:val="en-US"/>
        </w:rPr>
        <w:t xml:space="preserve">they </w:t>
      </w:r>
      <w:r w:rsidR="00B21888" w:rsidRPr="002433F3">
        <w:rPr>
          <w:spacing w:val="-2"/>
          <w:szCs w:val="20"/>
          <w:lang w:val="en-US"/>
        </w:rPr>
        <w:t xml:space="preserve">did not </w:t>
      </w:r>
      <w:r w:rsidRPr="002433F3">
        <w:rPr>
          <w:spacing w:val="-2"/>
          <w:szCs w:val="20"/>
          <w:lang w:val="en-US"/>
        </w:rPr>
        <w:t>provide evidence regarding the expenses incurred by the attorney Germán Humberto Rincón Perfetti during the domestic proceedings. Therefore, in the absence of supporting evidence, the Court is unable to determine the expenses incurred.</w:t>
      </w:r>
    </w:p>
    <w:p w14:paraId="3CDB6491" w14:textId="77777777" w:rsidR="007B0DE4" w:rsidRPr="002433F3" w:rsidRDefault="007B0DE4" w:rsidP="007B0DE4">
      <w:pPr>
        <w:numPr>
          <w:ilvl w:val="0"/>
          <w:numId w:val="2"/>
        </w:numPr>
        <w:spacing w:before="120" w:after="120"/>
        <w:rPr>
          <w:spacing w:val="-2"/>
          <w:szCs w:val="20"/>
          <w:lang w:val="en-US"/>
        </w:rPr>
      </w:pPr>
      <w:r w:rsidRPr="002433F3">
        <w:rPr>
          <w:spacing w:val="-2"/>
          <w:szCs w:val="20"/>
          <w:lang w:val="en-US"/>
        </w:rPr>
        <w:t xml:space="preserve">Consequently, the Court decides to </w:t>
      </w:r>
      <w:r w:rsidR="00B21888" w:rsidRPr="002433F3">
        <w:rPr>
          <w:spacing w:val="-2"/>
          <w:szCs w:val="20"/>
          <w:lang w:val="en-US"/>
        </w:rPr>
        <w:t xml:space="preserve">award </w:t>
      </w:r>
      <w:r w:rsidRPr="002433F3">
        <w:rPr>
          <w:spacing w:val="-2"/>
          <w:szCs w:val="20"/>
          <w:lang w:val="en-US"/>
        </w:rPr>
        <w:t xml:space="preserve">a total of USD$ 10,000 (ten </w:t>
      </w:r>
      <w:r w:rsidR="00B21888" w:rsidRPr="002433F3">
        <w:rPr>
          <w:spacing w:val="-2"/>
          <w:szCs w:val="20"/>
          <w:lang w:val="en-US"/>
        </w:rPr>
        <w:t>thousand United States dollars)</w:t>
      </w:r>
      <w:r w:rsidRPr="002433F3">
        <w:rPr>
          <w:spacing w:val="-2"/>
          <w:szCs w:val="20"/>
          <w:lang w:val="en-US"/>
        </w:rPr>
        <w:t xml:space="preserve"> for the</w:t>
      </w:r>
      <w:r w:rsidR="00B21888" w:rsidRPr="002433F3">
        <w:rPr>
          <w:spacing w:val="-2"/>
          <w:szCs w:val="20"/>
          <w:lang w:val="en-US"/>
        </w:rPr>
        <w:t>ir</w:t>
      </w:r>
      <w:r w:rsidRPr="002433F3">
        <w:rPr>
          <w:spacing w:val="-2"/>
          <w:szCs w:val="20"/>
          <w:lang w:val="en-US"/>
        </w:rPr>
        <w:t xml:space="preserve"> work in </w:t>
      </w:r>
      <w:r w:rsidR="00B21888" w:rsidRPr="002433F3">
        <w:rPr>
          <w:spacing w:val="-2"/>
          <w:szCs w:val="20"/>
          <w:lang w:val="en-US"/>
        </w:rPr>
        <w:t xml:space="preserve">the </w:t>
      </w:r>
      <w:r w:rsidRPr="002433F3">
        <w:rPr>
          <w:spacing w:val="-2"/>
          <w:szCs w:val="20"/>
          <w:lang w:val="en-US"/>
        </w:rPr>
        <w:t>litigati</w:t>
      </w:r>
      <w:r w:rsidR="00B21888" w:rsidRPr="002433F3">
        <w:rPr>
          <w:spacing w:val="-2"/>
          <w:szCs w:val="20"/>
          <w:lang w:val="en-US"/>
        </w:rPr>
        <w:t xml:space="preserve">on of </w:t>
      </w:r>
      <w:r w:rsidRPr="002433F3">
        <w:rPr>
          <w:spacing w:val="-2"/>
          <w:szCs w:val="20"/>
          <w:lang w:val="en-US"/>
        </w:rPr>
        <w:t>the case</w:t>
      </w:r>
      <w:r w:rsidR="00B21888" w:rsidRPr="002433F3">
        <w:rPr>
          <w:spacing w:val="-2"/>
          <w:szCs w:val="20"/>
          <w:lang w:val="en-US"/>
        </w:rPr>
        <w:t>, both</w:t>
      </w:r>
      <w:r w:rsidRPr="002433F3">
        <w:rPr>
          <w:spacing w:val="-2"/>
          <w:szCs w:val="20"/>
          <w:lang w:val="en-US"/>
        </w:rPr>
        <w:t xml:space="preserve"> at the national and international levels, which the State must pay to the representatives within six months of notification of this Judgment. The Court considers that</w:t>
      </w:r>
      <w:r w:rsidR="00874097" w:rsidRPr="002433F3">
        <w:rPr>
          <w:spacing w:val="-2"/>
          <w:szCs w:val="20"/>
          <w:lang w:val="en-US"/>
        </w:rPr>
        <w:t>,</w:t>
      </w:r>
      <w:r w:rsidRPr="002433F3">
        <w:rPr>
          <w:spacing w:val="-2"/>
          <w:szCs w:val="20"/>
          <w:lang w:val="en-US"/>
        </w:rPr>
        <w:t xml:space="preserve"> </w:t>
      </w:r>
      <w:r w:rsidR="008F6105" w:rsidRPr="002433F3">
        <w:rPr>
          <w:spacing w:val="-2"/>
          <w:szCs w:val="20"/>
          <w:lang w:val="en-US"/>
        </w:rPr>
        <w:t xml:space="preserve">during </w:t>
      </w:r>
      <w:r w:rsidRPr="002433F3">
        <w:rPr>
          <w:spacing w:val="-2"/>
          <w:szCs w:val="20"/>
          <w:lang w:val="en-US"/>
        </w:rPr>
        <w:t xml:space="preserve">the </w:t>
      </w:r>
      <w:r w:rsidR="00874097" w:rsidRPr="002433F3">
        <w:rPr>
          <w:spacing w:val="-2"/>
          <w:szCs w:val="20"/>
          <w:lang w:val="en-US"/>
        </w:rPr>
        <w:t xml:space="preserve">stage of </w:t>
      </w:r>
      <w:r w:rsidRPr="002433F3">
        <w:rPr>
          <w:spacing w:val="-2"/>
          <w:szCs w:val="20"/>
          <w:lang w:val="en-US"/>
        </w:rPr>
        <w:t>monitoring compliance with judgment</w:t>
      </w:r>
      <w:r w:rsidR="00874097" w:rsidRPr="002433F3">
        <w:rPr>
          <w:spacing w:val="-2"/>
          <w:szCs w:val="20"/>
          <w:lang w:val="en-US"/>
        </w:rPr>
        <w:t>,</w:t>
      </w:r>
      <w:r w:rsidR="008F6105" w:rsidRPr="002433F3">
        <w:rPr>
          <w:spacing w:val="-2"/>
          <w:szCs w:val="20"/>
          <w:lang w:val="en-US"/>
        </w:rPr>
        <w:t xml:space="preserve"> </w:t>
      </w:r>
      <w:r w:rsidRPr="002433F3">
        <w:rPr>
          <w:spacing w:val="-2"/>
          <w:szCs w:val="20"/>
          <w:lang w:val="en-US"/>
        </w:rPr>
        <w:t xml:space="preserve">it may order the State </w:t>
      </w:r>
      <w:r w:rsidRPr="002433F3">
        <w:rPr>
          <w:lang w:val="en-US"/>
        </w:rPr>
        <w:t>to reimburse the victim</w:t>
      </w:r>
      <w:r w:rsidRPr="002433F3">
        <w:rPr>
          <w:spacing w:val="-2"/>
          <w:szCs w:val="20"/>
          <w:lang w:val="en-US"/>
        </w:rPr>
        <w:t xml:space="preserve"> or his representatives for subsequent expenses incurred</w:t>
      </w:r>
      <w:r w:rsidR="008F6105" w:rsidRPr="002433F3">
        <w:rPr>
          <w:spacing w:val="-2"/>
          <w:szCs w:val="20"/>
          <w:lang w:val="en-US"/>
        </w:rPr>
        <w:t xml:space="preserve"> at that stage</w:t>
      </w:r>
      <w:r w:rsidRPr="002433F3">
        <w:rPr>
          <w:spacing w:val="-2"/>
          <w:szCs w:val="20"/>
          <w:lang w:val="en-US"/>
        </w:rPr>
        <w:t xml:space="preserve">, </w:t>
      </w:r>
      <w:r w:rsidRPr="002433F3">
        <w:rPr>
          <w:lang w:val="en-US"/>
        </w:rPr>
        <w:t>provided that these are reasonable</w:t>
      </w:r>
      <w:r w:rsidRPr="002433F3">
        <w:rPr>
          <w:spacing w:val="-2"/>
          <w:szCs w:val="20"/>
          <w:lang w:val="en-US"/>
        </w:rPr>
        <w:t>.</w:t>
      </w:r>
    </w:p>
    <w:p w14:paraId="47ADF1A8" w14:textId="77777777" w:rsidR="007B0DE4" w:rsidRPr="002433F3" w:rsidRDefault="007B0DE4" w:rsidP="007B0DE4">
      <w:pPr>
        <w:pStyle w:val="Ttulo2"/>
        <w:numPr>
          <w:ilvl w:val="0"/>
          <w:numId w:val="13"/>
        </w:numPr>
        <w:spacing w:before="280" w:after="280"/>
        <w:rPr>
          <w:noProof w:val="0"/>
          <w:lang w:val="en-US"/>
        </w:rPr>
      </w:pPr>
      <w:bookmarkStart w:id="153" w:name="_Toc448482289"/>
      <w:r w:rsidRPr="002433F3">
        <w:rPr>
          <w:noProof w:val="0"/>
          <w:lang w:val="en-US"/>
        </w:rPr>
        <w:t>Reimbursement of expenses to the Victims’ Legal Assistance Fund</w:t>
      </w:r>
      <w:bookmarkEnd w:id="149"/>
      <w:bookmarkEnd w:id="150"/>
      <w:bookmarkEnd w:id="153"/>
    </w:p>
    <w:p w14:paraId="771C91D8" w14:textId="77777777" w:rsidR="007B0DE4" w:rsidRPr="002433F3" w:rsidRDefault="007B0DE4" w:rsidP="007B0DE4">
      <w:pPr>
        <w:numPr>
          <w:ilvl w:val="0"/>
          <w:numId w:val="2"/>
        </w:numPr>
        <w:spacing w:before="120" w:after="120"/>
        <w:rPr>
          <w:spacing w:val="-2"/>
          <w:szCs w:val="20"/>
          <w:lang w:val="en-US"/>
        </w:rPr>
      </w:pPr>
      <w:r w:rsidRPr="002433F3">
        <w:rPr>
          <w:spacing w:val="-2"/>
          <w:szCs w:val="20"/>
          <w:lang w:val="en-US"/>
        </w:rPr>
        <w:t xml:space="preserve">The </w:t>
      </w:r>
      <w:r w:rsidRPr="002433F3">
        <w:rPr>
          <w:i/>
          <w:spacing w:val="-2"/>
          <w:szCs w:val="20"/>
          <w:lang w:val="en-US"/>
        </w:rPr>
        <w:t>representatives</w:t>
      </w:r>
      <w:r w:rsidRPr="002433F3">
        <w:rPr>
          <w:spacing w:val="-2"/>
          <w:szCs w:val="20"/>
          <w:lang w:val="en-US"/>
        </w:rPr>
        <w:t xml:space="preserve"> of the victim requested support </w:t>
      </w:r>
      <w:r w:rsidR="008F6105" w:rsidRPr="002433F3">
        <w:rPr>
          <w:spacing w:val="-2"/>
          <w:szCs w:val="20"/>
          <w:lang w:val="en-US"/>
        </w:rPr>
        <w:t xml:space="preserve">from </w:t>
      </w:r>
      <w:r w:rsidRPr="002433F3">
        <w:rPr>
          <w:spacing w:val="-2"/>
          <w:szCs w:val="20"/>
          <w:lang w:val="en-US"/>
        </w:rPr>
        <w:t>the Victims’ Leg</w:t>
      </w:r>
      <w:r w:rsidR="008F6105" w:rsidRPr="002433F3">
        <w:rPr>
          <w:spacing w:val="-2"/>
          <w:szCs w:val="20"/>
          <w:lang w:val="en-US"/>
        </w:rPr>
        <w:t xml:space="preserve">al Assistance Fund to cover </w:t>
      </w:r>
      <w:r w:rsidRPr="002433F3">
        <w:rPr>
          <w:spacing w:val="-2"/>
          <w:szCs w:val="20"/>
          <w:lang w:val="en-US"/>
        </w:rPr>
        <w:t xml:space="preserve">expenses </w:t>
      </w:r>
      <w:r w:rsidR="008F6105" w:rsidRPr="002433F3">
        <w:rPr>
          <w:spacing w:val="-2"/>
          <w:szCs w:val="20"/>
          <w:lang w:val="en-US"/>
        </w:rPr>
        <w:t xml:space="preserve">incurred in </w:t>
      </w:r>
      <w:r w:rsidRPr="002433F3">
        <w:rPr>
          <w:spacing w:val="-2"/>
          <w:szCs w:val="20"/>
          <w:lang w:val="en-US"/>
        </w:rPr>
        <w:t xml:space="preserve">the litigation </w:t>
      </w:r>
      <w:r w:rsidR="008F6105" w:rsidRPr="002433F3">
        <w:rPr>
          <w:spacing w:val="-2"/>
          <w:szCs w:val="20"/>
          <w:lang w:val="en-US"/>
        </w:rPr>
        <w:t xml:space="preserve">of this case </w:t>
      </w:r>
      <w:r w:rsidRPr="002433F3">
        <w:rPr>
          <w:spacing w:val="-2"/>
          <w:szCs w:val="20"/>
          <w:lang w:val="en-US"/>
        </w:rPr>
        <w:t xml:space="preserve">before the Court. </w:t>
      </w:r>
      <w:r w:rsidR="008F6105" w:rsidRPr="002433F3">
        <w:rPr>
          <w:spacing w:val="-2"/>
          <w:szCs w:val="20"/>
          <w:lang w:val="en-US"/>
        </w:rPr>
        <w:t xml:space="preserve">In an </w:t>
      </w:r>
      <w:r w:rsidRPr="002433F3">
        <w:rPr>
          <w:spacing w:val="-2"/>
          <w:szCs w:val="20"/>
          <w:lang w:val="en-US"/>
        </w:rPr>
        <w:t xml:space="preserve">Order of May 5, 2015, the </w:t>
      </w:r>
      <w:r w:rsidR="008F6105" w:rsidRPr="002433F3">
        <w:rPr>
          <w:rFonts w:cs="Vrinda"/>
          <w:lang w:val="en-US" w:bidi="en-US"/>
        </w:rPr>
        <w:t>President of the Court granted</w:t>
      </w:r>
      <w:r w:rsidR="008F6105" w:rsidRPr="002433F3">
        <w:rPr>
          <w:spacing w:val="-2"/>
          <w:szCs w:val="20"/>
          <w:lang w:val="en-US"/>
        </w:rPr>
        <w:t xml:space="preserve"> </w:t>
      </w:r>
      <w:r w:rsidRPr="002433F3">
        <w:rPr>
          <w:spacing w:val="-2"/>
          <w:szCs w:val="20"/>
          <w:lang w:val="en-US"/>
        </w:rPr>
        <w:t>the representatives</w:t>
      </w:r>
      <w:r w:rsidR="0008408A" w:rsidRPr="002433F3">
        <w:rPr>
          <w:spacing w:val="-2"/>
          <w:szCs w:val="20"/>
          <w:lang w:val="en-US"/>
        </w:rPr>
        <w:t xml:space="preserve"> the</w:t>
      </w:r>
      <w:r w:rsidR="008F6105" w:rsidRPr="002433F3">
        <w:rPr>
          <w:spacing w:val="-2"/>
          <w:szCs w:val="20"/>
          <w:lang w:val="en-US"/>
        </w:rPr>
        <w:t xml:space="preserve"> </w:t>
      </w:r>
      <w:r w:rsidRPr="002433F3">
        <w:rPr>
          <w:spacing w:val="-2"/>
          <w:szCs w:val="20"/>
          <w:lang w:val="en-US"/>
        </w:rPr>
        <w:t xml:space="preserve">financial assistance </w:t>
      </w:r>
      <w:r w:rsidR="0008408A" w:rsidRPr="002433F3">
        <w:rPr>
          <w:spacing w:val="-2"/>
          <w:szCs w:val="20"/>
          <w:lang w:val="en-US"/>
        </w:rPr>
        <w:t xml:space="preserve">necessary </w:t>
      </w:r>
      <w:r w:rsidR="008F6105" w:rsidRPr="002433F3">
        <w:rPr>
          <w:spacing w:val="-2"/>
          <w:szCs w:val="20"/>
          <w:lang w:val="en-US"/>
        </w:rPr>
        <w:t xml:space="preserve">for the presentation of </w:t>
      </w:r>
      <w:r w:rsidRPr="002433F3">
        <w:rPr>
          <w:spacing w:val="-2"/>
          <w:szCs w:val="20"/>
          <w:lang w:val="en-US"/>
        </w:rPr>
        <w:t xml:space="preserve">a maximum of three statements, either at the hearing or by affidavit. </w:t>
      </w:r>
    </w:p>
    <w:p w14:paraId="1E14072E" w14:textId="77777777" w:rsidR="007B0DE4" w:rsidRPr="002433F3" w:rsidRDefault="007B0DE4" w:rsidP="007B0DE4">
      <w:pPr>
        <w:numPr>
          <w:ilvl w:val="0"/>
          <w:numId w:val="2"/>
        </w:numPr>
        <w:spacing w:before="120" w:after="120"/>
        <w:rPr>
          <w:spacing w:val="-2"/>
          <w:szCs w:val="20"/>
          <w:lang w:val="en-US"/>
        </w:rPr>
      </w:pPr>
      <w:r w:rsidRPr="002433F3">
        <w:rPr>
          <w:spacing w:val="-2"/>
          <w:szCs w:val="20"/>
          <w:lang w:val="en-US"/>
        </w:rPr>
        <w:t xml:space="preserve">In the instant case, the Victims’ Legal Assistance Fund was used to cover expenses </w:t>
      </w:r>
      <w:r w:rsidR="006128CB" w:rsidRPr="002433F3">
        <w:rPr>
          <w:spacing w:val="-2"/>
          <w:szCs w:val="20"/>
          <w:lang w:val="en-US"/>
        </w:rPr>
        <w:t xml:space="preserve">related to </w:t>
      </w:r>
      <w:r w:rsidRPr="002433F3">
        <w:rPr>
          <w:spacing w:val="-2"/>
          <w:szCs w:val="20"/>
          <w:lang w:val="en-US"/>
        </w:rPr>
        <w:t>air fares for the victim</w:t>
      </w:r>
      <w:r w:rsidR="006128CB" w:rsidRPr="002433F3">
        <w:rPr>
          <w:spacing w:val="-2"/>
          <w:szCs w:val="20"/>
          <w:lang w:val="en-US"/>
        </w:rPr>
        <w:t>,</w:t>
      </w:r>
      <w:r w:rsidRPr="002433F3">
        <w:rPr>
          <w:spacing w:val="-2"/>
          <w:szCs w:val="20"/>
          <w:lang w:val="en-US"/>
        </w:rPr>
        <w:t xml:space="preserve"> Ángel Alberto Duque</w:t>
      </w:r>
      <w:r w:rsidR="006128CB" w:rsidRPr="002433F3">
        <w:rPr>
          <w:spacing w:val="-2"/>
          <w:szCs w:val="20"/>
          <w:lang w:val="en-US"/>
        </w:rPr>
        <w:t>,</w:t>
      </w:r>
      <w:r w:rsidRPr="002433F3">
        <w:rPr>
          <w:spacing w:val="-2"/>
          <w:szCs w:val="20"/>
          <w:lang w:val="en-US"/>
        </w:rPr>
        <w:t xml:space="preserve"> and for the expert witness</w:t>
      </w:r>
      <w:r w:rsidR="006128CB" w:rsidRPr="002433F3">
        <w:rPr>
          <w:spacing w:val="-2"/>
          <w:szCs w:val="20"/>
          <w:lang w:val="en-US"/>
        </w:rPr>
        <w:t>,</w:t>
      </w:r>
      <w:r w:rsidRPr="002433F3">
        <w:rPr>
          <w:spacing w:val="-2"/>
          <w:szCs w:val="20"/>
          <w:lang w:val="en-US"/>
        </w:rPr>
        <w:t xml:space="preserve"> Rodrigo Uprimny Yepes</w:t>
      </w:r>
      <w:r w:rsidR="006128CB" w:rsidRPr="002433F3">
        <w:rPr>
          <w:spacing w:val="-2"/>
          <w:szCs w:val="20"/>
          <w:lang w:val="en-US"/>
        </w:rPr>
        <w:t>,</w:t>
      </w:r>
      <w:r w:rsidRPr="002433F3">
        <w:rPr>
          <w:spacing w:val="-2"/>
          <w:szCs w:val="20"/>
          <w:lang w:val="en-US"/>
        </w:rPr>
        <w:t xml:space="preserve"> from the city of Bogotá, Colombia, to the city of Tegucigalpa, Honduras, where the public hearing in this case took place on August 25, 2015. </w:t>
      </w:r>
      <w:r w:rsidR="005A19E5" w:rsidRPr="002433F3">
        <w:rPr>
          <w:spacing w:val="-2"/>
          <w:szCs w:val="20"/>
          <w:lang w:val="en-US"/>
        </w:rPr>
        <w:t>Other d</w:t>
      </w:r>
      <w:r w:rsidRPr="002433F3">
        <w:rPr>
          <w:spacing w:val="-2"/>
          <w:szCs w:val="20"/>
          <w:lang w:val="en-US"/>
        </w:rPr>
        <w:t>isbursements were</w:t>
      </w:r>
      <w:r w:rsidR="006128CB" w:rsidRPr="002433F3">
        <w:rPr>
          <w:spacing w:val="-2"/>
          <w:szCs w:val="20"/>
          <w:lang w:val="en-US"/>
        </w:rPr>
        <w:t xml:space="preserve"> </w:t>
      </w:r>
      <w:r w:rsidRPr="002433F3">
        <w:rPr>
          <w:spacing w:val="-2"/>
          <w:szCs w:val="20"/>
          <w:lang w:val="en-US"/>
        </w:rPr>
        <w:t xml:space="preserve">made to cover </w:t>
      </w:r>
      <w:r w:rsidR="005A19E5" w:rsidRPr="002433F3">
        <w:rPr>
          <w:spacing w:val="-2"/>
          <w:szCs w:val="20"/>
          <w:lang w:val="en-US"/>
        </w:rPr>
        <w:t xml:space="preserve">the </w:t>
      </w:r>
      <w:r w:rsidR="006128CB" w:rsidRPr="002433F3">
        <w:rPr>
          <w:spacing w:val="-2"/>
          <w:szCs w:val="20"/>
          <w:lang w:val="en-US"/>
        </w:rPr>
        <w:t xml:space="preserve">accommodation and food expenses </w:t>
      </w:r>
      <w:r w:rsidRPr="002433F3">
        <w:rPr>
          <w:spacing w:val="-2"/>
          <w:szCs w:val="20"/>
          <w:lang w:val="en-US"/>
        </w:rPr>
        <w:t>of the victim and of the expert witness, in Tegucigalpa, Honduras, on August 24 and 25, 2</w:t>
      </w:r>
      <w:r w:rsidR="009351F1" w:rsidRPr="002433F3">
        <w:rPr>
          <w:spacing w:val="-2"/>
          <w:szCs w:val="20"/>
          <w:lang w:val="en-US"/>
        </w:rPr>
        <w:t>015. In addition</w:t>
      </w:r>
      <w:r w:rsidRPr="002433F3">
        <w:rPr>
          <w:spacing w:val="-2"/>
          <w:szCs w:val="20"/>
          <w:lang w:val="en-US"/>
        </w:rPr>
        <w:t xml:space="preserve">, both received the amount corresponding to </w:t>
      </w:r>
      <w:r w:rsidR="007135E8" w:rsidRPr="002433F3">
        <w:rPr>
          <w:spacing w:val="-2"/>
          <w:szCs w:val="20"/>
          <w:lang w:val="en-US"/>
        </w:rPr>
        <w:t>t</w:t>
      </w:r>
      <w:r w:rsidR="006128CB" w:rsidRPr="002433F3">
        <w:rPr>
          <w:spacing w:val="-2"/>
          <w:szCs w:val="20"/>
          <w:lang w:val="en-US"/>
        </w:rPr>
        <w:t xml:space="preserve">erminal </w:t>
      </w:r>
      <w:r w:rsidRPr="002433F3">
        <w:rPr>
          <w:spacing w:val="-2"/>
          <w:szCs w:val="20"/>
          <w:lang w:val="en-US"/>
        </w:rPr>
        <w:t>expenses.</w:t>
      </w:r>
      <w:r w:rsidRPr="002433F3">
        <w:rPr>
          <w:rStyle w:val="Refdenotaalpie"/>
          <w:spacing w:val="-2"/>
          <w:lang w:val="en-US"/>
        </w:rPr>
        <w:footnoteReference w:id="182"/>
      </w:r>
    </w:p>
    <w:p w14:paraId="01641EFF" w14:textId="77777777" w:rsidR="007B0DE4" w:rsidRPr="002433F3" w:rsidRDefault="007B0DE4" w:rsidP="007B0DE4">
      <w:pPr>
        <w:numPr>
          <w:ilvl w:val="0"/>
          <w:numId w:val="2"/>
        </w:numPr>
        <w:spacing w:before="120" w:after="120"/>
        <w:rPr>
          <w:spacing w:val="-2"/>
          <w:szCs w:val="20"/>
          <w:lang w:val="en-US"/>
        </w:rPr>
      </w:pPr>
      <w:r w:rsidRPr="002433F3">
        <w:rPr>
          <w:spacing w:val="-2"/>
          <w:szCs w:val="20"/>
          <w:lang w:val="en-US"/>
        </w:rPr>
        <w:lastRenderedPageBreak/>
        <w:t xml:space="preserve">On October 26, 2015, pursuant to Article 5 of the Rules </w:t>
      </w:r>
      <w:r w:rsidR="0008408A" w:rsidRPr="002433F3">
        <w:rPr>
          <w:spacing w:val="-2"/>
          <w:szCs w:val="20"/>
          <w:lang w:val="en-US"/>
        </w:rPr>
        <w:t>for the O</w:t>
      </w:r>
      <w:r w:rsidRPr="002433F3">
        <w:rPr>
          <w:spacing w:val="-2"/>
          <w:szCs w:val="20"/>
          <w:lang w:val="en-US"/>
        </w:rPr>
        <w:t>peration of the Fund</w:t>
      </w:r>
      <w:r w:rsidR="0008408A" w:rsidRPr="002433F3">
        <w:rPr>
          <w:spacing w:val="-2"/>
          <w:szCs w:val="20"/>
          <w:lang w:val="en-US"/>
        </w:rPr>
        <w:t>, a report was forwarded to the State on the disbursements made.</w:t>
      </w:r>
      <w:r w:rsidRPr="002433F3">
        <w:rPr>
          <w:spacing w:val="-2"/>
          <w:szCs w:val="20"/>
          <w:lang w:val="en-US"/>
        </w:rPr>
        <w:t xml:space="preserve"> The State did not present observations </w:t>
      </w:r>
      <w:r w:rsidR="005A19E5" w:rsidRPr="002433F3">
        <w:rPr>
          <w:spacing w:val="-2"/>
          <w:szCs w:val="20"/>
          <w:lang w:val="en-US"/>
        </w:rPr>
        <w:t xml:space="preserve">to the </w:t>
      </w:r>
      <w:r w:rsidR="00274931" w:rsidRPr="002433F3">
        <w:rPr>
          <w:spacing w:val="-2"/>
          <w:szCs w:val="20"/>
          <w:lang w:val="en-US"/>
        </w:rPr>
        <w:t>disbursements reported</w:t>
      </w:r>
      <w:r w:rsidR="0008408A" w:rsidRPr="002433F3">
        <w:rPr>
          <w:spacing w:val="-2"/>
          <w:szCs w:val="20"/>
          <w:lang w:val="en-US"/>
        </w:rPr>
        <w:t xml:space="preserve">, </w:t>
      </w:r>
      <w:r w:rsidRPr="002433F3">
        <w:rPr>
          <w:spacing w:val="-2"/>
          <w:szCs w:val="20"/>
          <w:lang w:val="en-US"/>
        </w:rPr>
        <w:t xml:space="preserve">which </w:t>
      </w:r>
      <w:r w:rsidR="0008408A" w:rsidRPr="002433F3">
        <w:rPr>
          <w:spacing w:val="-2"/>
          <w:szCs w:val="20"/>
          <w:lang w:val="en-US"/>
        </w:rPr>
        <w:t xml:space="preserve">amounted to </w:t>
      </w:r>
      <w:r w:rsidR="008A041E" w:rsidRPr="002433F3">
        <w:rPr>
          <w:spacing w:val="-2"/>
          <w:szCs w:val="20"/>
          <w:lang w:val="en-US"/>
        </w:rPr>
        <w:t>US$ 2,509.</w:t>
      </w:r>
      <w:r w:rsidRPr="002433F3">
        <w:rPr>
          <w:spacing w:val="-2"/>
          <w:szCs w:val="20"/>
          <w:lang w:val="en-US"/>
        </w:rPr>
        <w:t xml:space="preserve">34 (two thousand five hundred and nine United States dollars and thirty-four cents) for the expenses incurred. The State must reimburse this amount to the Inter-American Court within ninety days of notification of this Judgment. </w:t>
      </w:r>
    </w:p>
    <w:p w14:paraId="7905C159" w14:textId="77777777" w:rsidR="007B0DE4" w:rsidRPr="002433F3" w:rsidRDefault="007B0DE4" w:rsidP="007B0DE4">
      <w:pPr>
        <w:pStyle w:val="Ttulo2"/>
        <w:numPr>
          <w:ilvl w:val="0"/>
          <w:numId w:val="13"/>
        </w:numPr>
        <w:spacing w:before="280" w:after="280"/>
        <w:rPr>
          <w:noProof w:val="0"/>
          <w:lang w:val="en-US"/>
        </w:rPr>
      </w:pPr>
      <w:bookmarkStart w:id="154" w:name="_Toc45186723"/>
      <w:bookmarkStart w:id="155" w:name="_Toc448482290"/>
      <w:r w:rsidRPr="002433F3">
        <w:rPr>
          <w:rFonts w:cs="Arial"/>
          <w:noProof w:val="0"/>
          <w:lang w:val="en-US"/>
        </w:rPr>
        <w:t>Method of compliance with the payments ordered</w:t>
      </w:r>
      <w:bookmarkEnd w:id="154"/>
      <w:r w:rsidRPr="002433F3">
        <w:rPr>
          <w:rFonts w:cs="Arial"/>
          <w:noProof w:val="0"/>
          <w:lang w:val="en-US"/>
        </w:rPr>
        <w:t xml:space="preserve"> </w:t>
      </w:r>
      <w:bookmarkEnd w:id="151"/>
      <w:bookmarkEnd w:id="152"/>
      <w:bookmarkEnd w:id="155"/>
    </w:p>
    <w:p w14:paraId="6CD773AF" w14:textId="77777777" w:rsidR="007B0DE4" w:rsidRPr="002433F3" w:rsidRDefault="007B0DE4" w:rsidP="007B0DE4">
      <w:pPr>
        <w:numPr>
          <w:ilvl w:val="0"/>
          <w:numId w:val="2"/>
        </w:numPr>
        <w:spacing w:before="120" w:after="120"/>
        <w:rPr>
          <w:spacing w:val="-2"/>
          <w:szCs w:val="20"/>
          <w:lang w:val="en-US"/>
        </w:rPr>
      </w:pPr>
      <w:r w:rsidRPr="002433F3">
        <w:rPr>
          <w:spacing w:val="-2"/>
          <w:szCs w:val="20"/>
          <w:lang w:val="en-US"/>
        </w:rPr>
        <w:t xml:space="preserve">The State </w:t>
      </w:r>
      <w:r w:rsidR="00274931" w:rsidRPr="002433F3">
        <w:rPr>
          <w:spacing w:val="-2"/>
          <w:szCs w:val="20"/>
          <w:lang w:val="en-US"/>
        </w:rPr>
        <w:t xml:space="preserve">shall </w:t>
      </w:r>
      <w:r w:rsidR="00274931" w:rsidRPr="002433F3">
        <w:rPr>
          <w:lang w:val="en-US"/>
        </w:rPr>
        <w:t xml:space="preserve">make the payments for </w:t>
      </w:r>
      <w:r w:rsidRPr="002433F3">
        <w:rPr>
          <w:lang w:val="en-US"/>
        </w:rPr>
        <w:t xml:space="preserve">compensation </w:t>
      </w:r>
      <w:r w:rsidR="00274931" w:rsidRPr="002433F3">
        <w:rPr>
          <w:lang w:val="en-US"/>
        </w:rPr>
        <w:t xml:space="preserve">of </w:t>
      </w:r>
      <w:r w:rsidRPr="002433F3">
        <w:rPr>
          <w:spacing w:val="-2"/>
          <w:szCs w:val="20"/>
          <w:lang w:val="en-US"/>
        </w:rPr>
        <w:t xml:space="preserve">non-pecuniary damage and </w:t>
      </w:r>
      <w:r w:rsidR="00274931" w:rsidRPr="002433F3">
        <w:rPr>
          <w:spacing w:val="-2"/>
          <w:szCs w:val="20"/>
          <w:lang w:val="en-US"/>
        </w:rPr>
        <w:t>to reimburse</w:t>
      </w:r>
      <w:r w:rsidRPr="002433F3">
        <w:rPr>
          <w:spacing w:val="-2"/>
          <w:szCs w:val="20"/>
          <w:lang w:val="en-US"/>
        </w:rPr>
        <w:t xml:space="preserve"> </w:t>
      </w:r>
      <w:r w:rsidR="00274931" w:rsidRPr="002433F3">
        <w:rPr>
          <w:spacing w:val="-2"/>
          <w:szCs w:val="20"/>
          <w:lang w:val="en-US"/>
        </w:rPr>
        <w:t xml:space="preserve">the </w:t>
      </w:r>
      <w:r w:rsidRPr="002433F3">
        <w:rPr>
          <w:spacing w:val="-2"/>
          <w:szCs w:val="20"/>
          <w:lang w:val="en-US"/>
        </w:rPr>
        <w:t xml:space="preserve">costs and expenses </w:t>
      </w:r>
      <w:r w:rsidR="00274931" w:rsidRPr="002433F3">
        <w:rPr>
          <w:spacing w:val="-2"/>
          <w:szCs w:val="20"/>
          <w:lang w:val="en-US"/>
        </w:rPr>
        <w:t xml:space="preserve">established in this Judgment </w:t>
      </w:r>
      <w:r w:rsidRPr="002433F3">
        <w:rPr>
          <w:spacing w:val="-2"/>
          <w:szCs w:val="20"/>
          <w:lang w:val="en-US"/>
        </w:rPr>
        <w:t>directl</w:t>
      </w:r>
      <w:r w:rsidR="00274931" w:rsidRPr="002433F3">
        <w:rPr>
          <w:spacing w:val="-2"/>
          <w:szCs w:val="20"/>
          <w:lang w:val="en-US"/>
        </w:rPr>
        <w:t>y to the person indicated herein</w:t>
      </w:r>
      <w:r w:rsidRPr="002433F3">
        <w:rPr>
          <w:spacing w:val="-2"/>
          <w:szCs w:val="20"/>
          <w:lang w:val="en-US"/>
        </w:rPr>
        <w:t xml:space="preserve">, within one year of notification of this Judgment, </w:t>
      </w:r>
      <w:r w:rsidR="00274931" w:rsidRPr="002433F3">
        <w:rPr>
          <w:spacing w:val="-2"/>
          <w:szCs w:val="20"/>
          <w:lang w:val="en-US"/>
        </w:rPr>
        <w:t xml:space="preserve">pursuant to </w:t>
      </w:r>
      <w:r w:rsidRPr="002433F3">
        <w:rPr>
          <w:spacing w:val="-2"/>
          <w:szCs w:val="20"/>
          <w:lang w:val="en-US"/>
        </w:rPr>
        <w:t>the following paragraphs.</w:t>
      </w:r>
    </w:p>
    <w:p w14:paraId="207DEBCD" w14:textId="77777777" w:rsidR="007B0DE4" w:rsidRPr="002433F3" w:rsidRDefault="008B2DE8" w:rsidP="007B0DE4">
      <w:pPr>
        <w:numPr>
          <w:ilvl w:val="0"/>
          <w:numId w:val="2"/>
        </w:numPr>
        <w:spacing w:before="120" w:after="120"/>
        <w:rPr>
          <w:spacing w:val="-2"/>
          <w:szCs w:val="20"/>
          <w:lang w:val="en-US"/>
        </w:rPr>
      </w:pPr>
      <w:r w:rsidRPr="002433F3">
        <w:rPr>
          <w:rFonts w:eastAsia="MS Mincho"/>
          <w:lang w:val="en-US" w:bidi="en-US"/>
        </w:rPr>
        <w:t>If</w:t>
      </w:r>
      <w:r w:rsidR="007B0DE4" w:rsidRPr="002433F3">
        <w:rPr>
          <w:rFonts w:eastAsia="MS Mincho"/>
          <w:lang w:val="en-US" w:bidi="en-US"/>
        </w:rPr>
        <w:t xml:space="preserve"> the </w:t>
      </w:r>
      <w:r w:rsidR="007B0DE4" w:rsidRPr="002433F3">
        <w:rPr>
          <w:spacing w:val="-2"/>
          <w:szCs w:val="20"/>
          <w:lang w:val="en-US"/>
        </w:rPr>
        <w:t xml:space="preserve">beneficiary </w:t>
      </w:r>
      <w:r w:rsidRPr="002433F3">
        <w:rPr>
          <w:spacing w:val="-2"/>
          <w:szCs w:val="20"/>
          <w:lang w:val="en-US"/>
        </w:rPr>
        <w:t>should die</w:t>
      </w:r>
      <w:r w:rsidR="007B0DE4" w:rsidRPr="002433F3">
        <w:rPr>
          <w:spacing w:val="-2"/>
          <w:szCs w:val="20"/>
          <w:lang w:val="en-US"/>
        </w:rPr>
        <w:t xml:space="preserve"> before he receives the respective compensation, payment </w:t>
      </w:r>
      <w:r w:rsidRPr="002433F3">
        <w:rPr>
          <w:spacing w:val="-2"/>
          <w:szCs w:val="20"/>
          <w:lang w:val="en-US"/>
        </w:rPr>
        <w:t xml:space="preserve">shall </w:t>
      </w:r>
      <w:r w:rsidR="007B0DE4" w:rsidRPr="002433F3">
        <w:rPr>
          <w:spacing w:val="-2"/>
          <w:szCs w:val="20"/>
          <w:lang w:val="en-US"/>
        </w:rPr>
        <w:t xml:space="preserve">be made directly to his heirs, </w:t>
      </w:r>
      <w:r w:rsidR="007B0DE4" w:rsidRPr="002433F3">
        <w:rPr>
          <w:rFonts w:eastAsia="MS Mincho"/>
          <w:lang w:val="en-US" w:bidi="en-US"/>
        </w:rPr>
        <w:t>in accordance with applicable domestic law</w:t>
      </w:r>
      <w:r w:rsidR="007B0DE4" w:rsidRPr="002433F3">
        <w:rPr>
          <w:spacing w:val="-2"/>
          <w:szCs w:val="20"/>
          <w:lang w:val="en-US"/>
        </w:rPr>
        <w:t>.</w:t>
      </w:r>
    </w:p>
    <w:p w14:paraId="19CBC841" w14:textId="77777777" w:rsidR="007B0DE4" w:rsidRPr="002433F3" w:rsidRDefault="007B0DE4" w:rsidP="007B0DE4">
      <w:pPr>
        <w:numPr>
          <w:ilvl w:val="0"/>
          <w:numId w:val="2"/>
        </w:numPr>
        <w:spacing w:before="120" w:after="120"/>
        <w:rPr>
          <w:spacing w:val="-2"/>
          <w:szCs w:val="20"/>
          <w:lang w:val="en-US"/>
        </w:rPr>
      </w:pPr>
      <w:r w:rsidRPr="002433F3">
        <w:rPr>
          <w:lang w:val="en-US"/>
        </w:rPr>
        <w:t xml:space="preserve">The State </w:t>
      </w:r>
      <w:r w:rsidR="008B2DE8" w:rsidRPr="002433F3">
        <w:rPr>
          <w:lang w:val="en-US"/>
        </w:rPr>
        <w:t xml:space="preserve">shall </w:t>
      </w:r>
      <w:r w:rsidRPr="002433F3">
        <w:rPr>
          <w:bCs/>
          <w:iCs/>
          <w:lang w:val="en-US"/>
        </w:rPr>
        <w:t xml:space="preserve">comply with its </w:t>
      </w:r>
      <w:r w:rsidR="008B2DE8" w:rsidRPr="002433F3">
        <w:rPr>
          <w:bCs/>
          <w:iCs/>
          <w:lang w:val="en-US"/>
        </w:rPr>
        <w:t xml:space="preserve">monetary </w:t>
      </w:r>
      <w:r w:rsidRPr="002433F3">
        <w:rPr>
          <w:bCs/>
          <w:iCs/>
          <w:lang w:val="en-US"/>
        </w:rPr>
        <w:t>obligations through payment</w:t>
      </w:r>
      <w:r w:rsidRPr="002433F3">
        <w:rPr>
          <w:lang w:val="en-US"/>
        </w:rPr>
        <w:t xml:space="preserve"> in United States dollars</w:t>
      </w:r>
      <w:r w:rsidRPr="002433F3">
        <w:rPr>
          <w:rFonts w:eastAsia="Calibri"/>
          <w:szCs w:val="20"/>
          <w:lang w:val="en-US" w:eastAsia="es-ES"/>
        </w:rPr>
        <w:t xml:space="preserve">, </w:t>
      </w:r>
      <w:r w:rsidR="008A041E" w:rsidRPr="002433F3">
        <w:rPr>
          <w:rFonts w:eastAsia="Calibri"/>
          <w:szCs w:val="20"/>
          <w:lang w:val="en-US" w:eastAsia="es-ES"/>
        </w:rPr>
        <w:t xml:space="preserve">using </w:t>
      </w:r>
      <w:r w:rsidRPr="002433F3">
        <w:rPr>
          <w:rFonts w:eastAsia="Calibri"/>
          <w:szCs w:val="20"/>
          <w:lang w:val="en-US" w:eastAsia="es-ES"/>
        </w:rPr>
        <w:t xml:space="preserve">the exchange rate </w:t>
      </w:r>
      <w:r w:rsidR="00366C44" w:rsidRPr="002433F3">
        <w:rPr>
          <w:rFonts w:eastAsia="Calibri"/>
          <w:szCs w:val="20"/>
          <w:lang w:val="en-US" w:eastAsia="es-ES"/>
        </w:rPr>
        <w:t xml:space="preserve">in force </w:t>
      </w:r>
      <w:r w:rsidRPr="002433F3">
        <w:rPr>
          <w:rFonts w:eastAsia="Calibri"/>
          <w:szCs w:val="20"/>
          <w:lang w:val="en-US" w:eastAsia="es-ES"/>
        </w:rPr>
        <w:t>on the New York St</w:t>
      </w:r>
      <w:r w:rsidR="00366C44" w:rsidRPr="002433F3">
        <w:rPr>
          <w:rFonts w:eastAsia="Calibri"/>
          <w:szCs w:val="20"/>
          <w:lang w:val="en-US" w:eastAsia="es-ES"/>
        </w:rPr>
        <w:t>ock Exchange</w:t>
      </w:r>
      <w:r w:rsidRPr="002433F3">
        <w:rPr>
          <w:rFonts w:eastAsia="Calibri"/>
          <w:szCs w:val="20"/>
          <w:lang w:val="en-US" w:eastAsia="es-ES"/>
        </w:rPr>
        <w:t xml:space="preserve"> </w:t>
      </w:r>
      <w:r w:rsidR="00366C44" w:rsidRPr="002433F3">
        <w:rPr>
          <w:rFonts w:eastAsia="Calibri"/>
          <w:szCs w:val="20"/>
          <w:lang w:val="en-US" w:eastAsia="es-ES"/>
        </w:rPr>
        <w:t>(</w:t>
      </w:r>
      <w:r w:rsidRPr="002433F3">
        <w:rPr>
          <w:rFonts w:eastAsia="Calibri"/>
          <w:szCs w:val="20"/>
          <w:lang w:val="en-US" w:eastAsia="es-ES"/>
        </w:rPr>
        <w:t>United States of America</w:t>
      </w:r>
      <w:r w:rsidR="00366C44" w:rsidRPr="002433F3">
        <w:rPr>
          <w:rFonts w:eastAsia="Calibri"/>
          <w:szCs w:val="20"/>
          <w:lang w:val="en-US" w:eastAsia="es-ES"/>
        </w:rPr>
        <w:t>)</w:t>
      </w:r>
      <w:r w:rsidRPr="002433F3">
        <w:rPr>
          <w:rFonts w:eastAsia="Calibri"/>
          <w:szCs w:val="20"/>
          <w:lang w:val="en-US" w:eastAsia="es-ES"/>
        </w:rPr>
        <w:t xml:space="preserve">, on the day </w:t>
      </w:r>
      <w:r w:rsidR="00366C44" w:rsidRPr="002433F3">
        <w:rPr>
          <w:rFonts w:eastAsia="Calibri"/>
          <w:szCs w:val="20"/>
          <w:lang w:val="en-US" w:eastAsia="es-ES"/>
        </w:rPr>
        <w:t xml:space="preserve">before the </w:t>
      </w:r>
      <w:r w:rsidRPr="002433F3">
        <w:rPr>
          <w:rFonts w:eastAsia="Calibri"/>
          <w:szCs w:val="20"/>
          <w:lang w:val="en-US" w:eastAsia="es-ES"/>
        </w:rPr>
        <w:t>payment</w:t>
      </w:r>
      <w:r w:rsidR="00366C44" w:rsidRPr="002433F3">
        <w:rPr>
          <w:rFonts w:eastAsia="Calibri"/>
          <w:szCs w:val="20"/>
          <w:lang w:val="en-US" w:eastAsia="es-ES"/>
        </w:rPr>
        <w:t xml:space="preserve"> to make the calculation</w:t>
      </w:r>
      <w:r w:rsidRPr="002433F3">
        <w:rPr>
          <w:rFonts w:eastAsia="Calibri"/>
          <w:szCs w:val="20"/>
          <w:lang w:val="en-US" w:eastAsia="es-ES"/>
        </w:rPr>
        <w:t>.</w:t>
      </w:r>
    </w:p>
    <w:p w14:paraId="39CE229B" w14:textId="77777777" w:rsidR="007B0DE4" w:rsidRPr="002433F3" w:rsidRDefault="007B0DE4" w:rsidP="007B0DE4">
      <w:pPr>
        <w:numPr>
          <w:ilvl w:val="0"/>
          <w:numId w:val="2"/>
        </w:numPr>
        <w:spacing w:before="120" w:after="120"/>
        <w:rPr>
          <w:spacing w:val="-2"/>
          <w:szCs w:val="20"/>
          <w:lang w:val="en-US"/>
        </w:rPr>
      </w:pPr>
      <w:r w:rsidRPr="002433F3">
        <w:rPr>
          <w:rFonts w:eastAsia="MS Mincho"/>
          <w:lang w:val="en-US" w:bidi="en-US"/>
        </w:rPr>
        <w:t xml:space="preserve">If, </w:t>
      </w:r>
      <w:r w:rsidRPr="002433F3">
        <w:rPr>
          <w:lang w:val="en-US"/>
        </w:rPr>
        <w:t xml:space="preserve">for reasons that can be attributed to the beneficiary of the compensation, or his heirs, it is not possible to pay the amounts established within the </w:t>
      </w:r>
      <w:r w:rsidRPr="002433F3">
        <w:rPr>
          <w:rFonts w:eastAsia="MS Mincho"/>
          <w:lang w:val="en-US" w:bidi="en-US"/>
        </w:rPr>
        <w:t>t</w:t>
      </w:r>
      <w:r w:rsidR="00366C44" w:rsidRPr="002433F3">
        <w:rPr>
          <w:rFonts w:eastAsia="MS Mincho"/>
          <w:lang w:val="en-US" w:bidi="en-US"/>
        </w:rPr>
        <w:t xml:space="preserve">ime frame </w:t>
      </w:r>
      <w:r w:rsidRPr="002433F3">
        <w:rPr>
          <w:rFonts w:eastAsia="MS Mincho"/>
          <w:lang w:val="en-US" w:bidi="en-US"/>
        </w:rPr>
        <w:t xml:space="preserve">indicated, the State </w:t>
      </w:r>
      <w:r w:rsidR="00366C44" w:rsidRPr="002433F3">
        <w:rPr>
          <w:rFonts w:eastAsia="MS Mincho"/>
          <w:lang w:val="en-US" w:bidi="en-US"/>
        </w:rPr>
        <w:t xml:space="preserve">shall </w:t>
      </w:r>
      <w:r w:rsidRPr="002433F3">
        <w:rPr>
          <w:lang w:val="en-US"/>
        </w:rPr>
        <w:t>de</w:t>
      </w:r>
      <w:r w:rsidR="00366C44" w:rsidRPr="002433F3">
        <w:rPr>
          <w:lang w:val="en-US"/>
        </w:rPr>
        <w:t>posit these</w:t>
      </w:r>
      <w:r w:rsidRPr="002433F3">
        <w:rPr>
          <w:lang w:val="en-US"/>
        </w:rPr>
        <w:t xml:space="preserve"> amounts in an account or certificate of deposit in</w:t>
      </w:r>
      <w:r w:rsidR="00366C44" w:rsidRPr="002433F3">
        <w:rPr>
          <w:lang w:val="en-US"/>
        </w:rPr>
        <w:t xml:space="preserve"> his favor in</w:t>
      </w:r>
      <w:r w:rsidRPr="002433F3">
        <w:rPr>
          <w:lang w:val="en-US"/>
        </w:rPr>
        <w:t xml:space="preserve"> a solvent </w:t>
      </w:r>
      <w:r w:rsidRPr="002433F3">
        <w:rPr>
          <w:spacing w:val="-2"/>
          <w:szCs w:val="20"/>
          <w:lang w:val="en-US"/>
        </w:rPr>
        <w:t xml:space="preserve">Colombian </w:t>
      </w:r>
      <w:r w:rsidRPr="002433F3">
        <w:rPr>
          <w:lang w:val="en-US"/>
        </w:rPr>
        <w:t xml:space="preserve">financial institution, in United States dollars, and on the most favorable financial terms permitted by </w:t>
      </w:r>
      <w:r w:rsidR="008A041E" w:rsidRPr="002433F3">
        <w:rPr>
          <w:lang w:val="en-US"/>
        </w:rPr>
        <w:t xml:space="preserve">the </w:t>
      </w:r>
      <w:r w:rsidR="00E713E0" w:rsidRPr="002433F3">
        <w:rPr>
          <w:lang w:val="en-US"/>
        </w:rPr>
        <w:t xml:space="preserve">State’s </w:t>
      </w:r>
      <w:r w:rsidRPr="002433F3">
        <w:rPr>
          <w:lang w:val="en-US"/>
        </w:rPr>
        <w:t>law</w:t>
      </w:r>
      <w:r w:rsidR="008A041E" w:rsidRPr="002433F3">
        <w:rPr>
          <w:lang w:val="en-US"/>
        </w:rPr>
        <w:t>s</w:t>
      </w:r>
      <w:r w:rsidRPr="002433F3">
        <w:rPr>
          <w:lang w:val="en-US"/>
        </w:rPr>
        <w:t xml:space="preserve"> and banking practice</w:t>
      </w:r>
      <w:r w:rsidRPr="002433F3">
        <w:rPr>
          <w:spacing w:val="-2"/>
          <w:szCs w:val="20"/>
          <w:lang w:val="en-US"/>
        </w:rPr>
        <w:t xml:space="preserve">. </w:t>
      </w:r>
      <w:r w:rsidR="003E7B62" w:rsidRPr="002433F3">
        <w:rPr>
          <w:lang w:val="en-US"/>
        </w:rPr>
        <w:t>If</w:t>
      </w:r>
      <w:r w:rsidRPr="002433F3">
        <w:rPr>
          <w:lang w:val="en-US"/>
        </w:rPr>
        <w:t xml:space="preserve"> the </w:t>
      </w:r>
      <w:r w:rsidR="003E7B62" w:rsidRPr="002433F3">
        <w:rPr>
          <w:lang w:val="en-US"/>
        </w:rPr>
        <w:t xml:space="preserve">corresponding compensation </w:t>
      </w:r>
      <w:r w:rsidRPr="002433F3">
        <w:rPr>
          <w:lang w:val="en-US"/>
        </w:rPr>
        <w:t>has not been claimed</w:t>
      </w:r>
      <w:r w:rsidR="003E7B62" w:rsidRPr="002433F3">
        <w:rPr>
          <w:lang w:val="en-US"/>
        </w:rPr>
        <w:t xml:space="preserve"> within ten years</w:t>
      </w:r>
      <w:r w:rsidRPr="002433F3">
        <w:rPr>
          <w:lang w:val="en-US"/>
        </w:rPr>
        <w:t xml:space="preserve">, the amounts </w:t>
      </w:r>
      <w:r w:rsidR="003E7B62" w:rsidRPr="002433F3">
        <w:rPr>
          <w:lang w:val="en-US"/>
        </w:rPr>
        <w:t xml:space="preserve">shall </w:t>
      </w:r>
      <w:r w:rsidRPr="002433F3">
        <w:rPr>
          <w:lang w:val="en-US"/>
        </w:rPr>
        <w:t>be returned to the State with the accrued interest</w:t>
      </w:r>
      <w:r w:rsidRPr="002433F3">
        <w:rPr>
          <w:spacing w:val="-2"/>
          <w:szCs w:val="20"/>
          <w:lang w:val="en-US"/>
        </w:rPr>
        <w:t>.</w:t>
      </w:r>
    </w:p>
    <w:p w14:paraId="3412689B" w14:textId="77777777" w:rsidR="007B0DE4" w:rsidRPr="002433F3" w:rsidRDefault="007B0DE4" w:rsidP="007B0DE4">
      <w:pPr>
        <w:numPr>
          <w:ilvl w:val="0"/>
          <w:numId w:val="2"/>
        </w:numPr>
        <w:spacing w:before="120" w:after="120"/>
        <w:rPr>
          <w:spacing w:val="-2"/>
          <w:szCs w:val="20"/>
          <w:lang w:val="en-US"/>
        </w:rPr>
      </w:pPr>
      <w:r w:rsidRPr="002433F3">
        <w:rPr>
          <w:lang w:val="en-US"/>
        </w:rPr>
        <w:t>The amounts allocated in this Judgment as compensatio</w:t>
      </w:r>
      <w:r w:rsidRPr="002433F3">
        <w:rPr>
          <w:spacing w:val="-2"/>
          <w:szCs w:val="20"/>
          <w:lang w:val="en-US"/>
        </w:rPr>
        <w:t xml:space="preserve">n for non-pecuniary damage, and for </w:t>
      </w:r>
      <w:r w:rsidRPr="002433F3">
        <w:rPr>
          <w:rFonts w:eastAsia="MS Mincho"/>
          <w:lang w:val="en-US" w:bidi="en-US"/>
        </w:rPr>
        <w:t>reimbursement of costs and expenses</w:t>
      </w:r>
      <w:r w:rsidRPr="002433F3">
        <w:rPr>
          <w:spacing w:val="-2"/>
          <w:szCs w:val="20"/>
          <w:lang w:val="en-US"/>
        </w:rPr>
        <w:t xml:space="preserve">, </w:t>
      </w:r>
      <w:r w:rsidR="003E7B62" w:rsidRPr="002433F3">
        <w:rPr>
          <w:spacing w:val="-2"/>
          <w:szCs w:val="20"/>
          <w:lang w:val="en-US"/>
        </w:rPr>
        <w:t xml:space="preserve">shall be paid </w:t>
      </w:r>
      <w:r w:rsidRPr="002433F3">
        <w:rPr>
          <w:lang w:val="en-US"/>
        </w:rPr>
        <w:t>in full to the persons indicated</w:t>
      </w:r>
      <w:r w:rsidRPr="002433F3">
        <w:rPr>
          <w:spacing w:val="-2"/>
          <w:szCs w:val="20"/>
          <w:lang w:val="en-US"/>
        </w:rPr>
        <w:t xml:space="preserve">, </w:t>
      </w:r>
      <w:r w:rsidRPr="002433F3">
        <w:rPr>
          <w:lang w:val="en-US"/>
        </w:rPr>
        <w:t xml:space="preserve">as established in this Judgment, </w:t>
      </w:r>
      <w:r w:rsidRPr="002433F3">
        <w:rPr>
          <w:rFonts w:eastAsia="MS Mincho"/>
          <w:lang w:val="en-US" w:bidi="en-US"/>
        </w:rPr>
        <w:t>without any deductions derived from possible taxes or charges</w:t>
      </w:r>
      <w:r w:rsidRPr="002433F3">
        <w:rPr>
          <w:spacing w:val="-2"/>
          <w:szCs w:val="20"/>
          <w:lang w:val="en-US"/>
        </w:rPr>
        <w:t>.</w:t>
      </w:r>
    </w:p>
    <w:p w14:paraId="4143C30C" w14:textId="77777777" w:rsidR="007B0DE4" w:rsidRPr="002433F3" w:rsidRDefault="007B0DE4" w:rsidP="007B0DE4">
      <w:pPr>
        <w:numPr>
          <w:ilvl w:val="0"/>
          <w:numId w:val="2"/>
        </w:numPr>
        <w:spacing w:before="120" w:after="120"/>
        <w:rPr>
          <w:lang w:val="en-US"/>
        </w:rPr>
      </w:pPr>
      <w:r w:rsidRPr="002433F3">
        <w:rPr>
          <w:spacing w:val="-2"/>
          <w:szCs w:val="20"/>
          <w:lang w:val="en-US"/>
        </w:rPr>
        <w:t xml:space="preserve">If the State should fall into arrears, including </w:t>
      </w:r>
      <w:r w:rsidRPr="002433F3">
        <w:rPr>
          <w:rFonts w:eastAsia="MS Mincho"/>
          <w:lang w:val="en-US" w:bidi="en-US"/>
        </w:rPr>
        <w:t xml:space="preserve">with the reimbursement of expenses </w:t>
      </w:r>
      <w:r w:rsidRPr="002433F3">
        <w:rPr>
          <w:spacing w:val="-2"/>
          <w:szCs w:val="20"/>
          <w:lang w:val="en-US"/>
        </w:rPr>
        <w:t xml:space="preserve">to the Victims’ Legal Assistance Fund, </w:t>
      </w:r>
      <w:r w:rsidRPr="002433F3">
        <w:rPr>
          <w:rFonts w:eastAsia="MS Mincho"/>
          <w:lang w:val="en-US" w:bidi="en-US"/>
        </w:rPr>
        <w:t xml:space="preserve">it </w:t>
      </w:r>
      <w:r w:rsidR="003E7B62" w:rsidRPr="002433F3">
        <w:rPr>
          <w:rFonts w:eastAsia="MS Mincho"/>
          <w:lang w:val="en-US" w:bidi="en-US"/>
        </w:rPr>
        <w:t xml:space="preserve">shall </w:t>
      </w:r>
      <w:r w:rsidRPr="002433F3">
        <w:rPr>
          <w:rFonts w:eastAsia="MS Mincho"/>
          <w:lang w:val="en-US" w:bidi="en-US"/>
        </w:rPr>
        <w:t>pay int</w:t>
      </w:r>
      <w:r w:rsidR="003E7B62" w:rsidRPr="002433F3">
        <w:rPr>
          <w:rFonts w:eastAsia="MS Mincho"/>
          <w:lang w:val="en-US" w:bidi="en-US"/>
        </w:rPr>
        <w:t>erest on the amount owed,</w:t>
      </w:r>
      <w:r w:rsidRPr="002433F3">
        <w:rPr>
          <w:rFonts w:eastAsia="MS Mincho"/>
          <w:lang w:val="en-US" w:bidi="en-US"/>
        </w:rPr>
        <w:t xml:space="preserve"> corresponding to bank</w:t>
      </w:r>
      <w:r w:rsidR="003E7B62" w:rsidRPr="002433F3">
        <w:rPr>
          <w:rFonts w:eastAsia="MS Mincho"/>
          <w:lang w:val="en-US" w:bidi="en-US"/>
        </w:rPr>
        <w:t>ing</w:t>
      </w:r>
      <w:r w:rsidRPr="002433F3">
        <w:rPr>
          <w:rFonts w:eastAsia="MS Mincho"/>
          <w:lang w:val="en-US" w:bidi="en-US"/>
        </w:rPr>
        <w:t xml:space="preserve"> </w:t>
      </w:r>
      <w:r w:rsidRPr="002433F3">
        <w:rPr>
          <w:lang w:val="en-US"/>
        </w:rPr>
        <w:t xml:space="preserve">interest on arrears in the Republic of </w:t>
      </w:r>
      <w:r w:rsidRPr="002433F3">
        <w:rPr>
          <w:spacing w:val="-2"/>
          <w:szCs w:val="20"/>
          <w:lang w:val="en-US"/>
        </w:rPr>
        <w:t>Colombia.</w:t>
      </w:r>
    </w:p>
    <w:p w14:paraId="5F9E7ACD" w14:textId="77777777" w:rsidR="007B0DE4" w:rsidRPr="002433F3" w:rsidRDefault="007B0DE4" w:rsidP="007B0DE4">
      <w:pPr>
        <w:pStyle w:val="Ttulo1"/>
        <w:spacing w:before="460" w:after="460"/>
        <w:rPr>
          <w:noProof w:val="0"/>
          <w:lang w:val="en-US"/>
        </w:rPr>
      </w:pPr>
      <w:bookmarkStart w:id="156" w:name="_Toc448482291"/>
      <w:r w:rsidRPr="002433F3">
        <w:rPr>
          <w:noProof w:val="0"/>
          <w:lang w:val="en-US"/>
        </w:rPr>
        <w:t>X</w:t>
      </w:r>
      <w:r w:rsidRPr="002433F3">
        <w:rPr>
          <w:noProof w:val="0"/>
          <w:lang w:val="en-US"/>
        </w:rPr>
        <w:br/>
      </w:r>
      <w:r w:rsidRPr="002433F3">
        <w:rPr>
          <w:rStyle w:val="Ttulo1Car"/>
          <w:rFonts w:eastAsia="Batang"/>
          <w:b/>
          <w:noProof w:val="0"/>
          <w:lang w:val="en-US"/>
        </w:rPr>
        <w:t>OPERATIVE PARAGRAPHS</w:t>
      </w:r>
      <w:bookmarkEnd w:id="156"/>
    </w:p>
    <w:p w14:paraId="5DD9E356" w14:textId="77777777" w:rsidR="007B0DE4" w:rsidRPr="002433F3" w:rsidRDefault="007B0DE4" w:rsidP="007B0DE4">
      <w:pPr>
        <w:pStyle w:val="Default"/>
        <w:spacing w:before="240" w:after="240"/>
        <w:jc w:val="both"/>
        <w:rPr>
          <w:sz w:val="20"/>
          <w:szCs w:val="20"/>
          <w:lang w:eastAsia="es-ES"/>
        </w:rPr>
      </w:pPr>
      <w:r w:rsidRPr="002433F3">
        <w:rPr>
          <w:sz w:val="20"/>
          <w:szCs w:val="20"/>
          <w:lang w:eastAsia="es-ES"/>
        </w:rPr>
        <w:t xml:space="preserve">Therefore, </w:t>
      </w:r>
    </w:p>
    <w:p w14:paraId="0AF3446B" w14:textId="77777777" w:rsidR="007B0DE4" w:rsidRPr="002433F3" w:rsidRDefault="007B0DE4" w:rsidP="007B0DE4">
      <w:pPr>
        <w:spacing w:before="360" w:after="360"/>
        <w:rPr>
          <w:b/>
          <w:lang w:val="en-US" w:eastAsia="es-ES"/>
        </w:rPr>
      </w:pPr>
      <w:r w:rsidRPr="002433F3">
        <w:rPr>
          <w:b/>
          <w:lang w:val="en-US" w:eastAsia="es-ES"/>
        </w:rPr>
        <w:t xml:space="preserve">THE COURT </w:t>
      </w:r>
    </w:p>
    <w:p w14:paraId="31947F1C" w14:textId="77777777" w:rsidR="007B0DE4" w:rsidRPr="002433F3" w:rsidRDefault="007B0DE4" w:rsidP="007B0DE4">
      <w:pPr>
        <w:spacing w:before="360" w:after="360"/>
        <w:rPr>
          <w:lang w:val="en-US" w:eastAsia="es-ES"/>
        </w:rPr>
      </w:pPr>
      <w:r w:rsidRPr="002433F3">
        <w:rPr>
          <w:b/>
          <w:lang w:val="en-US" w:eastAsia="es-ES"/>
        </w:rPr>
        <w:t>DECIDES</w:t>
      </w:r>
      <w:r w:rsidRPr="002433F3">
        <w:rPr>
          <w:lang w:val="en-US" w:eastAsia="es-ES"/>
        </w:rPr>
        <w:t xml:space="preserve">, </w:t>
      </w:r>
    </w:p>
    <w:p w14:paraId="28DD1E87" w14:textId="77777777" w:rsidR="007B0DE4" w:rsidRPr="002433F3" w:rsidRDefault="007B0DE4" w:rsidP="007B0DE4">
      <w:pPr>
        <w:pStyle w:val="Default"/>
        <w:spacing w:before="360" w:after="360"/>
        <w:jc w:val="both"/>
        <w:rPr>
          <w:lang w:eastAsia="es-ES"/>
        </w:rPr>
      </w:pPr>
      <w:r w:rsidRPr="002433F3">
        <w:rPr>
          <w:spacing w:val="-2"/>
          <w:sz w:val="20"/>
          <w:szCs w:val="20"/>
        </w:rPr>
        <w:t>By</w:t>
      </w:r>
      <w:r w:rsidRPr="002433F3">
        <w:rPr>
          <w:lang w:eastAsia="es-ES"/>
        </w:rPr>
        <w:t xml:space="preserve"> </w:t>
      </w:r>
      <w:r w:rsidRPr="002433F3">
        <w:rPr>
          <w:spacing w:val="-2"/>
          <w:sz w:val="20"/>
          <w:szCs w:val="20"/>
        </w:rPr>
        <w:t>four</w:t>
      </w:r>
      <w:r w:rsidR="004B24D1" w:rsidRPr="002433F3">
        <w:rPr>
          <w:spacing w:val="-2"/>
          <w:sz w:val="20"/>
          <w:szCs w:val="20"/>
        </w:rPr>
        <w:t xml:space="preserve"> votes in favor and two against:</w:t>
      </w:r>
      <w:r w:rsidRPr="002433F3">
        <w:rPr>
          <w:lang w:eastAsia="es-ES"/>
        </w:rPr>
        <w:t xml:space="preserve"> </w:t>
      </w:r>
    </w:p>
    <w:p w14:paraId="45E8F437" w14:textId="77777777" w:rsidR="007B0DE4" w:rsidRPr="002433F3" w:rsidRDefault="007B0DE4" w:rsidP="007B0DE4">
      <w:pPr>
        <w:numPr>
          <w:ilvl w:val="0"/>
          <w:numId w:val="9"/>
        </w:numPr>
        <w:spacing w:before="360" w:after="360"/>
        <w:ind w:left="0" w:firstLine="0"/>
        <w:rPr>
          <w:lang w:val="en-US" w:eastAsia="es-ES"/>
        </w:rPr>
      </w:pPr>
      <w:r w:rsidRPr="002433F3">
        <w:rPr>
          <w:lang w:val="en-US" w:eastAsia="es-ES"/>
        </w:rPr>
        <w:t xml:space="preserve">To reject the </w:t>
      </w:r>
      <w:r w:rsidR="009719A3" w:rsidRPr="002433F3">
        <w:rPr>
          <w:lang w:val="en-US" w:eastAsia="es-ES"/>
        </w:rPr>
        <w:t>preliminary objection</w:t>
      </w:r>
      <w:r w:rsidRPr="002433F3">
        <w:rPr>
          <w:lang w:val="en-US" w:eastAsia="es-ES"/>
        </w:rPr>
        <w:t xml:space="preserve"> </w:t>
      </w:r>
      <w:r w:rsidR="009719A3" w:rsidRPr="002433F3">
        <w:rPr>
          <w:lang w:val="en-US" w:eastAsia="es-ES"/>
        </w:rPr>
        <w:t>re</w:t>
      </w:r>
      <w:r w:rsidR="008A041E" w:rsidRPr="002433F3">
        <w:rPr>
          <w:lang w:val="en-US" w:eastAsia="es-ES"/>
        </w:rPr>
        <w:t xml:space="preserve">garding </w:t>
      </w:r>
      <w:r w:rsidRPr="002433F3">
        <w:rPr>
          <w:lang w:val="en-US" w:eastAsia="es-ES"/>
        </w:rPr>
        <w:t>the alleged failure to exhaust domestic remedies, pursuant to paragraphs 23 to 43 and 49 to 55 of this Judgment.</w:t>
      </w:r>
    </w:p>
    <w:p w14:paraId="14EDAD49" w14:textId="77777777" w:rsidR="007B0DE4" w:rsidRPr="002433F3" w:rsidRDefault="00244560" w:rsidP="007B0DE4">
      <w:pPr>
        <w:spacing w:before="120" w:after="120"/>
        <w:rPr>
          <w:lang w:val="en-US" w:eastAsia="es-ES"/>
        </w:rPr>
      </w:pPr>
      <w:r>
        <w:rPr>
          <w:lang w:val="en-US" w:eastAsia="es-ES"/>
        </w:rPr>
        <w:lastRenderedPageBreak/>
        <w:t>Dissenting, Judges Manuel E. Ventura Robles and Eduardo Vio Grossi</w:t>
      </w:r>
      <w:r w:rsidR="004B24D1" w:rsidRPr="002433F3">
        <w:rPr>
          <w:lang w:val="en-US"/>
        </w:rPr>
        <w:t xml:space="preserve"> </w:t>
      </w:r>
    </w:p>
    <w:p w14:paraId="7D1D920C" w14:textId="77777777" w:rsidR="007B0DE4" w:rsidRPr="002433F3" w:rsidRDefault="007B0DE4" w:rsidP="007B0DE4">
      <w:pPr>
        <w:pStyle w:val="Default"/>
        <w:spacing w:before="360" w:after="360"/>
        <w:jc w:val="both"/>
        <w:rPr>
          <w:sz w:val="20"/>
          <w:szCs w:val="20"/>
          <w:lang w:eastAsia="es-ES"/>
        </w:rPr>
      </w:pPr>
      <w:r w:rsidRPr="002433F3">
        <w:rPr>
          <w:sz w:val="20"/>
          <w:szCs w:val="20"/>
          <w:lang w:eastAsia="es-ES"/>
        </w:rPr>
        <w:t>By four votes in favor and two against</w:t>
      </w:r>
      <w:r w:rsidR="004252F7" w:rsidRPr="002433F3">
        <w:rPr>
          <w:sz w:val="20"/>
          <w:szCs w:val="20"/>
          <w:lang w:eastAsia="es-ES"/>
        </w:rPr>
        <w:t>:</w:t>
      </w:r>
      <w:r w:rsidRPr="002433F3">
        <w:rPr>
          <w:sz w:val="20"/>
          <w:szCs w:val="20"/>
          <w:lang w:eastAsia="es-ES"/>
        </w:rPr>
        <w:t xml:space="preserve"> </w:t>
      </w:r>
    </w:p>
    <w:p w14:paraId="7278CFF7" w14:textId="77777777" w:rsidR="007B0DE4" w:rsidRPr="002433F3" w:rsidRDefault="009719A3" w:rsidP="007B0DE4">
      <w:pPr>
        <w:numPr>
          <w:ilvl w:val="0"/>
          <w:numId w:val="9"/>
        </w:numPr>
        <w:spacing w:before="120" w:after="120"/>
        <w:ind w:left="0" w:firstLine="0"/>
        <w:rPr>
          <w:lang w:val="en-US" w:eastAsia="es-ES"/>
        </w:rPr>
      </w:pPr>
      <w:r w:rsidRPr="002433F3">
        <w:rPr>
          <w:lang w:val="en-US" w:eastAsia="es-ES"/>
        </w:rPr>
        <w:t>To r</w:t>
      </w:r>
      <w:r w:rsidR="007B0DE4" w:rsidRPr="002433F3">
        <w:rPr>
          <w:lang w:val="en-US" w:eastAsia="es-ES"/>
        </w:rPr>
        <w:t>eject the preliminary objection re</w:t>
      </w:r>
      <w:r w:rsidR="008A041E" w:rsidRPr="002433F3">
        <w:rPr>
          <w:lang w:val="en-US" w:eastAsia="es-ES"/>
        </w:rPr>
        <w:t xml:space="preserve">garding </w:t>
      </w:r>
      <w:r w:rsidR="007B0DE4" w:rsidRPr="002433F3">
        <w:rPr>
          <w:lang w:val="en-US" w:eastAsia="es-ES"/>
        </w:rPr>
        <w:t xml:space="preserve">the </w:t>
      </w:r>
      <w:r w:rsidR="00FD3704" w:rsidRPr="002433F3">
        <w:rPr>
          <w:lang w:val="en-US" w:eastAsia="es-ES"/>
        </w:rPr>
        <w:t xml:space="preserve">factual basis for </w:t>
      </w:r>
      <w:r w:rsidR="007B0DE4" w:rsidRPr="002433F3">
        <w:rPr>
          <w:lang w:val="en-US" w:eastAsia="es-ES"/>
        </w:rPr>
        <w:t>the alleged violation of Articles 4(1) and 5(1), in relation to Article 1(1) of the American Convention, pursuant to paragraphs 44 and 45 of this Judgment.</w:t>
      </w:r>
    </w:p>
    <w:p w14:paraId="1FCF2F71" w14:textId="77777777" w:rsidR="007B0DE4" w:rsidRPr="002433F3" w:rsidRDefault="00244560" w:rsidP="007B0DE4">
      <w:pPr>
        <w:spacing w:before="120" w:after="120"/>
        <w:rPr>
          <w:lang w:val="en-US" w:eastAsia="es-ES"/>
        </w:rPr>
      </w:pPr>
      <w:r>
        <w:rPr>
          <w:rFonts w:cs="Times New Roman"/>
          <w:lang w:val="en-US" w:eastAsia="es-ES"/>
        </w:rPr>
        <w:t>Dissenting, Judges Manuel E. Ventura Robles and Eduardo Vio Grossi</w:t>
      </w:r>
      <w:r w:rsidR="007B0DE4" w:rsidRPr="002433F3">
        <w:rPr>
          <w:lang w:val="en-US"/>
        </w:rPr>
        <w:t xml:space="preserve"> </w:t>
      </w:r>
    </w:p>
    <w:p w14:paraId="6A5BCD80" w14:textId="77777777" w:rsidR="007B0DE4" w:rsidRPr="002433F3" w:rsidRDefault="007B0DE4" w:rsidP="007B0DE4">
      <w:pPr>
        <w:spacing w:before="360" w:after="360"/>
        <w:rPr>
          <w:rFonts w:cs="Verdana"/>
          <w:b/>
          <w:color w:val="000000"/>
          <w:spacing w:val="-2"/>
          <w:szCs w:val="20"/>
          <w:lang w:val="en-US"/>
        </w:rPr>
      </w:pPr>
      <w:r w:rsidRPr="002433F3">
        <w:rPr>
          <w:b/>
          <w:lang w:val="en-US" w:eastAsia="es-ES"/>
        </w:rPr>
        <w:t>DECLARES</w:t>
      </w:r>
      <w:r w:rsidRPr="002433F3">
        <w:rPr>
          <w:rFonts w:cs="Verdana"/>
          <w:b/>
          <w:color w:val="000000"/>
          <w:spacing w:val="-2"/>
          <w:szCs w:val="20"/>
          <w:lang w:val="en-US"/>
        </w:rPr>
        <w:t>,</w:t>
      </w:r>
    </w:p>
    <w:p w14:paraId="5EE7A454" w14:textId="77777777" w:rsidR="007B0DE4" w:rsidRPr="002433F3" w:rsidRDefault="007B0DE4" w:rsidP="007B0DE4">
      <w:pPr>
        <w:pStyle w:val="Default"/>
        <w:spacing w:before="360" w:after="360"/>
        <w:jc w:val="both"/>
        <w:rPr>
          <w:spacing w:val="-2"/>
          <w:sz w:val="20"/>
          <w:szCs w:val="20"/>
        </w:rPr>
      </w:pPr>
      <w:r w:rsidRPr="002433F3">
        <w:rPr>
          <w:spacing w:val="-2"/>
          <w:sz w:val="20"/>
          <w:szCs w:val="20"/>
        </w:rPr>
        <w:t>By four votes in favor and two against, that</w:t>
      </w:r>
      <w:r w:rsidR="004B24D1" w:rsidRPr="002433F3">
        <w:rPr>
          <w:spacing w:val="-2"/>
          <w:sz w:val="20"/>
          <w:szCs w:val="20"/>
        </w:rPr>
        <w:t>:</w:t>
      </w:r>
    </w:p>
    <w:p w14:paraId="77981BE1" w14:textId="77777777" w:rsidR="007B0DE4" w:rsidRPr="002433F3" w:rsidRDefault="007B0DE4" w:rsidP="007B0DE4">
      <w:pPr>
        <w:numPr>
          <w:ilvl w:val="0"/>
          <w:numId w:val="9"/>
        </w:numPr>
        <w:spacing w:before="120" w:after="120"/>
        <w:ind w:left="0" w:firstLine="0"/>
        <w:rPr>
          <w:lang w:val="en-US" w:eastAsia="es-ES"/>
        </w:rPr>
      </w:pPr>
      <w:r w:rsidRPr="002433F3">
        <w:rPr>
          <w:szCs w:val="20"/>
          <w:lang w:val="en-US" w:eastAsia="es-CR"/>
        </w:rPr>
        <w:t xml:space="preserve">The State is </w:t>
      </w:r>
      <w:r w:rsidR="00B21B6E" w:rsidRPr="002433F3">
        <w:rPr>
          <w:szCs w:val="20"/>
          <w:lang w:val="en-US" w:eastAsia="es-CR"/>
        </w:rPr>
        <w:t>responsible for the violation of the</w:t>
      </w:r>
      <w:r w:rsidRPr="002433F3">
        <w:rPr>
          <w:szCs w:val="20"/>
          <w:lang w:val="en-US" w:eastAsia="es-CR"/>
        </w:rPr>
        <w:t xml:space="preserve"> right to equality before the law</w:t>
      </w:r>
      <w:r w:rsidRPr="002433F3">
        <w:rPr>
          <w:rFonts w:eastAsia="Calibri" w:cs="Verdana"/>
          <w:lang w:val="en-US"/>
        </w:rPr>
        <w:t xml:space="preserve">, recognized in Article 24 of the American Convention, in relation to Article 1(1) thereof, pursuant to </w:t>
      </w:r>
      <w:r w:rsidRPr="002433F3">
        <w:rPr>
          <w:spacing w:val="-2"/>
          <w:szCs w:val="20"/>
          <w:lang w:val="en-US" w:eastAsia="es-CR"/>
        </w:rPr>
        <w:t>paragraphs</w:t>
      </w:r>
      <w:r w:rsidRPr="002433F3">
        <w:rPr>
          <w:spacing w:val="-2"/>
          <w:szCs w:val="20"/>
          <w:lang w:val="en-US"/>
        </w:rPr>
        <w:t xml:space="preserve"> 89 to 138 of this Judgment.</w:t>
      </w:r>
    </w:p>
    <w:p w14:paraId="21728020" w14:textId="77777777" w:rsidR="007B0DE4" w:rsidRPr="002433F3" w:rsidRDefault="00244560" w:rsidP="007B0DE4">
      <w:pPr>
        <w:spacing w:before="120" w:after="120"/>
        <w:rPr>
          <w:spacing w:val="-2"/>
          <w:szCs w:val="20"/>
          <w:lang w:val="en-US"/>
        </w:rPr>
      </w:pPr>
      <w:r>
        <w:rPr>
          <w:lang w:val="en-US" w:eastAsia="es-ES"/>
        </w:rPr>
        <w:t>Dissenting, Judges Manuel E. Ventura Robles and Eduardo Vio Grossi</w:t>
      </w:r>
    </w:p>
    <w:p w14:paraId="40AA08FE" w14:textId="77777777" w:rsidR="007B0DE4" w:rsidRPr="002433F3" w:rsidRDefault="007B0DE4" w:rsidP="007B0DE4">
      <w:pPr>
        <w:pStyle w:val="Default"/>
        <w:spacing w:before="360" w:after="360"/>
        <w:jc w:val="both"/>
        <w:rPr>
          <w:sz w:val="20"/>
          <w:szCs w:val="20"/>
          <w:lang w:eastAsia="es-ES"/>
        </w:rPr>
      </w:pPr>
      <w:r w:rsidRPr="002433F3">
        <w:rPr>
          <w:spacing w:val="-2"/>
          <w:sz w:val="20"/>
          <w:szCs w:val="20"/>
        </w:rPr>
        <w:t>By four votes in favor and two against, that</w:t>
      </w:r>
      <w:r w:rsidR="004252F7" w:rsidRPr="002433F3">
        <w:rPr>
          <w:spacing w:val="-2"/>
          <w:sz w:val="20"/>
          <w:szCs w:val="20"/>
        </w:rPr>
        <w:t>:</w:t>
      </w:r>
      <w:r w:rsidRPr="002433F3">
        <w:rPr>
          <w:spacing w:val="-2"/>
          <w:sz w:val="20"/>
          <w:szCs w:val="20"/>
        </w:rPr>
        <w:t xml:space="preserve">  </w:t>
      </w:r>
    </w:p>
    <w:p w14:paraId="5627C90C" w14:textId="77777777" w:rsidR="007B0DE4" w:rsidRPr="002433F3" w:rsidRDefault="00B21B6E" w:rsidP="007B0DE4">
      <w:pPr>
        <w:numPr>
          <w:ilvl w:val="0"/>
          <w:numId w:val="9"/>
        </w:numPr>
        <w:spacing w:before="120" w:after="120"/>
        <w:ind w:left="0" w:firstLine="0"/>
        <w:rPr>
          <w:lang w:val="en-US" w:eastAsia="es-ES"/>
        </w:rPr>
      </w:pPr>
      <w:r w:rsidRPr="002433F3">
        <w:rPr>
          <w:szCs w:val="20"/>
          <w:lang w:val="en-US" w:eastAsia="es-CR"/>
        </w:rPr>
        <w:t xml:space="preserve">The State </w:t>
      </w:r>
      <w:r w:rsidR="007B0DE4" w:rsidRPr="002433F3">
        <w:rPr>
          <w:szCs w:val="20"/>
          <w:lang w:val="en-US" w:eastAsia="es-CR"/>
        </w:rPr>
        <w:t xml:space="preserve">is </w:t>
      </w:r>
      <w:r w:rsidRPr="002433F3">
        <w:rPr>
          <w:szCs w:val="20"/>
          <w:lang w:val="en-US" w:eastAsia="es-CR"/>
        </w:rPr>
        <w:t xml:space="preserve">not </w:t>
      </w:r>
      <w:r w:rsidR="007B0DE4" w:rsidRPr="002433F3">
        <w:rPr>
          <w:szCs w:val="20"/>
          <w:lang w:val="en-US" w:eastAsia="es-CR"/>
        </w:rPr>
        <w:t xml:space="preserve">responsible for the violation of the obligation to adopt domestic </w:t>
      </w:r>
      <w:r w:rsidRPr="002433F3">
        <w:rPr>
          <w:szCs w:val="20"/>
          <w:lang w:val="en-US" w:eastAsia="es-CR"/>
        </w:rPr>
        <w:t>legal effects</w:t>
      </w:r>
      <w:r w:rsidR="007B0DE4" w:rsidRPr="002433F3">
        <w:rPr>
          <w:szCs w:val="20"/>
          <w:lang w:val="en-US" w:eastAsia="es-CR"/>
        </w:rPr>
        <w:t xml:space="preserve">, established in Article 2 of the American Convention, in relation </w:t>
      </w:r>
      <w:r w:rsidR="001F74DB" w:rsidRPr="002433F3">
        <w:rPr>
          <w:szCs w:val="20"/>
          <w:lang w:val="en-US" w:eastAsia="es-CR"/>
        </w:rPr>
        <w:t>to Articles</w:t>
      </w:r>
      <w:r w:rsidR="007B0DE4" w:rsidRPr="002433F3">
        <w:rPr>
          <w:szCs w:val="20"/>
          <w:lang w:val="en-US" w:eastAsia="es-CR"/>
        </w:rPr>
        <w:t xml:space="preserve"> 24 and 1(1) of the same instrument, pursuant to </w:t>
      </w:r>
      <w:r w:rsidR="007B0DE4" w:rsidRPr="002433F3">
        <w:rPr>
          <w:spacing w:val="-2"/>
          <w:szCs w:val="20"/>
          <w:lang w:val="en-US" w:eastAsia="es-CR"/>
        </w:rPr>
        <w:t>paragraph</w:t>
      </w:r>
      <w:r w:rsidR="007B0DE4" w:rsidRPr="002433F3">
        <w:rPr>
          <w:spacing w:val="-2"/>
          <w:szCs w:val="20"/>
          <w:lang w:val="en-US"/>
        </w:rPr>
        <w:t xml:space="preserve"> 139 of th</w:t>
      </w:r>
      <w:r w:rsidR="00BC7263" w:rsidRPr="002433F3">
        <w:rPr>
          <w:spacing w:val="-2"/>
          <w:szCs w:val="20"/>
          <w:lang w:val="en-US"/>
        </w:rPr>
        <w:t xml:space="preserve">is </w:t>
      </w:r>
      <w:r w:rsidR="007B0DE4" w:rsidRPr="002433F3">
        <w:rPr>
          <w:spacing w:val="-2"/>
          <w:szCs w:val="20"/>
          <w:lang w:val="en-US"/>
        </w:rPr>
        <w:t>Judgment.</w:t>
      </w:r>
    </w:p>
    <w:p w14:paraId="4F58A3DB" w14:textId="77777777" w:rsidR="007B0DE4" w:rsidRPr="002433F3" w:rsidRDefault="00244560" w:rsidP="007B0DE4">
      <w:pPr>
        <w:spacing w:before="120" w:after="120"/>
        <w:rPr>
          <w:spacing w:val="-2"/>
          <w:szCs w:val="20"/>
          <w:lang w:val="en-US"/>
        </w:rPr>
      </w:pPr>
      <w:r>
        <w:rPr>
          <w:lang w:val="en-US" w:eastAsia="es-ES"/>
        </w:rPr>
        <w:t>Dissenting, Judges Manuel E. Ventura Robles and Eduardo Vio Grossi</w:t>
      </w:r>
    </w:p>
    <w:p w14:paraId="1692E1E0" w14:textId="77777777" w:rsidR="007B0DE4" w:rsidRPr="002433F3" w:rsidRDefault="007B0DE4" w:rsidP="007B0DE4">
      <w:pPr>
        <w:pStyle w:val="Default"/>
        <w:spacing w:before="360" w:after="360"/>
        <w:jc w:val="both"/>
        <w:rPr>
          <w:spacing w:val="-2"/>
          <w:sz w:val="20"/>
          <w:szCs w:val="20"/>
        </w:rPr>
      </w:pPr>
      <w:r w:rsidRPr="002433F3">
        <w:rPr>
          <w:spacing w:val="-2"/>
          <w:sz w:val="20"/>
          <w:szCs w:val="20"/>
        </w:rPr>
        <w:t>By four votes in favor and two against, that</w:t>
      </w:r>
      <w:r w:rsidR="004252F7" w:rsidRPr="002433F3">
        <w:rPr>
          <w:spacing w:val="-2"/>
          <w:sz w:val="20"/>
          <w:szCs w:val="20"/>
        </w:rPr>
        <w:t>:</w:t>
      </w:r>
    </w:p>
    <w:p w14:paraId="1BF015A2" w14:textId="77777777" w:rsidR="007B0DE4" w:rsidRPr="002433F3" w:rsidRDefault="007B0DE4" w:rsidP="007B0DE4">
      <w:pPr>
        <w:numPr>
          <w:ilvl w:val="0"/>
          <w:numId w:val="9"/>
        </w:numPr>
        <w:spacing w:before="120" w:after="120"/>
        <w:ind w:left="0" w:firstLine="0"/>
        <w:rPr>
          <w:lang w:val="en-US" w:eastAsia="es-ES"/>
        </w:rPr>
      </w:pPr>
      <w:r w:rsidRPr="002433F3">
        <w:rPr>
          <w:szCs w:val="20"/>
          <w:lang w:val="en-US" w:eastAsia="es-CR"/>
        </w:rPr>
        <w:t>The State is not responsible for the violation of the rights to judicial guarantees and judicial protection recognized in Articles 8(1) and 25 of the American Convention, in relation to Articles</w:t>
      </w:r>
      <w:r w:rsidR="005A3E4D" w:rsidRPr="002433F3">
        <w:rPr>
          <w:szCs w:val="20"/>
          <w:lang w:val="en-US" w:eastAsia="es-CR"/>
        </w:rPr>
        <w:t xml:space="preserve"> 1(</w:t>
      </w:r>
      <w:r w:rsidRPr="002433F3">
        <w:rPr>
          <w:szCs w:val="20"/>
          <w:lang w:val="en-US" w:eastAsia="es-CR"/>
        </w:rPr>
        <w:t xml:space="preserve">1) and 2 thereof, </w:t>
      </w:r>
      <w:r w:rsidR="005A3E4D" w:rsidRPr="002433F3">
        <w:rPr>
          <w:szCs w:val="20"/>
          <w:lang w:val="en-US" w:eastAsia="es-CR"/>
        </w:rPr>
        <w:t xml:space="preserve">pursuant to </w:t>
      </w:r>
      <w:r w:rsidRPr="002433F3">
        <w:rPr>
          <w:spacing w:val="-2"/>
          <w:szCs w:val="20"/>
          <w:lang w:val="en-US" w:eastAsia="es-CR"/>
        </w:rPr>
        <w:t>paragraphs</w:t>
      </w:r>
      <w:r w:rsidRPr="002433F3">
        <w:rPr>
          <w:spacing w:val="-2"/>
          <w:szCs w:val="20"/>
          <w:lang w:val="en-US"/>
        </w:rPr>
        <w:t xml:space="preserve"> 145 to 166 of this Judgment.</w:t>
      </w:r>
    </w:p>
    <w:p w14:paraId="647AB7B9" w14:textId="77777777" w:rsidR="007B0DE4" w:rsidRPr="002433F3" w:rsidRDefault="00244560" w:rsidP="007B0DE4">
      <w:pPr>
        <w:spacing w:before="120" w:after="120"/>
        <w:rPr>
          <w:spacing w:val="-2"/>
          <w:szCs w:val="20"/>
          <w:lang w:val="en-US"/>
        </w:rPr>
      </w:pPr>
      <w:r>
        <w:rPr>
          <w:lang w:val="en-US" w:eastAsia="es-ES"/>
        </w:rPr>
        <w:t>Dissenting, Judges Manuel E. Ventura Robles and Eduardo Vio Grossi</w:t>
      </w:r>
    </w:p>
    <w:p w14:paraId="52E7262C" w14:textId="77777777" w:rsidR="007B0DE4" w:rsidRPr="002433F3" w:rsidRDefault="007B0DE4" w:rsidP="007B0DE4">
      <w:pPr>
        <w:pStyle w:val="Default"/>
        <w:spacing w:before="360" w:after="360"/>
        <w:jc w:val="both"/>
        <w:rPr>
          <w:sz w:val="20"/>
          <w:szCs w:val="20"/>
          <w:lang w:eastAsia="es-ES"/>
        </w:rPr>
      </w:pPr>
      <w:r w:rsidRPr="002433F3">
        <w:rPr>
          <w:spacing w:val="-2"/>
          <w:sz w:val="20"/>
          <w:szCs w:val="20"/>
        </w:rPr>
        <w:t>By four votes in favor and two against, that</w:t>
      </w:r>
      <w:r w:rsidR="004252F7" w:rsidRPr="002433F3">
        <w:rPr>
          <w:spacing w:val="-2"/>
          <w:sz w:val="20"/>
          <w:szCs w:val="20"/>
        </w:rPr>
        <w:t>:</w:t>
      </w:r>
    </w:p>
    <w:p w14:paraId="08B04A64" w14:textId="77777777" w:rsidR="007B0DE4" w:rsidRPr="002433F3" w:rsidRDefault="007B0DE4" w:rsidP="007B0DE4">
      <w:pPr>
        <w:numPr>
          <w:ilvl w:val="0"/>
          <w:numId w:val="9"/>
        </w:numPr>
        <w:spacing w:before="120" w:after="120"/>
        <w:ind w:left="0" w:firstLine="0"/>
        <w:rPr>
          <w:lang w:val="en-US" w:eastAsia="es-ES"/>
        </w:rPr>
      </w:pPr>
      <w:r w:rsidRPr="002433F3">
        <w:rPr>
          <w:szCs w:val="20"/>
          <w:lang w:val="en-US" w:eastAsia="es-CR"/>
        </w:rPr>
        <w:t>The State is not responsible for the violation of the rights to life and personal integrity recognized in Articles 4(1) and 5(1) of the American Convention, in relation to Articles 1(1) and 2 thereof</w:t>
      </w:r>
      <w:r w:rsidRPr="002433F3">
        <w:rPr>
          <w:szCs w:val="20"/>
          <w:lang w:val="en-US"/>
        </w:rPr>
        <w:t xml:space="preserve">, pursuant to </w:t>
      </w:r>
      <w:r w:rsidRPr="002433F3">
        <w:rPr>
          <w:spacing w:val="-2"/>
          <w:szCs w:val="20"/>
          <w:lang w:val="en-US" w:eastAsia="es-CR"/>
        </w:rPr>
        <w:t>paragraphs</w:t>
      </w:r>
      <w:r w:rsidRPr="002433F3">
        <w:rPr>
          <w:spacing w:val="-2"/>
          <w:szCs w:val="20"/>
          <w:lang w:val="en-US"/>
        </w:rPr>
        <w:t xml:space="preserve"> 171 to 192 of this Judgment.</w:t>
      </w:r>
    </w:p>
    <w:p w14:paraId="6E22A116" w14:textId="77777777" w:rsidR="007B0DE4" w:rsidRPr="002433F3" w:rsidRDefault="00244560" w:rsidP="007B0DE4">
      <w:pPr>
        <w:spacing w:before="120" w:after="120"/>
        <w:rPr>
          <w:lang w:val="en-US" w:eastAsia="es-ES"/>
        </w:rPr>
      </w:pPr>
      <w:r>
        <w:rPr>
          <w:lang w:val="en-US" w:eastAsia="es-ES"/>
        </w:rPr>
        <w:t>Dissenting, Judges Manuel E. Ventura Robles and Eduardo Vio Grossi</w:t>
      </w:r>
      <w:r w:rsidR="007B0DE4" w:rsidRPr="002433F3">
        <w:rPr>
          <w:lang w:val="en-US"/>
        </w:rPr>
        <w:t xml:space="preserve"> </w:t>
      </w:r>
    </w:p>
    <w:p w14:paraId="418AC320" w14:textId="77777777" w:rsidR="007B0DE4" w:rsidRPr="002433F3" w:rsidRDefault="007B0DE4" w:rsidP="007B0DE4">
      <w:pPr>
        <w:spacing w:before="360" w:after="360"/>
        <w:rPr>
          <w:rFonts w:cs="Verdana"/>
          <w:b/>
          <w:color w:val="000000"/>
          <w:spacing w:val="-2"/>
          <w:szCs w:val="20"/>
          <w:lang w:val="en-US"/>
        </w:rPr>
      </w:pPr>
      <w:r w:rsidRPr="002433F3">
        <w:rPr>
          <w:rFonts w:cs="Verdana"/>
          <w:b/>
          <w:color w:val="000000"/>
          <w:spacing w:val="-2"/>
          <w:szCs w:val="20"/>
          <w:lang w:val="en-US"/>
        </w:rPr>
        <w:t>AND ORDERS,</w:t>
      </w:r>
    </w:p>
    <w:p w14:paraId="036C7F77" w14:textId="77777777" w:rsidR="007B0DE4" w:rsidRPr="002433F3" w:rsidRDefault="007B0DE4" w:rsidP="007B0DE4">
      <w:pPr>
        <w:pStyle w:val="Default"/>
        <w:spacing w:before="360" w:after="360"/>
        <w:jc w:val="both"/>
        <w:rPr>
          <w:spacing w:val="-2"/>
          <w:sz w:val="20"/>
          <w:szCs w:val="20"/>
        </w:rPr>
      </w:pPr>
      <w:r w:rsidRPr="002433F3">
        <w:rPr>
          <w:spacing w:val="-2"/>
          <w:sz w:val="20"/>
          <w:szCs w:val="20"/>
        </w:rPr>
        <w:t>By four votes in favor and two against</w:t>
      </w:r>
      <w:r w:rsidR="00032C57" w:rsidRPr="002433F3">
        <w:rPr>
          <w:spacing w:val="-2"/>
          <w:sz w:val="20"/>
          <w:szCs w:val="20"/>
        </w:rPr>
        <w:t>,</w:t>
      </w:r>
      <w:r w:rsidRPr="002433F3">
        <w:rPr>
          <w:spacing w:val="-2"/>
          <w:sz w:val="20"/>
          <w:szCs w:val="20"/>
        </w:rPr>
        <w:t xml:space="preserve"> </w:t>
      </w:r>
      <w:r w:rsidR="00EE54B1" w:rsidRPr="002433F3">
        <w:rPr>
          <w:spacing w:val="-2"/>
          <w:sz w:val="20"/>
          <w:szCs w:val="20"/>
        </w:rPr>
        <w:t>that</w:t>
      </w:r>
      <w:r w:rsidR="004252F7" w:rsidRPr="002433F3">
        <w:rPr>
          <w:spacing w:val="-2"/>
          <w:sz w:val="20"/>
          <w:szCs w:val="20"/>
        </w:rPr>
        <w:t>:</w:t>
      </w:r>
    </w:p>
    <w:p w14:paraId="7462ADBA" w14:textId="77777777" w:rsidR="007B0DE4" w:rsidRPr="002433F3" w:rsidRDefault="007B0DE4" w:rsidP="007B0DE4">
      <w:pPr>
        <w:numPr>
          <w:ilvl w:val="0"/>
          <w:numId w:val="9"/>
        </w:numPr>
        <w:spacing w:before="120" w:after="120"/>
        <w:ind w:left="0" w:firstLine="0"/>
        <w:rPr>
          <w:lang w:val="en-US" w:eastAsia="es-ES"/>
        </w:rPr>
      </w:pPr>
      <w:r w:rsidRPr="002433F3">
        <w:rPr>
          <w:spacing w:val="-2"/>
          <w:szCs w:val="20"/>
          <w:lang w:val="en-US"/>
        </w:rPr>
        <w:t xml:space="preserve">This </w:t>
      </w:r>
      <w:r w:rsidRPr="002433F3">
        <w:rPr>
          <w:spacing w:val="-2"/>
          <w:szCs w:val="20"/>
          <w:lang w:val="en-US" w:eastAsia="es-ES"/>
        </w:rPr>
        <w:t>Judgment</w:t>
      </w:r>
      <w:r w:rsidRPr="002433F3">
        <w:rPr>
          <w:spacing w:val="-2"/>
          <w:szCs w:val="20"/>
          <w:lang w:val="en-US"/>
        </w:rPr>
        <w:t xml:space="preserve"> constitutes</w:t>
      </w:r>
      <w:r w:rsidR="004D10A8" w:rsidRPr="002433F3">
        <w:rPr>
          <w:spacing w:val="-2"/>
          <w:szCs w:val="20"/>
          <w:lang w:val="en-US"/>
        </w:rPr>
        <w:t>,</w:t>
      </w:r>
      <w:r w:rsidRPr="002433F3">
        <w:rPr>
          <w:spacing w:val="-2"/>
          <w:szCs w:val="20"/>
          <w:lang w:val="en-US"/>
        </w:rPr>
        <w:t xml:space="preserve"> </w:t>
      </w:r>
      <w:r w:rsidRPr="002433F3">
        <w:rPr>
          <w:i/>
          <w:spacing w:val="-2"/>
          <w:szCs w:val="20"/>
          <w:lang w:val="en-US"/>
        </w:rPr>
        <w:t>per se</w:t>
      </w:r>
      <w:r w:rsidR="004D10A8" w:rsidRPr="002433F3">
        <w:rPr>
          <w:i/>
          <w:spacing w:val="-2"/>
          <w:szCs w:val="20"/>
          <w:lang w:val="en-US"/>
        </w:rPr>
        <w:t>,</w:t>
      </w:r>
      <w:r w:rsidRPr="002433F3">
        <w:rPr>
          <w:spacing w:val="-2"/>
          <w:szCs w:val="20"/>
          <w:lang w:val="en-US"/>
        </w:rPr>
        <w:t xml:space="preserve"> a form of reparation.</w:t>
      </w:r>
    </w:p>
    <w:p w14:paraId="08AFACF0" w14:textId="77777777" w:rsidR="007B0DE4" w:rsidRPr="002433F3" w:rsidRDefault="00244560" w:rsidP="007B0DE4">
      <w:pPr>
        <w:spacing w:before="120" w:after="120"/>
        <w:rPr>
          <w:spacing w:val="-2"/>
          <w:szCs w:val="20"/>
          <w:lang w:val="en-US"/>
        </w:rPr>
      </w:pPr>
      <w:r>
        <w:rPr>
          <w:lang w:val="en-US" w:eastAsia="es-ES"/>
        </w:rPr>
        <w:lastRenderedPageBreak/>
        <w:t>Dissenting, Judges Manuel E. Ventura Robles and Eduardo Vio Grossi</w:t>
      </w:r>
    </w:p>
    <w:p w14:paraId="568A2A1C" w14:textId="77777777" w:rsidR="007B0DE4" w:rsidRPr="002433F3" w:rsidRDefault="007B0DE4" w:rsidP="007B0DE4">
      <w:pPr>
        <w:pStyle w:val="Default"/>
        <w:spacing w:before="360" w:after="360"/>
        <w:jc w:val="both"/>
        <w:rPr>
          <w:spacing w:val="-2"/>
          <w:sz w:val="20"/>
          <w:szCs w:val="20"/>
        </w:rPr>
      </w:pPr>
      <w:r w:rsidRPr="002433F3">
        <w:rPr>
          <w:spacing w:val="-2"/>
          <w:sz w:val="20"/>
          <w:szCs w:val="20"/>
        </w:rPr>
        <w:t xml:space="preserve">By four votes in favor and two against, </w:t>
      </w:r>
      <w:r w:rsidR="00032C57" w:rsidRPr="002433F3">
        <w:rPr>
          <w:spacing w:val="-2"/>
          <w:sz w:val="20"/>
          <w:szCs w:val="20"/>
        </w:rPr>
        <w:t>that</w:t>
      </w:r>
      <w:r w:rsidR="004252F7" w:rsidRPr="002433F3">
        <w:rPr>
          <w:spacing w:val="-2"/>
          <w:sz w:val="20"/>
          <w:szCs w:val="20"/>
        </w:rPr>
        <w:t>:</w:t>
      </w:r>
    </w:p>
    <w:p w14:paraId="0D7E537C" w14:textId="77777777" w:rsidR="007B0DE4" w:rsidRPr="002433F3" w:rsidRDefault="007B0DE4" w:rsidP="007B0DE4">
      <w:pPr>
        <w:numPr>
          <w:ilvl w:val="0"/>
          <w:numId w:val="9"/>
        </w:numPr>
        <w:spacing w:before="120" w:after="120"/>
        <w:ind w:left="0" w:firstLine="0"/>
        <w:rPr>
          <w:lang w:val="en-US" w:eastAsia="es-ES"/>
        </w:rPr>
      </w:pPr>
      <w:r w:rsidRPr="002433F3">
        <w:rPr>
          <w:spacing w:val="-2"/>
          <w:szCs w:val="20"/>
          <w:lang w:val="en-US"/>
        </w:rPr>
        <w:t xml:space="preserve">The State </w:t>
      </w:r>
      <w:r w:rsidR="004D10A8" w:rsidRPr="002433F3">
        <w:rPr>
          <w:spacing w:val="-2"/>
          <w:szCs w:val="20"/>
          <w:lang w:val="en-US"/>
        </w:rPr>
        <w:t xml:space="preserve">shall issue </w:t>
      </w:r>
      <w:r w:rsidRPr="002433F3">
        <w:rPr>
          <w:spacing w:val="-2"/>
          <w:szCs w:val="20"/>
          <w:lang w:val="en-US"/>
        </w:rPr>
        <w:t>the publications i</w:t>
      </w:r>
      <w:r w:rsidR="004D10A8" w:rsidRPr="002433F3">
        <w:rPr>
          <w:spacing w:val="-2"/>
          <w:szCs w:val="20"/>
          <w:lang w:val="en-US"/>
        </w:rPr>
        <w:t>ndicated in paragraph 203 of this</w:t>
      </w:r>
      <w:r w:rsidR="008A041E" w:rsidRPr="002433F3">
        <w:rPr>
          <w:spacing w:val="-2"/>
          <w:szCs w:val="20"/>
          <w:lang w:val="en-US"/>
        </w:rPr>
        <w:t xml:space="preserve"> Judgment</w:t>
      </w:r>
      <w:r w:rsidRPr="002433F3">
        <w:rPr>
          <w:spacing w:val="-2"/>
          <w:szCs w:val="20"/>
          <w:lang w:val="en-US"/>
        </w:rPr>
        <w:t xml:space="preserve"> </w:t>
      </w:r>
      <w:r w:rsidR="004D10A8" w:rsidRPr="002433F3">
        <w:rPr>
          <w:spacing w:val="-2"/>
          <w:szCs w:val="20"/>
          <w:lang w:val="en-US"/>
        </w:rPr>
        <w:t xml:space="preserve">within six months of </w:t>
      </w:r>
      <w:r w:rsidR="004D10A8" w:rsidRPr="002433F3">
        <w:rPr>
          <w:rFonts w:cs="Arial"/>
          <w:spacing w:val="-2"/>
          <w:szCs w:val="20"/>
          <w:lang w:val="en-US"/>
        </w:rPr>
        <w:t>notification</w:t>
      </w:r>
      <w:r w:rsidR="004D10A8" w:rsidRPr="002433F3">
        <w:rPr>
          <w:spacing w:val="-2"/>
          <w:szCs w:val="20"/>
          <w:lang w:val="en-US"/>
        </w:rPr>
        <w:t xml:space="preserve">, </w:t>
      </w:r>
      <w:r w:rsidRPr="002433F3">
        <w:rPr>
          <w:spacing w:val="-2"/>
          <w:szCs w:val="20"/>
          <w:lang w:val="en-US"/>
        </w:rPr>
        <w:t xml:space="preserve">in the terms established therein. </w:t>
      </w:r>
      <w:r w:rsidR="00032C57" w:rsidRPr="002433F3">
        <w:rPr>
          <w:spacing w:val="-2"/>
          <w:szCs w:val="20"/>
          <w:lang w:val="en-US"/>
        </w:rPr>
        <w:t>The</w:t>
      </w:r>
      <w:r w:rsidRPr="002433F3">
        <w:rPr>
          <w:spacing w:val="-2"/>
          <w:szCs w:val="20"/>
          <w:lang w:val="en-US"/>
        </w:rPr>
        <w:t xml:space="preserve"> publication </w:t>
      </w:r>
      <w:r w:rsidR="00032C57" w:rsidRPr="002433F3">
        <w:rPr>
          <w:spacing w:val="-2"/>
          <w:szCs w:val="20"/>
          <w:lang w:val="en-US"/>
        </w:rPr>
        <w:t xml:space="preserve">of the Judgment </w:t>
      </w:r>
      <w:r w:rsidR="004D10A8" w:rsidRPr="002433F3">
        <w:rPr>
          <w:spacing w:val="-2"/>
          <w:szCs w:val="20"/>
          <w:lang w:val="en-US"/>
        </w:rPr>
        <w:t xml:space="preserve">shall </w:t>
      </w:r>
      <w:r w:rsidR="00032C57" w:rsidRPr="002433F3">
        <w:rPr>
          <w:spacing w:val="-2"/>
          <w:szCs w:val="20"/>
          <w:lang w:val="en-US"/>
        </w:rPr>
        <w:t xml:space="preserve">be </w:t>
      </w:r>
      <w:r w:rsidR="00032C57" w:rsidRPr="002433F3">
        <w:rPr>
          <w:lang w:val="en-US"/>
        </w:rPr>
        <w:t xml:space="preserve">available </w:t>
      </w:r>
      <w:r w:rsidR="00032C57" w:rsidRPr="002433F3">
        <w:rPr>
          <w:spacing w:val="-2"/>
          <w:szCs w:val="20"/>
          <w:lang w:val="en-US"/>
        </w:rPr>
        <w:t>on an official web site</w:t>
      </w:r>
      <w:r w:rsidR="00032C57" w:rsidRPr="002433F3">
        <w:rPr>
          <w:lang w:val="en-US"/>
        </w:rPr>
        <w:t xml:space="preserve"> for a period of at least one year</w:t>
      </w:r>
      <w:r w:rsidRPr="002433F3">
        <w:rPr>
          <w:spacing w:val="-2"/>
          <w:szCs w:val="20"/>
          <w:lang w:val="en-US"/>
        </w:rPr>
        <w:t>.</w:t>
      </w:r>
    </w:p>
    <w:p w14:paraId="42557152" w14:textId="77777777" w:rsidR="007B0DE4" w:rsidRPr="002433F3" w:rsidRDefault="00244560" w:rsidP="007B0DE4">
      <w:pPr>
        <w:spacing w:before="120" w:after="120"/>
        <w:rPr>
          <w:lang w:val="en-US"/>
        </w:rPr>
      </w:pPr>
      <w:r>
        <w:rPr>
          <w:lang w:val="en-US" w:eastAsia="es-ES"/>
        </w:rPr>
        <w:t>Dissenting, Judges Manuel E. Ventura Robles and Eduardo Vio Grossi</w:t>
      </w:r>
    </w:p>
    <w:p w14:paraId="62E9363F" w14:textId="77777777" w:rsidR="007B0DE4" w:rsidRPr="002433F3" w:rsidRDefault="007B0DE4" w:rsidP="007B0DE4">
      <w:pPr>
        <w:pStyle w:val="Default"/>
        <w:spacing w:before="360" w:after="360"/>
        <w:jc w:val="both"/>
        <w:rPr>
          <w:spacing w:val="-2"/>
          <w:sz w:val="20"/>
          <w:szCs w:val="20"/>
        </w:rPr>
      </w:pPr>
      <w:r w:rsidRPr="002433F3">
        <w:rPr>
          <w:spacing w:val="-2"/>
          <w:sz w:val="20"/>
          <w:szCs w:val="20"/>
        </w:rPr>
        <w:t>By four votes in favor and two against, that</w:t>
      </w:r>
      <w:r w:rsidR="004252F7" w:rsidRPr="002433F3">
        <w:rPr>
          <w:spacing w:val="-2"/>
          <w:sz w:val="20"/>
          <w:szCs w:val="20"/>
        </w:rPr>
        <w:t>:</w:t>
      </w:r>
      <w:r w:rsidRPr="002433F3">
        <w:rPr>
          <w:spacing w:val="-2"/>
          <w:sz w:val="20"/>
          <w:szCs w:val="20"/>
        </w:rPr>
        <w:t xml:space="preserve"> </w:t>
      </w:r>
    </w:p>
    <w:p w14:paraId="27D2F876" w14:textId="77777777" w:rsidR="007B0DE4" w:rsidRPr="002433F3" w:rsidRDefault="007B0DE4" w:rsidP="007B0DE4">
      <w:pPr>
        <w:numPr>
          <w:ilvl w:val="0"/>
          <w:numId w:val="9"/>
        </w:numPr>
        <w:spacing w:before="120" w:after="120"/>
        <w:ind w:left="0" w:firstLine="0"/>
        <w:rPr>
          <w:spacing w:val="-2"/>
          <w:szCs w:val="20"/>
          <w:lang w:val="en-US"/>
        </w:rPr>
      </w:pPr>
      <w:r w:rsidRPr="002433F3">
        <w:rPr>
          <w:spacing w:val="-2"/>
          <w:szCs w:val="20"/>
          <w:lang w:val="en-US"/>
        </w:rPr>
        <w:t xml:space="preserve">The </w:t>
      </w:r>
      <w:r w:rsidR="00CD74BB" w:rsidRPr="002433F3">
        <w:rPr>
          <w:lang w:val="en-US"/>
        </w:rPr>
        <w:t>State must guarantee that once Mr. Duque submits his application for the survivor’s pension, it will be processed as a priority</w:t>
      </w:r>
      <w:r w:rsidR="00BC5790" w:rsidRPr="002433F3">
        <w:rPr>
          <w:spacing w:val="-2"/>
          <w:szCs w:val="20"/>
          <w:lang w:val="en-US"/>
        </w:rPr>
        <w:t>,</w:t>
      </w:r>
      <w:r w:rsidRPr="002433F3">
        <w:rPr>
          <w:spacing w:val="-2"/>
          <w:szCs w:val="20"/>
          <w:lang w:val="en-US"/>
        </w:rPr>
        <w:t xml:space="preserve"> </w:t>
      </w:r>
      <w:r w:rsidRPr="002433F3">
        <w:rPr>
          <w:lang w:val="en-US"/>
        </w:rPr>
        <w:t>pursuant to paragraphs</w:t>
      </w:r>
      <w:r w:rsidRPr="002433F3">
        <w:rPr>
          <w:spacing w:val="-2"/>
          <w:szCs w:val="20"/>
          <w:lang w:val="en-US" w:eastAsia="es-CR"/>
        </w:rPr>
        <w:t xml:space="preserve"> 199 and 200 of this Judgment.</w:t>
      </w:r>
    </w:p>
    <w:p w14:paraId="63929E15" w14:textId="77777777" w:rsidR="007B0DE4" w:rsidRPr="002433F3" w:rsidRDefault="00244560" w:rsidP="007B0DE4">
      <w:pPr>
        <w:spacing w:before="120" w:after="120"/>
        <w:rPr>
          <w:spacing w:val="-2"/>
          <w:szCs w:val="20"/>
          <w:lang w:val="en-US"/>
        </w:rPr>
      </w:pPr>
      <w:r>
        <w:rPr>
          <w:lang w:val="en-US" w:eastAsia="es-ES"/>
        </w:rPr>
        <w:t>Dissenting, Judges Manuel E. Ventura Robles and Eduardo Vio Grossi</w:t>
      </w:r>
    </w:p>
    <w:p w14:paraId="0AC775F5" w14:textId="77777777" w:rsidR="007B0DE4" w:rsidRPr="002433F3" w:rsidRDefault="007B0DE4" w:rsidP="007B0DE4">
      <w:pPr>
        <w:pStyle w:val="Default"/>
        <w:spacing w:before="360" w:after="360"/>
        <w:jc w:val="both"/>
        <w:rPr>
          <w:spacing w:val="-2"/>
          <w:sz w:val="20"/>
          <w:szCs w:val="20"/>
        </w:rPr>
      </w:pPr>
      <w:r w:rsidRPr="002433F3">
        <w:rPr>
          <w:spacing w:val="-2"/>
          <w:sz w:val="20"/>
          <w:szCs w:val="20"/>
        </w:rPr>
        <w:t xml:space="preserve">By four votes in favor and two against, </w:t>
      </w:r>
      <w:r w:rsidR="008E5151" w:rsidRPr="002433F3">
        <w:rPr>
          <w:spacing w:val="-2"/>
          <w:sz w:val="20"/>
          <w:szCs w:val="20"/>
        </w:rPr>
        <w:t>that</w:t>
      </w:r>
      <w:r w:rsidR="004252F7" w:rsidRPr="002433F3">
        <w:rPr>
          <w:spacing w:val="-2"/>
          <w:sz w:val="20"/>
          <w:szCs w:val="20"/>
        </w:rPr>
        <w:t>:</w:t>
      </w:r>
      <w:r w:rsidR="008E5151" w:rsidRPr="002433F3">
        <w:rPr>
          <w:spacing w:val="-2"/>
          <w:sz w:val="20"/>
          <w:szCs w:val="20"/>
        </w:rPr>
        <w:t xml:space="preserve"> </w:t>
      </w:r>
    </w:p>
    <w:p w14:paraId="2104E1D1" w14:textId="77777777" w:rsidR="007B0DE4" w:rsidRPr="002433F3" w:rsidRDefault="007B0DE4" w:rsidP="007B0DE4">
      <w:pPr>
        <w:numPr>
          <w:ilvl w:val="0"/>
          <w:numId w:val="9"/>
        </w:numPr>
        <w:spacing w:before="120" w:after="120"/>
        <w:ind w:left="0" w:firstLine="0"/>
        <w:rPr>
          <w:lang w:val="en-US" w:eastAsia="es-ES"/>
        </w:rPr>
      </w:pPr>
      <w:r w:rsidRPr="002433F3">
        <w:rPr>
          <w:spacing w:val="-2"/>
          <w:szCs w:val="20"/>
          <w:lang w:val="en-US" w:eastAsia="es-CR"/>
        </w:rPr>
        <w:t xml:space="preserve">The State </w:t>
      </w:r>
      <w:r w:rsidR="006E11A3" w:rsidRPr="002433F3">
        <w:rPr>
          <w:spacing w:val="-2"/>
          <w:szCs w:val="20"/>
          <w:lang w:val="en-US" w:eastAsia="es-CR"/>
        </w:rPr>
        <w:t xml:space="preserve">shall </w:t>
      </w:r>
      <w:r w:rsidR="00B67816" w:rsidRPr="002433F3">
        <w:rPr>
          <w:spacing w:val="-2"/>
          <w:szCs w:val="20"/>
          <w:lang w:val="en-US" w:eastAsia="es-CR"/>
        </w:rPr>
        <w:t xml:space="preserve">pay </w:t>
      </w:r>
      <w:r w:rsidRPr="002433F3">
        <w:rPr>
          <w:spacing w:val="-2"/>
          <w:szCs w:val="20"/>
          <w:lang w:val="en-US" w:eastAsia="es-CR"/>
        </w:rPr>
        <w:t xml:space="preserve">the amounts established in paragraphs 221 and 227 of this Judgment </w:t>
      </w:r>
      <w:r w:rsidR="00B67816" w:rsidRPr="002433F3">
        <w:rPr>
          <w:spacing w:val="-2"/>
          <w:szCs w:val="20"/>
          <w:lang w:val="en-US" w:eastAsia="es-CR"/>
        </w:rPr>
        <w:t xml:space="preserve">as </w:t>
      </w:r>
      <w:r w:rsidRPr="002433F3">
        <w:rPr>
          <w:spacing w:val="-2"/>
          <w:szCs w:val="20"/>
          <w:lang w:val="en-US" w:eastAsia="es-CR"/>
        </w:rPr>
        <w:t>compensation for non-pecuniary damage, a</w:t>
      </w:r>
      <w:r w:rsidR="00B67816" w:rsidRPr="002433F3">
        <w:rPr>
          <w:spacing w:val="-2"/>
          <w:szCs w:val="20"/>
          <w:lang w:val="en-US" w:eastAsia="es-CR"/>
        </w:rPr>
        <w:t xml:space="preserve">nd to </w:t>
      </w:r>
      <w:r w:rsidRPr="002433F3">
        <w:rPr>
          <w:spacing w:val="-2"/>
          <w:szCs w:val="20"/>
          <w:lang w:val="en-US" w:eastAsia="es-CR"/>
        </w:rPr>
        <w:t>reim</w:t>
      </w:r>
      <w:r w:rsidR="00B67816" w:rsidRPr="002433F3">
        <w:rPr>
          <w:spacing w:val="-2"/>
          <w:szCs w:val="20"/>
          <w:lang w:val="en-US" w:eastAsia="es-CR"/>
        </w:rPr>
        <w:t>burse costs and expenses, within one year of notification of this Judgment.</w:t>
      </w:r>
    </w:p>
    <w:p w14:paraId="5357D00A" w14:textId="77777777" w:rsidR="007B0DE4" w:rsidRPr="002433F3" w:rsidRDefault="00244560" w:rsidP="007B0DE4">
      <w:pPr>
        <w:spacing w:before="120" w:after="120"/>
        <w:rPr>
          <w:lang w:val="en-US" w:eastAsia="es-ES"/>
        </w:rPr>
      </w:pPr>
      <w:r>
        <w:rPr>
          <w:lang w:val="en-US" w:eastAsia="es-ES"/>
        </w:rPr>
        <w:t>Dissenting, Judges Manuel E. Ventura Robles and Eduardo Vio Grossi</w:t>
      </w:r>
      <w:r w:rsidR="007B0DE4" w:rsidRPr="002433F3">
        <w:rPr>
          <w:lang w:val="en-US"/>
        </w:rPr>
        <w:t xml:space="preserve"> </w:t>
      </w:r>
    </w:p>
    <w:p w14:paraId="6AD4E38D" w14:textId="77777777" w:rsidR="007B0DE4" w:rsidRPr="002433F3" w:rsidRDefault="008A041E" w:rsidP="007B0DE4">
      <w:pPr>
        <w:pStyle w:val="Default"/>
        <w:spacing w:before="360" w:after="360"/>
        <w:jc w:val="both"/>
        <w:rPr>
          <w:spacing w:val="-2"/>
          <w:sz w:val="20"/>
          <w:szCs w:val="20"/>
        </w:rPr>
      </w:pPr>
      <w:r w:rsidRPr="002433F3">
        <w:rPr>
          <w:spacing w:val="-2"/>
          <w:sz w:val="20"/>
          <w:szCs w:val="20"/>
        </w:rPr>
        <w:t>Unanimously, that</w:t>
      </w:r>
      <w:r w:rsidR="004252F7" w:rsidRPr="002433F3">
        <w:rPr>
          <w:spacing w:val="-2"/>
          <w:sz w:val="20"/>
          <w:szCs w:val="20"/>
        </w:rPr>
        <w:t>:</w:t>
      </w:r>
      <w:r w:rsidR="007B0DE4" w:rsidRPr="002433F3">
        <w:rPr>
          <w:spacing w:val="-2"/>
          <w:sz w:val="20"/>
          <w:szCs w:val="20"/>
        </w:rPr>
        <w:t xml:space="preserve"> </w:t>
      </w:r>
    </w:p>
    <w:p w14:paraId="042A82D9" w14:textId="77777777" w:rsidR="007B0DE4" w:rsidRPr="002433F3" w:rsidRDefault="007B0DE4" w:rsidP="007B0DE4">
      <w:pPr>
        <w:numPr>
          <w:ilvl w:val="0"/>
          <w:numId w:val="9"/>
        </w:numPr>
        <w:spacing w:before="120" w:after="120"/>
        <w:ind w:left="0" w:firstLine="0"/>
        <w:rPr>
          <w:spacing w:val="-2"/>
          <w:szCs w:val="20"/>
          <w:lang w:val="en-US" w:eastAsia="es-CR"/>
        </w:rPr>
      </w:pPr>
      <w:r w:rsidRPr="002433F3">
        <w:rPr>
          <w:spacing w:val="-2"/>
          <w:szCs w:val="20"/>
          <w:lang w:val="en-US" w:eastAsia="es-CR"/>
        </w:rPr>
        <w:t xml:space="preserve">The State </w:t>
      </w:r>
      <w:r w:rsidR="006E11A3" w:rsidRPr="002433F3">
        <w:rPr>
          <w:spacing w:val="-2"/>
          <w:szCs w:val="20"/>
          <w:lang w:val="en-US" w:eastAsia="es-CR"/>
        </w:rPr>
        <w:t xml:space="preserve">shall </w:t>
      </w:r>
      <w:r w:rsidRPr="002433F3">
        <w:rPr>
          <w:spacing w:val="-2"/>
          <w:szCs w:val="20"/>
          <w:lang w:val="en-US" w:eastAsia="es-CR"/>
        </w:rPr>
        <w:t xml:space="preserve">reimburse the Victims’ Legal Assistance Fund of the Inter-American Court of Human Rights </w:t>
      </w:r>
      <w:r w:rsidR="004252F7" w:rsidRPr="002433F3">
        <w:rPr>
          <w:spacing w:val="-2"/>
          <w:szCs w:val="20"/>
          <w:lang w:val="en-US" w:eastAsia="es-CR"/>
        </w:rPr>
        <w:t xml:space="preserve">for </w:t>
      </w:r>
      <w:r w:rsidRPr="002433F3">
        <w:rPr>
          <w:spacing w:val="-2"/>
          <w:szCs w:val="20"/>
          <w:lang w:val="en-US" w:eastAsia="es-CR"/>
        </w:rPr>
        <w:t xml:space="preserve">the </w:t>
      </w:r>
      <w:r w:rsidR="00940692" w:rsidRPr="002433F3">
        <w:rPr>
          <w:spacing w:val="-2"/>
          <w:szCs w:val="20"/>
          <w:lang w:val="en-US" w:eastAsia="es-CR"/>
        </w:rPr>
        <w:t xml:space="preserve">sum </w:t>
      </w:r>
      <w:r w:rsidRPr="002433F3">
        <w:rPr>
          <w:spacing w:val="-2"/>
          <w:szCs w:val="20"/>
          <w:lang w:val="en-US" w:eastAsia="es-CR"/>
        </w:rPr>
        <w:t xml:space="preserve">disbursed during the processing of this case, </w:t>
      </w:r>
      <w:r w:rsidR="00940692" w:rsidRPr="002433F3">
        <w:rPr>
          <w:spacing w:val="-2"/>
          <w:szCs w:val="20"/>
          <w:lang w:val="en-US" w:eastAsia="es-CR"/>
        </w:rPr>
        <w:t xml:space="preserve">pursuant to </w:t>
      </w:r>
      <w:r w:rsidRPr="002433F3">
        <w:rPr>
          <w:spacing w:val="-2"/>
          <w:szCs w:val="20"/>
          <w:lang w:val="en-US" w:eastAsia="es-CR"/>
        </w:rPr>
        <w:t>paragraph 230 of this Judgment.</w:t>
      </w:r>
    </w:p>
    <w:p w14:paraId="6DEA8496" w14:textId="77777777" w:rsidR="007B0DE4" w:rsidRPr="002433F3" w:rsidRDefault="008A041E" w:rsidP="007B0DE4">
      <w:pPr>
        <w:pStyle w:val="Default"/>
        <w:spacing w:before="360" w:after="360"/>
        <w:jc w:val="both"/>
        <w:rPr>
          <w:spacing w:val="-2"/>
          <w:sz w:val="20"/>
          <w:szCs w:val="20"/>
        </w:rPr>
      </w:pPr>
      <w:r w:rsidRPr="002433F3">
        <w:rPr>
          <w:spacing w:val="-2"/>
          <w:sz w:val="20"/>
          <w:szCs w:val="20"/>
        </w:rPr>
        <w:t>Unanimously, that</w:t>
      </w:r>
      <w:r w:rsidR="004252F7" w:rsidRPr="002433F3">
        <w:rPr>
          <w:spacing w:val="-2"/>
          <w:sz w:val="20"/>
          <w:szCs w:val="20"/>
        </w:rPr>
        <w:t>:</w:t>
      </w:r>
      <w:r w:rsidR="007B0DE4" w:rsidRPr="002433F3">
        <w:rPr>
          <w:spacing w:val="-2"/>
          <w:sz w:val="20"/>
          <w:szCs w:val="20"/>
        </w:rPr>
        <w:t xml:space="preserve"> </w:t>
      </w:r>
    </w:p>
    <w:p w14:paraId="58ED72D0" w14:textId="77777777" w:rsidR="007B0DE4" w:rsidRPr="002433F3" w:rsidRDefault="008A041E" w:rsidP="007B0DE4">
      <w:pPr>
        <w:numPr>
          <w:ilvl w:val="0"/>
          <w:numId w:val="9"/>
        </w:numPr>
        <w:spacing w:before="120" w:after="120"/>
        <w:ind w:left="0" w:firstLine="0"/>
        <w:rPr>
          <w:spacing w:val="-2"/>
          <w:szCs w:val="20"/>
          <w:lang w:val="en-US" w:eastAsia="es-CR"/>
        </w:rPr>
      </w:pPr>
      <w:r w:rsidRPr="002433F3">
        <w:rPr>
          <w:spacing w:val="-2"/>
          <w:szCs w:val="20"/>
          <w:lang w:val="en-US" w:eastAsia="es-CR"/>
        </w:rPr>
        <w:t>W</w:t>
      </w:r>
      <w:r w:rsidR="007B0DE4" w:rsidRPr="002433F3">
        <w:rPr>
          <w:spacing w:val="-2"/>
          <w:szCs w:val="20"/>
          <w:lang w:val="en-US" w:eastAsia="es-CR"/>
        </w:rPr>
        <w:t xml:space="preserve">ithin one year of notification of this Judgment, </w:t>
      </w:r>
      <w:r w:rsidRPr="002433F3">
        <w:rPr>
          <w:spacing w:val="-2"/>
          <w:szCs w:val="20"/>
          <w:lang w:val="en-US" w:eastAsia="es-CR"/>
        </w:rPr>
        <w:t xml:space="preserve">the State </w:t>
      </w:r>
      <w:r w:rsidR="00940692" w:rsidRPr="002433F3">
        <w:rPr>
          <w:spacing w:val="-2"/>
          <w:szCs w:val="20"/>
          <w:lang w:val="en-US" w:eastAsia="es-CR"/>
        </w:rPr>
        <w:t xml:space="preserve">shall provide the Court with a report on </w:t>
      </w:r>
      <w:r w:rsidR="007B0DE4" w:rsidRPr="002433F3">
        <w:rPr>
          <w:spacing w:val="-2"/>
          <w:szCs w:val="20"/>
          <w:lang w:val="en-US" w:eastAsia="es-CR"/>
        </w:rPr>
        <w:t xml:space="preserve">the measures adopted </w:t>
      </w:r>
      <w:r w:rsidR="00940692" w:rsidRPr="002433F3">
        <w:rPr>
          <w:spacing w:val="-2"/>
          <w:szCs w:val="20"/>
          <w:lang w:val="en-US" w:eastAsia="es-CR"/>
        </w:rPr>
        <w:t>to comply with it</w:t>
      </w:r>
      <w:r w:rsidR="007B0DE4" w:rsidRPr="002433F3">
        <w:rPr>
          <w:spacing w:val="-2"/>
          <w:szCs w:val="20"/>
          <w:lang w:val="en-US" w:eastAsia="es-CR"/>
        </w:rPr>
        <w:t xml:space="preserve">. </w:t>
      </w:r>
    </w:p>
    <w:p w14:paraId="285A8D60" w14:textId="77777777" w:rsidR="007B0DE4" w:rsidRPr="002433F3" w:rsidRDefault="008A041E" w:rsidP="007B0DE4">
      <w:pPr>
        <w:pStyle w:val="Default"/>
        <w:spacing w:before="360" w:after="360"/>
        <w:jc w:val="both"/>
        <w:rPr>
          <w:spacing w:val="-2"/>
          <w:sz w:val="20"/>
          <w:szCs w:val="20"/>
        </w:rPr>
      </w:pPr>
      <w:r w:rsidRPr="002433F3">
        <w:rPr>
          <w:spacing w:val="-2"/>
          <w:sz w:val="20"/>
          <w:szCs w:val="20"/>
        </w:rPr>
        <w:t>Unanimously, that</w:t>
      </w:r>
      <w:r w:rsidR="004252F7" w:rsidRPr="002433F3">
        <w:rPr>
          <w:spacing w:val="-2"/>
          <w:sz w:val="20"/>
          <w:szCs w:val="20"/>
        </w:rPr>
        <w:t>:</w:t>
      </w:r>
      <w:r w:rsidR="007B0DE4" w:rsidRPr="002433F3">
        <w:rPr>
          <w:spacing w:val="-2"/>
          <w:sz w:val="20"/>
          <w:szCs w:val="20"/>
        </w:rPr>
        <w:t xml:space="preserve"> </w:t>
      </w:r>
    </w:p>
    <w:p w14:paraId="34EE605C" w14:textId="77777777" w:rsidR="007B0DE4" w:rsidRPr="002433F3" w:rsidRDefault="007B0DE4" w:rsidP="007B0DE4">
      <w:pPr>
        <w:numPr>
          <w:ilvl w:val="0"/>
          <w:numId w:val="9"/>
        </w:numPr>
        <w:spacing w:before="120" w:after="120"/>
        <w:ind w:left="0" w:firstLine="0"/>
        <w:rPr>
          <w:spacing w:val="-2"/>
          <w:szCs w:val="20"/>
          <w:lang w:val="en-US" w:eastAsia="es-CR"/>
        </w:rPr>
      </w:pPr>
      <w:r w:rsidRPr="002433F3">
        <w:rPr>
          <w:spacing w:val="-2"/>
          <w:szCs w:val="20"/>
          <w:lang w:val="en-US" w:eastAsia="es-CR"/>
        </w:rPr>
        <w:t xml:space="preserve">The Court will monitor </w:t>
      </w:r>
      <w:r w:rsidRPr="002433F3">
        <w:rPr>
          <w:color w:val="000000" w:themeColor="text1"/>
          <w:lang w:val="en-US" w:eastAsia="es-CR"/>
        </w:rPr>
        <w:t>full compliance with this Judgment</w:t>
      </w:r>
      <w:r w:rsidRPr="002433F3">
        <w:rPr>
          <w:spacing w:val="-2"/>
          <w:szCs w:val="20"/>
          <w:lang w:val="en-US" w:eastAsia="es-CR"/>
        </w:rPr>
        <w:t xml:space="preserve">, in exercise of its authority and in compliance with its obligations under the American Convention on Human Rights, and will </w:t>
      </w:r>
      <w:r w:rsidR="00D81AFF" w:rsidRPr="002433F3">
        <w:rPr>
          <w:spacing w:val="-2"/>
          <w:szCs w:val="20"/>
          <w:lang w:val="en-US" w:eastAsia="es-CR"/>
        </w:rPr>
        <w:t>close this case</w:t>
      </w:r>
      <w:r w:rsidRPr="002433F3">
        <w:rPr>
          <w:spacing w:val="-2"/>
          <w:szCs w:val="20"/>
          <w:lang w:val="en-US" w:eastAsia="es-CR"/>
        </w:rPr>
        <w:t xml:space="preserve"> when the State has fully complied with </w:t>
      </w:r>
      <w:r w:rsidR="00D81AFF" w:rsidRPr="002433F3">
        <w:rPr>
          <w:spacing w:val="-2"/>
          <w:szCs w:val="20"/>
          <w:lang w:val="en-US" w:eastAsia="es-CR"/>
        </w:rPr>
        <w:t xml:space="preserve">all </w:t>
      </w:r>
      <w:r w:rsidRPr="002433F3">
        <w:rPr>
          <w:spacing w:val="-2"/>
          <w:szCs w:val="20"/>
          <w:lang w:val="en-US" w:eastAsia="es-CR"/>
        </w:rPr>
        <w:t>its provisions.</w:t>
      </w:r>
    </w:p>
    <w:p w14:paraId="37F38403" w14:textId="77777777" w:rsidR="007B0DE4" w:rsidRPr="002433F3" w:rsidRDefault="007B0DE4" w:rsidP="007B0DE4">
      <w:pPr>
        <w:pStyle w:val="Default"/>
        <w:spacing w:before="360" w:after="360"/>
        <w:jc w:val="both"/>
        <w:rPr>
          <w:spacing w:val="-2"/>
          <w:sz w:val="20"/>
          <w:szCs w:val="20"/>
        </w:rPr>
      </w:pPr>
      <w:r w:rsidRPr="002433F3">
        <w:rPr>
          <w:spacing w:val="-2"/>
          <w:sz w:val="20"/>
          <w:szCs w:val="20"/>
        </w:rPr>
        <w:t>Done at San José</w:t>
      </w:r>
      <w:r w:rsidR="00677F67" w:rsidRPr="002433F3">
        <w:rPr>
          <w:spacing w:val="-2"/>
          <w:sz w:val="20"/>
          <w:szCs w:val="20"/>
        </w:rPr>
        <w:t xml:space="preserve">, Costa Rica, </w:t>
      </w:r>
      <w:r w:rsidR="000E0429" w:rsidRPr="002433F3">
        <w:rPr>
          <w:spacing w:val="-2"/>
          <w:sz w:val="20"/>
          <w:szCs w:val="20"/>
        </w:rPr>
        <w:t xml:space="preserve">on </w:t>
      </w:r>
      <w:r w:rsidR="00677F67" w:rsidRPr="002433F3">
        <w:rPr>
          <w:spacing w:val="-2"/>
          <w:sz w:val="20"/>
          <w:szCs w:val="20"/>
        </w:rPr>
        <w:t>February 26, 2016, in the Spanish language</w:t>
      </w:r>
      <w:r w:rsidR="000E0429" w:rsidRPr="002433F3">
        <w:rPr>
          <w:spacing w:val="-2"/>
          <w:sz w:val="20"/>
          <w:szCs w:val="20"/>
        </w:rPr>
        <w:t>.</w:t>
      </w:r>
    </w:p>
    <w:p w14:paraId="141C31B9" w14:textId="77777777" w:rsidR="007B0DE4" w:rsidRPr="002433F3" w:rsidRDefault="007B0DE4" w:rsidP="007B0DE4">
      <w:pPr>
        <w:spacing w:before="240" w:after="240"/>
        <w:rPr>
          <w:szCs w:val="20"/>
          <w:lang w:val="en-US"/>
        </w:rPr>
      </w:pPr>
      <w:r w:rsidRPr="002433F3">
        <w:rPr>
          <w:szCs w:val="20"/>
          <w:lang w:val="en-US"/>
        </w:rPr>
        <w:t xml:space="preserve">Judges </w:t>
      </w:r>
      <w:r w:rsidRPr="002433F3">
        <w:rPr>
          <w:lang w:val="en-US"/>
        </w:rPr>
        <w:t>Manuel E. Ventura Robles</w:t>
      </w:r>
      <w:r w:rsidRPr="002433F3">
        <w:rPr>
          <w:szCs w:val="20"/>
          <w:lang w:val="en-US"/>
        </w:rPr>
        <w:t xml:space="preserve"> and </w:t>
      </w:r>
      <w:r w:rsidRPr="002433F3">
        <w:rPr>
          <w:lang w:val="en-US"/>
        </w:rPr>
        <w:t>Eduardo Vio Grossi</w:t>
      </w:r>
      <w:r w:rsidRPr="002433F3">
        <w:rPr>
          <w:szCs w:val="20"/>
          <w:lang w:val="en-US"/>
        </w:rPr>
        <w:t xml:space="preserve"> </w:t>
      </w:r>
      <w:r w:rsidR="004252F7" w:rsidRPr="002433F3">
        <w:rPr>
          <w:szCs w:val="20"/>
          <w:lang w:val="en-US"/>
        </w:rPr>
        <w:t xml:space="preserve">informed </w:t>
      </w:r>
      <w:r w:rsidRPr="002433F3">
        <w:rPr>
          <w:szCs w:val="20"/>
          <w:lang w:val="en-US"/>
        </w:rPr>
        <w:t>the Court of their dissenting opinions, which accompany this Judgment.</w:t>
      </w:r>
    </w:p>
    <w:p w14:paraId="18AC3663" w14:textId="77777777" w:rsidR="007B0DE4" w:rsidRPr="002433F3" w:rsidRDefault="007B0DE4" w:rsidP="007B0DE4">
      <w:pPr>
        <w:rPr>
          <w:i/>
          <w:lang w:val="en-US"/>
        </w:rPr>
      </w:pPr>
      <w:r w:rsidRPr="002433F3">
        <w:rPr>
          <w:szCs w:val="20"/>
          <w:lang w:val="en-US"/>
        </w:rPr>
        <w:br w:type="page"/>
      </w:r>
      <w:r w:rsidRPr="002433F3">
        <w:rPr>
          <w:lang w:val="en-US"/>
        </w:rPr>
        <w:lastRenderedPageBreak/>
        <w:t xml:space="preserve">Judgment of the Inter-American Court </w:t>
      </w:r>
      <w:r w:rsidR="00D34117" w:rsidRPr="002433F3">
        <w:rPr>
          <w:lang w:val="en-US"/>
        </w:rPr>
        <w:t>of Human Rights on Preliminary O</w:t>
      </w:r>
      <w:r w:rsidRPr="002433F3">
        <w:rPr>
          <w:lang w:val="en-US"/>
        </w:rPr>
        <w:t xml:space="preserve">bjections, Merits, Reparations and Costs. Case </w:t>
      </w:r>
      <w:r w:rsidR="008A041E" w:rsidRPr="002433F3">
        <w:rPr>
          <w:lang w:val="en-US"/>
        </w:rPr>
        <w:t xml:space="preserve">of </w:t>
      </w:r>
      <w:r w:rsidRPr="002433F3">
        <w:rPr>
          <w:lang w:val="en-US"/>
        </w:rPr>
        <w:t>Duque v. Colombia.</w:t>
      </w:r>
    </w:p>
    <w:p w14:paraId="21AF45F0" w14:textId="77777777" w:rsidR="007B0DE4" w:rsidRPr="002433F3" w:rsidRDefault="007B0DE4" w:rsidP="007B0DE4">
      <w:pPr>
        <w:jc w:val="center"/>
        <w:rPr>
          <w:lang w:val="en-US"/>
        </w:rPr>
      </w:pPr>
    </w:p>
    <w:p w14:paraId="5C1AD716" w14:textId="77777777" w:rsidR="007B0DE4" w:rsidRPr="002433F3" w:rsidRDefault="007B0DE4" w:rsidP="007B0DE4">
      <w:pPr>
        <w:jc w:val="center"/>
        <w:rPr>
          <w:lang w:val="en-US"/>
        </w:rPr>
      </w:pPr>
    </w:p>
    <w:p w14:paraId="0CBA4B1A" w14:textId="77777777" w:rsidR="007B0DE4" w:rsidRPr="002433F3" w:rsidRDefault="007B0DE4" w:rsidP="007B0DE4">
      <w:pPr>
        <w:jc w:val="center"/>
        <w:rPr>
          <w:lang w:val="en-US"/>
        </w:rPr>
      </w:pPr>
    </w:p>
    <w:p w14:paraId="61DFCB55" w14:textId="77777777" w:rsidR="007B0DE4" w:rsidRPr="002433F3" w:rsidRDefault="007B0DE4" w:rsidP="007B0DE4">
      <w:pPr>
        <w:jc w:val="center"/>
        <w:rPr>
          <w:lang w:val="en-US"/>
        </w:rPr>
      </w:pPr>
    </w:p>
    <w:p w14:paraId="61886022" w14:textId="77777777" w:rsidR="007B0DE4" w:rsidRPr="002433F3" w:rsidRDefault="007B0DE4" w:rsidP="007B0DE4">
      <w:pPr>
        <w:jc w:val="center"/>
        <w:rPr>
          <w:lang w:val="en-US"/>
        </w:rPr>
      </w:pPr>
    </w:p>
    <w:p w14:paraId="47DCD38A" w14:textId="77777777" w:rsidR="007B0DE4" w:rsidRPr="002433F3" w:rsidRDefault="007B0DE4" w:rsidP="007B0DE4">
      <w:pPr>
        <w:jc w:val="center"/>
        <w:rPr>
          <w:lang w:val="en-US"/>
        </w:rPr>
      </w:pPr>
      <w:r w:rsidRPr="002433F3">
        <w:rPr>
          <w:lang w:val="en-US"/>
        </w:rPr>
        <w:t>Roberto F. Caldas</w:t>
      </w:r>
    </w:p>
    <w:p w14:paraId="7DAC3124" w14:textId="77777777" w:rsidR="007B0DE4" w:rsidRPr="002433F3" w:rsidRDefault="007B0DE4" w:rsidP="007B0DE4">
      <w:pPr>
        <w:jc w:val="center"/>
        <w:rPr>
          <w:lang w:val="en-US"/>
        </w:rPr>
      </w:pPr>
      <w:r w:rsidRPr="002433F3">
        <w:rPr>
          <w:lang w:val="en-US"/>
        </w:rPr>
        <w:t>President</w:t>
      </w:r>
    </w:p>
    <w:p w14:paraId="51E63461" w14:textId="77777777" w:rsidR="007B0DE4" w:rsidRPr="002433F3" w:rsidRDefault="007B0DE4" w:rsidP="007B0DE4">
      <w:pPr>
        <w:rPr>
          <w:lang w:val="en-US"/>
        </w:rPr>
      </w:pPr>
    </w:p>
    <w:p w14:paraId="07744249" w14:textId="77777777" w:rsidR="007B0DE4" w:rsidRPr="002433F3" w:rsidRDefault="007B0DE4" w:rsidP="007B0DE4">
      <w:pPr>
        <w:rPr>
          <w:lang w:val="en-US"/>
        </w:rPr>
      </w:pPr>
    </w:p>
    <w:p w14:paraId="121FA438" w14:textId="77777777" w:rsidR="007B0DE4" w:rsidRPr="002433F3" w:rsidRDefault="007B0DE4" w:rsidP="007B0DE4">
      <w:pPr>
        <w:rPr>
          <w:lang w:val="en-US"/>
        </w:rPr>
      </w:pPr>
    </w:p>
    <w:p w14:paraId="62EBA693" w14:textId="77777777" w:rsidR="007B0DE4" w:rsidRPr="002433F3" w:rsidRDefault="007B0DE4" w:rsidP="007B0DE4">
      <w:pPr>
        <w:rPr>
          <w:lang w:val="en-US"/>
        </w:rPr>
      </w:pPr>
    </w:p>
    <w:p w14:paraId="05623205" w14:textId="77777777" w:rsidR="007B0DE4" w:rsidRPr="002433F3" w:rsidRDefault="007B0DE4" w:rsidP="007B0DE4">
      <w:pPr>
        <w:rPr>
          <w:lang w:val="en-US"/>
        </w:rPr>
      </w:pPr>
    </w:p>
    <w:p w14:paraId="23258A6A" w14:textId="77777777" w:rsidR="007B0DE4" w:rsidRPr="002433F3" w:rsidRDefault="007B0DE4" w:rsidP="007B0DE4">
      <w:pPr>
        <w:rPr>
          <w:lang w:val="en-US"/>
        </w:rPr>
      </w:pPr>
      <w:r w:rsidRPr="002433F3">
        <w:rPr>
          <w:lang w:val="en-US"/>
        </w:rPr>
        <w:t xml:space="preserve">Eduardo Ferrer Mac-Gregor Poisot </w:t>
      </w:r>
      <w:r w:rsidRPr="002433F3">
        <w:rPr>
          <w:lang w:val="en-US"/>
        </w:rPr>
        <w:tab/>
      </w:r>
      <w:r w:rsidRPr="002433F3">
        <w:rPr>
          <w:lang w:val="en-US"/>
        </w:rPr>
        <w:tab/>
      </w:r>
      <w:r w:rsidRPr="002433F3">
        <w:rPr>
          <w:lang w:val="en-US"/>
        </w:rPr>
        <w:tab/>
      </w:r>
      <w:r w:rsidRPr="002433F3">
        <w:rPr>
          <w:lang w:val="en-US"/>
        </w:rPr>
        <w:tab/>
        <w:t xml:space="preserve">        Manuel E. Ventura Robles </w:t>
      </w:r>
    </w:p>
    <w:p w14:paraId="723BB881" w14:textId="77777777" w:rsidR="007B0DE4" w:rsidRPr="002433F3" w:rsidRDefault="007B0DE4" w:rsidP="007B0DE4">
      <w:pPr>
        <w:rPr>
          <w:lang w:val="en-US"/>
        </w:rPr>
      </w:pPr>
    </w:p>
    <w:p w14:paraId="78222F4F" w14:textId="77777777" w:rsidR="007B0DE4" w:rsidRPr="002433F3" w:rsidRDefault="007B0DE4" w:rsidP="007B0DE4">
      <w:pPr>
        <w:rPr>
          <w:lang w:val="en-US"/>
        </w:rPr>
      </w:pPr>
    </w:p>
    <w:p w14:paraId="527DF30B" w14:textId="77777777" w:rsidR="007B0DE4" w:rsidRPr="002433F3" w:rsidRDefault="007B0DE4" w:rsidP="007B0DE4">
      <w:pPr>
        <w:rPr>
          <w:lang w:val="en-US"/>
        </w:rPr>
      </w:pPr>
    </w:p>
    <w:p w14:paraId="44E1C4E3" w14:textId="77777777" w:rsidR="007B0DE4" w:rsidRPr="002433F3" w:rsidRDefault="007B0DE4" w:rsidP="007B0DE4">
      <w:pPr>
        <w:rPr>
          <w:lang w:val="en-US"/>
        </w:rPr>
      </w:pPr>
    </w:p>
    <w:p w14:paraId="244B14C7" w14:textId="77777777" w:rsidR="007B0DE4" w:rsidRPr="002433F3" w:rsidRDefault="007B0DE4" w:rsidP="007B0DE4">
      <w:pPr>
        <w:rPr>
          <w:lang w:val="en-US"/>
        </w:rPr>
      </w:pPr>
    </w:p>
    <w:p w14:paraId="6F68E7BD" w14:textId="77777777" w:rsidR="007B0DE4" w:rsidRPr="002433F3" w:rsidRDefault="007B0DE4" w:rsidP="007B0DE4">
      <w:pPr>
        <w:rPr>
          <w:lang w:val="en-US"/>
        </w:rPr>
      </w:pPr>
      <w:r w:rsidRPr="002433F3">
        <w:rPr>
          <w:lang w:val="en-US"/>
        </w:rPr>
        <w:t>Diego García-Sayán</w:t>
      </w:r>
      <w:r w:rsidRPr="002433F3">
        <w:rPr>
          <w:lang w:val="en-US"/>
        </w:rPr>
        <w:tab/>
      </w:r>
      <w:r w:rsidRPr="002433F3">
        <w:rPr>
          <w:lang w:val="en-US"/>
        </w:rPr>
        <w:tab/>
      </w:r>
      <w:r w:rsidRPr="002433F3">
        <w:rPr>
          <w:lang w:val="en-US"/>
        </w:rPr>
        <w:tab/>
      </w:r>
      <w:r w:rsidRPr="002433F3">
        <w:rPr>
          <w:lang w:val="en-US"/>
        </w:rPr>
        <w:tab/>
      </w:r>
      <w:r w:rsidRPr="002433F3">
        <w:rPr>
          <w:lang w:val="en-US"/>
        </w:rPr>
        <w:tab/>
      </w:r>
      <w:r w:rsidRPr="002433F3">
        <w:rPr>
          <w:lang w:val="en-US"/>
        </w:rPr>
        <w:tab/>
      </w:r>
      <w:r w:rsidRPr="002433F3">
        <w:rPr>
          <w:lang w:val="en-US"/>
        </w:rPr>
        <w:tab/>
        <w:t xml:space="preserve">       Alberto Pérez    </w:t>
      </w:r>
    </w:p>
    <w:p w14:paraId="268F2883" w14:textId="77777777" w:rsidR="007B0DE4" w:rsidRPr="002433F3" w:rsidRDefault="007B0DE4" w:rsidP="007B0DE4">
      <w:pPr>
        <w:rPr>
          <w:lang w:val="en-US"/>
        </w:rPr>
      </w:pPr>
    </w:p>
    <w:p w14:paraId="5D11DDF7" w14:textId="77777777" w:rsidR="007B0DE4" w:rsidRPr="002433F3" w:rsidRDefault="007B0DE4" w:rsidP="007B0DE4">
      <w:pPr>
        <w:rPr>
          <w:lang w:val="en-US"/>
        </w:rPr>
      </w:pPr>
    </w:p>
    <w:p w14:paraId="117D254D" w14:textId="77777777" w:rsidR="007B0DE4" w:rsidRPr="002433F3" w:rsidRDefault="007B0DE4" w:rsidP="007B0DE4">
      <w:pPr>
        <w:rPr>
          <w:lang w:val="en-US"/>
        </w:rPr>
      </w:pPr>
    </w:p>
    <w:p w14:paraId="090CA2EA" w14:textId="77777777" w:rsidR="007B0DE4" w:rsidRPr="002433F3" w:rsidRDefault="007B0DE4" w:rsidP="007B0DE4">
      <w:pPr>
        <w:rPr>
          <w:lang w:val="en-US"/>
        </w:rPr>
      </w:pPr>
    </w:p>
    <w:p w14:paraId="44D2975E" w14:textId="77777777" w:rsidR="007B0DE4" w:rsidRPr="002433F3" w:rsidRDefault="007B0DE4" w:rsidP="007B0DE4">
      <w:pPr>
        <w:jc w:val="center"/>
        <w:rPr>
          <w:lang w:val="en-US"/>
        </w:rPr>
      </w:pPr>
      <w:r w:rsidRPr="002433F3">
        <w:rPr>
          <w:lang w:val="en-US"/>
        </w:rPr>
        <w:t>Eduardo Vio Grossi</w:t>
      </w:r>
    </w:p>
    <w:p w14:paraId="5E05B901" w14:textId="77777777" w:rsidR="007B0DE4" w:rsidRPr="002433F3" w:rsidRDefault="007B0DE4" w:rsidP="007B0DE4">
      <w:pPr>
        <w:rPr>
          <w:lang w:val="en-US"/>
        </w:rPr>
      </w:pPr>
    </w:p>
    <w:p w14:paraId="1C973C9F" w14:textId="77777777" w:rsidR="007B0DE4" w:rsidRPr="002433F3" w:rsidRDefault="007B0DE4" w:rsidP="007B0DE4">
      <w:pPr>
        <w:rPr>
          <w:lang w:val="en-US"/>
        </w:rPr>
      </w:pPr>
    </w:p>
    <w:p w14:paraId="70FD70C2" w14:textId="77777777" w:rsidR="007B0DE4" w:rsidRPr="002433F3" w:rsidRDefault="007B0DE4" w:rsidP="007B0DE4">
      <w:pPr>
        <w:rPr>
          <w:lang w:val="en-US"/>
        </w:rPr>
      </w:pPr>
    </w:p>
    <w:p w14:paraId="45DBA9E1" w14:textId="77777777" w:rsidR="007B0DE4" w:rsidRPr="002433F3" w:rsidRDefault="007B0DE4" w:rsidP="007B0DE4">
      <w:pPr>
        <w:rPr>
          <w:lang w:val="en-US"/>
        </w:rPr>
      </w:pPr>
    </w:p>
    <w:p w14:paraId="1710E9B1" w14:textId="77777777" w:rsidR="007B0DE4" w:rsidRPr="002433F3" w:rsidRDefault="007B0DE4" w:rsidP="007B0DE4">
      <w:pPr>
        <w:rPr>
          <w:lang w:val="en-US"/>
        </w:rPr>
      </w:pPr>
    </w:p>
    <w:p w14:paraId="7EE1F3AE" w14:textId="77777777" w:rsidR="007B0DE4" w:rsidRPr="002433F3" w:rsidRDefault="007B0DE4" w:rsidP="007B0DE4">
      <w:pPr>
        <w:jc w:val="center"/>
        <w:rPr>
          <w:lang w:val="en-US"/>
        </w:rPr>
      </w:pPr>
      <w:r w:rsidRPr="002433F3">
        <w:rPr>
          <w:lang w:val="en-US"/>
        </w:rPr>
        <w:t>Pablo Saavedra Alessandri</w:t>
      </w:r>
    </w:p>
    <w:p w14:paraId="3D4E45E2" w14:textId="77777777" w:rsidR="007B0DE4" w:rsidRPr="002433F3" w:rsidRDefault="007B0DE4" w:rsidP="007B0DE4">
      <w:pPr>
        <w:jc w:val="center"/>
        <w:rPr>
          <w:lang w:val="en-US"/>
        </w:rPr>
      </w:pPr>
      <w:r w:rsidRPr="002433F3">
        <w:rPr>
          <w:lang w:val="en-US"/>
        </w:rPr>
        <w:t>Secretary</w:t>
      </w:r>
    </w:p>
    <w:p w14:paraId="7EDBC9B0" w14:textId="77777777" w:rsidR="007B0DE4" w:rsidRPr="002433F3" w:rsidRDefault="007B0DE4" w:rsidP="007B0DE4">
      <w:pPr>
        <w:rPr>
          <w:lang w:val="en-US"/>
        </w:rPr>
      </w:pPr>
    </w:p>
    <w:p w14:paraId="50D555EE" w14:textId="77777777" w:rsidR="007B0DE4" w:rsidRPr="002433F3" w:rsidRDefault="007B0DE4" w:rsidP="007B0DE4">
      <w:pPr>
        <w:pStyle w:val="Textonotapie"/>
        <w:rPr>
          <w:noProof w:val="0"/>
          <w:lang w:val="en-US"/>
        </w:rPr>
      </w:pPr>
    </w:p>
    <w:p w14:paraId="234E6201" w14:textId="77777777" w:rsidR="007B0DE4" w:rsidRPr="002433F3" w:rsidRDefault="007B0DE4" w:rsidP="007B0DE4">
      <w:pPr>
        <w:pStyle w:val="Textonotapie"/>
        <w:rPr>
          <w:noProof w:val="0"/>
          <w:lang w:val="en-US"/>
        </w:rPr>
      </w:pPr>
    </w:p>
    <w:p w14:paraId="11129257" w14:textId="77777777" w:rsidR="007B0DE4" w:rsidRPr="002433F3" w:rsidRDefault="007B0DE4" w:rsidP="007B0DE4">
      <w:pPr>
        <w:pStyle w:val="Textonotapie"/>
        <w:rPr>
          <w:noProof w:val="0"/>
          <w:lang w:val="en-US"/>
        </w:rPr>
      </w:pPr>
    </w:p>
    <w:p w14:paraId="1084BC25" w14:textId="77777777" w:rsidR="007B0DE4" w:rsidRPr="002433F3" w:rsidRDefault="007B0DE4" w:rsidP="007B0DE4">
      <w:pPr>
        <w:rPr>
          <w:lang w:val="en-US"/>
        </w:rPr>
      </w:pPr>
      <w:r w:rsidRPr="002433F3">
        <w:rPr>
          <w:lang w:val="en-US"/>
        </w:rPr>
        <w:t>So ordered,</w:t>
      </w:r>
    </w:p>
    <w:p w14:paraId="4F32952F" w14:textId="77777777" w:rsidR="007B0DE4" w:rsidRPr="002433F3" w:rsidRDefault="007B0DE4" w:rsidP="007B0DE4">
      <w:pPr>
        <w:rPr>
          <w:lang w:val="en-US"/>
        </w:rPr>
      </w:pPr>
    </w:p>
    <w:p w14:paraId="6291F953" w14:textId="77777777" w:rsidR="007B0DE4" w:rsidRPr="002433F3" w:rsidRDefault="007B0DE4" w:rsidP="007B0DE4">
      <w:pPr>
        <w:rPr>
          <w:lang w:val="en-US"/>
        </w:rPr>
      </w:pPr>
    </w:p>
    <w:p w14:paraId="1516C969" w14:textId="77777777" w:rsidR="007B0DE4" w:rsidRPr="002433F3" w:rsidRDefault="007B0DE4" w:rsidP="007B0DE4">
      <w:pPr>
        <w:rPr>
          <w:lang w:val="en-US"/>
        </w:rPr>
      </w:pPr>
    </w:p>
    <w:p w14:paraId="263975F9" w14:textId="77777777" w:rsidR="007B0DE4" w:rsidRPr="002433F3" w:rsidRDefault="007B0DE4" w:rsidP="007B0DE4">
      <w:pPr>
        <w:rPr>
          <w:lang w:val="en-US"/>
        </w:rPr>
      </w:pPr>
    </w:p>
    <w:p w14:paraId="056F871C" w14:textId="77777777" w:rsidR="007B0DE4" w:rsidRPr="002433F3" w:rsidRDefault="007B0DE4" w:rsidP="007B0DE4">
      <w:pPr>
        <w:ind w:left="5664"/>
        <w:jc w:val="center"/>
        <w:rPr>
          <w:lang w:val="en-US"/>
        </w:rPr>
      </w:pPr>
      <w:r w:rsidRPr="002433F3">
        <w:rPr>
          <w:lang w:val="en-US"/>
        </w:rPr>
        <w:t>Roberto F. Caldas</w:t>
      </w:r>
    </w:p>
    <w:p w14:paraId="229EF2BF" w14:textId="77777777" w:rsidR="007B0DE4" w:rsidRPr="002433F3" w:rsidRDefault="007B0DE4" w:rsidP="007B0DE4">
      <w:pPr>
        <w:ind w:left="5664"/>
        <w:jc w:val="center"/>
        <w:rPr>
          <w:lang w:val="en-US"/>
        </w:rPr>
      </w:pPr>
      <w:r w:rsidRPr="002433F3">
        <w:rPr>
          <w:lang w:val="en-US"/>
        </w:rPr>
        <w:t>President</w:t>
      </w:r>
    </w:p>
    <w:p w14:paraId="46D35E5B" w14:textId="77777777" w:rsidR="007B0DE4" w:rsidRPr="002433F3" w:rsidRDefault="007B0DE4" w:rsidP="007B0DE4">
      <w:pPr>
        <w:rPr>
          <w:lang w:val="en-US"/>
        </w:rPr>
      </w:pPr>
    </w:p>
    <w:p w14:paraId="35D7A226" w14:textId="77777777" w:rsidR="007B0DE4" w:rsidRPr="002433F3" w:rsidRDefault="007B0DE4" w:rsidP="007B0DE4">
      <w:pPr>
        <w:rPr>
          <w:lang w:val="en-US"/>
        </w:rPr>
      </w:pPr>
    </w:p>
    <w:p w14:paraId="2C746485" w14:textId="77777777" w:rsidR="007B0DE4" w:rsidRPr="002433F3" w:rsidRDefault="007B0DE4" w:rsidP="007B0DE4">
      <w:pPr>
        <w:rPr>
          <w:lang w:val="en-US"/>
        </w:rPr>
      </w:pPr>
    </w:p>
    <w:p w14:paraId="08411E8F" w14:textId="77777777" w:rsidR="007B0DE4" w:rsidRPr="002433F3" w:rsidRDefault="007B0DE4" w:rsidP="007B0DE4">
      <w:pPr>
        <w:rPr>
          <w:lang w:val="en-US"/>
        </w:rPr>
      </w:pPr>
    </w:p>
    <w:p w14:paraId="453DF811" w14:textId="77777777" w:rsidR="007B0DE4" w:rsidRPr="002433F3" w:rsidRDefault="007B0DE4" w:rsidP="007B0DE4">
      <w:pPr>
        <w:rPr>
          <w:lang w:val="en-US"/>
        </w:rPr>
      </w:pPr>
      <w:r w:rsidRPr="002433F3">
        <w:rPr>
          <w:lang w:val="en-US"/>
        </w:rPr>
        <w:t>Pablo Saavedra Alessandri</w:t>
      </w:r>
    </w:p>
    <w:p w14:paraId="75626CC7" w14:textId="77777777" w:rsidR="007B0DE4" w:rsidRPr="002433F3" w:rsidRDefault="007B0DE4" w:rsidP="007B0DE4">
      <w:pPr>
        <w:rPr>
          <w:lang w:val="en-US"/>
        </w:rPr>
      </w:pPr>
      <w:r w:rsidRPr="002433F3">
        <w:rPr>
          <w:lang w:val="en-US"/>
        </w:rPr>
        <w:tab/>
        <w:t>Secretary</w:t>
      </w:r>
    </w:p>
    <w:p w14:paraId="5BF40EDE" w14:textId="77777777" w:rsidR="007B0DE4" w:rsidRPr="002433F3" w:rsidRDefault="007B0DE4" w:rsidP="007B0DE4">
      <w:pPr>
        <w:rPr>
          <w:spacing w:val="-2"/>
          <w:szCs w:val="20"/>
          <w:lang w:val="en-US" w:eastAsia="es-CR"/>
        </w:rPr>
        <w:sectPr w:rsidR="007B0DE4" w:rsidRPr="002433F3" w:rsidSect="009D2425">
          <w:headerReference w:type="default" r:id="rId7"/>
          <w:footerReference w:type="default" r:id="rId8"/>
          <w:headerReference w:type="first" r:id="rId9"/>
          <w:pgSz w:w="12240" w:h="15840"/>
          <w:pgMar w:top="1440" w:right="1440" w:bottom="1440" w:left="1440" w:header="720" w:footer="720" w:gutter="0"/>
          <w:cols w:space="720"/>
          <w:titlePg/>
          <w:docGrid w:linePitch="360"/>
        </w:sectPr>
      </w:pPr>
    </w:p>
    <w:p w14:paraId="3CEB4F2A" w14:textId="77777777" w:rsidR="007B0DE4" w:rsidRPr="002433F3" w:rsidRDefault="007B0DE4" w:rsidP="007B0DE4">
      <w:pPr>
        <w:pStyle w:val="NormalWeb"/>
        <w:spacing w:before="0" w:beforeAutospacing="0" w:after="200" w:afterAutospacing="0"/>
        <w:rPr>
          <w:rFonts w:ascii="Verdana" w:hAnsi="Verdana"/>
          <w:b/>
          <w:bCs/>
          <w:color w:val="000000"/>
          <w:sz w:val="28"/>
          <w:szCs w:val="28"/>
          <w:lang w:val="en-US"/>
        </w:rPr>
      </w:pPr>
    </w:p>
    <w:p w14:paraId="2A48C30B" w14:textId="77777777" w:rsidR="007B0DE4" w:rsidRPr="002433F3" w:rsidRDefault="007B0DE4" w:rsidP="007B0DE4">
      <w:pPr>
        <w:pStyle w:val="NormalWeb"/>
        <w:spacing w:before="0" w:beforeAutospacing="0" w:after="200" w:afterAutospacing="0"/>
        <w:jc w:val="center"/>
        <w:rPr>
          <w:rFonts w:ascii="Verdana" w:hAnsi="Verdana"/>
          <w:b/>
          <w:bCs/>
          <w:color w:val="000000"/>
          <w:sz w:val="28"/>
          <w:szCs w:val="28"/>
          <w:lang w:val="en-US"/>
        </w:rPr>
      </w:pPr>
    </w:p>
    <w:p w14:paraId="446F4D18" w14:textId="77777777" w:rsidR="007B0DE4" w:rsidRPr="002433F3" w:rsidRDefault="007B0DE4" w:rsidP="007B0DE4">
      <w:pPr>
        <w:pStyle w:val="NormalWeb"/>
        <w:spacing w:before="0" w:beforeAutospacing="0" w:after="200" w:afterAutospacing="0"/>
        <w:jc w:val="center"/>
        <w:rPr>
          <w:rFonts w:ascii="Verdana" w:hAnsi="Verdana"/>
          <w:b/>
          <w:bCs/>
          <w:color w:val="000000"/>
          <w:sz w:val="28"/>
          <w:szCs w:val="28"/>
          <w:lang w:val="en-US"/>
        </w:rPr>
      </w:pPr>
    </w:p>
    <w:p w14:paraId="7CED7239" w14:textId="77777777" w:rsidR="007B0DE4" w:rsidRPr="002433F3" w:rsidRDefault="007B0DE4" w:rsidP="007B0DE4">
      <w:pPr>
        <w:pStyle w:val="NormalWeb"/>
        <w:spacing w:before="0" w:beforeAutospacing="0" w:after="200" w:afterAutospacing="0"/>
        <w:jc w:val="center"/>
        <w:rPr>
          <w:rFonts w:ascii="Verdana" w:hAnsi="Verdana"/>
          <w:b/>
          <w:bCs/>
          <w:color w:val="000000"/>
          <w:sz w:val="28"/>
          <w:szCs w:val="28"/>
          <w:lang w:val="en-US"/>
        </w:rPr>
      </w:pPr>
    </w:p>
    <w:p w14:paraId="3C43F31D" w14:textId="77777777" w:rsidR="007B0DE4" w:rsidRPr="002433F3" w:rsidRDefault="007B0DE4" w:rsidP="007B0DE4">
      <w:pPr>
        <w:pStyle w:val="NormalWeb"/>
        <w:spacing w:before="0" w:beforeAutospacing="0" w:after="200" w:afterAutospacing="0"/>
        <w:jc w:val="center"/>
        <w:rPr>
          <w:rFonts w:ascii="Verdana" w:hAnsi="Verdana"/>
          <w:b/>
          <w:sz w:val="22"/>
          <w:szCs w:val="22"/>
          <w:lang w:val="en-US"/>
        </w:rPr>
      </w:pPr>
      <w:r w:rsidRPr="002433F3">
        <w:rPr>
          <w:rFonts w:ascii="Verdana" w:hAnsi="Verdana"/>
          <w:b/>
          <w:bCs/>
          <w:color w:val="000000"/>
          <w:sz w:val="22"/>
          <w:szCs w:val="22"/>
          <w:lang w:val="en-US"/>
        </w:rPr>
        <w:t>DISSENTING OPINION OF JUDGE MANUEL E. VENTURA ROBLES,</w:t>
      </w:r>
    </w:p>
    <w:p w14:paraId="15D2637F" w14:textId="77777777" w:rsidR="007B0DE4" w:rsidRPr="002433F3" w:rsidRDefault="007B0DE4" w:rsidP="007B0DE4">
      <w:pPr>
        <w:pStyle w:val="NormalWeb"/>
        <w:spacing w:before="0" w:beforeAutospacing="0" w:after="200" w:afterAutospacing="0"/>
        <w:jc w:val="center"/>
        <w:rPr>
          <w:rFonts w:ascii="Verdana" w:hAnsi="Verdana"/>
          <w:b/>
          <w:sz w:val="22"/>
          <w:szCs w:val="22"/>
          <w:lang w:val="en-US"/>
        </w:rPr>
      </w:pPr>
      <w:r w:rsidRPr="002433F3">
        <w:rPr>
          <w:rFonts w:ascii="Verdana" w:hAnsi="Verdana"/>
          <w:b/>
          <w:bCs/>
          <w:color w:val="000000"/>
          <w:sz w:val="22"/>
          <w:szCs w:val="22"/>
          <w:lang w:val="en-US"/>
        </w:rPr>
        <w:t>INTER-AMERICAN COURT OF HUMAN RIGHTS</w:t>
      </w:r>
    </w:p>
    <w:p w14:paraId="433FCF4F" w14:textId="77777777" w:rsidR="007B0DE4" w:rsidRPr="002433F3" w:rsidRDefault="007B0DE4" w:rsidP="007B0DE4">
      <w:pPr>
        <w:pStyle w:val="NormalWeb"/>
        <w:spacing w:before="0" w:beforeAutospacing="0" w:after="200" w:afterAutospacing="0"/>
        <w:jc w:val="center"/>
        <w:rPr>
          <w:rFonts w:ascii="Verdana" w:hAnsi="Verdana"/>
          <w:b/>
          <w:sz w:val="22"/>
          <w:szCs w:val="22"/>
          <w:lang w:val="en-US"/>
        </w:rPr>
      </w:pPr>
      <w:r w:rsidRPr="002433F3">
        <w:rPr>
          <w:rFonts w:ascii="Verdana" w:hAnsi="Verdana"/>
          <w:b/>
          <w:bCs/>
          <w:color w:val="000000"/>
          <w:sz w:val="22"/>
          <w:szCs w:val="22"/>
          <w:lang w:val="en-US"/>
        </w:rPr>
        <w:t>CASE OF DUQUE V. COLOMBIA</w:t>
      </w:r>
    </w:p>
    <w:p w14:paraId="0200F12E" w14:textId="77777777" w:rsidR="007B0DE4" w:rsidRPr="002433F3" w:rsidRDefault="007B0DE4" w:rsidP="007B0DE4">
      <w:pPr>
        <w:pStyle w:val="NormalWeb"/>
        <w:spacing w:before="0" w:beforeAutospacing="0" w:after="200" w:afterAutospacing="0"/>
        <w:jc w:val="center"/>
        <w:rPr>
          <w:rFonts w:ascii="Verdana" w:hAnsi="Verdana"/>
          <w:b/>
          <w:sz w:val="22"/>
          <w:szCs w:val="22"/>
          <w:lang w:val="en-US"/>
        </w:rPr>
      </w:pPr>
      <w:r w:rsidRPr="002433F3">
        <w:rPr>
          <w:rFonts w:ascii="Verdana" w:hAnsi="Verdana"/>
          <w:b/>
          <w:bCs/>
          <w:color w:val="000000"/>
          <w:sz w:val="22"/>
          <w:szCs w:val="22"/>
          <w:lang w:val="en-US"/>
        </w:rPr>
        <w:t>JUDGMENT OF FEBRUARY 26, 2016</w:t>
      </w:r>
    </w:p>
    <w:p w14:paraId="79311F44" w14:textId="77777777" w:rsidR="007B0DE4" w:rsidRPr="002433F3" w:rsidRDefault="007B0DE4" w:rsidP="007B0DE4">
      <w:pPr>
        <w:pStyle w:val="NormalWeb"/>
        <w:spacing w:before="0" w:beforeAutospacing="0" w:after="200" w:afterAutospacing="0"/>
        <w:jc w:val="center"/>
        <w:rPr>
          <w:rFonts w:ascii="Verdana" w:hAnsi="Verdana"/>
          <w:b/>
          <w:lang w:val="en-US"/>
        </w:rPr>
      </w:pPr>
      <w:r w:rsidRPr="002433F3">
        <w:rPr>
          <w:rFonts w:ascii="Verdana" w:hAnsi="Verdana"/>
          <w:b/>
          <w:bCs/>
          <w:color w:val="000000"/>
          <w:sz w:val="22"/>
          <w:szCs w:val="22"/>
          <w:lang w:val="en-US"/>
        </w:rPr>
        <w:t>(P</w:t>
      </w:r>
      <w:r w:rsidR="00A731D0" w:rsidRPr="002433F3">
        <w:rPr>
          <w:rFonts w:ascii="Verdana" w:hAnsi="Verdana"/>
          <w:b/>
          <w:bCs/>
          <w:color w:val="000000"/>
          <w:sz w:val="22"/>
          <w:szCs w:val="22"/>
          <w:lang w:val="en-US"/>
        </w:rPr>
        <w:t>reliminary objections, merits, reparations and costs</w:t>
      </w:r>
      <w:r w:rsidRPr="002433F3">
        <w:rPr>
          <w:rFonts w:ascii="Verdana" w:hAnsi="Verdana"/>
          <w:b/>
          <w:bCs/>
          <w:color w:val="000000"/>
          <w:sz w:val="22"/>
          <w:szCs w:val="22"/>
          <w:lang w:val="en-US"/>
        </w:rPr>
        <w:t>)</w:t>
      </w:r>
    </w:p>
    <w:p w14:paraId="6C895E53" w14:textId="77777777" w:rsidR="007B0DE4" w:rsidRPr="002433F3" w:rsidRDefault="007B0DE4" w:rsidP="007B0DE4">
      <w:pPr>
        <w:pStyle w:val="NormalWeb"/>
        <w:spacing w:before="0" w:beforeAutospacing="0" w:after="200" w:afterAutospacing="0"/>
        <w:jc w:val="both"/>
        <w:rPr>
          <w:rFonts w:ascii="Verdana" w:hAnsi="Verdana"/>
          <w:lang w:val="en-US"/>
        </w:rPr>
      </w:pPr>
      <w:r w:rsidRPr="002433F3">
        <w:rPr>
          <w:rFonts w:ascii="Verdana" w:hAnsi="Verdana"/>
          <w:color w:val="000000"/>
          <w:sz w:val="32"/>
          <w:szCs w:val="32"/>
          <w:lang w:val="en-US"/>
        </w:rPr>
        <w:t> </w:t>
      </w:r>
    </w:p>
    <w:p w14:paraId="6CF49933" w14:textId="77777777" w:rsidR="007B0DE4" w:rsidRPr="002433F3" w:rsidRDefault="00643AA7" w:rsidP="007B0DE4">
      <w:pPr>
        <w:pStyle w:val="NormalWeb"/>
        <w:spacing w:before="0" w:beforeAutospacing="0" w:after="200" w:afterAutospacing="0"/>
        <w:jc w:val="both"/>
        <w:rPr>
          <w:rFonts w:ascii="Verdana" w:hAnsi="Verdana"/>
          <w:sz w:val="20"/>
          <w:szCs w:val="20"/>
          <w:lang w:val="en-US"/>
        </w:rPr>
      </w:pPr>
      <w:r w:rsidRPr="002433F3">
        <w:rPr>
          <w:rFonts w:ascii="Verdana" w:hAnsi="Verdana"/>
          <w:color w:val="000000"/>
          <w:sz w:val="20"/>
          <w:szCs w:val="20"/>
          <w:lang w:val="en-US"/>
        </w:rPr>
        <w:t xml:space="preserve">In </w:t>
      </w:r>
      <w:r w:rsidR="001F74DB" w:rsidRPr="002433F3">
        <w:rPr>
          <w:rFonts w:ascii="Verdana" w:hAnsi="Verdana"/>
          <w:color w:val="000000"/>
          <w:sz w:val="20"/>
          <w:szCs w:val="20"/>
          <w:lang w:val="en-US"/>
        </w:rPr>
        <w:t>issuing this</w:t>
      </w:r>
      <w:r w:rsidR="007B0DE4" w:rsidRPr="002433F3">
        <w:rPr>
          <w:rFonts w:ascii="Verdana" w:hAnsi="Verdana"/>
          <w:color w:val="000000"/>
          <w:sz w:val="20"/>
          <w:szCs w:val="20"/>
          <w:lang w:val="en-US"/>
        </w:rPr>
        <w:t xml:space="preserve"> dissenting opinion in the Case </w:t>
      </w:r>
      <w:r w:rsidR="00132D1A" w:rsidRPr="002433F3">
        <w:rPr>
          <w:rFonts w:ascii="Verdana" w:hAnsi="Verdana"/>
          <w:color w:val="000000"/>
          <w:sz w:val="20"/>
          <w:szCs w:val="20"/>
          <w:lang w:val="en-US"/>
        </w:rPr>
        <w:t xml:space="preserve">of </w:t>
      </w:r>
      <w:r w:rsidR="007B0DE4" w:rsidRPr="002433F3">
        <w:rPr>
          <w:rFonts w:ascii="Verdana" w:hAnsi="Verdana"/>
          <w:color w:val="000000"/>
          <w:sz w:val="20"/>
          <w:szCs w:val="20"/>
          <w:lang w:val="en-US"/>
        </w:rPr>
        <w:t>DUQUE v. COLOMBIA,</w:t>
      </w:r>
      <w:r w:rsidR="00803516" w:rsidRPr="002433F3">
        <w:rPr>
          <w:rFonts w:ascii="Verdana" w:hAnsi="Verdana"/>
          <w:color w:val="000000"/>
          <w:sz w:val="20"/>
          <w:szCs w:val="20"/>
          <w:lang w:val="en-US"/>
        </w:rPr>
        <w:t xml:space="preserve"> in which the Court </w:t>
      </w:r>
      <w:r w:rsidR="00D11761" w:rsidRPr="002433F3">
        <w:rPr>
          <w:rFonts w:ascii="Verdana" w:hAnsi="Verdana"/>
          <w:color w:val="000000"/>
          <w:sz w:val="20"/>
          <w:szCs w:val="20"/>
          <w:lang w:val="en-US"/>
        </w:rPr>
        <w:t>admi</w:t>
      </w:r>
      <w:r w:rsidR="00803516" w:rsidRPr="002433F3">
        <w:rPr>
          <w:rFonts w:ascii="Verdana" w:hAnsi="Verdana"/>
          <w:color w:val="000000"/>
          <w:sz w:val="20"/>
          <w:szCs w:val="20"/>
          <w:lang w:val="en-US"/>
        </w:rPr>
        <w:t xml:space="preserve">tted </w:t>
      </w:r>
      <w:r w:rsidR="007B0DE4" w:rsidRPr="002433F3">
        <w:rPr>
          <w:rFonts w:ascii="Verdana" w:hAnsi="Verdana"/>
          <w:color w:val="000000"/>
          <w:sz w:val="20"/>
          <w:szCs w:val="20"/>
          <w:lang w:val="en-US"/>
        </w:rPr>
        <w:t xml:space="preserve">the preliminary objection of failure to exhaust domestic remedies filed by the State, </w:t>
      </w:r>
      <w:r w:rsidRPr="002433F3">
        <w:rPr>
          <w:rFonts w:ascii="Verdana" w:hAnsi="Verdana"/>
          <w:color w:val="000000"/>
          <w:sz w:val="20"/>
          <w:szCs w:val="20"/>
          <w:lang w:val="en-US"/>
        </w:rPr>
        <w:t>my intention</w:t>
      </w:r>
      <w:r w:rsidR="007B0DE4" w:rsidRPr="002433F3">
        <w:rPr>
          <w:rFonts w:ascii="Verdana" w:hAnsi="Verdana"/>
          <w:color w:val="000000"/>
          <w:sz w:val="20"/>
          <w:szCs w:val="20"/>
          <w:lang w:val="en-US"/>
        </w:rPr>
        <w:t xml:space="preserve"> to make very clear that in similar</w:t>
      </w:r>
      <w:r w:rsidR="001F74DB" w:rsidRPr="002433F3">
        <w:rPr>
          <w:rFonts w:ascii="Verdana" w:hAnsi="Verdana"/>
          <w:color w:val="000000"/>
          <w:sz w:val="20"/>
          <w:szCs w:val="20"/>
          <w:lang w:val="en-US"/>
        </w:rPr>
        <w:t xml:space="preserve"> cases</w:t>
      </w:r>
      <w:r w:rsidR="00C835D3" w:rsidRPr="002433F3">
        <w:rPr>
          <w:rFonts w:ascii="Verdana" w:hAnsi="Verdana"/>
          <w:color w:val="000000"/>
          <w:sz w:val="20"/>
          <w:szCs w:val="20"/>
          <w:lang w:val="en-US"/>
        </w:rPr>
        <w:t xml:space="preserve"> in future</w:t>
      </w:r>
      <w:r w:rsidR="001F74DB" w:rsidRPr="002433F3">
        <w:rPr>
          <w:rFonts w:ascii="Verdana" w:hAnsi="Verdana"/>
          <w:color w:val="000000"/>
          <w:sz w:val="20"/>
          <w:szCs w:val="20"/>
          <w:lang w:val="en-US"/>
        </w:rPr>
        <w:t xml:space="preserve">, the </w:t>
      </w:r>
      <w:r w:rsidR="007B0DE4" w:rsidRPr="002433F3">
        <w:rPr>
          <w:rFonts w:ascii="Verdana" w:hAnsi="Verdana"/>
          <w:color w:val="000000"/>
          <w:sz w:val="20"/>
          <w:szCs w:val="20"/>
          <w:lang w:val="en-US"/>
        </w:rPr>
        <w:t>Commission</w:t>
      </w:r>
      <w:r w:rsidR="00ED78D1" w:rsidRPr="002433F3">
        <w:rPr>
          <w:rFonts w:ascii="Verdana" w:hAnsi="Verdana"/>
          <w:color w:val="000000"/>
          <w:sz w:val="20"/>
          <w:szCs w:val="20"/>
          <w:lang w:val="en-US"/>
        </w:rPr>
        <w:t>’s position</w:t>
      </w:r>
      <w:r w:rsidR="007B0DE4" w:rsidRPr="002433F3">
        <w:rPr>
          <w:rFonts w:ascii="Verdana" w:hAnsi="Verdana"/>
          <w:color w:val="000000"/>
          <w:sz w:val="20"/>
          <w:szCs w:val="20"/>
          <w:lang w:val="en-US"/>
        </w:rPr>
        <w:t xml:space="preserve"> should be not to submit </w:t>
      </w:r>
      <w:r w:rsidR="00803516" w:rsidRPr="002433F3">
        <w:rPr>
          <w:rFonts w:ascii="Verdana" w:hAnsi="Verdana"/>
          <w:color w:val="000000"/>
          <w:sz w:val="20"/>
          <w:szCs w:val="20"/>
          <w:lang w:val="en-US"/>
        </w:rPr>
        <w:t xml:space="preserve">such a case </w:t>
      </w:r>
      <w:r w:rsidR="007B0DE4" w:rsidRPr="002433F3">
        <w:rPr>
          <w:rFonts w:ascii="Verdana" w:hAnsi="Verdana"/>
          <w:color w:val="000000"/>
          <w:sz w:val="20"/>
          <w:szCs w:val="20"/>
          <w:lang w:val="en-US"/>
        </w:rPr>
        <w:t>to the consideration of the C</w:t>
      </w:r>
      <w:r w:rsidR="004252F7" w:rsidRPr="002433F3">
        <w:rPr>
          <w:rFonts w:ascii="Verdana" w:hAnsi="Verdana"/>
          <w:color w:val="000000"/>
          <w:sz w:val="20"/>
          <w:szCs w:val="20"/>
          <w:lang w:val="en-US"/>
        </w:rPr>
        <w:t>ourt</w:t>
      </w:r>
      <w:r w:rsidR="007B0DE4" w:rsidRPr="002433F3">
        <w:rPr>
          <w:rFonts w:ascii="Verdana" w:hAnsi="Verdana"/>
          <w:color w:val="000000"/>
          <w:sz w:val="20"/>
          <w:szCs w:val="20"/>
          <w:lang w:val="en-US"/>
        </w:rPr>
        <w:t xml:space="preserve"> or</w:t>
      </w:r>
      <w:r w:rsidR="004252F7" w:rsidRPr="002433F3">
        <w:rPr>
          <w:rFonts w:ascii="Verdana" w:hAnsi="Verdana"/>
          <w:color w:val="000000"/>
          <w:sz w:val="20"/>
          <w:szCs w:val="20"/>
          <w:lang w:val="en-US"/>
        </w:rPr>
        <w:t>,</w:t>
      </w:r>
      <w:r w:rsidR="007B0DE4" w:rsidRPr="002433F3">
        <w:rPr>
          <w:rFonts w:ascii="Verdana" w:hAnsi="Verdana"/>
          <w:color w:val="000000"/>
          <w:sz w:val="20"/>
          <w:szCs w:val="20"/>
          <w:lang w:val="en-US"/>
        </w:rPr>
        <w:t xml:space="preserve"> </w:t>
      </w:r>
      <w:r w:rsidR="00ED78D1" w:rsidRPr="002433F3">
        <w:rPr>
          <w:rFonts w:ascii="Verdana" w:hAnsi="Verdana"/>
          <w:color w:val="000000"/>
          <w:sz w:val="20"/>
          <w:szCs w:val="20"/>
          <w:lang w:val="en-US"/>
        </w:rPr>
        <w:t>if already submitted</w:t>
      </w:r>
      <w:r w:rsidR="007B0DE4" w:rsidRPr="002433F3">
        <w:rPr>
          <w:rFonts w:ascii="Verdana" w:hAnsi="Verdana"/>
          <w:color w:val="000000"/>
          <w:sz w:val="20"/>
          <w:szCs w:val="20"/>
          <w:lang w:val="en-US"/>
        </w:rPr>
        <w:t xml:space="preserve">, the Court should admit the preliminary objection and the </w:t>
      </w:r>
      <w:r w:rsidRPr="002433F3">
        <w:rPr>
          <w:rFonts w:ascii="Verdana" w:hAnsi="Verdana"/>
          <w:color w:val="000000"/>
          <w:sz w:val="20"/>
          <w:szCs w:val="20"/>
          <w:lang w:val="en-US"/>
        </w:rPr>
        <w:t xml:space="preserve">matter should be resolved in the processing of the </w:t>
      </w:r>
      <w:r w:rsidR="007B0DE4" w:rsidRPr="002433F3">
        <w:rPr>
          <w:rFonts w:ascii="Verdana" w:hAnsi="Verdana"/>
          <w:color w:val="000000"/>
          <w:sz w:val="20"/>
          <w:szCs w:val="20"/>
          <w:lang w:val="en-US"/>
        </w:rPr>
        <w:t>case.</w:t>
      </w:r>
    </w:p>
    <w:p w14:paraId="7EA62DE3" w14:textId="77777777" w:rsidR="007B0DE4" w:rsidRPr="002433F3" w:rsidRDefault="007B0DE4" w:rsidP="007B0DE4">
      <w:pPr>
        <w:pStyle w:val="NormalWeb"/>
        <w:spacing w:before="0" w:beforeAutospacing="0" w:after="200" w:afterAutospacing="0"/>
        <w:jc w:val="both"/>
        <w:rPr>
          <w:rFonts w:ascii="Verdana" w:hAnsi="Verdana"/>
          <w:sz w:val="20"/>
          <w:szCs w:val="20"/>
          <w:lang w:val="en-US"/>
        </w:rPr>
      </w:pPr>
      <w:r w:rsidRPr="002433F3">
        <w:rPr>
          <w:rFonts w:ascii="Verdana" w:hAnsi="Verdana"/>
          <w:color w:val="000000"/>
          <w:sz w:val="20"/>
          <w:szCs w:val="20"/>
          <w:lang w:val="en-US"/>
        </w:rPr>
        <w:t xml:space="preserve">If we </w:t>
      </w:r>
      <w:r w:rsidR="00132D1A" w:rsidRPr="002433F3">
        <w:rPr>
          <w:rFonts w:ascii="Verdana" w:hAnsi="Verdana"/>
          <w:color w:val="000000"/>
          <w:sz w:val="20"/>
          <w:szCs w:val="20"/>
          <w:lang w:val="en-US"/>
        </w:rPr>
        <w:t xml:space="preserve">examine </w:t>
      </w:r>
      <w:r w:rsidRPr="002433F3">
        <w:rPr>
          <w:rFonts w:ascii="Verdana" w:hAnsi="Verdana"/>
          <w:color w:val="000000"/>
          <w:sz w:val="20"/>
          <w:szCs w:val="20"/>
          <w:lang w:val="en-US"/>
        </w:rPr>
        <w:t>the Court’s jurisprudence from its beginnings, the respondent States</w:t>
      </w:r>
      <w:r w:rsidR="000A17FF" w:rsidRPr="002433F3">
        <w:rPr>
          <w:rFonts w:ascii="Verdana" w:hAnsi="Verdana"/>
          <w:color w:val="000000"/>
          <w:sz w:val="20"/>
          <w:szCs w:val="20"/>
          <w:lang w:val="en-US"/>
        </w:rPr>
        <w:t>, with</w:t>
      </w:r>
      <w:r w:rsidR="00132D1A" w:rsidRPr="002433F3">
        <w:rPr>
          <w:rFonts w:ascii="Verdana" w:hAnsi="Verdana"/>
          <w:color w:val="000000"/>
          <w:sz w:val="20"/>
          <w:szCs w:val="20"/>
          <w:lang w:val="en-US"/>
        </w:rPr>
        <w:t xml:space="preserve"> very few except</w:t>
      </w:r>
      <w:r w:rsidR="0047668D" w:rsidRPr="002433F3">
        <w:rPr>
          <w:rFonts w:ascii="Verdana" w:hAnsi="Verdana"/>
          <w:color w:val="000000"/>
          <w:sz w:val="20"/>
          <w:szCs w:val="20"/>
          <w:lang w:val="en-US"/>
        </w:rPr>
        <w:t>ions,</w:t>
      </w:r>
      <w:r w:rsidRPr="002433F3">
        <w:rPr>
          <w:rFonts w:ascii="Verdana" w:hAnsi="Verdana"/>
          <w:color w:val="000000"/>
          <w:sz w:val="20"/>
          <w:szCs w:val="20"/>
          <w:lang w:val="en-US"/>
        </w:rPr>
        <w:t xml:space="preserve"> have</w:t>
      </w:r>
      <w:r w:rsidR="00132D1A" w:rsidRPr="002433F3">
        <w:rPr>
          <w:rFonts w:ascii="Verdana" w:hAnsi="Verdana"/>
          <w:color w:val="000000"/>
          <w:sz w:val="20"/>
          <w:szCs w:val="20"/>
          <w:lang w:val="en-US"/>
        </w:rPr>
        <w:t xml:space="preserve"> always</w:t>
      </w:r>
      <w:r w:rsidRPr="002433F3">
        <w:rPr>
          <w:rFonts w:ascii="Verdana" w:hAnsi="Verdana"/>
          <w:color w:val="000000"/>
          <w:sz w:val="20"/>
          <w:szCs w:val="20"/>
          <w:lang w:val="en-US"/>
        </w:rPr>
        <w:t xml:space="preserve"> filed the objection of failu</w:t>
      </w:r>
      <w:r w:rsidR="0047668D" w:rsidRPr="002433F3">
        <w:rPr>
          <w:rFonts w:ascii="Verdana" w:hAnsi="Verdana"/>
          <w:color w:val="000000"/>
          <w:sz w:val="20"/>
          <w:szCs w:val="20"/>
          <w:lang w:val="en-US"/>
        </w:rPr>
        <w:t>re to exhaust domestic remedies.</w:t>
      </w:r>
      <w:r w:rsidRPr="002433F3">
        <w:rPr>
          <w:rFonts w:ascii="Verdana" w:hAnsi="Verdana"/>
          <w:color w:val="000000"/>
          <w:sz w:val="20"/>
          <w:szCs w:val="20"/>
          <w:lang w:val="en-US"/>
        </w:rPr>
        <w:t xml:space="preserve"> </w:t>
      </w:r>
      <w:r w:rsidR="0047668D" w:rsidRPr="002433F3">
        <w:rPr>
          <w:rFonts w:ascii="Verdana" w:hAnsi="Verdana"/>
          <w:color w:val="000000"/>
          <w:sz w:val="20"/>
          <w:szCs w:val="20"/>
          <w:lang w:val="en-US"/>
        </w:rPr>
        <w:t xml:space="preserve">This </w:t>
      </w:r>
      <w:r w:rsidR="006E11A3" w:rsidRPr="002433F3">
        <w:rPr>
          <w:rFonts w:ascii="Verdana" w:hAnsi="Verdana"/>
          <w:color w:val="000000"/>
          <w:sz w:val="20"/>
          <w:szCs w:val="20"/>
          <w:lang w:val="en-US"/>
        </w:rPr>
        <w:t xml:space="preserve">is generally rejected by </w:t>
      </w:r>
      <w:r w:rsidRPr="002433F3">
        <w:rPr>
          <w:rFonts w:ascii="Verdana" w:hAnsi="Verdana"/>
          <w:color w:val="000000"/>
          <w:sz w:val="20"/>
          <w:szCs w:val="20"/>
          <w:lang w:val="en-US"/>
        </w:rPr>
        <w:t xml:space="preserve">the Court </w:t>
      </w:r>
      <w:r w:rsidR="00ED78D1" w:rsidRPr="002433F3">
        <w:rPr>
          <w:rFonts w:ascii="Verdana" w:hAnsi="Verdana"/>
          <w:color w:val="000000"/>
          <w:sz w:val="20"/>
          <w:szCs w:val="20"/>
          <w:lang w:val="en-US"/>
        </w:rPr>
        <w:t xml:space="preserve">based on </w:t>
      </w:r>
      <w:r w:rsidRPr="002433F3">
        <w:rPr>
          <w:rFonts w:ascii="Verdana" w:hAnsi="Verdana"/>
          <w:color w:val="000000"/>
          <w:sz w:val="20"/>
          <w:szCs w:val="20"/>
          <w:lang w:val="en-US"/>
        </w:rPr>
        <w:t xml:space="preserve">the casuistry or </w:t>
      </w:r>
      <w:r w:rsidR="00ED78D1" w:rsidRPr="002433F3">
        <w:rPr>
          <w:rFonts w:ascii="Verdana" w:hAnsi="Verdana"/>
          <w:color w:val="000000"/>
          <w:sz w:val="20"/>
          <w:szCs w:val="20"/>
          <w:lang w:val="en-US"/>
        </w:rPr>
        <w:t xml:space="preserve">the </w:t>
      </w:r>
      <w:r w:rsidRPr="002433F3">
        <w:rPr>
          <w:rFonts w:ascii="Verdana" w:hAnsi="Verdana"/>
          <w:color w:val="000000"/>
          <w:sz w:val="20"/>
          <w:szCs w:val="20"/>
          <w:lang w:val="en-US"/>
        </w:rPr>
        <w:t xml:space="preserve">facts </w:t>
      </w:r>
      <w:r w:rsidR="00ED78D1" w:rsidRPr="002433F3">
        <w:rPr>
          <w:rFonts w:ascii="Verdana" w:hAnsi="Verdana"/>
          <w:color w:val="000000"/>
          <w:sz w:val="20"/>
          <w:szCs w:val="20"/>
          <w:lang w:val="en-US"/>
        </w:rPr>
        <w:t xml:space="preserve">in the </w:t>
      </w:r>
      <w:r w:rsidRPr="002433F3">
        <w:rPr>
          <w:rFonts w:ascii="Verdana" w:hAnsi="Verdana"/>
          <w:color w:val="000000"/>
          <w:sz w:val="20"/>
          <w:szCs w:val="20"/>
          <w:lang w:val="en-US"/>
        </w:rPr>
        <w:t>processing of the case</w:t>
      </w:r>
      <w:r w:rsidR="0047668D" w:rsidRPr="002433F3">
        <w:rPr>
          <w:rFonts w:ascii="Verdana" w:hAnsi="Verdana"/>
          <w:color w:val="000000"/>
          <w:sz w:val="20"/>
          <w:szCs w:val="20"/>
          <w:lang w:val="en-US"/>
        </w:rPr>
        <w:t>; a casuistry</w:t>
      </w:r>
      <w:r w:rsidR="00ED78D1" w:rsidRPr="002433F3">
        <w:rPr>
          <w:rFonts w:ascii="Verdana" w:hAnsi="Verdana"/>
          <w:color w:val="000000"/>
          <w:sz w:val="20"/>
          <w:szCs w:val="20"/>
          <w:lang w:val="en-US"/>
        </w:rPr>
        <w:t xml:space="preserve"> </w:t>
      </w:r>
      <w:r w:rsidR="0047668D" w:rsidRPr="002433F3">
        <w:rPr>
          <w:rFonts w:ascii="Verdana" w:hAnsi="Verdana"/>
          <w:color w:val="000000"/>
          <w:sz w:val="20"/>
          <w:szCs w:val="20"/>
          <w:lang w:val="en-US"/>
        </w:rPr>
        <w:t>that</w:t>
      </w:r>
      <w:r w:rsidRPr="002433F3">
        <w:rPr>
          <w:rFonts w:ascii="Verdana" w:hAnsi="Verdana"/>
          <w:color w:val="000000"/>
          <w:sz w:val="20"/>
          <w:szCs w:val="20"/>
          <w:lang w:val="en-US"/>
        </w:rPr>
        <w:t xml:space="preserve">, </w:t>
      </w:r>
      <w:r w:rsidR="0047668D" w:rsidRPr="002433F3">
        <w:rPr>
          <w:rFonts w:ascii="Verdana" w:hAnsi="Verdana"/>
          <w:color w:val="000000"/>
          <w:sz w:val="20"/>
          <w:szCs w:val="20"/>
          <w:lang w:val="en-US"/>
        </w:rPr>
        <w:t>over time</w:t>
      </w:r>
      <w:r w:rsidR="00ED78D1" w:rsidRPr="002433F3">
        <w:rPr>
          <w:rFonts w:ascii="Verdana" w:hAnsi="Verdana"/>
          <w:color w:val="000000"/>
          <w:sz w:val="20"/>
          <w:szCs w:val="20"/>
          <w:lang w:val="en-US"/>
        </w:rPr>
        <w:t>,</w:t>
      </w:r>
      <w:r w:rsidRPr="002433F3">
        <w:rPr>
          <w:rFonts w:ascii="Verdana" w:hAnsi="Verdana"/>
          <w:color w:val="000000"/>
          <w:sz w:val="20"/>
          <w:szCs w:val="20"/>
          <w:lang w:val="en-US"/>
        </w:rPr>
        <w:t xml:space="preserve"> </w:t>
      </w:r>
      <w:r w:rsidR="0047668D" w:rsidRPr="002433F3">
        <w:rPr>
          <w:rFonts w:ascii="Verdana" w:hAnsi="Verdana"/>
          <w:color w:val="000000"/>
          <w:sz w:val="20"/>
          <w:szCs w:val="20"/>
          <w:lang w:val="en-US"/>
        </w:rPr>
        <w:t xml:space="preserve">has made it possible to </w:t>
      </w:r>
      <w:r w:rsidRPr="002433F3">
        <w:rPr>
          <w:rFonts w:ascii="Verdana" w:hAnsi="Verdana"/>
          <w:color w:val="000000"/>
          <w:sz w:val="20"/>
          <w:szCs w:val="20"/>
          <w:lang w:val="en-US"/>
        </w:rPr>
        <w:t xml:space="preserve">generalize </w:t>
      </w:r>
      <w:r w:rsidR="0047668D" w:rsidRPr="002433F3">
        <w:rPr>
          <w:rFonts w:ascii="Verdana" w:hAnsi="Verdana"/>
          <w:color w:val="000000"/>
          <w:sz w:val="20"/>
          <w:szCs w:val="20"/>
          <w:lang w:val="en-US"/>
        </w:rPr>
        <w:t xml:space="preserve">the Court’s </w:t>
      </w:r>
      <w:r w:rsidRPr="002433F3">
        <w:rPr>
          <w:rFonts w:ascii="Verdana" w:hAnsi="Verdana"/>
          <w:color w:val="000000"/>
          <w:sz w:val="20"/>
          <w:szCs w:val="20"/>
          <w:lang w:val="en-US"/>
        </w:rPr>
        <w:t xml:space="preserve">doctrine </w:t>
      </w:r>
      <w:r w:rsidR="008E5151" w:rsidRPr="002433F3">
        <w:rPr>
          <w:rFonts w:ascii="Verdana" w:hAnsi="Verdana"/>
          <w:color w:val="000000"/>
          <w:sz w:val="20"/>
          <w:szCs w:val="20"/>
          <w:lang w:val="en-US"/>
        </w:rPr>
        <w:t xml:space="preserve">in this </w:t>
      </w:r>
      <w:r w:rsidRPr="002433F3">
        <w:rPr>
          <w:rFonts w:ascii="Verdana" w:hAnsi="Verdana"/>
          <w:color w:val="000000"/>
          <w:sz w:val="20"/>
          <w:szCs w:val="20"/>
          <w:lang w:val="en-US"/>
        </w:rPr>
        <w:t>re</w:t>
      </w:r>
      <w:r w:rsidR="0047668D" w:rsidRPr="002433F3">
        <w:rPr>
          <w:rFonts w:ascii="Verdana" w:hAnsi="Verdana"/>
          <w:color w:val="000000"/>
          <w:sz w:val="20"/>
          <w:szCs w:val="20"/>
          <w:lang w:val="en-US"/>
        </w:rPr>
        <w:t xml:space="preserve">gard, </w:t>
      </w:r>
      <w:r w:rsidRPr="002433F3">
        <w:rPr>
          <w:rFonts w:ascii="Verdana" w:hAnsi="Verdana"/>
          <w:color w:val="000000"/>
          <w:sz w:val="20"/>
          <w:szCs w:val="20"/>
          <w:lang w:val="en-US"/>
        </w:rPr>
        <w:t xml:space="preserve">which is nearly always applied. </w:t>
      </w:r>
      <w:r w:rsidR="001A0DC6" w:rsidRPr="002433F3">
        <w:rPr>
          <w:rFonts w:ascii="Verdana" w:hAnsi="Verdana"/>
          <w:color w:val="000000"/>
          <w:sz w:val="20"/>
          <w:szCs w:val="20"/>
          <w:lang w:val="en-US"/>
        </w:rPr>
        <w:t xml:space="preserve">Nevertheless, </w:t>
      </w:r>
      <w:r w:rsidR="000A7A70" w:rsidRPr="002433F3">
        <w:rPr>
          <w:rFonts w:ascii="Verdana" w:hAnsi="Verdana"/>
          <w:color w:val="000000"/>
          <w:sz w:val="20"/>
          <w:szCs w:val="20"/>
          <w:lang w:val="en-US"/>
        </w:rPr>
        <w:t>the casuistry</w:t>
      </w:r>
      <w:r w:rsidRPr="002433F3">
        <w:rPr>
          <w:rFonts w:ascii="Verdana" w:hAnsi="Verdana"/>
          <w:color w:val="000000"/>
          <w:sz w:val="20"/>
          <w:szCs w:val="20"/>
          <w:lang w:val="en-US"/>
        </w:rPr>
        <w:t xml:space="preserve"> varies from one case to another.</w:t>
      </w:r>
    </w:p>
    <w:p w14:paraId="483B611D" w14:textId="77777777" w:rsidR="007B0DE4" w:rsidRPr="002433F3" w:rsidRDefault="007B0DE4" w:rsidP="007B0DE4">
      <w:pPr>
        <w:pStyle w:val="NormalWeb"/>
        <w:spacing w:before="0" w:beforeAutospacing="0" w:after="200" w:afterAutospacing="0"/>
        <w:jc w:val="both"/>
        <w:rPr>
          <w:rFonts w:ascii="Verdana" w:hAnsi="Verdana"/>
          <w:sz w:val="20"/>
          <w:szCs w:val="20"/>
          <w:lang w:val="en-US"/>
        </w:rPr>
      </w:pPr>
      <w:r w:rsidRPr="002433F3">
        <w:rPr>
          <w:rFonts w:ascii="Verdana" w:hAnsi="Verdana"/>
          <w:color w:val="000000"/>
          <w:sz w:val="20"/>
          <w:szCs w:val="20"/>
          <w:lang w:val="en-US"/>
        </w:rPr>
        <w:t xml:space="preserve">And this </w:t>
      </w:r>
      <w:r w:rsidR="00643AA7" w:rsidRPr="002433F3">
        <w:rPr>
          <w:rFonts w:ascii="Verdana" w:hAnsi="Verdana"/>
          <w:color w:val="000000"/>
          <w:sz w:val="20"/>
          <w:szCs w:val="20"/>
          <w:lang w:val="en-US"/>
        </w:rPr>
        <w:t xml:space="preserve">circumstance </w:t>
      </w:r>
      <w:r w:rsidR="00F64011" w:rsidRPr="002433F3">
        <w:rPr>
          <w:rFonts w:ascii="Verdana" w:hAnsi="Verdana"/>
          <w:color w:val="000000"/>
          <w:sz w:val="20"/>
          <w:szCs w:val="20"/>
          <w:lang w:val="en-US"/>
        </w:rPr>
        <w:t>is evident in the case at hand</w:t>
      </w:r>
      <w:r w:rsidRPr="002433F3">
        <w:rPr>
          <w:rFonts w:ascii="Verdana" w:hAnsi="Verdana"/>
          <w:color w:val="000000"/>
          <w:sz w:val="20"/>
          <w:szCs w:val="20"/>
          <w:lang w:val="en-US"/>
        </w:rPr>
        <w:t xml:space="preserve">, in </w:t>
      </w:r>
      <w:r w:rsidR="0047668D" w:rsidRPr="002433F3">
        <w:rPr>
          <w:rFonts w:ascii="Verdana" w:hAnsi="Verdana"/>
          <w:color w:val="000000"/>
          <w:sz w:val="20"/>
          <w:szCs w:val="20"/>
          <w:lang w:val="en-US"/>
        </w:rPr>
        <w:t xml:space="preserve">which </w:t>
      </w:r>
      <w:r w:rsidRPr="002433F3">
        <w:rPr>
          <w:rFonts w:ascii="Verdana" w:hAnsi="Verdana"/>
          <w:color w:val="000000"/>
          <w:sz w:val="20"/>
          <w:szCs w:val="20"/>
          <w:lang w:val="en-US"/>
        </w:rPr>
        <w:t xml:space="preserve">the facts </w:t>
      </w:r>
      <w:r w:rsidR="0047668D" w:rsidRPr="002433F3">
        <w:rPr>
          <w:rFonts w:ascii="Verdana" w:hAnsi="Verdana"/>
          <w:color w:val="000000"/>
          <w:sz w:val="20"/>
          <w:szCs w:val="20"/>
          <w:lang w:val="en-US"/>
        </w:rPr>
        <w:t xml:space="preserve">have </w:t>
      </w:r>
      <w:r w:rsidR="00643AA7" w:rsidRPr="002433F3">
        <w:rPr>
          <w:rFonts w:ascii="Verdana" w:hAnsi="Verdana"/>
          <w:color w:val="000000"/>
          <w:sz w:val="20"/>
          <w:szCs w:val="20"/>
          <w:lang w:val="en-US"/>
        </w:rPr>
        <w:t xml:space="preserve">led me to the conviction </w:t>
      </w:r>
      <w:r w:rsidR="001F74DB" w:rsidRPr="002433F3">
        <w:rPr>
          <w:rFonts w:ascii="Verdana" w:hAnsi="Verdana"/>
          <w:color w:val="000000"/>
          <w:sz w:val="20"/>
          <w:szCs w:val="20"/>
          <w:lang w:val="en-US"/>
        </w:rPr>
        <w:t>that the preliminary objection regarding</w:t>
      </w:r>
      <w:r w:rsidRPr="002433F3">
        <w:rPr>
          <w:rFonts w:ascii="Verdana" w:hAnsi="Verdana"/>
          <w:color w:val="000000"/>
          <w:sz w:val="20"/>
          <w:szCs w:val="20"/>
          <w:lang w:val="en-US"/>
        </w:rPr>
        <w:t xml:space="preserve"> failure to exhaust domestic remedies should be accepted and </w:t>
      </w:r>
      <w:r w:rsidR="00803516" w:rsidRPr="002433F3">
        <w:rPr>
          <w:rFonts w:ascii="Verdana" w:hAnsi="Verdana"/>
          <w:color w:val="000000"/>
          <w:sz w:val="20"/>
          <w:szCs w:val="20"/>
          <w:lang w:val="en-US"/>
        </w:rPr>
        <w:t xml:space="preserve">should end </w:t>
      </w:r>
      <w:r w:rsidRPr="002433F3">
        <w:rPr>
          <w:rFonts w:ascii="Verdana" w:hAnsi="Verdana"/>
          <w:color w:val="000000"/>
          <w:sz w:val="20"/>
          <w:szCs w:val="20"/>
          <w:lang w:val="en-US"/>
        </w:rPr>
        <w:t xml:space="preserve">with the processing of the case. </w:t>
      </w:r>
      <w:r w:rsidR="001F74DB" w:rsidRPr="002433F3">
        <w:rPr>
          <w:rFonts w:ascii="Verdana" w:hAnsi="Verdana"/>
          <w:color w:val="000000"/>
          <w:sz w:val="20"/>
          <w:szCs w:val="20"/>
          <w:lang w:val="en-US"/>
        </w:rPr>
        <w:t>Th</w:t>
      </w:r>
      <w:r w:rsidR="00803516" w:rsidRPr="002433F3">
        <w:rPr>
          <w:rFonts w:ascii="Verdana" w:hAnsi="Verdana"/>
          <w:color w:val="000000"/>
          <w:sz w:val="20"/>
          <w:szCs w:val="20"/>
          <w:lang w:val="en-US"/>
        </w:rPr>
        <w:t xml:space="preserve">is, then, is a </w:t>
      </w:r>
      <w:r w:rsidRPr="002433F3">
        <w:rPr>
          <w:rFonts w:ascii="Verdana" w:hAnsi="Verdana"/>
          <w:color w:val="000000"/>
          <w:sz w:val="20"/>
          <w:szCs w:val="20"/>
          <w:lang w:val="en-US"/>
        </w:rPr>
        <w:t>p</w:t>
      </w:r>
      <w:r w:rsidR="00113838" w:rsidRPr="002433F3">
        <w:rPr>
          <w:rFonts w:ascii="Verdana" w:hAnsi="Verdana"/>
          <w:color w:val="000000"/>
          <w:sz w:val="20"/>
          <w:szCs w:val="20"/>
          <w:lang w:val="en-US"/>
        </w:rPr>
        <w:t xml:space="preserve">osition </w:t>
      </w:r>
      <w:r w:rsidR="00803516" w:rsidRPr="002433F3">
        <w:rPr>
          <w:rFonts w:ascii="Verdana" w:hAnsi="Verdana"/>
          <w:color w:val="000000"/>
          <w:sz w:val="20"/>
          <w:szCs w:val="20"/>
          <w:lang w:val="en-US"/>
        </w:rPr>
        <w:t xml:space="preserve">adopted </w:t>
      </w:r>
      <w:r w:rsidR="00113838" w:rsidRPr="002433F3">
        <w:rPr>
          <w:rFonts w:ascii="Verdana" w:hAnsi="Verdana"/>
          <w:color w:val="000000"/>
          <w:sz w:val="20"/>
          <w:szCs w:val="20"/>
          <w:lang w:val="en-US"/>
        </w:rPr>
        <w:t xml:space="preserve">in a specific case </w:t>
      </w:r>
      <w:r w:rsidR="00803516" w:rsidRPr="002433F3">
        <w:rPr>
          <w:rFonts w:ascii="Verdana" w:hAnsi="Verdana"/>
          <w:color w:val="000000"/>
          <w:sz w:val="20"/>
          <w:szCs w:val="20"/>
          <w:lang w:val="en-US"/>
        </w:rPr>
        <w:t xml:space="preserve">which </w:t>
      </w:r>
      <w:r w:rsidRPr="002433F3">
        <w:rPr>
          <w:rFonts w:ascii="Verdana" w:hAnsi="Verdana"/>
          <w:color w:val="000000"/>
          <w:sz w:val="20"/>
          <w:szCs w:val="20"/>
          <w:lang w:val="en-US"/>
        </w:rPr>
        <w:t xml:space="preserve">should become a rule of the Court when applying </w:t>
      </w:r>
      <w:r w:rsidR="000A7A70" w:rsidRPr="002433F3">
        <w:rPr>
          <w:rFonts w:ascii="Verdana" w:hAnsi="Verdana"/>
          <w:color w:val="000000"/>
          <w:sz w:val="20"/>
          <w:szCs w:val="20"/>
          <w:lang w:val="en-US"/>
        </w:rPr>
        <w:t>the principle</w:t>
      </w:r>
      <w:r w:rsidRPr="002433F3">
        <w:rPr>
          <w:rFonts w:ascii="Verdana" w:hAnsi="Verdana"/>
          <w:color w:val="000000"/>
          <w:sz w:val="20"/>
          <w:szCs w:val="20"/>
          <w:lang w:val="en-US"/>
        </w:rPr>
        <w:t xml:space="preserve"> of the subsidiarity of the international jurisdiction of human rights.</w:t>
      </w:r>
    </w:p>
    <w:p w14:paraId="290974EC" w14:textId="77777777" w:rsidR="007B0DE4" w:rsidRPr="002433F3" w:rsidRDefault="002020CD" w:rsidP="007B0DE4">
      <w:pPr>
        <w:pStyle w:val="NormalWeb"/>
        <w:spacing w:before="0" w:beforeAutospacing="0" w:after="200" w:afterAutospacing="0"/>
        <w:jc w:val="both"/>
        <w:rPr>
          <w:rFonts w:ascii="Verdana" w:hAnsi="Verdana"/>
          <w:sz w:val="20"/>
          <w:szCs w:val="20"/>
          <w:lang w:val="en-US"/>
        </w:rPr>
      </w:pPr>
      <w:r w:rsidRPr="002433F3">
        <w:rPr>
          <w:rFonts w:ascii="Verdana" w:hAnsi="Verdana"/>
          <w:color w:val="000000"/>
          <w:sz w:val="20"/>
          <w:szCs w:val="20"/>
          <w:lang w:val="en-US"/>
        </w:rPr>
        <w:t xml:space="preserve">To assume </w:t>
      </w:r>
      <w:r w:rsidR="007B0DE4" w:rsidRPr="002433F3">
        <w:rPr>
          <w:rFonts w:ascii="Verdana" w:hAnsi="Verdana"/>
          <w:color w:val="000000"/>
          <w:sz w:val="20"/>
          <w:szCs w:val="20"/>
          <w:lang w:val="en-US"/>
        </w:rPr>
        <w:t xml:space="preserve">this position it is not necessary to go into the details of the processing of </w:t>
      </w:r>
      <w:r w:rsidR="00B21B6E" w:rsidRPr="002433F3">
        <w:rPr>
          <w:rFonts w:ascii="Verdana" w:hAnsi="Verdana"/>
          <w:color w:val="000000"/>
          <w:sz w:val="20"/>
          <w:szCs w:val="20"/>
          <w:lang w:val="en-US"/>
        </w:rPr>
        <w:t>the case</w:t>
      </w:r>
      <w:r w:rsidR="007B0DE4" w:rsidRPr="002433F3">
        <w:rPr>
          <w:rFonts w:ascii="Verdana" w:hAnsi="Verdana"/>
          <w:color w:val="000000"/>
          <w:sz w:val="20"/>
          <w:szCs w:val="20"/>
          <w:lang w:val="en-US"/>
        </w:rPr>
        <w:t>, which</w:t>
      </w:r>
      <w:r w:rsidR="00B21B6E" w:rsidRPr="002433F3">
        <w:rPr>
          <w:rFonts w:ascii="Verdana" w:hAnsi="Verdana"/>
          <w:color w:val="000000"/>
          <w:sz w:val="20"/>
          <w:szCs w:val="20"/>
          <w:lang w:val="en-US"/>
        </w:rPr>
        <w:t> the</w:t>
      </w:r>
      <w:r w:rsidR="007B0DE4" w:rsidRPr="002433F3">
        <w:rPr>
          <w:rFonts w:ascii="Verdana" w:hAnsi="Verdana"/>
          <w:color w:val="000000"/>
          <w:sz w:val="20"/>
          <w:szCs w:val="20"/>
          <w:lang w:val="en-US"/>
        </w:rPr>
        <w:t xml:space="preserve"> judgment </w:t>
      </w:r>
      <w:r w:rsidR="00A3524F" w:rsidRPr="002433F3">
        <w:rPr>
          <w:rFonts w:ascii="Verdana" w:hAnsi="Verdana"/>
          <w:color w:val="000000"/>
          <w:sz w:val="20"/>
          <w:szCs w:val="20"/>
          <w:lang w:val="en-US"/>
        </w:rPr>
        <w:t xml:space="preserve">already </w:t>
      </w:r>
      <w:r w:rsidR="00B21B6E" w:rsidRPr="002433F3">
        <w:rPr>
          <w:rFonts w:ascii="Verdana" w:hAnsi="Verdana"/>
          <w:color w:val="000000"/>
          <w:sz w:val="20"/>
          <w:szCs w:val="20"/>
          <w:lang w:val="en-US"/>
        </w:rPr>
        <w:t xml:space="preserve">does </w:t>
      </w:r>
      <w:r w:rsidR="00A3524F" w:rsidRPr="002433F3">
        <w:rPr>
          <w:rFonts w:ascii="Verdana" w:hAnsi="Verdana"/>
          <w:color w:val="000000"/>
          <w:sz w:val="20"/>
          <w:szCs w:val="20"/>
          <w:lang w:val="en-US"/>
        </w:rPr>
        <w:t xml:space="preserve">extensively </w:t>
      </w:r>
      <w:r w:rsidR="000E7FC1" w:rsidRPr="002433F3">
        <w:rPr>
          <w:rFonts w:ascii="Verdana" w:hAnsi="Verdana"/>
          <w:color w:val="000000"/>
          <w:sz w:val="20"/>
          <w:szCs w:val="20"/>
          <w:lang w:val="en-US"/>
        </w:rPr>
        <w:t xml:space="preserve">and </w:t>
      </w:r>
      <w:r w:rsidR="00A3524F" w:rsidRPr="002433F3">
        <w:rPr>
          <w:rFonts w:ascii="Verdana" w:hAnsi="Verdana"/>
          <w:color w:val="000000"/>
          <w:sz w:val="20"/>
          <w:szCs w:val="20"/>
          <w:lang w:val="en-US"/>
        </w:rPr>
        <w:t xml:space="preserve">which </w:t>
      </w:r>
      <w:r w:rsidR="000E7FC1" w:rsidRPr="002433F3">
        <w:rPr>
          <w:rFonts w:ascii="Verdana" w:hAnsi="Verdana"/>
          <w:color w:val="000000"/>
          <w:sz w:val="20"/>
          <w:szCs w:val="20"/>
          <w:lang w:val="en-US"/>
        </w:rPr>
        <w:t>Judge Vi</w:t>
      </w:r>
      <w:r w:rsidR="007B0DE4" w:rsidRPr="002433F3">
        <w:rPr>
          <w:rFonts w:ascii="Verdana" w:hAnsi="Verdana"/>
          <w:color w:val="000000"/>
          <w:sz w:val="20"/>
          <w:szCs w:val="20"/>
          <w:lang w:val="en-US"/>
        </w:rPr>
        <w:t xml:space="preserve">o Grossi </w:t>
      </w:r>
      <w:r w:rsidR="00A214AB" w:rsidRPr="002433F3">
        <w:rPr>
          <w:rFonts w:ascii="Verdana" w:hAnsi="Verdana"/>
          <w:color w:val="000000"/>
          <w:sz w:val="20"/>
          <w:szCs w:val="20"/>
          <w:lang w:val="en-US"/>
        </w:rPr>
        <w:t xml:space="preserve">has </w:t>
      </w:r>
      <w:r w:rsidR="00A3524F" w:rsidRPr="002433F3">
        <w:rPr>
          <w:rFonts w:ascii="Verdana" w:hAnsi="Verdana"/>
          <w:color w:val="000000"/>
          <w:sz w:val="20"/>
          <w:szCs w:val="20"/>
          <w:lang w:val="en-US"/>
        </w:rPr>
        <w:t xml:space="preserve">discussed </w:t>
      </w:r>
      <w:r w:rsidR="007B0DE4" w:rsidRPr="002433F3">
        <w:rPr>
          <w:rFonts w:ascii="Verdana" w:hAnsi="Verdana"/>
          <w:color w:val="000000"/>
          <w:sz w:val="20"/>
          <w:szCs w:val="20"/>
          <w:lang w:val="en-US"/>
        </w:rPr>
        <w:t>in his partially dissenting opinion.</w:t>
      </w:r>
      <w:r w:rsidR="00A3524F" w:rsidRPr="002433F3">
        <w:rPr>
          <w:rFonts w:ascii="Verdana" w:hAnsi="Verdana"/>
          <w:color w:val="000000"/>
          <w:sz w:val="20"/>
          <w:szCs w:val="20"/>
          <w:lang w:val="en-US"/>
        </w:rPr>
        <w:t xml:space="preserve"> It is sufficient to apply the principle of s</w:t>
      </w:r>
      <w:r w:rsidR="007B0DE4" w:rsidRPr="002433F3">
        <w:rPr>
          <w:rFonts w:ascii="Verdana" w:hAnsi="Verdana"/>
          <w:color w:val="000000"/>
          <w:sz w:val="20"/>
          <w:szCs w:val="20"/>
          <w:lang w:val="en-US"/>
        </w:rPr>
        <w:t>ubsidiarity that</w:t>
      </w:r>
      <w:r w:rsidR="00A3524F" w:rsidRPr="002433F3">
        <w:rPr>
          <w:rFonts w:ascii="Verdana" w:hAnsi="Verdana"/>
          <w:color w:val="000000"/>
          <w:sz w:val="20"/>
          <w:szCs w:val="20"/>
          <w:lang w:val="en-US"/>
        </w:rPr>
        <w:t xml:space="preserve"> </w:t>
      </w:r>
      <w:r w:rsidR="00803516" w:rsidRPr="002433F3">
        <w:rPr>
          <w:rFonts w:ascii="Verdana" w:hAnsi="Verdana"/>
          <w:color w:val="000000"/>
          <w:sz w:val="20"/>
          <w:szCs w:val="20"/>
          <w:lang w:val="en-US"/>
        </w:rPr>
        <w:t xml:space="preserve">cuts across </w:t>
      </w:r>
      <w:r w:rsidR="007B0DE4" w:rsidRPr="002433F3">
        <w:rPr>
          <w:rFonts w:ascii="Verdana" w:hAnsi="Verdana"/>
          <w:color w:val="000000"/>
          <w:sz w:val="20"/>
          <w:szCs w:val="20"/>
          <w:lang w:val="en-US"/>
        </w:rPr>
        <w:t>the Amer</w:t>
      </w:r>
      <w:r w:rsidR="003164C2" w:rsidRPr="002433F3">
        <w:rPr>
          <w:rFonts w:ascii="Verdana" w:hAnsi="Verdana"/>
          <w:color w:val="000000"/>
          <w:sz w:val="20"/>
          <w:szCs w:val="20"/>
          <w:lang w:val="en-US"/>
        </w:rPr>
        <w:t>ican Convention on Human Rights</w:t>
      </w:r>
      <w:r w:rsidR="00113838" w:rsidRPr="002433F3">
        <w:rPr>
          <w:rFonts w:ascii="Verdana" w:hAnsi="Verdana"/>
          <w:color w:val="000000"/>
          <w:sz w:val="20"/>
          <w:szCs w:val="20"/>
          <w:lang w:val="en-US"/>
        </w:rPr>
        <w:t xml:space="preserve">, </w:t>
      </w:r>
      <w:r w:rsidR="00803516" w:rsidRPr="002433F3">
        <w:rPr>
          <w:rFonts w:ascii="Verdana" w:hAnsi="Verdana"/>
          <w:color w:val="000000"/>
          <w:sz w:val="20"/>
          <w:szCs w:val="20"/>
          <w:lang w:val="en-US"/>
        </w:rPr>
        <w:t xml:space="preserve">which the Preamble describes </w:t>
      </w:r>
      <w:r w:rsidR="006E11A3" w:rsidRPr="002433F3">
        <w:rPr>
          <w:rFonts w:ascii="Verdana" w:hAnsi="Verdana"/>
          <w:color w:val="000000"/>
          <w:sz w:val="20"/>
          <w:szCs w:val="20"/>
          <w:lang w:val="en-US"/>
        </w:rPr>
        <w:t xml:space="preserve">as </w:t>
      </w:r>
      <w:r w:rsidR="00113838" w:rsidRPr="002433F3">
        <w:rPr>
          <w:rFonts w:ascii="Verdana" w:hAnsi="Verdana"/>
          <w:color w:val="000000"/>
          <w:sz w:val="20"/>
          <w:szCs w:val="20"/>
          <w:lang w:val="en-US"/>
        </w:rPr>
        <w:t xml:space="preserve">being of a </w:t>
      </w:r>
      <w:r w:rsidR="007B0DE4" w:rsidRPr="002433F3">
        <w:rPr>
          <w:rFonts w:ascii="Verdana" w:hAnsi="Verdana"/>
          <w:color w:val="000000"/>
          <w:sz w:val="20"/>
          <w:szCs w:val="20"/>
          <w:lang w:val="en-US"/>
        </w:rPr>
        <w:t>reinforcing or complementary</w:t>
      </w:r>
      <w:r w:rsidR="006E11A3" w:rsidRPr="002433F3">
        <w:rPr>
          <w:rFonts w:ascii="Verdana" w:hAnsi="Verdana"/>
          <w:color w:val="000000"/>
          <w:sz w:val="20"/>
          <w:szCs w:val="20"/>
          <w:lang w:val="en-US"/>
        </w:rPr>
        <w:t xml:space="preserve"> </w:t>
      </w:r>
      <w:r w:rsidR="00113838" w:rsidRPr="002433F3">
        <w:rPr>
          <w:rFonts w:ascii="Verdana" w:hAnsi="Verdana"/>
          <w:color w:val="000000"/>
          <w:sz w:val="20"/>
          <w:szCs w:val="20"/>
          <w:lang w:val="en-US"/>
        </w:rPr>
        <w:t>nature</w:t>
      </w:r>
      <w:r w:rsidR="007B0DE4" w:rsidRPr="002433F3">
        <w:rPr>
          <w:rFonts w:ascii="Verdana" w:hAnsi="Verdana"/>
          <w:color w:val="000000"/>
          <w:sz w:val="20"/>
          <w:szCs w:val="20"/>
          <w:lang w:val="en-US"/>
        </w:rPr>
        <w:t>.</w:t>
      </w:r>
    </w:p>
    <w:p w14:paraId="6AD73DF9" w14:textId="77777777" w:rsidR="007B0DE4" w:rsidRPr="002433F3" w:rsidRDefault="007B0DE4" w:rsidP="007B0DE4">
      <w:pPr>
        <w:pStyle w:val="NormalWeb"/>
        <w:spacing w:before="0" w:beforeAutospacing="0" w:after="200" w:afterAutospacing="0"/>
        <w:jc w:val="both"/>
        <w:rPr>
          <w:rFonts w:ascii="Verdana" w:hAnsi="Verdana"/>
          <w:sz w:val="20"/>
          <w:szCs w:val="20"/>
          <w:lang w:val="en-US"/>
        </w:rPr>
      </w:pPr>
      <w:r w:rsidRPr="002433F3">
        <w:rPr>
          <w:rFonts w:ascii="Verdana" w:hAnsi="Verdana"/>
          <w:color w:val="000000"/>
          <w:sz w:val="20"/>
          <w:szCs w:val="20"/>
          <w:lang w:val="en-US"/>
        </w:rPr>
        <w:t xml:space="preserve">And how </w:t>
      </w:r>
      <w:r w:rsidR="00132D1A" w:rsidRPr="002433F3">
        <w:rPr>
          <w:rFonts w:ascii="Verdana" w:hAnsi="Verdana"/>
          <w:color w:val="000000"/>
          <w:sz w:val="20"/>
          <w:szCs w:val="20"/>
          <w:lang w:val="en-US"/>
        </w:rPr>
        <w:t xml:space="preserve">could we not apply </w:t>
      </w:r>
      <w:r w:rsidRPr="002433F3">
        <w:rPr>
          <w:rFonts w:ascii="Verdana" w:hAnsi="Verdana"/>
          <w:color w:val="000000"/>
          <w:sz w:val="20"/>
          <w:szCs w:val="20"/>
          <w:lang w:val="en-US"/>
        </w:rPr>
        <w:t>this principle and a</w:t>
      </w:r>
      <w:r w:rsidR="001F74DB" w:rsidRPr="002433F3">
        <w:rPr>
          <w:rFonts w:ascii="Verdana" w:hAnsi="Verdana"/>
          <w:color w:val="000000"/>
          <w:sz w:val="20"/>
          <w:szCs w:val="20"/>
          <w:lang w:val="en-US"/>
        </w:rPr>
        <w:t xml:space="preserve">dmit </w:t>
      </w:r>
      <w:r w:rsidR="00A214AB" w:rsidRPr="002433F3">
        <w:rPr>
          <w:rFonts w:ascii="Verdana" w:hAnsi="Verdana"/>
          <w:color w:val="000000"/>
          <w:sz w:val="20"/>
          <w:szCs w:val="20"/>
          <w:lang w:val="en-US"/>
        </w:rPr>
        <w:t xml:space="preserve">the </w:t>
      </w:r>
      <w:r w:rsidRPr="002433F3">
        <w:rPr>
          <w:rFonts w:ascii="Verdana" w:hAnsi="Verdana"/>
          <w:color w:val="000000"/>
          <w:sz w:val="20"/>
          <w:szCs w:val="20"/>
          <w:lang w:val="en-US"/>
        </w:rPr>
        <w:t>preliminary objection if the State, through the judgment of the Constitutional Court</w:t>
      </w:r>
      <w:r w:rsidR="003164C2" w:rsidRPr="002433F3">
        <w:rPr>
          <w:rFonts w:ascii="Verdana" w:hAnsi="Verdana"/>
          <w:color w:val="000000"/>
          <w:sz w:val="20"/>
          <w:szCs w:val="20"/>
          <w:lang w:val="en-US"/>
        </w:rPr>
        <w:t>,</w:t>
      </w:r>
      <w:r w:rsidRPr="002433F3">
        <w:rPr>
          <w:rFonts w:ascii="Verdana" w:hAnsi="Verdana"/>
          <w:color w:val="000000"/>
          <w:sz w:val="20"/>
          <w:szCs w:val="20"/>
          <w:lang w:val="en-US"/>
        </w:rPr>
        <w:t xml:space="preserve"> </w:t>
      </w:r>
      <w:r w:rsidR="003164C2" w:rsidRPr="002433F3">
        <w:rPr>
          <w:rFonts w:ascii="Verdana" w:hAnsi="Verdana"/>
          <w:color w:val="000000"/>
          <w:sz w:val="20"/>
          <w:szCs w:val="20"/>
          <w:lang w:val="en-US"/>
        </w:rPr>
        <w:t xml:space="preserve">modified the </w:t>
      </w:r>
      <w:r w:rsidRPr="002433F3">
        <w:rPr>
          <w:rFonts w:ascii="Verdana" w:hAnsi="Verdana"/>
          <w:color w:val="000000"/>
          <w:sz w:val="20"/>
          <w:szCs w:val="20"/>
          <w:lang w:val="en-US"/>
        </w:rPr>
        <w:t xml:space="preserve">domestic </w:t>
      </w:r>
      <w:r w:rsidR="003164C2" w:rsidRPr="002433F3">
        <w:rPr>
          <w:rFonts w:ascii="Verdana" w:hAnsi="Verdana"/>
          <w:color w:val="000000"/>
          <w:sz w:val="20"/>
          <w:szCs w:val="20"/>
          <w:lang w:val="en-US"/>
        </w:rPr>
        <w:t xml:space="preserve">jurisprudence </w:t>
      </w:r>
      <w:r w:rsidRPr="002433F3">
        <w:rPr>
          <w:rFonts w:ascii="Verdana" w:hAnsi="Verdana"/>
          <w:color w:val="000000"/>
          <w:sz w:val="20"/>
          <w:szCs w:val="20"/>
          <w:lang w:val="en-US"/>
        </w:rPr>
        <w:t xml:space="preserve">and opened the doors to reparations for the </w:t>
      </w:r>
      <w:r w:rsidR="003164C2" w:rsidRPr="002433F3">
        <w:rPr>
          <w:rFonts w:ascii="Verdana" w:hAnsi="Verdana"/>
          <w:color w:val="000000"/>
          <w:sz w:val="20"/>
          <w:szCs w:val="20"/>
          <w:lang w:val="en-US"/>
        </w:rPr>
        <w:t xml:space="preserve">events </w:t>
      </w:r>
      <w:r w:rsidR="00A214AB" w:rsidRPr="002433F3">
        <w:rPr>
          <w:rFonts w:ascii="Verdana" w:hAnsi="Verdana"/>
          <w:color w:val="000000"/>
          <w:sz w:val="20"/>
          <w:szCs w:val="20"/>
          <w:lang w:val="en-US"/>
        </w:rPr>
        <w:t xml:space="preserve">that </w:t>
      </w:r>
      <w:r w:rsidR="000A7A70" w:rsidRPr="002433F3">
        <w:rPr>
          <w:rFonts w:ascii="Verdana" w:hAnsi="Verdana"/>
          <w:color w:val="000000"/>
          <w:sz w:val="20"/>
          <w:szCs w:val="20"/>
          <w:lang w:val="en-US"/>
        </w:rPr>
        <w:t>occurred</w:t>
      </w:r>
      <w:r w:rsidRPr="002433F3">
        <w:rPr>
          <w:rFonts w:ascii="Verdana" w:hAnsi="Verdana"/>
          <w:color w:val="000000"/>
          <w:sz w:val="20"/>
          <w:szCs w:val="20"/>
          <w:lang w:val="en-US"/>
        </w:rPr>
        <w:t xml:space="preserve">, </w:t>
      </w:r>
      <w:r w:rsidR="00A214AB" w:rsidRPr="002433F3">
        <w:rPr>
          <w:rFonts w:ascii="Verdana" w:hAnsi="Verdana"/>
          <w:color w:val="000000"/>
          <w:sz w:val="20"/>
          <w:szCs w:val="20"/>
          <w:lang w:val="en-US"/>
        </w:rPr>
        <w:t xml:space="preserve">a </w:t>
      </w:r>
      <w:r w:rsidRPr="002433F3">
        <w:rPr>
          <w:rFonts w:ascii="Verdana" w:hAnsi="Verdana"/>
          <w:color w:val="000000"/>
          <w:sz w:val="20"/>
          <w:szCs w:val="20"/>
          <w:lang w:val="en-US"/>
        </w:rPr>
        <w:t xml:space="preserve">claim </w:t>
      </w:r>
      <w:r w:rsidR="003164C2" w:rsidRPr="002433F3">
        <w:rPr>
          <w:rFonts w:ascii="Verdana" w:hAnsi="Verdana"/>
          <w:color w:val="000000"/>
          <w:sz w:val="20"/>
          <w:szCs w:val="20"/>
          <w:lang w:val="en-US"/>
        </w:rPr>
        <w:t xml:space="preserve">that </w:t>
      </w:r>
      <w:r w:rsidR="00A214AB" w:rsidRPr="002433F3">
        <w:rPr>
          <w:rFonts w:ascii="Verdana" w:hAnsi="Verdana"/>
          <w:color w:val="000000"/>
          <w:sz w:val="20"/>
          <w:szCs w:val="20"/>
          <w:lang w:val="en-US"/>
        </w:rPr>
        <w:t xml:space="preserve">the victim could have effectively </w:t>
      </w:r>
      <w:r w:rsidR="003164C2" w:rsidRPr="002433F3">
        <w:rPr>
          <w:rFonts w:ascii="Verdana" w:hAnsi="Verdana"/>
          <w:color w:val="000000"/>
          <w:sz w:val="20"/>
          <w:szCs w:val="20"/>
          <w:lang w:val="en-US"/>
        </w:rPr>
        <w:t xml:space="preserve">pursued </w:t>
      </w:r>
      <w:r w:rsidR="00A214AB" w:rsidRPr="002433F3">
        <w:rPr>
          <w:rFonts w:ascii="Verdana" w:hAnsi="Verdana"/>
          <w:color w:val="000000"/>
          <w:sz w:val="20"/>
          <w:szCs w:val="20"/>
          <w:lang w:val="en-US"/>
        </w:rPr>
        <w:t>since that time</w:t>
      </w:r>
      <w:r w:rsidRPr="002433F3">
        <w:rPr>
          <w:rFonts w:ascii="Verdana" w:hAnsi="Verdana"/>
          <w:color w:val="000000"/>
          <w:sz w:val="20"/>
          <w:szCs w:val="20"/>
          <w:lang w:val="en-US"/>
        </w:rPr>
        <w:t>?</w:t>
      </w:r>
    </w:p>
    <w:p w14:paraId="5E717B28" w14:textId="77777777" w:rsidR="007B0DE4" w:rsidRPr="002433F3" w:rsidRDefault="007B0DE4" w:rsidP="007B0DE4">
      <w:pPr>
        <w:pStyle w:val="NormalWeb"/>
        <w:spacing w:before="0" w:beforeAutospacing="0" w:after="200" w:afterAutospacing="0"/>
        <w:jc w:val="both"/>
        <w:rPr>
          <w:rFonts w:ascii="Verdana" w:hAnsi="Verdana"/>
          <w:sz w:val="20"/>
          <w:szCs w:val="20"/>
          <w:lang w:val="en-US"/>
        </w:rPr>
      </w:pPr>
      <w:r w:rsidRPr="002433F3">
        <w:rPr>
          <w:rFonts w:ascii="Verdana" w:hAnsi="Verdana"/>
          <w:color w:val="000000"/>
          <w:sz w:val="20"/>
          <w:szCs w:val="20"/>
          <w:lang w:val="en-US"/>
        </w:rPr>
        <w:lastRenderedPageBreak/>
        <w:t xml:space="preserve">What </w:t>
      </w:r>
      <w:r w:rsidR="00803516" w:rsidRPr="002433F3">
        <w:rPr>
          <w:rFonts w:ascii="Verdana" w:hAnsi="Verdana"/>
          <w:color w:val="000000"/>
          <w:sz w:val="20"/>
          <w:szCs w:val="20"/>
          <w:lang w:val="en-US"/>
        </w:rPr>
        <w:t xml:space="preserve">more </w:t>
      </w:r>
      <w:r w:rsidRPr="002433F3">
        <w:rPr>
          <w:rFonts w:ascii="Verdana" w:hAnsi="Verdana"/>
          <w:color w:val="000000"/>
          <w:sz w:val="20"/>
          <w:szCs w:val="20"/>
          <w:lang w:val="en-US"/>
        </w:rPr>
        <w:t xml:space="preserve">could the State have done to remedy the violation and open the doors to compensation </w:t>
      </w:r>
      <w:r w:rsidR="002E1BEA" w:rsidRPr="002433F3">
        <w:rPr>
          <w:rFonts w:ascii="Verdana" w:hAnsi="Verdana"/>
          <w:color w:val="000000"/>
          <w:sz w:val="20"/>
          <w:szCs w:val="20"/>
          <w:lang w:val="en-US"/>
        </w:rPr>
        <w:t xml:space="preserve">for the victim </w:t>
      </w:r>
      <w:r w:rsidRPr="002433F3">
        <w:rPr>
          <w:rFonts w:ascii="Verdana" w:hAnsi="Verdana"/>
          <w:color w:val="000000"/>
          <w:sz w:val="20"/>
          <w:szCs w:val="20"/>
          <w:lang w:val="en-US"/>
        </w:rPr>
        <w:t>and to other aspects of comprehensive reparation, especially the continu</w:t>
      </w:r>
      <w:r w:rsidR="003164C2" w:rsidRPr="002433F3">
        <w:rPr>
          <w:rFonts w:ascii="Verdana" w:hAnsi="Verdana"/>
          <w:color w:val="000000"/>
          <w:sz w:val="20"/>
          <w:szCs w:val="20"/>
          <w:lang w:val="en-US"/>
        </w:rPr>
        <w:t xml:space="preserve">ity </w:t>
      </w:r>
      <w:r w:rsidR="008E5151" w:rsidRPr="002433F3">
        <w:rPr>
          <w:rFonts w:ascii="Verdana" w:hAnsi="Verdana"/>
          <w:color w:val="000000"/>
          <w:sz w:val="20"/>
          <w:szCs w:val="20"/>
          <w:lang w:val="en-US"/>
        </w:rPr>
        <w:t xml:space="preserve">of </w:t>
      </w:r>
      <w:r w:rsidRPr="002433F3">
        <w:rPr>
          <w:rFonts w:ascii="Verdana" w:hAnsi="Verdana"/>
          <w:color w:val="000000"/>
          <w:sz w:val="20"/>
          <w:szCs w:val="20"/>
          <w:lang w:val="en-US"/>
        </w:rPr>
        <w:t>medical care?</w:t>
      </w:r>
    </w:p>
    <w:p w14:paraId="428E978E" w14:textId="77777777" w:rsidR="007B0DE4" w:rsidRPr="002433F3" w:rsidRDefault="007B0DE4" w:rsidP="007B0DE4">
      <w:pPr>
        <w:pStyle w:val="NormalWeb"/>
        <w:spacing w:before="0" w:beforeAutospacing="0" w:after="200" w:afterAutospacing="0"/>
        <w:jc w:val="both"/>
        <w:rPr>
          <w:rFonts w:ascii="Verdana" w:hAnsi="Verdana"/>
          <w:sz w:val="20"/>
          <w:szCs w:val="20"/>
          <w:lang w:val="en-US"/>
        </w:rPr>
      </w:pPr>
      <w:r w:rsidRPr="002433F3">
        <w:rPr>
          <w:rFonts w:ascii="Verdana" w:hAnsi="Verdana"/>
          <w:color w:val="000000"/>
          <w:sz w:val="20"/>
          <w:szCs w:val="20"/>
          <w:lang w:val="en-US"/>
        </w:rPr>
        <w:t>If the victim did n</w:t>
      </w:r>
      <w:r w:rsidR="000A7A70" w:rsidRPr="002433F3">
        <w:rPr>
          <w:rFonts w:ascii="Verdana" w:hAnsi="Verdana"/>
          <w:color w:val="000000"/>
          <w:sz w:val="20"/>
          <w:szCs w:val="20"/>
          <w:lang w:val="en-US"/>
        </w:rPr>
        <w:t xml:space="preserve">ot wish to </w:t>
      </w:r>
      <w:r w:rsidR="00A678FB" w:rsidRPr="002433F3">
        <w:rPr>
          <w:rFonts w:ascii="Verdana" w:hAnsi="Verdana"/>
          <w:color w:val="000000"/>
          <w:sz w:val="20"/>
          <w:szCs w:val="20"/>
          <w:lang w:val="en-US"/>
        </w:rPr>
        <w:t xml:space="preserve">make a </w:t>
      </w:r>
      <w:r w:rsidR="000A7A70" w:rsidRPr="002433F3">
        <w:rPr>
          <w:rFonts w:ascii="Verdana" w:hAnsi="Verdana"/>
          <w:color w:val="000000"/>
          <w:sz w:val="20"/>
          <w:szCs w:val="20"/>
          <w:lang w:val="en-US"/>
        </w:rPr>
        <w:t xml:space="preserve">claim </w:t>
      </w:r>
      <w:r w:rsidRPr="002433F3">
        <w:rPr>
          <w:rFonts w:ascii="Verdana" w:hAnsi="Verdana"/>
          <w:color w:val="000000"/>
          <w:sz w:val="20"/>
          <w:szCs w:val="20"/>
          <w:lang w:val="en-US"/>
        </w:rPr>
        <w:t xml:space="preserve">but </w:t>
      </w:r>
      <w:r w:rsidR="00A678FB" w:rsidRPr="002433F3">
        <w:rPr>
          <w:rFonts w:ascii="Verdana" w:hAnsi="Verdana"/>
          <w:color w:val="000000"/>
          <w:sz w:val="20"/>
          <w:szCs w:val="20"/>
          <w:lang w:val="en-US"/>
        </w:rPr>
        <w:t xml:space="preserve">instead </w:t>
      </w:r>
      <w:r w:rsidR="00803516" w:rsidRPr="002433F3">
        <w:rPr>
          <w:rFonts w:ascii="Verdana" w:hAnsi="Verdana"/>
          <w:color w:val="000000"/>
          <w:sz w:val="20"/>
          <w:szCs w:val="20"/>
          <w:lang w:val="en-US"/>
        </w:rPr>
        <w:t xml:space="preserve">wished to </w:t>
      </w:r>
      <w:r w:rsidRPr="002433F3">
        <w:rPr>
          <w:rFonts w:ascii="Verdana" w:hAnsi="Verdana"/>
          <w:color w:val="000000"/>
          <w:sz w:val="20"/>
          <w:szCs w:val="20"/>
          <w:lang w:val="en-US"/>
        </w:rPr>
        <w:t xml:space="preserve">continue with the </w:t>
      </w:r>
      <w:r w:rsidR="001F74DB" w:rsidRPr="002433F3">
        <w:rPr>
          <w:rFonts w:ascii="Verdana" w:hAnsi="Verdana"/>
          <w:color w:val="000000"/>
          <w:sz w:val="20"/>
          <w:szCs w:val="20"/>
          <w:lang w:val="en-US"/>
        </w:rPr>
        <w:t>trial</w:t>
      </w:r>
      <w:r w:rsidRPr="002433F3">
        <w:rPr>
          <w:rFonts w:ascii="Verdana" w:hAnsi="Verdana"/>
          <w:color w:val="000000"/>
          <w:sz w:val="20"/>
          <w:szCs w:val="20"/>
          <w:lang w:val="en-US"/>
        </w:rPr>
        <w:t xml:space="preserve">, </w:t>
      </w:r>
      <w:r w:rsidR="00A678FB" w:rsidRPr="002433F3">
        <w:rPr>
          <w:rFonts w:ascii="Verdana" w:hAnsi="Verdana"/>
          <w:color w:val="000000"/>
          <w:sz w:val="20"/>
          <w:szCs w:val="20"/>
          <w:lang w:val="en-US"/>
        </w:rPr>
        <w:t xml:space="preserve">that </w:t>
      </w:r>
      <w:r w:rsidRPr="002433F3">
        <w:rPr>
          <w:rFonts w:ascii="Verdana" w:hAnsi="Verdana"/>
          <w:color w:val="000000"/>
          <w:sz w:val="20"/>
          <w:szCs w:val="20"/>
          <w:lang w:val="en-US"/>
        </w:rPr>
        <w:t xml:space="preserve">was </w:t>
      </w:r>
      <w:r w:rsidR="00A678FB" w:rsidRPr="002433F3">
        <w:rPr>
          <w:rFonts w:ascii="Verdana" w:hAnsi="Verdana"/>
          <w:color w:val="000000"/>
          <w:sz w:val="20"/>
          <w:szCs w:val="20"/>
          <w:lang w:val="en-US"/>
        </w:rPr>
        <w:t xml:space="preserve">his </w:t>
      </w:r>
      <w:r w:rsidR="001F74DB" w:rsidRPr="002433F3">
        <w:rPr>
          <w:rFonts w:ascii="Verdana" w:hAnsi="Verdana"/>
          <w:color w:val="000000"/>
          <w:sz w:val="20"/>
          <w:szCs w:val="20"/>
          <w:lang w:val="en-US"/>
        </w:rPr>
        <w:t>responsibility</w:t>
      </w:r>
      <w:r w:rsidR="00A678FB" w:rsidRPr="002433F3">
        <w:rPr>
          <w:rFonts w:ascii="Verdana" w:hAnsi="Verdana"/>
          <w:color w:val="000000"/>
          <w:sz w:val="20"/>
          <w:szCs w:val="20"/>
          <w:lang w:val="en-US"/>
        </w:rPr>
        <w:t>;</w:t>
      </w:r>
      <w:r w:rsidR="001F74DB" w:rsidRPr="002433F3">
        <w:rPr>
          <w:rFonts w:ascii="Verdana" w:hAnsi="Verdana"/>
          <w:color w:val="000000"/>
          <w:sz w:val="20"/>
          <w:szCs w:val="20"/>
          <w:lang w:val="en-US"/>
        </w:rPr>
        <w:t xml:space="preserve"> but </w:t>
      </w:r>
      <w:r w:rsidR="00A678FB" w:rsidRPr="002433F3">
        <w:rPr>
          <w:rFonts w:ascii="Verdana" w:hAnsi="Verdana"/>
          <w:color w:val="000000"/>
          <w:sz w:val="20"/>
          <w:szCs w:val="20"/>
          <w:lang w:val="en-US"/>
        </w:rPr>
        <w:t xml:space="preserve">the obligation of </w:t>
      </w:r>
      <w:r w:rsidRPr="002433F3">
        <w:rPr>
          <w:rFonts w:ascii="Verdana" w:hAnsi="Verdana"/>
          <w:color w:val="000000"/>
          <w:sz w:val="20"/>
          <w:szCs w:val="20"/>
          <w:lang w:val="en-US"/>
        </w:rPr>
        <w:t xml:space="preserve">the Court and the Commission </w:t>
      </w:r>
      <w:r w:rsidR="000A7A70" w:rsidRPr="002433F3">
        <w:rPr>
          <w:rFonts w:ascii="Verdana" w:hAnsi="Verdana"/>
          <w:color w:val="000000"/>
          <w:sz w:val="20"/>
          <w:szCs w:val="20"/>
          <w:lang w:val="en-US"/>
        </w:rPr>
        <w:t xml:space="preserve">was not to admit </w:t>
      </w:r>
      <w:r w:rsidR="00A678FB" w:rsidRPr="002433F3">
        <w:rPr>
          <w:rFonts w:ascii="Verdana" w:hAnsi="Verdana"/>
          <w:color w:val="000000"/>
          <w:sz w:val="20"/>
          <w:szCs w:val="20"/>
          <w:lang w:val="en-US"/>
        </w:rPr>
        <w:t xml:space="preserve">the case, since the </w:t>
      </w:r>
      <w:r w:rsidRPr="002433F3">
        <w:rPr>
          <w:rFonts w:ascii="Verdana" w:hAnsi="Verdana"/>
          <w:color w:val="000000"/>
          <w:sz w:val="20"/>
          <w:szCs w:val="20"/>
          <w:lang w:val="en-US"/>
        </w:rPr>
        <w:t xml:space="preserve">inter-American </w:t>
      </w:r>
      <w:r w:rsidR="001F74DB" w:rsidRPr="002433F3">
        <w:rPr>
          <w:rFonts w:ascii="Verdana" w:hAnsi="Verdana"/>
          <w:color w:val="000000"/>
          <w:sz w:val="20"/>
          <w:szCs w:val="20"/>
          <w:lang w:val="en-US"/>
        </w:rPr>
        <w:t xml:space="preserve">jurisdiction for the </w:t>
      </w:r>
      <w:r w:rsidRPr="002433F3">
        <w:rPr>
          <w:rFonts w:ascii="Verdana" w:hAnsi="Verdana"/>
          <w:color w:val="000000"/>
          <w:sz w:val="20"/>
          <w:szCs w:val="20"/>
          <w:lang w:val="en-US"/>
        </w:rPr>
        <w:t>protection</w:t>
      </w:r>
      <w:r w:rsidR="001F74DB" w:rsidRPr="002433F3">
        <w:rPr>
          <w:rFonts w:ascii="Verdana" w:hAnsi="Verdana"/>
          <w:color w:val="000000"/>
          <w:sz w:val="20"/>
          <w:szCs w:val="20"/>
          <w:lang w:val="en-US"/>
        </w:rPr>
        <w:t xml:space="preserve"> of human rights has limit</w:t>
      </w:r>
      <w:r w:rsidRPr="002433F3">
        <w:rPr>
          <w:rFonts w:ascii="Verdana" w:hAnsi="Verdana"/>
          <w:color w:val="000000"/>
          <w:sz w:val="20"/>
          <w:szCs w:val="20"/>
          <w:lang w:val="en-US"/>
        </w:rPr>
        <w:t xml:space="preserve">s </w:t>
      </w:r>
      <w:r w:rsidR="00431D40" w:rsidRPr="002433F3">
        <w:rPr>
          <w:rFonts w:ascii="Verdana" w:hAnsi="Verdana"/>
          <w:color w:val="000000"/>
          <w:sz w:val="20"/>
          <w:szCs w:val="20"/>
          <w:lang w:val="en-US"/>
        </w:rPr>
        <w:t xml:space="preserve">which </w:t>
      </w:r>
      <w:r w:rsidR="00A678FB" w:rsidRPr="002433F3">
        <w:rPr>
          <w:rFonts w:ascii="Verdana" w:hAnsi="Verdana"/>
          <w:color w:val="000000"/>
          <w:sz w:val="20"/>
          <w:szCs w:val="20"/>
          <w:lang w:val="en-US"/>
        </w:rPr>
        <w:t xml:space="preserve">are </w:t>
      </w:r>
      <w:r w:rsidRPr="002433F3">
        <w:rPr>
          <w:rFonts w:ascii="Verdana" w:hAnsi="Verdana"/>
          <w:color w:val="000000"/>
          <w:sz w:val="20"/>
          <w:szCs w:val="20"/>
          <w:lang w:val="en-US"/>
        </w:rPr>
        <w:t xml:space="preserve">established by the States Parties </w:t>
      </w:r>
      <w:r w:rsidR="001F74DB" w:rsidRPr="002433F3">
        <w:rPr>
          <w:rFonts w:ascii="Verdana" w:hAnsi="Verdana"/>
          <w:color w:val="000000"/>
          <w:sz w:val="20"/>
          <w:szCs w:val="20"/>
          <w:lang w:val="en-US"/>
        </w:rPr>
        <w:t xml:space="preserve">to </w:t>
      </w:r>
      <w:r w:rsidRPr="002433F3">
        <w:rPr>
          <w:rFonts w:ascii="Verdana" w:hAnsi="Verdana"/>
          <w:color w:val="000000"/>
          <w:sz w:val="20"/>
          <w:szCs w:val="20"/>
          <w:lang w:val="en-US"/>
        </w:rPr>
        <w:t xml:space="preserve">the American Convention on Human Rights. In </w:t>
      </w:r>
      <w:r w:rsidR="00A678FB" w:rsidRPr="002433F3">
        <w:rPr>
          <w:rFonts w:ascii="Verdana" w:hAnsi="Verdana"/>
          <w:color w:val="000000"/>
          <w:sz w:val="20"/>
          <w:szCs w:val="20"/>
          <w:lang w:val="en-US"/>
        </w:rPr>
        <w:t xml:space="preserve">the </w:t>
      </w:r>
      <w:r w:rsidRPr="002433F3">
        <w:rPr>
          <w:rFonts w:ascii="Verdana" w:hAnsi="Verdana"/>
          <w:color w:val="000000"/>
          <w:sz w:val="20"/>
          <w:szCs w:val="20"/>
          <w:lang w:val="en-US"/>
        </w:rPr>
        <w:t>first place</w:t>
      </w:r>
      <w:r w:rsidR="001F74DB" w:rsidRPr="002433F3">
        <w:rPr>
          <w:rFonts w:ascii="Verdana" w:hAnsi="Verdana"/>
          <w:color w:val="000000"/>
          <w:sz w:val="20"/>
          <w:szCs w:val="20"/>
          <w:lang w:val="en-US"/>
        </w:rPr>
        <w:t>,</w:t>
      </w:r>
      <w:r w:rsidRPr="002433F3">
        <w:rPr>
          <w:rFonts w:ascii="Verdana" w:hAnsi="Verdana"/>
          <w:color w:val="000000"/>
          <w:sz w:val="20"/>
          <w:szCs w:val="20"/>
          <w:lang w:val="en-US"/>
        </w:rPr>
        <w:t xml:space="preserve"> </w:t>
      </w:r>
      <w:r w:rsidR="00A678FB" w:rsidRPr="002433F3">
        <w:rPr>
          <w:rFonts w:ascii="Verdana" w:hAnsi="Verdana"/>
          <w:color w:val="000000"/>
          <w:sz w:val="20"/>
          <w:szCs w:val="20"/>
          <w:lang w:val="en-US"/>
        </w:rPr>
        <w:t>its own subsidiary nature</w:t>
      </w:r>
      <w:r w:rsidRPr="002433F3">
        <w:rPr>
          <w:rFonts w:ascii="Verdana" w:hAnsi="Verdana"/>
          <w:color w:val="000000"/>
          <w:sz w:val="20"/>
          <w:szCs w:val="20"/>
          <w:lang w:val="en-US"/>
        </w:rPr>
        <w:t xml:space="preserve">. In other words, </w:t>
      </w:r>
      <w:r w:rsidR="00821E79" w:rsidRPr="002433F3">
        <w:rPr>
          <w:rFonts w:ascii="Verdana" w:hAnsi="Verdana"/>
          <w:color w:val="000000"/>
          <w:sz w:val="20"/>
          <w:szCs w:val="20"/>
          <w:lang w:val="en-US"/>
        </w:rPr>
        <w:t>th</w:t>
      </w:r>
      <w:r w:rsidR="00431D40" w:rsidRPr="002433F3">
        <w:rPr>
          <w:rFonts w:ascii="Verdana" w:hAnsi="Verdana"/>
          <w:color w:val="000000"/>
          <w:sz w:val="20"/>
          <w:szCs w:val="20"/>
          <w:lang w:val="en-US"/>
        </w:rPr>
        <w:t xml:space="preserve">is </w:t>
      </w:r>
      <w:r w:rsidR="00A214AB" w:rsidRPr="002433F3">
        <w:rPr>
          <w:rFonts w:ascii="Verdana" w:hAnsi="Verdana"/>
          <w:color w:val="000000"/>
          <w:sz w:val="20"/>
          <w:szCs w:val="20"/>
          <w:lang w:val="en-US"/>
        </w:rPr>
        <w:t>jurisdiction </w:t>
      </w:r>
      <w:r w:rsidRPr="002433F3">
        <w:rPr>
          <w:rFonts w:ascii="Verdana" w:hAnsi="Verdana"/>
          <w:color w:val="000000"/>
          <w:sz w:val="20"/>
          <w:szCs w:val="20"/>
          <w:lang w:val="en-US"/>
        </w:rPr>
        <w:t xml:space="preserve">was </w:t>
      </w:r>
      <w:r w:rsidR="001F74DB" w:rsidRPr="002433F3">
        <w:rPr>
          <w:rFonts w:ascii="Verdana" w:hAnsi="Verdana"/>
          <w:color w:val="000000"/>
          <w:sz w:val="20"/>
          <w:szCs w:val="20"/>
          <w:lang w:val="en-US"/>
        </w:rPr>
        <w:t xml:space="preserve">not </w:t>
      </w:r>
      <w:r w:rsidRPr="002433F3">
        <w:rPr>
          <w:rFonts w:ascii="Verdana" w:hAnsi="Verdana"/>
          <w:color w:val="000000"/>
          <w:sz w:val="20"/>
          <w:szCs w:val="20"/>
          <w:lang w:val="en-US"/>
        </w:rPr>
        <w:t xml:space="preserve">established so that all cases </w:t>
      </w:r>
      <w:r w:rsidR="00821E79" w:rsidRPr="002433F3">
        <w:rPr>
          <w:rFonts w:ascii="Verdana" w:hAnsi="Verdana"/>
          <w:color w:val="000000"/>
          <w:sz w:val="20"/>
          <w:szCs w:val="20"/>
          <w:lang w:val="en-US"/>
        </w:rPr>
        <w:t xml:space="preserve">should be </w:t>
      </w:r>
      <w:r w:rsidRPr="002433F3">
        <w:rPr>
          <w:rFonts w:ascii="Verdana" w:hAnsi="Verdana"/>
          <w:color w:val="000000"/>
          <w:sz w:val="20"/>
          <w:szCs w:val="20"/>
          <w:lang w:val="en-US"/>
        </w:rPr>
        <w:t xml:space="preserve">submitted to it, </w:t>
      </w:r>
      <w:r w:rsidR="00105839" w:rsidRPr="002433F3">
        <w:rPr>
          <w:rFonts w:ascii="Verdana" w:hAnsi="Verdana"/>
          <w:color w:val="000000"/>
          <w:sz w:val="20"/>
          <w:szCs w:val="20"/>
          <w:lang w:val="en-US"/>
        </w:rPr>
        <w:t xml:space="preserve">or </w:t>
      </w:r>
      <w:r w:rsidR="00821E79" w:rsidRPr="002433F3">
        <w:rPr>
          <w:rFonts w:ascii="Verdana" w:hAnsi="Verdana"/>
          <w:color w:val="000000"/>
          <w:sz w:val="20"/>
          <w:szCs w:val="20"/>
          <w:lang w:val="en-US"/>
        </w:rPr>
        <w:t xml:space="preserve">so </w:t>
      </w:r>
      <w:r w:rsidR="009D35F7" w:rsidRPr="002433F3">
        <w:rPr>
          <w:rFonts w:ascii="Verdana" w:hAnsi="Verdana"/>
          <w:color w:val="000000"/>
          <w:sz w:val="20"/>
          <w:szCs w:val="20"/>
          <w:lang w:val="en-US"/>
        </w:rPr>
        <w:t>that the supposed</w:t>
      </w:r>
      <w:r w:rsidRPr="002433F3">
        <w:rPr>
          <w:rFonts w:ascii="Verdana" w:hAnsi="Verdana"/>
          <w:color w:val="000000"/>
          <w:sz w:val="20"/>
          <w:szCs w:val="20"/>
          <w:lang w:val="en-US"/>
        </w:rPr>
        <w:t xml:space="preserve"> victims </w:t>
      </w:r>
      <w:r w:rsidR="002E1BEA" w:rsidRPr="002433F3">
        <w:rPr>
          <w:rFonts w:ascii="Verdana" w:hAnsi="Verdana"/>
          <w:color w:val="000000"/>
          <w:sz w:val="20"/>
          <w:szCs w:val="20"/>
          <w:lang w:val="en-US"/>
        </w:rPr>
        <w:t>c</w:t>
      </w:r>
      <w:r w:rsidR="00821E79" w:rsidRPr="002433F3">
        <w:rPr>
          <w:rFonts w:ascii="Verdana" w:hAnsi="Verdana"/>
          <w:color w:val="000000"/>
          <w:sz w:val="20"/>
          <w:szCs w:val="20"/>
          <w:lang w:val="en-US"/>
        </w:rPr>
        <w:t>ould</w:t>
      </w:r>
      <w:r w:rsidR="00A214AB" w:rsidRPr="002433F3">
        <w:rPr>
          <w:rFonts w:ascii="Verdana" w:hAnsi="Verdana"/>
          <w:color w:val="000000"/>
          <w:sz w:val="20"/>
          <w:szCs w:val="20"/>
          <w:lang w:val="en-US"/>
        </w:rPr>
        <w:t xml:space="preserve"> win </w:t>
      </w:r>
      <w:r w:rsidRPr="002433F3">
        <w:rPr>
          <w:rFonts w:ascii="Verdana" w:hAnsi="Verdana"/>
          <w:color w:val="000000"/>
          <w:sz w:val="20"/>
          <w:szCs w:val="20"/>
          <w:lang w:val="en-US"/>
        </w:rPr>
        <w:t>all the cases in any circumstance</w:t>
      </w:r>
      <w:r w:rsidR="00821E79" w:rsidRPr="002433F3">
        <w:rPr>
          <w:rFonts w:ascii="Verdana" w:hAnsi="Verdana"/>
          <w:color w:val="000000"/>
          <w:sz w:val="20"/>
          <w:szCs w:val="20"/>
          <w:lang w:val="en-US"/>
        </w:rPr>
        <w:t>s. Examin</w:t>
      </w:r>
      <w:r w:rsidR="002E1BEA" w:rsidRPr="002433F3">
        <w:rPr>
          <w:rFonts w:ascii="Verdana" w:hAnsi="Verdana"/>
          <w:color w:val="000000"/>
          <w:sz w:val="20"/>
          <w:szCs w:val="20"/>
          <w:lang w:val="en-US"/>
        </w:rPr>
        <w:t xml:space="preserve">ing </w:t>
      </w:r>
      <w:r w:rsidRPr="002433F3">
        <w:rPr>
          <w:rFonts w:ascii="Verdana" w:hAnsi="Verdana"/>
          <w:color w:val="000000"/>
          <w:sz w:val="20"/>
          <w:szCs w:val="20"/>
          <w:lang w:val="en-US"/>
        </w:rPr>
        <w:t xml:space="preserve">the </w:t>
      </w:r>
      <w:r w:rsidR="002E1BEA" w:rsidRPr="002433F3">
        <w:rPr>
          <w:rFonts w:ascii="Verdana" w:hAnsi="Verdana"/>
          <w:color w:val="000000"/>
          <w:sz w:val="20"/>
          <w:szCs w:val="20"/>
          <w:lang w:val="en-US"/>
        </w:rPr>
        <w:t xml:space="preserve">casuistry of the </w:t>
      </w:r>
      <w:r w:rsidRPr="002433F3">
        <w:rPr>
          <w:rFonts w:ascii="Verdana" w:hAnsi="Verdana"/>
          <w:color w:val="000000"/>
          <w:sz w:val="20"/>
          <w:szCs w:val="20"/>
          <w:lang w:val="en-US"/>
        </w:rPr>
        <w:t xml:space="preserve">case is </w:t>
      </w:r>
      <w:r w:rsidR="00821E79" w:rsidRPr="002433F3">
        <w:rPr>
          <w:rFonts w:ascii="Verdana" w:hAnsi="Verdana"/>
          <w:color w:val="000000"/>
          <w:sz w:val="20"/>
          <w:szCs w:val="20"/>
          <w:lang w:val="en-US"/>
        </w:rPr>
        <w:t xml:space="preserve">essential </w:t>
      </w:r>
      <w:r w:rsidRPr="002433F3">
        <w:rPr>
          <w:rFonts w:ascii="Verdana" w:hAnsi="Verdana"/>
          <w:color w:val="000000"/>
          <w:sz w:val="20"/>
          <w:szCs w:val="20"/>
          <w:lang w:val="en-US"/>
        </w:rPr>
        <w:t xml:space="preserve">in order </w:t>
      </w:r>
      <w:r w:rsidR="002E1BEA" w:rsidRPr="002433F3">
        <w:rPr>
          <w:rFonts w:ascii="Verdana" w:hAnsi="Verdana"/>
          <w:color w:val="000000"/>
          <w:sz w:val="20"/>
          <w:szCs w:val="20"/>
          <w:lang w:val="en-US"/>
        </w:rPr>
        <w:t xml:space="preserve">for the Court </w:t>
      </w:r>
      <w:r w:rsidRPr="002433F3">
        <w:rPr>
          <w:rFonts w:ascii="Verdana" w:hAnsi="Verdana"/>
          <w:color w:val="000000"/>
          <w:sz w:val="20"/>
          <w:szCs w:val="20"/>
          <w:lang w:val="en-US"/>
        </w:rPr>
        <w:t>to admit or reject the case.</w:t>
      </w:r>
    </w:p>
    <w:p w14:paraId="7358FD3F" w14:textId="77777777" w:rsidR="007B0DE4" w:rsidRPr="002433F3" w:rsidRDefault="007B0DE4" w:rsidP="007B0DE4">
      <w:pPr>
        <w:pStyle w:val="NormalWeb"/>
        <w:spacing w:before="0" w:beforeAutospacing="0" w:after="200" w:afterAutospacing="0"/>
        <w:jc w:val="both"/>
        <w:rPr>
          <w:rFonts w:ascii="Verdana" w:hAnsi="Verdana"/>
          <w:sz w:val="20"/>
          <w:szCs w:val="20"/>
          <w:lang w:val="en-US"/>
        </w:rPr>
      </w:pPr>
      <w:r w:rsidRPr="002433F3">
        <w:rPr>
          <w:rFonts w:ascii="Verdana" w:hAnsi="Verdana"/>
          <w:color w:val="000000"/>
          <w:sz w:val="20"/>
          <w:szCs w:val="20"/>
          <w:lang w:val="en-US"/>
        </w:rPr>
        <w:t xml:space="preserve">These brief reflections, </w:t>
      </w:r>
      <w:r w:rsidR="002E1BEA" w:rsidRPr="002433F3">
        <w:rPr>
          <w:rFonts w:ascii="Verdana" w:hAnsi="Verdana"/>
          <w:color w:val="000000"/>
          <w:sz w:val="20"/>
          <w:szCs w:val="20"/>
          <w:lang w:val="en-US"/>
        </w:rPr>
        <w:t>though of</w:t>
      </w:r>
      <w:r w:rsidR="00C35375" w:rsidRPr="002433F3">
        <w:rPr>
          <w:rFonts w:ascii="Verdana" w:hAnsi="Verdana"/>
          <w:color w:val="000000"/>
          <w:sz w:val="20"/>
          <w:szCs w:val="20"/>
          <w:lang w:val="en-US"/>
        </w:rPr>
        <w:t xml:space="preserve"> a </w:t>
      </w:r>
      <w:r w:rsidRPr="002433F3">
        <w:rPr>
          <w:rFonts w:ascii="Verdana" w:hAnsi="Verdana"/>
          <w:color w:val="000000"/>
          <w:sz w:val="20"/>
          <w:szCs w:val="20"/>
          <w:lang w:val="en-US"/>
        </w:rPr>
        <w:t>fundamental</w:t>
      </w:r>
      <w:r w:rsidR="00A678FB" w:rsidRPr="002433F3">
        <w:rPr>
          <w:rFonts w:ascii="Verdana" w:hAnsi="Verdana"/>
          <w:color w:val="000000"/>
          <w:sz w:val="20"/>
          <w:szCs w:val="20"/>
          <w:lang w:val="en-US"/>
        </w:rPr>
        <w:t xml:space="preserve"> nature</w:t>
      </w:r>
      <w:r w:rsidRPr="002433F3">
        <w:rPr>
          <w:rFonts w:ascii="Verdana" w:hAnsi="Verdana"/>
          <w:color w:val="000000"/>
          <w:sz w:val="20"/>
          <w:szCs w:val="20"/>
          <w:lang w:val="en-US"/>
        </w:rPr>
        <w:t xml:space="preserve">, seem to me to be of </w:t>
      </w:r>
      <w:r w:rsidR="00A678FB" w:rsidRPr="002433F3">
        <w:rPr>
          <w:rFonts w:ascii="Verdana" w:hAnsi="Verdana"/>
          <w:color w:val="000000"/>
          <w:sz w:val="20"/>
          <w:szCs w:val="20"/>
          <w:lang w:val="en-US"/>
        </w:rPr>
        <w:t xml:space="preserve">the </w:t>
      </w:r>
      <w:r w:rsidR="002020CD" w:rsidRPr="002433F3">
        <w:rPr>
          <w:rFonts w:ascii="Verdana" w:hAnsi="Verdana"/>
          <w:color w:val="000000"/>
          <w:sz w:val="20"/>
          <w:szCs w:val="20"/>
          <w:lang w:val="en-US"/>
        </w:rPr>
        <w:t>utmost importance in</w:t>
      </w:r>
      <w:r w:rsidR="001F74DB" w:rsidRPr="002433F3">
        <w:rPr>
          <w:rFonts w:ascii="Verdana" w:hAnsi="Verdana"/>
          <w:color w:val="000000"/>
          <w:sz w:val="20"/>
          <w:szCs w:val="20"/>
          <w:lang w:val="en-US"/>
        </w:rPr>
        <w:t xml:space="preserve"> </w:t>
      </w:r>
      <w:r w:rsidR="002020CD" w:rsidRPr="002433F3">
        <w:rPr>
          <w:rFonts w:ascii="Verdana" w:hAnsi="Verdana"/>
          <w:color w:val="000000"/>
          <w:sz w:val="20"/>
          <w:szCs w:val="20"/>
          <w:lang w:val="en-US"/>
        </w:rPr>
        <w:t xml:space="preserve">writing </w:t>
      </w:r>
      <w:r w:rsidR="001F74DB" w:rsidRPr="002433F3">
        <w:rPr>
          <w:rFonts w:ascii="Verdana" w:hAnsi="Verdana"/>
          <w:color w:val="000000"/>
          <w:sz w:val="20"/>
          <w:szCs w:val="20"/>
          <w:lang w:val="en-US"/>
        </w:rPr>
        <w:t>my</w:t>
      </w:r>
      <w:r w:rsidRPr="002433F3">
        <w:rPr>
          <w:rFonts w:ascii="Verdana" w:hAnsi="Verdana"/>
          <w:color w:val="000000"/>
          <w:sz w:val="20"/>
          <w:szCs w:val="20"/>
          <w:lang w:val="en-US"/>
        </w:rPr>
        <w:t xml:space="preserve"> </w:t>
      </w:r>
      <w:r w:rsidR="002E1BEA" w:rsidRPr="002433F3">
        <w:rPr>
          <w:rFonts w:ascii="Verdana" w:hAnsi="Verdana"/>
          <w:color w:val="000000"/>
          <w:sz w:val="20"/>
          <w:szCs w:val="20"/>
          <w:lang w:val="en-US"/>
        </w:rPr>
        <w:t xml:space="preserve">final </w:t>
      </w:r>
      <w:r w:rsidRPr="002433F3">
        <w:rPr>
          <w:rFonts w:ascii="Verdana" w:hAnsi="Verdana"/>
          <w:color w:val="000000"/>
          <w:sz w:val="20"/>
          <w:szCs w:val="20"/>
          <w:lang w:val="en-US"/>
        </w:rPr>
        <w:t>dissenting opinion after twelve ye</w:t>
      </w:r>
      <w:r w:rsidR="000A7A70" w:rsidRPr="002433F3">
        <w:rPr>
          <w:rFonts w:ascii="Verdana" w:hAnsi="Verdana"/>
          <w:color w:val="000000"/>
          <w:sz w:val="20"/>
          <w:szCs w:val="20"/>
          <w:lang w:val="en-US"/>
        </w:rPr>
        <w:t xml:space="preserve">ars of </w:t>
      </w:r>
      <w:r w:rsidR="00A214AB" w:rsidRPr="002433F3">
        <w:rPr>
          <w:rFonts w:ascii="Verdana" w:hAnsi="Verdana"/>
          <w:color w:val="000000"/>
          <w:sz w:val="20"/>
          <w:szCs w:val="20"/>
          <w:lang w:val="en-US"/>
        </w:rPr>
        <w:t xml:space="preserve">serving </w:t>
      </w:r>
      <w:r w:rsidR="000A7A70" w:rsidRPr="002433F3">
        <w:rPr>
          <w:rFonts w:ascii="Verdana" w:hAnsi="Verdana"/>
          <w:color w:val="000000"/>
          <w:sz w:val="20"/>
          <w:szCs w:val="20"/>
          <w:lang w:val="en-US"/>
        </w:rPr>
        <w:t xml:space="preserve">as </w:t>
      </w:r>
      <w:r w:rsidR="00A214AB" w:rsidRPr="002433F3">
        <w:rPr>
          <w:rFonts w:ascii="Verdana" w:hAnsi="Verdana"/>
          <w:color w:val="000000"/>
          <w:sz w:val="20"/>
          <w:szCs w:val="20"/>
          <w:lang w:val="en-US"/>
        </w:rPr>
        <w:t xml:space="preserve">a </w:t>
      </w:r>
      <w:r w:rsidR="002E1BEA" w:rsidRPr="002433F3">
        <w:rPr>
          <w:rFonts w:ascii="Verdana" w:hAnsi="Verdana"/>
          <w:color w:val="000000"/>
          <w:sz w:val="20"/>
          <w:szCs w:val="20"/>
          <w:lang w:val="en-US"/>
        </w:rPr>
        <w:t>j</w:t>
      </w:r>
      <w:r w:rsidR="000A7A70" w:rsidRPr="002433F3">
        <w:rPr>
          <w:rFonts w:ascii="Verdana" w:hAnsi="Verdana"/>
          <w:color w:val="000000"/>
          <w:sz w:val="20"/>
          <w:szCs w:val="20"/>
          <w:lang w:val="en-US"/>
        </w:rPr>
        <w:t xml:space="preserve">udge and </w:t>
      </w:r>
      <w:r w:rsidR="00431D40" w:rsidRPr="002433F3">
        <w:rPr>
          <w:rFonts w:ascii="Verdana" w:hAnsi="Verdana"/>
          <w:color w:val="000000"/>
          <w:sz w:val="20"/>
          <w:szCs w:val="20"/>
          <w:lang w:val="en-US"/>
        </w:rPr>
        <w:t xml:space="preserve">they </w:t>
      </w:r>
      <w:r w:rsidR="002E1BEA" w:rsidRPr="002433F3">
        <w:rPr>
          <w:rFonts w:ascii="Verdana" w:hAnsi="Verdana"/>
          <w:color w:val="000000"/>
          <w:sz w:val="20"/>
          <w:szCs w:val="20"/>
          <w:lang w:val="en-US"/>
        </w:rPr>
        <w:t xml:space="preserve">address </w:t>
      </w:r>
      <w:r w:rsidRPr="002433F3">
        <w:rPr>
          <w:rFonts w:ascii="Verdana" w:hAnsi="Verdana"/>
          <w:color w:val="000000"/>
          <w:sz w:val="20"/>
          <w:szCs w:val="20"/>
          <w:lang w:val="en-US"/>
        </w:rPr>
        <w:t xml:space="preserve">a </w:t>
      </w:r>
      <w:r w:rsidR="000A7A70" w:rsidRPr="002433F3">
        <w:rPr>
          <w:rFonts w:ascii="Verdana" w:hAnsi="Verdana"/>
          <w:color w:val="000000"/>
          <w:sz w:val="20"/>
          <w:szCs w:val="20"/>
          <w:lang w:val="en-US"/>
        </w:rPr>
        <w:t xml:space="preserve">central </w:t>
      </w:r>
      <w:r w:rsidRPr="002433F3">
        <w:rPr>
          <w:rFonts w:ascii="Verdana" w:hAnsi="Verdana"/>
          <w:color w:val="000000"/>
          <w:sz w:val="20"/>
          <w:szCs w:val="20"/>
          <w:lang w:val="en-US"/>
        </w:rPr>
        <w:t xml:space="preserve">point </w:t>
      </w:r>
      <w:r w:rsidR="002E1BEA" w:rsidRPr="002433F3">
        <w:rPr>
          <w:rFonts w:ascii="Verdana" w:hAnsi="Verdana"/>
          <w:color w:val="000000"/>
          <w:sz w:val="20"/>
          <w:szCs w:val="20"/>
          <w:lang w:val="en-US"/>
        </w:rPr>
        <w:t xml:space="preserve">that is </w:t>
      </w:r>
      <w:r w:rsidR="00C35375" w:rsidRPr="002433F3">
        <w:rPr>
          <w:rFonts w:ascii="Verdana" w:hAnsi="Verdana"/>
          <w:color w:val="000000"/>
          <w:sz w:val="20"/>
          <w:szCs w:val="20"/>
          <w:lang w:val="en-US"/>
        </w:rPr>
        <w:t>re</w:t>
      </w:r>
      <w:r w:rsidR="002E1BEA" w:rsidRPr="002433F3">
        <w:rPr>
          <w:rFonts w:ascii="Verdana" w:hAnsi="Verdana"/>
          <w:color w:val="000000"/>
          <w:sz w:val="20"/>
          <w:szCs w:val="20"/>
          <w:lang w:val="en-US"/>
        </w:rPr>
        <w:t xml:space="preserve">peatedly invoked </w:t>
      </w:r>
      <w:r w:rsidR="00C35375" w:rsidRPr="002433F3">
        <w:rPr>
          <w:rFonts w:ascii="Verdana" w:hAnsi="Verdana"/>
          <w:color w:val="000000"/>
          <w:sz w:val="20"/>
          <w:szCs w:val="20"/>
          <w:lang w:val="en-US"/>
        </w:rPr>
        <w:t xml:space="preserve">by </w:t>
      </w:r>
      <w:r w:rsidR="009D35F7" w:rsidRPr="002433F3">
        <w:rPr>
          <w:rFonts w:ascii="Verdana" w:hAnsi="Verdana"/>
          <w:color w:val="000000"/>
          <w:sz w:val="20"/>
          <w:szCs w:val="20"/>
          <w:lang w:val="en-US"/>
        </w:rPr>
        <w:t>the States</w:t>
      </w:r>
      <w:r w:rsidRPr="002433F3">
        <w:rPr>
          <w:rFonts w:ascii="Verdana" w:hAnsi="Verdana"/>
          <w:color w:val="000000"/>
          <w:sz w:val="20"/>
          <w:szCs w:val="20"/>
          <w:lang w:val="en-US"/>
        </w:rPr>
        <w:t xml:space="preserve">: the failure to </w:t>
      </w:r>
      <w:r w:rsidR="009D35F7" w:rsidRPr="002433F3">
        <w:rPr>
          <w:rFonts w:ascii="Verdana" w:hAnsi="Verdana"/>
          <w:color w:val="000000"/>
          <w:sz w:val="20"/>
          <w:szCs w:val="20"/>
          <w:lang w:val="en-US"/>
        </w:rPr>
        <w:t>exhaust the</w:t>
      </w:r>
      <w:r w:rsidRPr="002433F3">
        <w:rPr>
          <w:rFonts w:ascii="Verdana" w:hAnsi="Verdana"/>
          <w:color w:val="000000"/>
          <w:sz w:val="20"/>
          <w:szCs w:val="20"/>
          <w:lang w:val="en-US"/>
        </w:rPr>
        <w:t xml:space="preserve"> remedies of the domestic jurisdiction.</w:t>
      </w:r>
    </w:p>
    <w:p w14:paraId="37F851D9" w14:textId="77777777" w:rsidR="007B0DE4" w:rsidRPr="002433F3" w:rsidRDefault="007B0DE4" w:rsidP="007B0DE4">
      <w:pPr>
        <w:pStyle w:val="NormalWeb"/>
        <w:spacing w:before="0" w:beforeAutospacing="0" w:after="200" w:afterAutospacing="0"/>
        <w:jc w:val="both"/>
        <w:rPr>
          <w:rFonts w:ascii="Verdana" w:hAnsi="Verdana"/>
          <w:color w:val="000000"/>
          <w:sz w:val="20"/>
          <w:szCs w:val="20"/>
          <w:lang w:val="en-US"/>
        </w:rPr>
      </w:pPr>
    </w:p>
    <w:p w14:paraId="4C68C454" w14:textId="77777777" w:rsidR="007B0DE4" w:rsidRPr="002433F3" w:rsidRDefault="007B0DE4" w:rsidP="007B0DE4">
      <w:pPr>
        <w:pStyle w:val="NormalWeb"/>
        <w:spacing w:before="0" w:beforeAutospacing="0" w:after="200" w:afterAutospacing="0"/>
        <w:jc w:val="both"/>
        <w:rPr>
          <w:rFonts w:ascii="Verdana" w:hAnsi="Verdana"/>
          <w:color w:val="000000"/>
          <w:sz w:val="20"/>
          <w:szCs w:val="20"/>
          <w:lang w:val="en-US"/>
        </w:rPr>
      </w:pPr>
    </w:p>
    <w:p w14:paraId="6A40A3D4" w14:textId="77777777" w:rsidR="007B0DE4" w:rsidRPr="002433F3" w:rsidRDefault="007B0DE4" w:rsidP="007B0DE4">
      <w:pPr>
        <w:pStyle w:val="NormalWeb"/>
        <w:spacing w:before="0" w:beforeAutospacing="0" w:after="0" w:afterAutospacing="0"/>
        <w:jc w:val="both"/>
        <w:rPr>
          <w:rFonts w:ascii="Verdana" w:hAnsi="Verdana"/>
          <w:sz w:val="20"/>
          <w:szCs w:val="20"/>
          <w:lang w:val="en-US"/>
        </w:rPr>
      </w:pPr>
    </w:p>
    <w:p w14:paraId="4CD9E9A3" w14:textId="77777777" w:rsidR="007B0DE4" w:rsidRPr="002433F3" w:rsidRDefault="007B0DE4" w:rsidP="007B0DE4">
      <w:pPr>
        <w:pStyle w:val="NormalWeb"/>
        <w:tabs>
          <w:tab w:val="left" w:pos="6096"/>
        </w:tabs>
        <w:spacing w:before="0" w:beforeAutospacing="0" w:after="0" w:afterAutospacing="0"/>
        <w:jc w:val="right"/>
        <w:rPr>
          <w:rFonts w:ascii="Verdana" w:hAnsi="Verdana"/>
          <w:sz w:val="20"/>
          <w:szCs w:val="20"/>
          <w:lang w:val="en-US"/>
        </w:rPr>
      </w:pPr>
      <w:r w:rsidRPr="002433F3">
        <w:rPr>
          <w:rFonts w:ascii="Verdana" w:hAnsi="Verdana"/>
          <w:color w:val="000000"/>
          <w:sz w:val="20"/>
          <w:szCs w:val="20"/>
          <w:lang w:val="en-US"/>
        </w:rPr>
        <w:t>Manuel E. Ventura Robles.</w:t>
      </w:r>
    </w:p>
    <w:p w14:paraId="5EE4E216" w14:textId="77777777" w:rsidR="007B0DE4" w:rsidRPr="002433F3" w:rsidRDefault="007B0DE4" w:rsidP="007B0DE4">
      <w:pPr>
        <w:pStyle w:val="NormalWeb"/>
        <w:tabs>
          <w:tab w:val="left" w:pos="6096"/>
        </w:tabs>
        <w:spacing w:before="0" w:beforeAutospacing="0" w:after="0" w:afterAutospacing="0"/>
        <w:jc w:val="center"/>
        <w:rPr>
          <w:rFonts w:ascii="Verdana" w:hAnsi="Verdana"/>
          <w:color w:val="000000"/>
          <w:sz w:val="20"/>
          <w:szCs w:val="20"/>
          <w:lang w:val="en-US"/>
        </w:rPr>
      </w:pPr>
      <w:r w:rsidRPr="002433F3">
        <w:rPr>
          <w:rFonts w:ascii="Verdana" w:hAnsi="Verdana"/>
          <w:color w:val="000000"/>
          <w:sz w:val="20"/>
          <w:szCs w:val="20"/>
          <w:lang w:val="en-US"/>
        </w:rPr>
        <w:tab/>
        <w:t>Judge</w:t>
      </w:r>
    </w:p>
    <w:p w14:paraId="0DC257F6" w14:textId="77777777" w:rsidR="007B0DE4" w:rsidRPr="002433F3" w:rsidRDefault="007B0DE4" w:rsidP="007B0DE4">
      <w:pPr>
        <w:pStyle w:val="NormalWeb"/>
        <w:spacing w:before="0" w:beforeAutospacing="0" w:after="200" w:afterAutospacing="0"/>
        <w:jc w:val="both"/>
        <w:rPr>
          <w:rFonts w:ascii="Verdana" w:hAnsi="Verdana"/>
          <w:color w:val="000000"/>
          <w:sz w:val="20"/>
          <w:szCs w:val="20"/>
          <w:lang w:val="en-US"/>
        </w:rPr>
      </w:pPr>
    </w:p>
    <w:p w14:paraId="73B53668" w14:textId="77777777" w:rsidR="007B0DE4" w:rsidRPr="002433F3" w:rsidRDefault="007B0DE4" w:rsidP="007B0DE4">
      <w:pPr>
        <w:pStyle w:val="NormalWeb"/>
        <w:spacing w:before="0" w:beforeAutospacing="0" w:after="200" w:afterAutospacing="0"/>
        <w:jc w:val="both"/>
        <w:rPr>
          <w:rFonts w:ascii="Verdana" w:hAnsi="Verdana"/>
          <w:color w:val="000000"/>
          <w:sz w:val="20"/>
          <w:szCs w:val="20"/>
          <w:lang w:val="en-US"/>
        </w:rPr>
      </w:pPr>
    </w:p>
    <w:p w14:paraId="09F51CE9" w14:textId="77777777" w:rsidR="007B0DE4" w:rsidRPr="002433F3" w:rsidRDefault="007B0DE4" w:rsidP="007B0DE4">
      <w:pPr>
        <w:pStyle w:val="NormalWeb"/>
        <w:spacing w:before="0" w:beforeAutospacing="0" w:after="200" w:afterAutospacing="0"/>
        <w:jc w:val="both"/>
        <w:rPr>
          <w:rFonts w:ascii="Verdana" w:hAnsi="Verdana"/>
          <w:color w:val="000000"/>
          <w:sz w:val="20"/>
          <w:szCs w:val="20"/>
          <w:lang w:val="en-US"/>
        </w:rPr>
      </w:pPr>
    </w:p>
    <w:p w14:paraId="1B62C421" w14:textId="77777777" w:rsidR="007B0DE4" w:rsidRPr="002433F3" w:rsidRDefault="007B0DE4" w:rsidP="007B0DE4">
      <w:pPr>
        <w:pStyle w:val="NormalWeb"/>
        <w:spacing w:before="0" w:beforeAutospacing="0" w:after="200" w:afterAutospacing="0"/>
        <w:jc w:val="both"/>
        <w:rPr>
          <w:rFonts w:ascii="Verdana" w:hAnsi="Verdana"/>
          <w:color w:val="000000"/>
          <w:sz w:val="20"/>
          <w:szCs w:val="20"/>
          <w:lang w:val="en-US"/>
        </w:rPr>
      </w:pPr>
    </w:p>
    <w:p w14:paraId="370AE348" w14:textId="77777777" w:rsidR="007B0DE4" w:rsidRPr="002433F3" w:rsidRDefault="007B0DE4" w:rsidP="007B0DE4">
      <w:pPr>
        <w:pStyle w:val="NormalWeb"/>
        <w:spacing w:before="0" w:beforeAutospacing="0" w:after="0" w:afterAutospacing="0"/>
        <w:jc w:val="both"/>
        <w:rPr>
          <w:rFonts w:ascii="Verdana" w:hAnsi="Verdana"/>
          <w:sz w:val="20"/>
          <w:szCs w:val="20"/>
          <w:lang w:val="en-US"/>
        </w:rPr>
      </w:pPr>
      <w:r w:rsidRPr="002433F3">
        <w:rPr>
          <w:rFonts w:ascii="Verdana" w:hAnsi="Verdana"/>
          <w:color w:val="000000"/>
          <w:sz w:val="20"/>
          <w:szCs w:val="20"/>
          <w:lang w:val="en-US"/>
        </w:rPr>
        <w:t>Pablo Saavedra Alessandri</w:t>
      </w:r>
    </w:p>
    <w:p w14:paraId="37BE0AF6" w14:textId="77777777" w:rsidR="007B0DE4" w:rsidRPr="002433F3" w:rsidRDefault="007B0DE4" w:rsidP="007B0DE4">
      <w:pPr>
        <w:pStyle w:val="NormalWeb"/>
        <w:spacing w:before="0" w:beforeAutospacing="0" w:after="0" w:afterAutospacing="0"/>
        <w:ind w:firstLine="708"/>
        <w:jc w:val="both"/>
        <w:rPr>
          <w:rFonts w:ascii="Verdana" w:hAnsi="Verdana"/>
          <w:sz w:val="20"/>
          <w:szCs w:val="20"/>
          <w:lang w:val="en-US"/>
        </w:rPr>
      </w:pPr>
      <w:r w:rsidRPr="002433F3">
        <w:rPr>
          <w:rFonts w:ascii="Verdana" w:hAnsi="Verdana"/>
          <w:color w:val="000000"/>
          <w:sz w:val="20"/>
          <w:szCs w:val="20"/>
          <w:lang w:val="en-US"/>
        </w:rPr>
        <w:t>Secretary</w:t>
      </w:r>
    </w:p>
    <w:p w14:paraId="10B755FD" w14:textId="77777777" w:rsidR="007B0DE4" w:rsidRPr="002433F3" w:rsidRDefault="007B0DE4" w:rsidP="007B0DE4">
      <w:pPr>
        <w:rPr>
          <w:szCs w:val="20"/>
          <w:lang w:val="en-US"/>
        </w:rPr>
      </w:pPr>
    </w:p>
    <w:p w14:paraId="646A7D7C" w14:textId="77777777" w:rsidR="007B0DE4" w:rsidRPr="002433F3" w:rsidRDefault="007B0DE4" w:rsidP="007B0DE4">
      <w:pPr>
        <w:rPr>
          <w:spacing w:val="-2"/>
          <w:szCs w:val="20"/>
          <w:lang w:val="en-US" w:eastAsia="es-CR"/>
        </w:rPr>
        <w:sectPr w:rsidR="007B0DE4" w:rsidRPr="002433F3" w:rsidSect="009D2425">
          <w:pgSz w:w="12240" w:h="15840"/>
          <w:pgMar w:top="1417" w:right="1701" w:bottom="1417" w:left="1701" w:header="708" w:footer="708" w:gutter="0"/>
          <w:pgNumType w:start="1"/>
          <w:cols w:space="708"/>
          <w:titlePg/>
          <w:docGrid w:linePitch="360"/>
        </w:sectPr>
      </w:pPr>
    </w:p>
    <w:p w14:paraId="645CEF30" w14:textId="77777777" w:rsidR="007B0DE4" w:rsidRPr="002433F3" w:rsidRDefault="007B0DE4" w:rsidP="007B0DE4">
      <w:pPr>
        <w:jc w:val="left"/>
        <w:rPr>
          <w:rFonts w:eastAsia="MS Mincho" w:cs="Times New Roman"/>
          <w:b/>
          <w:sz w:val="22"/>
          <w:szCs w:val="22"/>
          <w:lang w:val="en-US" w:eastAsia="x-none"/>
        </w:rPr>
      </w:pPr>
    </w:p>
    <w:p w14:paraId="5C50E8EA" w14:textId="77777777" w:rsidR="007B0DE4" w:rsidRPr="002433F3" w:rsidRDefault="007B0DE4" w:rsidP="007B0DE4">
      <w:pPr>
        <w:jc w:val="left"/>
        <w:rPr>
          <w:rFonts w:eastAsia="MS Mincho" w:cs="Times New Roman"/>
          <w:b/>
          <w:sz w:val="22"/>
          <w:szCs w:val="22"/>
          <w:lang w:val="en-US" w:eastAsia="x-none"/>
        </w:rPr>
      </w:pPr>
    </w:p>
    <w:p w14:paraId="2704491A" w14:textId="77777777" w:rsidR="007B0DE4" w:rsidRPr="002433F3" w:rsidRDefault="007B0DE4" w:rsidP="007B0DE4">
      <w:pPr>
        <w:jc w:val="left"/>
        <w:rPr>
          <w:rFonts w:eastAsia="MS Mincho" w:cs="Times New Roman"/>
          <w:b/>
          <w:sz w:val="22"/>
          <w:szCs w:val="22"/>
          <w:lang w:val="en-US" w:eastAsia="x-none"/>
        </w:rPr>
      </w:pPr>
    </w:p>
    <w:p w14:paraId="6A753A18" w14:textId="77777777" w:rsidR="007B0DE4" w:rsidRPr="002433F3" w:rsidRDefault="007B0DE4" w:rsidP="007B0DE4">
      <w:pPr>
        <w:jc w:val="left"/>
        <w:rPr>
          <w:rFonts w:eastAsia="MS Mincho" w:cs="Times New Roman"/>
          <w:b/>
          <w:sz w:val="22"/>
          <w:szCs w:val="22"/>
          <w:lang w:val="en-US" w:eastAsia="x-none"/>
        </w:rPr>
      </w:pPr>
    </w:p>
    <w:p w14:paraId="2E4287C8" w14:textId="77777777" w:rsidR="007B0DE4" w:rsidRPr="002433F3" w:rsidRDefault="007B0DE4" w:rsidP="007B0DE4">
      <w:pPr>
        <w:jc w:val="left"/>
        <w:rPr>
          <w:rFonts w:eastAsia="MS Mincho" w:cs="Times New Roman"/>
          <w:b/>
          <w:sz w:val="22"/>
          <w:szCs w:val="22"/>
          <w:lang w:val="en-US" w:eastAsia="x-none"/>
        </w:rPr>
      </w:pPr>
    </w:p>
    <w:p w14:paraId="495FCE0F" w14:textId="77777777" w:rsidR="007B0DE4" w:rsidRPr="002433F3" w:rsidRDefault="007B0DE4" w:rsidP="007B0DE4">
      <w:pPr>
        <w:jc w:val="left"/>
        <w:rPr>
          <w:rFonts w:eastAsia="MS Mincho" w:cs="Times New Roman"/>
          <w:b/>
          <w:sz w:val="22"/>
          <w:szCs w:val="22"/>
          <w:lang w:val="en-US" w:eastAsia="x-none"/>
        </w:rPr>
      </w:pPr>
      <w:r w:rsidRPr="002433F3">
        <w:rPr>
          <w:rFonts w:eastAsia="MS Mincho" w:cs="Times New Roman"/>
          <w:b/>
          <w:sz w:val="22"/>
          <w:szCs w:val="22"/>
          <w:lang w:val="en-US" w:eastAsia="x-none"/>
        </w:rPr>
        <w:t>PARTIALLY DISSENTING OPINION OF JUDGE EDUARDO VIO GROSSI,</w:t>
      </w:r>
    </w:p>
    <w:p w14:paraId="7B70FD72" w14:textId="77777777" w:rsidR="007B0DE4" w:rsidRPr="002433F3" w:rsidRDefault="007B0DE4" w:rsidP="007B0DE4">
      <w:pPr>
        <w:jc w:val="center"/>
        <w:rPr>
          <w:rFonts w:eastAsia="MS Mincho" w:cs="Times New Roman"/>
          <w:b/>
          <w:sz w:val="22"/>
          <w:szCs w:val="22"/>
          <w:lang w:val="en-US" w:eastAsia="x-none"/>
        </w:rPr>
      </w:pPr>
      <w:r w:rsidRPr="002433F3">
        <w:rPr>
          <w:rFonts w:eastAsia="MS Mincho" w:cs="Times New Roman"/>
          <w:b/>
          <w:sz w:val="22"/>
          <w:szCs w:val="22"/>
          <w:lang w:val="en-US" w:eastAsia="x-none"/>
        </w:rPr>
        <w:t>INTER-AMERICAN COURT OF HUMAN RIGHTS</w:t>
      </w:r>
    </w:p>
    <w:p w14:paraId="38B8031D" w14:textId="77777777" w:rsidR="007B0DE4" w:rsidRPr="002433F3" w:rsidRDefault="007B0DE4" w:rsidP="007B0DE4">
      <w:pPr>
        <w:jc w:val="center"/>
        <w:rPr>
          <w:rFonts w:eastAsia="MS Mincho" w:cs="Times New Roman"/>
          <w:b/>
          <w:sz w:val="22"/>
          <w:szCs w:val="22"/>
          <w:lang w:val="en-US" w:eastAsia="x-none"/>
        </w:rPr>
      </w:pPr>
      <w:r w:rsidRPr="002433F3">
        <w:rPr>
          <w:rFonts w:eastAsia="MS Mincho" w:cs="Times New Roman"/>
          <w:b/>
          <w:i/>
          <w:sz w:val="22"/>
          <w:szCs w:val="22"/>
          <w:lang w:val="en-US" w:eastAsia="x-none"/>
        </w:rPr>
        <w:t>CASE OF DUQUE V. COLOMBIA</w:t>
      </w:r>
    </w:p>
    <w:p w14:paraId="065C3D64" w14:textId="77777777" w:rsidR="007B0DE4" w:rsidRPr="002433F3" w:rsidRDefault="007B0DE4" w:rsidP="007B0DE4">
      <w:pPr>
        <w:jc w:val="center"/>
        <w:rPr>
          <w:rFonts w:eastAsia="MS Mincho" w:cs="Times New Roman"/>
          <w:b/>
          <w:sz w:val="22"/>
          <w:szCs w:val="22"/>
          <w:lang w:val="en-US" w:eastAsia="x-none"/>
        </w:rPr>
      </w:pPr>
      <w:r w:rsidRPr="002433F3">
        <w:rPr>
          <w:rFonts w:eastAsia="MS Mincho" w:cs="Times New Roman"/>
          <w:b/>
          <w:sz w:val="22"/>
          <w:szCs w:val="22"/>
          <w:lang w:val="en-US" w:eastAsia="x-none"/>
        </w:rPr>
        <w:t>JUDGMENT OF FEBRUARY 26, 2015</w:t>
      </w:r>
    </w:p>
    <w:p w14:paraId="1BABCE3E" w14:textId="77777777" w:rsidR="007B0DE4" w:rsidRPr="002433F3" w:rsidRDefault="007B0DE4" w:rsidP="007B0DE4">
      <w:pPr>
        <w:numPr>
          <w:ilvl w:val="1"/>
          <w:numId w:val="0"/>
        </w:numPr>
        <w:jc w:val="center"/>
        <w:rPr>
          <w:rFonts w:eastAsia="Times New Roman" w:cs="Times New Roman"/>
          <w:b/>
          <w:i/>
          <w:iCs/>
          <w:spacing w:val="15"/>
          <w:sz w:val="22"/>
          <w:szCs w:val="22"/>
          <w:lang w:val="en-US" w:eastAsia="x-none"/>
        </w:rPr>
      </w:pPr>
      <w:r w:rsidRPr="002433F3">
        <w:rPr>
          <w:rFonts w:eastAsia="Times New Roman" w:cs="Times New Roman"/>
          <w:b/>
          <w:i/>
          <w:iCs/>
          <w:spacing w:val="15"/>
          <w:sz w:val="22"/>
          <w:szCs w:val="22"/>
          <w:lang w:val="en-US" w:eastAsia="x-none"/>
        </w:rPr>
        <w:t>(Preliminary objection</w:t>
      </w:r>
      <w:r w:rsidR="00A731D0" w:rsidRPr="002433F3">
        <w:rPr>
          <w:rFonts w:eastAsia="Times New Roman" w:cs="Times New Roman"/>
          <w:b/>
          <w:i/>
          <w:iCs/>
          <w:spacing w:val="15"/>
          <w:sz w:val="22"/>
          <w:szCs w:val="22"/>
          <w:lang w:val="en-US" w:eastAsia="x-none"/>
        </w:rPr>
        <w:t>s, merits, reparations and cost</w:t>
      </w:r>
      <w:r w:rsidRPr="002433F3">
        <w:rPr>
          <w:rFonts w:eastAsia="Times New Roman" w:cs="Times New Roman"/>
          <w:b/>
          <w:i/>
          <w:iCs/>
          <w:spacing w:val="15"/>
          <w:sz w:val="22"/>
          <w:szCs w:val="22"/>
          <w:lang w:val="en-US" w:eastAsia="x-none"/>
        </w:rPr>
        <w:t>s)</w:t>
      </w:r>
    </w:p>
    <w:p w14:paraId="2913DABF" w14:textId="77777777" w:rsidR="007B0DE4" w:rsidRPr="002433F3" w:rsidRDefault="007B0DE4" w:rsidP="007B0DE4">
      <w:pPr>
        <w:spacing w:after="200"/>
        <w:rPr>
          <w:rFonts w:eastAsia="Calibri" w:cs="Times New Roman"/>
          <w:sz w:val="22"/>
          <w:szCs w:val="22"/>
          <w:lang w:val="en-US"/>
        </w:rPr>
      </w:pPr>
    </w:p>
    <w:p w14:paraId="79BB8A08" w14:textId="77777777" w:rsidR="007B0DE4" w:rsidRPr="002433F3" w:rsidRDefault="007B0DE4" w:rsidP="007B0DE4">
      <w:pPr>
        <w:rPr>
          <w:rFonts w:eastAsia="Calibri" w:cs="Times New Roman"/>
          <w:b/>
          <w:sz w:val="22"/>
          <w:szCs w:val="22"/>
          <w:lang w:val="en-US"/>
        </w:rPr>
      </w:pPr>
      <w:r w:rsidRPr="002433F3">
        <w:rPr>
          <w:rFonts w:eastAsia="Calibri" w:cs="Times New Roman"/>
          <w:b/>
          <w:sz w:val="22"/>
          <w:szCs w:val="22"/>
          <w:lang w:val="en-US"/>
        </w:rPr>
        <w:t>INTRODUCTION</w:t>
      </w:r>
    </w:p>
    <w:p w14:paraId="2AAB3B09" w14:textId="77777777" w:rsidR="007B0DE4" w:rsidRPr="002433F3" w:rsidRDefault="007B0DE4" w:rsidP="007B0DE4">
      <w:pPr>
        <w:spacing w:before="120" w:after="120"/>
        <w:rPr>
          <w:rFonts w:eastAsia="Calibri" w:cs="Times New Roman"/>
          <w:szCs w:val="20"/>
          <w:lang w:val="en-US" w:eastAsia="es-ES"/>
        </w:rPr>
      </w:pPr>
      <w:r w:rsidRPr="002433F3">
        <w:rPr>
          <w:rFonts w:eastAsia="Calibri" w:cs="Times New Roman"/>
          <w:szCs w:val="20"/>
          <w:lang w:val="en-US"/>
        </w:rPr>
        <w:t>I issue this partially dissenting opinion</w:t>
      </w:r>
      <w:r w:rsidRPr="002433F3">
        <w:rPr>
          <w:rFonts w:eastAsia="Calibri" w:cs="Times New Roman"/>
          <w:szCs w:val="20"/>
          <w:vertAlign w:val="superscript"/>
          <w:lang w:val="en-US"/>
        </w:rPr>
        <w:footnoteReference w:id="183"/>
      </w:r>
      <w:r w:rsidR="000A7A70" w:rsidRPr="002433F3">
        <w:rPr>
          <w:rFonts w:eastAsia="Calibri" w:cs="Times New Roman"/>
          <w:szCs w:val="20"/>
          <w:lang w:val="en-US"/>
        </w:rPr>
        <w:t xml:space="preserve"> to</w:t>
      </w:r>
      <w:r w:rsidR="005423C1" w:rsidRPr="002433F3">
        <w:rPr>
          <w:rFonts w:eastAsia="Calibri" w:cs="Times New Roman"/>
          <w:szCs w:val="20"/>
          <w:lang w:val="en-US"/>
        </w:rPr>
        <w:t xml:space="preserve"> the </w:t>
      </w:r>
      <w:r w:rsidR="00821E79" w:rsidRPr="002433F3">
        <w:rPr>
          <w:rFonts w:eastAsia="Calibri" w:cs="Times New Roman"/>
          <w:szCs w:val="20"/>
          <w:lang w:val="en-US"/>
        </w:rPr>
        <w:t>Judgment in</w:t>
      </w:r>
      <w:r w:rsidRPr="002433F3">
        <w:rPr>
          <w:rFonts w:eastAsia="Calibri" w:cs="Times New Roman"/>
          <w:szCs w:val="20"/>
          <w:lang w:val="en-US"/>
        </w:rPr>
        <w:t xml:space="preserve"> the </w:t>
      </w:r>
      <w:r w:rsidR="001656A8">
        <w:rPr>
          <w:rFonts w:eastAsia="Calibri" w:cs="Times New Roman"/>
          <w:szCs w:val="20"/>
          <w:lang w:val="en-US"/>
        </w:rPr>
        <w:t>above</w:t>
      </w:r>
      <w:r w:rsidR="00821E79" w:rsidRPr="002433F3">
        <w:rPr>
          <w:rFonts w:eastAsia="Calibri" w:cs="Times New Roman"/>
          <w:szCs w:val="20"/>
          <w:lang w:val="en-US"/>
        </w:rPr>
        <w:t xml:space="preserve"> case </w:t>
      </w:r>
      <w:r w:rsidR="00A731D0" w:rsidRPr="002433F3">
        <w:rPr>
          <w:rFonts w:eastAsia="Calibri" w:cs="Times New Roman"/>
          <w:szCs w:val="20"/>
          <w:lang w:val="en-US"/>
        </w:rPr>
        <w:t xml:space="preserve">(hereinafter “the Judgment”) </w:t>
      </w:r>
      <w:r w:rsidR="00B80012" w:rsidRPr="002433F3">
        <w:rPr>
          <w:rFonts w:eastAsia="Calibri" w:cs="Times New Roman"/>
          <w:szCs w:val="20"/>
          <w:lang w:val="en-US"/>
        </w:rPr>
        <w:t xml:space="preserve">given that, for </w:t>
      </w:r>
      <w:r w:rsidRPr="002433F3">
        <w:rPr>
          <w:rFonts w:eastAsia="Calibri" w:cs="Times New Roman"/>
          <w:szCs w:val="20"/>
          <w:lang w:val="en-US"/>
        </w:rPr>
        <w:t xml:space="preserve">reasons purely </w:t>
      </w:r>
      <w:r w:rsidR="000F6AFE" w:rsidRPr="002433F3">
        <w:rPr>
          <w:rFonts w:eastAsia="Calibri" w:cs="Times New Roman"/>
          <w:szCs w:val="20"/>
          <w:lang w:val="en-US"/>
        </w:rPr>
        <w:t xml:space="preserve">based on </w:t>
      </w:r>
      <w:r w:rsidRPr="002433F3">
        <w:rPr>
          <w:rFonts w:eastAsia="Calibri" w:cs="Times New Roman"/>
          <w:szCs w:val="20"/>
          <w:lang w:val="en-US"/>
        </w:rPr>
        <w:t xml:space="preserve">international law that are presented further on, </w:t>
      </w:r>
      <w:r w:rsidR="00821E79" w:rsidRPr="002433F3">
        <w:rPr>
          <w:rFonts w:eastAsia="Calibri" w:cs="Times New Roman"/>
          <w:szCs w:val="20"/>
          <w:lang w:val="en-US"/>
        </w:rPr>
        <w:t xml:space="preserve">I </w:t>
      </w:r>
      <w:r w:rsidR="0032433A" w:rsidRPr="002433F3">
        <w:rPr>
          <w:rFonts w:eastAsia="Calibri" w:cs="Times New Roman"/>
          <w:szCs w:val="20"/>
          <w:lang w:val="en-US"/>
        </w:rPr>
        <w:t>do not</w:t>
      </w:r>
      <w:r w:rsidRPr="002433F3">
        <w:rPr>
          <w:rFonts w:eastAsia="Calibri" w:cs="Times New Roman"/>
          <w:szCs w:val="20"/>
          <w:lang w:val="en-US"/>
        </w:rPr>
        <w:t xml:space="preserve"> </w:t>
      </w:r>
      <w:r w:rsidR="0032433A" w:rsidRPr="002433F3">
        <w:rPr>
          <w:rFonts w:eastAsia="Calibri" w:cs="Times New Roman"/>
          <w:szCs w:val="20"/>
          <w:lang w:val="en-US"/>
        </w:rPr>
        <w:t xml:space="preserve">agree with </w:t>
      </w:r>
      <w:r w:rsidR="001656A8">
        <w:rPr>
          <w:rFonts w:eastAsia="Calibri" w:cs="Times New Roman"/>
          <w:szCs w:val="20"/>
          <w:lang w:val="en-US"/>
        </w:rPr>
        <w:t>the third operative p</w:t>
      </w:r>
      <w:r w:rsidR="000A7A70" w:rsidRPr="002433F3">
        <w:rPr>
          <w:rFonts w:eastAsia="Calibri" w:cs="Times New Roman"/>
          <w:szCs w:val="20"/>
          <w:lang w:val="en-US"/>
        </w:rPr>
        <w:t>aragraph</w:t>
      </w:r>
      <w:r w:rsidR="001656A8">
        <w:rPr>
          <w:rFonts w:eastAsia="Calibri" w:cs="Times New Roman"/>
          <w:szCs w:val="20"/>
          <w:lang w:val="en-US"/>
        </w:rPr>
        <w:t>, which</w:t>
      </w:r>
      <w:r w:rsidR="000A7A70" w:rsidRPr="002433F3">
        <w:rPr>
          <w:rFonts w:eastAsia="Calibri" w:cs="Times New Roman"/>
          <w:szCs w:val="20"/>
          <w:lang w:val="en-US"/>
        </w:rPr>
        <w:t xml:space="preserve"> </w:t>
      </w:r>
      <w:r w:rsidR="001656A8">
        <w:rPr>
          <w:rFonts w:eastAsia="Calibri" w:cs="Times New Roman"/>
          <w:szCs w:val="20"/>
          <w:lang w:val="en-US"/>
        </w:rPr>
        <w:t xml:space="preserve">establishes </w:t>
      </w:r>
      <w:r w:rsidRPr="002433F3">
        <w:rPr>
          <w:rFonts w:eastAsia="Calibri" w:cs="Times New Roman"/>
          <w:szCs w:val="20"/>
          <w:lang w:val="en-US"/>
        </w:rPr>
        <w:t xml:space="preserve">that </w:t>
      </w:r>
      <w:r w:rsidRPr="002433F3">
        <w:rPr>
          <w:rFonts w:eastAsia="Calibri" w:cs="Times New Roman"/>
          <w:i/>
          <w:szCs w:val="20"/>
          <w:lang w:val="en-US"/>
        </w:rPr>
        <w:t>“(t)</w:t>
      </w:r>
      <w:r w:rsidR="00B80012" w:rsidRPr="002433F3">
        <w:rPr>
          <w:rFonts w:eastAsia="Calibri" w:cs="Times New Roman"/>
          <w:i/>
          <w:szCs w:val="20"/>
          <w:lang w:val="en-US"/>
        </w:rPr>
        <w:t>he</w:t>
      </w:r>
      <w:r w:rsidR="00B80012" w:rsidRPr="002433F3">
        <w:rPr>
          <w:szCs w:val="20"/>
          <w:lang w:val="en-US" w:eastAsia="es-CR"/>
        </w:rPr>
        <w:t xml:space="preserve"> </w:t>
      </w:r>
      <w:r w:rsidR="00B80012" w:rsidRPr="002433F3">
        <w:rPr>
          <w:i/>
          <w:szCs w:val="20"/>
          <w:lang w:val="en-US" w:eastAsia="es-CR"/>
        </w:rPr>
        <w:t>State is responsible for the violation of the right to equality before the law</w:t>
      </w:r>
      <w:r w:rsidR="00B80012" w:rsidRPr="002433F3">
        <w:rPr>
          <w:rFonts w:eastAsia="Calibri" w:cs="Verdana"/>
          <w:i/>
          <w:lang w:val="en-US"/>
        </w:rPr>
        <w:t xml:space="preserve">, recognized in Article 24 of the American Convention, in relation to Article 1(1) thereof, pursuant to </w:t>
      </w:r>
      <w:r w:rsidR="00B80012" w:rsidRPr="002433F3">
        <w:rPr>
          <w:i/>
          <w:spacing w:val="-2"/>
          <w:szCs w:val="20"/>
          <w:lang w:val="en-US" w:eastAsia="es-CR"/>
        </w:rPr>
        <w:t>paragraphs</w:t>
      </w:r>
      <w:r w:rsidR="00B80012" w:rsidRPr="002433F3">
        <w:rPr>
          <w:i/>
          <w:spacing w:val="-2"/>
          <w:szCs w:val="20"/>
          <w:lang w:val="en-US"/>
        </w:rPr>
        <w:t xml:space="preserve"> 89 to 138 of this Judgment</w:t>
      </w:r>
      <w:r w:rsidR="00B80012" w:rsidRPr="002433F3">
        <w:rPr>
          <w:rFonts w:eastAsia="Calibri" w:cs="Times New Roman"/>
          <w:i/>
          <w:szCs w:val="20"/>
          <w:lang w:val="en-US" w:eastAsia="es-CR"/>
        </w:rPr>
        <w:t>.</w:t>
      </w:r>
      <w:r w:rsidR="00B80012" w:rsidRPr="002433F3">
        <w:rPr>
          <w:rFonts w:eastAsia="Calibri" w:cs="Times New Roman"/>
          <w:spacing w:val="-2"/>
          <w:szCs w:val="20"/>
          <w:lang w:val="en-US"/>
        </w:rPr>
        <w:t>”</w:t>
      </w:r>
    </w:p>
    <w:p w14:paraId="060491EE" w14:textId="77777777" w:rsidR="007B0DE4" w:rsidRPr="002433F3" w:rsidRDefault="00B80012" w:rsidP="007B0DE4">
      <w:pPr>
        <w:spacing w:before="240" w:after="200"/>
        <w:rPr>
          <w:rFonts w:eastAsia="Calibri" w:cs="Times New Roman"/>
          <w:szCs w:val="20"/>
          <w:lang w:val="en-US"/>
        </w:rPr>
      </w:pPr>
      <w:r w:rsidRPr="002433F3">
        <w:rPr>
          <w:rFonts w:eastAsia="Calibri" w:cs="Times New Roman"/>
          <w:szCs w:val="20"/>
          <w:lang w:val="en-US"/>
        </w:rPr>
        <w:t xml:space="preserve">As always, </w:t>
      </w:r>
      <w:r w:rsidR="007B0DE4" w:rsidRPr="002433F3">
        <w:rPr>
          <w:rFonts w:eastAsia="Calibri" w:cs="Times New Roman"/>
          <w:szCs w:val="20"/>
          <w:lang w:val="en-US"/>
        </w:rPr>
        <w:t xml:space="preserve">I express my dissent bearing in mind that the function of the Inter-American Court of Human Rights (hereinafter “the Court”) is to impart justice on human rights </w:t>
      </w:r>
      <w:r w:rsidRPr="002433F3">
        <w:rPr>
          <w:rFonts w:eastAsia="Calibri" w:cs="Times New Roman"/>
          <w:szCs w:val="20"/>
          <w:lang w:val="en-US"/>
        </w:rPr>
        <w:t xml:space="preserve">matters </w:t>
      </w:r>
      <w:r w:rsidR="007B0DE4" w:rsidRPr="002433F3">
        <w:rPr>
          <w:rFonts w:eastAsia="Calibri" w:cs="Times New Roman"/>
          <w:szCs w:val="20"/>
          <w:lang w:val="en-US"/>
        </w:rPr>
        <w:t>through the interpretation and application of the American Convention on Human Rights (hereinafter “the Convention”)</w:t>
      </w:r>
      <w:r w:rsidR="007B0DE4" w:rsidRPr="002433F3">
        <w:rPr>
          <w:rFonts w:eastAsia="Calibri" w:cs="Times New Roman"/>
          <w:szCs w:val="20"/>
          <w:vertAlign w:val="superscript"/>
          <w:lang w:val="en-US"/>
        </w:rPr>
        <w:footnoteReference w:id="184"/>
      </w:r>
      <w:r w:rsidRPr="002433F3">
        <w:rPr>
          <w:rFonts w:eastAsia="Calibri" w:cs="Times New Roman"/>
          <w:szCs w:val="20"/>
          <w:lang w:val="en-US"/>
        </w:rPr>
        <w:t xml:space="preserve"> and,</w:t>
      </w:r>
      <w:r w:rsidR="007B0DE4" w:rsidRPr="002433F3">
        <w:rPr>
          <w:rFonts w:eastAsia="Calibri" w:cs="Times New Roman"/>
          <w:szCs w:val="20"/>
          <w:lang w:val="en-US"/>
        </w:rPr>
        <w:t xml:space="preserve"> in general, of international law</w:t>
      </w:r>
      <w:r w:rsidRPr="002433F3">
        <w:rPr>
          <w:rFonts w:eastAsia="Calibri" w:cs="Times New Roman"/>
          <w:szCs w:val="20"/>
          <w:lang w:val="en-US"/>
        </w:rPr>
        <w:t>, without straying outside</w:t>
      </w:r>
      <w:r w:rsidR="007B0DE4" w:rsidRPr="002433F3">
        <w:rPr>
          <w:rFonts w:eastAsia="Calibri" w:cs="Times New Roman"/>
          <w:szCs w:val="20"/>
          <w:lang w:val="en-US"/>
        </w:rPr>
        <w:t xml:space="preserve"> </w:t>
      </w:r>
      <w:r w:rsidRPr="002433F3">
        <w:rPr>
          <w:rFonts w:eastAsia="Calibri" w:cs="Times New Roman"/>
          <w:szCs w:val="20"/>
          <w:lang w:val="en-US"/>
        </w:rPr>
        <w:t xml:space="preserve">the bounds </w:t>
      </w:r>
      <w:r w:rsidR="007C581D" w:rsidRPr="002433F3">
        <w:rPr>
          <w:rFonts w:eastAsia="Calibri" w:cs="Times New Roman"/>
          <w:szCs w:val="20"/>
          <w:lang w:val="en-US"/>
        </w:rPr>
        <w:t>of the former or the latter</w:t>
      </w:r>
      <w:r w:rsidR="007B0DE4" w:rsidRPr="002433F3">
        <w:rPr>
          <w:rFonts w:eastAsia="Calibri" w:cs="Times New Roman"/>
          <w:szCs w:val="20"/>
          <w:lang w:val="en-US"/>
        </w:rPr>
        <w:t xml:space="preserve">. </w:t>
      </w:r>
      <w:r w:rsidR="000A7A70" w:rsidRPr="002433F3">
        <w:rPr>
          <w:rFonts w:eastAsia="Calibri" w:cs="Times New Roman"/>
          <w:szCs w:val="20"/>
          <w:lang w:val="en-US"/>
        </w:rPr>
        <w:t>Furthermore</w:t>
      </w:r>
      <w:r w:rsidR="007B0DE4" w:rsidRPr="002433F3">
        <w:rPr>
          <w:rFonts w:eastAsia="Calibri" w:cs="Times New Roman"/>
          <w:szCs w:val="20"/>
          <w:lang w:val="en-US"/>
        </w:rPr>
        <w:t xml:space="preserve">, </w:t>
      </w:r>
      <w:r w:rsidR="002020CD" w:rsidRPr="002433F3">
        <w:rPr>
          <w:rFonts w:eastAsia="Calibri" w:cs="Times New Roman"/>
          <w:szCs w:val="20"/>
          <w:lang w:val="en-US"/>
        </w:rPr>
        <w:t xml:space="preserve">considering the </w:t>
      </w:r>
      <w:r w:rsidRPr="002433F3">
        <w:rPr>
          <w:rFonts w:eastAsia="Calibri" w:cs="Times New Roman"/>
          <w:szCs w:val="20"/>
          <w:lang w:val="en-US"/>
        </w:rPr>
        <w:t xml:space="preserve">Court’s </w:t>
      </w:r>
      <w:r w:rsidR="007B0DE4" w:rsidRPr="002433F3">
        <w:rPr>
          <w:rFonts w:eastAsia="Calibri" w:cs="Times New Roman"/>
          <w:szCs w:val="20"/>
          <w:lang w:val="en-US"/>
        </w:rPr>
        <w:t>autonomous nature</w:t>
      </w:r>
      <w:r w:rsidRPr="002433F3">
        <w:rPr>
          <w:rFonts w:eastAsia="Calibri" w:cs="Times New Roman"/>
          <w:szCs w:val="20"/>
          <w:lang w:val="en-US"/>
        </w:rPr>
        <w:t>,</w:t>
      </w:r>
      <w:r w:rsidR="001656A8">
        <w:rPr>
          <w:rFonts w:eastAsia="Calibri" w:cs="Times New Roman"/>
          <w:szCs w:val="20"/>
          <w:lang w:val="en-US"/>
        </w:rPr>
        <w:t xml:space="preserve"> in the exercise of </w:t>
      </w:r>
      <w:r w:rsidRPr="002433F3">
        <w:rPr>
          <w:rFonts w:eastAsia="Calibri" w:cs="Times New Roman"/>
          <w:szCs w:val="20"/>
          <w:lang w:val="en-US"/>
        </w:rPr>
        <w:t xml:space="preserve">its </w:t>
      </w:r>
      <w:r w:rsidR="007B0DE4" w:rsidRPr="002433F3">
        <w:rPr>
          <w:rFonts w:eastAsia="Calibri" w:cs="Times New Roman"/>
          <w:szCs w:val="20"/>
          <w:lang w:val="en-US"/>
        </w:rPr>
        <w:t xml:space="preserve">mission </w:t>
      </w:r>
      <w:r w:rsidRPr="002433F3">
        <w:rPr>
          <w:rFonts w:eastAsia="Calibri" w:cs="Times New Roman"/>
          <w:szCs w:val="20"/>
          <w:lang w:val="en-US"/>
        </w:rPr>
        <w:t xml:space="preserve">it has </w:t>
      </w:r>
      <w:r w:rsidR="007B0DE4" w:rsidRPr="002433F3">
        <w:rPr>
          <w:rFonts w:eastAsia="Calibri" w:cs="Times New Roman"/>
          <w:szCs w:val="20"/>
          <w:lang w:val="en-US"/>
        </w:rPr>
        <w:t xml:space="preserve">the special imperative </w:t>
      </w:r>
      <w:r w:rsidRPr="002433F3">
        <w:rPr>
          <w:rFonts w:eastAsia="Calibri" w:cs="Times New Roman"/>
          <w:szCs w:val="20"/>
          <w:lang w:val="en-US"/>
        </w:rPr>
        <w:t>of safeguarding</w:t>
      </w:r>
      <w:r w:rsidR="007B0DE4" w:rsidRPr="002433F3">
        <w:rPr>
          <w:rFonts w:eastAsia="Calibri" w:cs="Times New Roman"/>
          <w:szCs w:val="20"/>
          <w:lang w:val="en-US"/>
        </w:rPr>
        <w:t xml:space="preserve">, with particular </w:t>
      </w:r>
      <w:r w:rsidR="001F74DB" w:rsidRPr="002433F3">
        <w:rPr>
          <w:rFonts w:eastAsia="Calibri" w:cs="Times New Roman"/>
          <w:szCs w:val="20"/>
          <w:lang w:val="en-US"/>
        </w:rPr>
        <w:t xml:space="preserve">care </w:t>
      </w:r>
      <w:r w:rsidR="007B0DE4" w:rsidRPr="002433F3">
        <w:rPr>
          <w:rFonts w:eastAsia="Calibri" w:cs="Times New Roman"/>
          <w:szCs w:val="20"/>
          <w:lang w:val="en-US"/>
        </w:rPr>
        <w:t xml:space="preserve">and </w:t>
      </w:r>
      <w:r w:rsidRPr="002433F3">
        <w:rPr>
          <w:rFonts w:eastAsia="Calibri" w:cs="Times New Roman"/>
          <w:szCs w:val="20"/>
          <w:lang w:val="en-US"/>
        </w:rPr>
        <w:t xml:space="preserve">zeal, the </w:t>
      </w:r>
      <w:r w:rsidR="007C581D" w:rsidRPr="002433F3">
        <w:rPr>
          <w:rFonts w:eastAsia="Calibri" w:cs="Times New Roman"/>
          <w:szCs w:val="20"/>
          <w:lang w:val="en-US"/>
        </w:rPr>
        <w:t>limit</w:t>
      </w:r>
      <w:r w:rsidR="007B0DE4" w:rsidRPr="002433F3">
        <w:rPr>
          <w:rFonts w:eastAsia="Calibri" w:cs="Times New Roman"/>
          <w:szCs w:val="20"/>
          <w:lang w:val="en-US"/>
        </w:rPr>
        <w:t xml:space="preserve">s of </w:t>
      </w:r>
      <w:r w:rsidR="007C581D" w:rsidRPr="002433F3">
        <w:rPr>
          <w:rFonts w:eastAsia="Calibri" w:cs="Times New Roman"/>
          <w:szCs w:val="20"/>
          <w:lang w:val="en-US"/>
        </w:rPr>
        <w:t xml:space="preserve">its action </w:t>
      </w:r>
      <w:r w:rsidRPr="002433F3">
        <w:rPr>
          <w:rFonts w:eastAsia="Calibri" w:cs="Times New Roman"/>
          <w:szCs w:val="20"/>
          <w:lang w:val="en-US"/>
        </w:rPr>
        <w:t xml:space="preserve">as </w:t>
      </w:r>
      <w:r w:rsidR="007B0DE4" w:rsidRPr="002433F3">
        <w:rPr>
          <w:rFonts w:eastAsia="Calibri" w:cs="Times New Roman"/>
          <w:szCs w:val="20"/>
          <w:lang w:val="en-US"/>
        </w:rPr>
        <w:t>determin</w:t>
      </w:r>
      <w:r w:rsidR="001F74DB" w:rsidRPr="002433F3">
        <w:rPr>
          <w:rFonts w:eastAsia="Calibri" w:cs="Times New Roman"/>
          <w:szCs w:val="20"/>
          <w:lang w:val="en-US"/>
        </w:rPr>
        <w:t xml:space="preserve">ed </w:t>
      </w:r>
      <w:r w:rsidR="007B0DE4" w:rsidRPr="002433F3">
        <w:rPr>
          <w:rFonts w:eastAsia="Calibri" w:cs="Times New Roman"/>
          <w:szCs w:val="20"/>
          <w:lang w:val="en-US"/>
        </w:rPr>
        <w:t>by the Convention and, in gener</w:t>
      </w:r>
      <w:r w:rsidRPr="002433F3">
        <w:rPr>
          <w:rFonts w:eastAsia="Calibri" w:cs="Times New Roman"/>
          <w:szCs w:val="20"/>
          <w:lang w:val="en-US"/>
        </w:rPr>
        <w:t>al, by international l</w:t>
      </w:r>
      <w:r w:rsidR="000820B5" w:rsidRPr="002433F3">
        <w:rPr>
          <w:rFonts w:eastAsia="Calibri" w:cs="Times New Roman"/>
          <w:szCs w:val="20"/>
          <w:lang w:val="en-US"/>
        </w:rPr>
        <w:t xml:space="preserve">aw. </w:t>
      </w:r>
      <w:r w:rsidR="00A119BD" w:rsidRPr="002433F3">
        <w:rPr>
          <w:rFonts w:eastAsia="Calibri" w:cs="Times New Roman"/>
          <w:szCs w:val="20"/>
          <w:lang w:val="en-US"/>
        </w:rPr>
        <w:t xml:space="preserve">Under </w:t>
      </w:r>
      <w:r w:rsidR="007B0DE4" w:rsidRPr="002433F3">
        <w:rPr>
          <w:rFonts w:eastAsia="Calibri" w:cs="Times New Roman"/>
          <w:szCs w:val="20"/>
          <w:lang w:val="en-US"/>
        </w:rPr>
        <w:t>t</w:t>
      </w:r>
      <w:r w:rsidR="000820B5" w:rsidRPr="002433F3">
        <w:rPr>
          <w:rFonts w:eastAsia="Calibri" w:cs="Times New Roman"/>
          <w:szCs w:val="20"/>
          <w:lang w:val="en-US"/>
        </w:rPr>
        <w:t xml:space="preserve">hat </w:t>
      </w:r>
      <w:r w:rsidR="007B0DE4" w:rsidRPr="002433F3">
        <w:rPr>
          <w:rFonts w:eastAsia="Calibri" w:cs="Times New Roman"/>
          <w:szCs w:val="20"/>
          <w:lang w:val="en-US"/>
        </w:rPr>
        <w:t xml:space="preserve">perspective, </w:t>
      </w:r>
      <w:r w:rsidR="001656A8">
        <w:rPr>
          <w:rFonts w:eastAsia="Calibri" w:cs="Times New Roman"/>
          <w:szCs w:val="20"/>
          <w:lang w:val="en-US"/>
        </w:rPr>
        <w:t xml:space="preserve">this </w:t>
      </w:r>
      <w:r w:rsidR="007B0DE4" w:rsidRPr="002433F3">
        <w:rPr>
          <w:rFonts w:eastAsia="Calibri" w:cs="Times New Roman"/>
          <w:szCs w:val="20"/>
          <w:lang w:val="en-US"/>
        </w:rPr>
        <w:t xml:space="preserve">function </w:t>
      </w:r>
      <w:r w:rsidR="00A119BD" w:rsidRPr="002433F3">
        <w:rPr>
          <w:rFonts w:eastAsia="Calibri" w:cs="Times New Roman"/>
          <w:szCs w:val="20"/>
          <w:lang w:val="en-US"/>
        </w:rPr>
        <w:t>not only implies respecting</w:t>
      </w:r>
      <w:r w:rsidR="005423C1" w:rsidRPr="002433F3">
        <w:rPr>
          <w:rFonts w:eastAsia="Calibri" w:cs="Times New Roman"/>
          <w:szCs w:val="20"/>
          <w:lang w:val="en-US"/>
        </w:rPr>
        <w:t xml:space="preserve"> the </w:t>
      </w:r>
      <w:r w:rsidR="007B0DE4" w:rsidRPr="002433F3">
        <w:rPr>
          <w:rFonts w:eastAsia="Calibri" w:cs="Times New Roman"/>
          <w:szCs w:val="20"/>
          <w:lang w:val="en-US"/>
        </w:rPr>
        <w:t xml:space="preserve">principles of impartiality and legal certainty that should inspire </w:t>
      </w:r>
      <w:r w:rsidR="001F74DB" w:rsidRPr="002433F3">
        <w:rPr>
          <w:rFonts w:eastAsia="Calibri" w:cs="Times New Roman"/>
          <w:szCs w:val="20"/>
          <w:lang w:val="en-US"/>
        </w:rPr>
        <w:t xml:space="preserve">the entire </w:t>
      </w:r>
      <w:r w:rsidR="007B0DE4" w:rsidRPr="002433F3">
        <w:rPr>
          <w:rFonts w:eastAsia="Calibri" w:cs="Times New Roman"/>
          <w:szCs w:val="20"/>
          <w:lang w:val="en-US"/>
        </w:rPr>
        <w:t>jurisdictional</w:t>
      </w:r>
      <w:r w:rsidR="001F74DB" w:rsidRPr="002433F3">
        <w:rPr>
          <w:rFonts w:eastAsia="Calibri" w:cs="Times New Roman"/>
          <w:szCs w:val="20"/>
          <w:lang w:val="en-US"/>
        </w:rPr>
        <w:t xml:space="preserve"> system</w:t>
      </w:r>
      <w:r w:rsidR="00A119BD" w:rsidRPr="002433F3">
        <w:rPr>
          <w:rFonts w:eastAsia="Calibri" w:cs="Times New Roman"/>
          <w:szCs w:val="20"/>
          <w:lang w:val="en-US"/>
        </w:rPr>
        <w:t>,</w:t>
      </w:r>
      <w:r w:rsidR="007B0DE4" w:rsidRPr="002433F3">
        <w:rPr>
          <w:rFonts w:eastAsia="Calibri" w:cs="Times New Roman"/>
          <w:szCs w:val="20"/>
          <w:lang w:val="en-US"/>
        </w:rPr>
        <w:t xml:space="preserve"> </w:t>
      </w:r>
      <w:r w:rsidR="00A119BD" w:rsidRPr="002433F3">
        <w:rPr>
          <w:rFonts w:eastAsia="Calibri" w:cs="Times New Roman"/>
          <w:szCs w:val="20"/>
          <w:lang w:val="en-US"/>
        </w:rPr>
        <w:t xml:space="preserve">but also, </w:t>
      </w:r>
      <w:r w:rsidR="007B0DE4" w:rsidRPr="002433F3">
        <w:rPr>
          <w:rFonts w:eastAsia="Calibri" w:cs="Times New Roman"/>
          <w:szCs w:val="20"/>
          <w:lang w:val="en-US"/>
        </w:rPr>
        <w:t xml:space="preserve">fundamentally, </w:t>
      </w:r>
      <w:r w:rsidR="00A119BD" w:rsidRPr="002433F3">
        <w:rPr>
          <w:rFonts w:eastAsia="Calibri" w:cs="Times New Roman"/>
          <w:szCs w:val="20"/>
          <w:lang w:val="en-US"/>
        </w:rPr>
        <w:t xml:space="preserve">of providing full </w:t>
      </w:r>
      <w:r w:rsidR="007B0DE4" w:rsidRPr="002433F3">
        <w:rPr>
          <w:rFonts w:eastAsia="Calibri" w:cs="Times New Roman"/>
          <w:szCs w:val="20"/>
          <w:lang w:val="en-US"/>
        </w:rPr>
        <w:t>guarantee</w:t>
      </w:r>
      <w:r w:rsidR="00A119BD" w:rsidRPr="002433F3">
        <w:rPr>
          <w:rFonts w:eastAsia="Calibri" w:cs="Times New Roman"/>
          <w:szCs w:val="20"/>
          <w:lang w:val="en-US"/>
        </w:rPr>
        <w:t xml:space="preserve">s of the </w:t>
      </w:r>
      <w:r w:rsidR="007B0DE4" w:rsidRPr="002433F3">
        <w:rPr>
          <w:rFonts w:eastAsia="Calibri" w:cs="Times New Roman"/>
          <w:szCs w:val="20"/>
          <w:lang w:val="en-US"/>
        </w:rPr>
        <w:t xml:space="preserve">effective </w:t>
      </w:r>
      <w:r w:rsidR="000820B5" w:rsidRPr="002433F3">
        <w:rPr>
          <w:rFonts w:eastAsia="Calibri" w:cs="Times New Roman"/>
          <w:szCs w:val="20"/>
          <w:lang w:val="en-US"/>
        </w:rPr>
        <w:t xml:space="preserve">exercise of </w:t>
      </w:r>
      <w:r w:rsidR="007B0DE4" w:rsidRPr="002433F3">
        <w:rPr>
          <w:rFonts w:eastAsia="Calibri" w:cs="Times New Roman"/>
          <w:szCs w:val="20"/>
          <w:lang w:val="en-US"/>
        </w:rPr>
        <w:t xml:space="preserve">human rights and, </w:t>
      </w:r>
      <w:r w:rsidR="00A119BD" w:rsidRPr="002433F3">
        <w:rPr>
          <w:rFonts w:eastAsia="Calibri" w:cs="Times New Roman"/>
          <w:szCs w:val="20"/>
          <w:lang w:val="en-US"/>
        </w:rPr>
        <w:t xml:space="preserve">where </w:t>
      </w:r>
      <w:r w:rsidR="007B0DE4" w:rsidRPr="002433F3">
        <w:rPr>
          <w:rFonts w:eastAsia="Calibri" w:cs="Times New Roman"/>
          <w:szCs w:val="20"/>
          <w:lang w:val="en-US"/>
        </w:rPr>
        <w:t xml:space="preserve">these have been breached, </w:t>
      </w:r>
      <w:r w:rsidR="00A119BD" w:rsidRPr="002433F3">
        <w:rPr>
          <w:rFonts w:eastAsia="Calibri" w:cs="Times New Roman"/>
          <w:szCs w:val="20"/>
          <w:lang w:val="en-US"/>
        </w:rPr>
        <w:t xml:space="preserve">ensuring </w:t>
      </w:r>
      <w:r w:rsidR="007B0DE4" w:rsidRPr="002433F3">
        <w:rPr>
          <w:rFonts w:eastAsia="Calibri" w:cs="Times New Roman"/>
          <w:szCs w:val="20"/>
          <w:lang w:val="en-US"/>
        </w:rPr>
        <w:t xml:space="preserve">their prompt reestablishment. </w:t>
      </w:r>
    </w:p>
    <w:p w14:paraId="785EF9C6" w14:textId="77777777" w:rsidR="007B0DE4" w:rsidRPr="002433F3" w:rsidRDefault="001656A8" w:rsidP="007B0DE4">
      <w:pPr>
        <w:spacing w:before="240" w:after="200"/>
        <w:rPr>
          <w:rFonts w:eastAsia="Calibri" w:cs="Times New Roman"/>
          <w:szCs w:val="20"/>
          <w:lang w:val="en-US"/>
        </w:rPr>
      </w:pPr>
      <w:r>
        <w:rPr>
          <w:rFonts w:eastAsia="Calibri" w:cs="Times New Roman"/>
          <w:szCs w:val="20"/>
          <w:lang w:val="en-US"/>
        </w:rPr>
        <w:lastRenderedPageBreak/>
        <w:t>Accordingly</w:t>
      </w:r>
      <w:r w:rsidR="007B0DE4" w:rsidRPr="002433F3">
        <w:rPr>
          <w:rFonts w:eastAsia="Calibri" w:cs="Times New Roman"/>
          <w:szCs w:val="20"/>
          <w:lang w:val="en-US"/>
        </w:rPr>
        <w:t xml:space="preserve">, </w:t>
      </w:r>
      <w:r w:rsidR="000A7A70" w:rsidRPr="002433F3">
        <w:rPr>
          <w:rFonts w:eastAsia="Calibri" w:cs="Times New Roman"/>
          <w:szCs w:val="20"/>
          <w:lang w:val="en-US"/>
        </w:rPr>
        <w:t xml:space="preserve">I issue </w:t>
      </w:r>
      <w:r w:rsidR="002020CD" w:rsidRPr="002433F3">
        <w:rPr>
          <w:rFonts w:eastAsia="Calibri" w:cs="Times New Roman"/>
          <w:szCs w:val="20"/>
          <w:lang w:val="en-US"/>
        </w:rPr>
        <w:t xml:space="preserve">this opinion </w:t>
      </w:r>
      <w:r w:rsidR="002411F8" w:rsidRPr="002433F3">
        <w:rPr>
          <w:rFonts w:eastAsia="Calibri" w:cs="Times New Roman"/>
          <w:szCs w:val="20"/>
          <w:lang w:val="en-US"/>
        </w:rPr>
        <w:t xml:space="preserve">setting aside </w:t>
      </w:r>
      <w:r w:rsidR="000A7A70" w:rsidRPr="002433F3">
        <w:rPr>
          <w:rFonts w:eastAsia="Calibri" w:cs="Times New Roman"/>
          <w:szCs w:val="20"/>
          <w:lang w:val="en-US"/>
        </w:rPr>
        <w:t xml:space="preserve">personal </w:t>
      </w:r>
      <w:r w:rsidR="002411F8" w:rsidRPr="002433F3">
        <w:rPr>
          <w:rFonts w:eastAsia="Calibri" w:cs="Times New Roman"/>
          <w:szCs w:val="20"/>
          <w:lang w:val="en-US"/>
        </w:rPr>
        <w:t xml:space="preserve">preferences </w:t>
      </w:r>
      <w:r w:rsidR="007B0DE4" w:rsidRPr="002433F3">
        <w:rPr>
          <w:rFonts w:eastAsia="Calibri" w:cs="Times New Roman"/>
          <w:szCs w:val="20"/>
          <w:lang w:val="en-US"/>
        </w:rPr>
        <w:t>and extraju</w:t>
      </w:r>
      <w:r w:rsidR="002E25D0" w:rsidRPr="002433F3">
        <w:rPr>
          <w:rFonts w:eastAsia="Calibri" w:cs="Times New Roman"/>
          <w:szCs w:val="20"/>
          <w:lang w:val="en-US"/>
        </w:rPr>
        <w:t xml:space="preserve">dicial </w:t>
      </w:r>
      <w:r w:rsidR="002020CD" w:rsidRPr="002433F3">
        <w:rPr>
          <w:rFonts w:eastAsia="Calibri" w:cs="Times New Roman"/>
          <w:szCs w:val="20"/>
          <w:lang w:val="en-US"/>
        </w:rPr>
        <w:t xml:space="preserve">considerations </w:t>
      </w:r>
      <w:r w:rsidR="007B0DE4" w:rsidRPr="002433F3">
        <w:rPr>
          <w:rFonts w:eastAsia="Calibri" w:cs="Times New Roman"/>
          <w:szCs w:val="20"/>
          <w:lang w:val="en-US"/>
        </w:rPr>
        <w:t>regarding what t</w:t>
      </w:r>
      <w:r w:rsidR="005759CC" w:rsidRPr="002433F3">
        <w:rPr>
          <w:rFonts w:eastAsia="Calibri" w:cs="Times New Roman"/>
          <w:szCs w:val="20"/>
          <w:lang w:val="en-US"/>
        </w:rPr>
        <w:t>he Convention and, in general, international l</w:t>
      </w:r>
      <w:r w:rsidR="007B0DE4" w:rsidRPr="002433F3">
        <w:rPr>
          <w:rFonts w:eastAsia="Calibri" w:cs="Times New Roman"/>
          <w:szCs w:val="20"/>
          <w:lang w:val="en-US"/>
        </w:rPr>
        <w:t>aw</w:t>
      </w:r>
      <w:r>
        <w:rPr>
          <w:rFonts w:eastAsia="Calibri" w:cs="Times New Roman"/>
          <w:szCs w:val="20"/>
          <w:lang w:val="en-US"/>
        </w:rPr>
        <w:t>,</w:t>
      </w:r>
      <w:r w:rsidR="007B0DE4" w:rsidRPr="002433F3">
        <w:rPr>
          <w:rFonts w:eastAsia="Calibri" w:cs="Times New Roman"/>
          <w:szCs w:val="20"/>
          <w:lang w:val="en-US"/>
        </w:rPr>
        <w:t xml:space="preserve"> </w:t>
      </w:r>
      <w:r w:rsidR="000A7A70" w:rsidRPr="002433F3">
        <w:rPr>
          <w:rFonts w:eastAsia="Calibri" w:cs="Times New Roman"/>
          <w:szCs w:val="20"/>
          <w:lang w:val="en-US"/>
        </w:rPr>
        <w:t xml:space="preserve">should </w:t>
      </w:r>
      <w:r>
        <w:rPr>
          <w:rFonts w:eastAsia="Calibri" w:cs="Times New Roman"/>
          <w:szCs w:val="20"/>
          <w:lang w:val="en-US"/>
        </w:rPr>
        <w:t xml:space="preserve">mandate </w:t>
      </w:r>
      <w:r w:rsidR="002E25D0" w:rsidRPr="002433F3">
        <w:rPr>
          <w:rFonts w:eastAsia="Calibri" w:cs="Times New Roman"/>
          <w:szCs w:val="20"/>
          <w:lang w:val="en-US"/>
        </w:rPr>
        <w:t xml:space="preserve">in relation to </w:t>
      </w:r>
      <w:r w:rsidR="007B0DE4" w:rsidRPr="002433F3">
        <w:rPr>
          <w:rFonts w:eastAsia="Calibri" w:cs="Times New Roman"/>
          <w:szCs w:val="20"/>
          <w:lang w:val="en-US"/>
        </w:rPr>
        <w:t xml:space="preserve">the </w:t>
      </w:r>
      <w:r w:rsidR="000820B5" w:rsidRPr="002433F3">
        <w:rPr>
          <w:rFonts w:eastAsia="Calibri" w:cs="Times New Roman"/>
          <w:szCs w:val="20"/>
          <w:lang w:val="en-US"/>
        </w:rPr>
        <w:t xml:space="preserve">issue </w:t>
      </w:r>
      <w:r w:rsidR="00926355" w:rsidRPr="002433F3">
        <w:rPr>
          <w:rFonts w:eastAsia="Calibri" w:cs="Times New Roman"/>
          <w:szCs w:val="20"/>
          <w:lang w:val="en-US"/>
        </w:rPr>
        <w:t>at hand</w:t>
      </w:r>
      <w:r w:rsidR="002E25D0" w:rsidRPr="002433F3">
        <w:rPr>
          <w:rFonts w:eastAsia="Calibri" w:cs="Times New Roman"/>
          <w:szCs w:val="20"/>
          <w:lang w:val="en-US"/>
        </w:rPr>
        <w:t>.</w:t>
      </w:r>
      <w:r w:rsidR="007B0DE4" w:rsidRPr="002433F3">
        <w:rPr>
          <w:rFonts w:eastAsia="Calibri" w:cs="Times New Roman"/>
          <w:szCs w:val="20"/>
          <w:lang w:val="en-US"/>
        </w:rPr>
        <w:t xml:space="preserve"> </w:t>
      </w:r>
      <w:r w:rsidR="002E25D0" w:rsidRPr="002433F3">
        <w:rPr>
          <w:rFonts w:eastAsia="Calibri" w:cs="Times New Roman"/>
          <w:szCs w:val="20"/>
          <w:lang w:val="en-US"/>
        </w:rPr>
        <w:t>My aim is also to contribute</w:t>
      </w:r>
      <w:r w:rsidR="007B0DE4" w:rsidRPr="002433F3">
        <w:rPr>
          <w:rFonts w:eastAsia="Calibri" w:cs="Times New Roman"/>
          <w:szCs w:val="20"/>
          <w:lang w:val="en-US"/>
        </w:rPr>
        <w:t xml:space="preserve"> to a better understanding of th</w:t>
      </w:r>
      <w:r w:rsidR="000820B5" w:rsidRPr="002433F3">
        <w:rPr>
          <w:rFonts w:eastAsia="Calibri" w:cs="Times New Roman"/>
          <w:szCs w:val="20"/>
          <w:lang w:val="en-US"/>
        </w:rPr>
        <w:t xml:space="preserve">e scope of the </w:t>
      </w:r>
      <w:r w:rsidR="007B0DE4" w:rsidRPr="002433F3">
        <w:rPr>
          <w:rFonts w:eastAsia="Calibri" w:cs="Times New Roman"/>
          <w:szCs w:val="20"/>
          <w:lang w:val="en-US"/>
        </w:rPr>
        <w:t>Judgment and to the development of the Court’s jurisprudence.</w:t>
      </w:r>
    </w:p>
    <w:p w14:paraId="6EA12879" w14:textId="77777777" w:rsidR="007B0DE4" w:rsidRPr="002433F3" w:rsidRDefault="007B0DE4" w:rsidP="007B0DE4">
      <w:pPr>
        <w:spacing w:before="240" w:after="200"/>
        <w:rPr>
          <w:rFonts w:eastAsia="Calibri" w:cs="Times New Roman"/>
          <w:szCs w:val="20"/>
          <w:lang w:val="en-US"/>
        </w:rPr>
      </w:pPr>
      <w:r w:rsidRPr="002433F3">
        <w:rPr>
          <w:rFonts w:eastAsia="Calibri" w:cs="Times New Roman"/>
          <w:szCs w:val="20"/>
          <w:lang w:val="en-US"/>
        </w:rPr>
        <w:t xml:space="preserve">It is appropriate to </w:t>
      </w:r>
      <w:r w:rsidR="000820B5" w:rsidRPr="002433F3">
        <w:rPr>
          <w:rFonts w:eastAsia="Calibri" w:cs="Times New Roman"/>
          <w:szCs w:val="20"/>
          <w:lang w:val="en-US"/>
        </w:rPr>
        <w:t xml:space="preserve">place on the record </w:t>
      </w:r>
      <w:r w:rsidRPr="002433F3">
        <w:rPr>
          <w:rFonts w:eastAsia="Calibri" w:cs="Times New Roman"/>
          <w:szCs w:val="20"/>
          <w:lang w:val="en-US"/>
        </w:rPr>
        <w:t xml:space="preserve">that, although I </w:t>
      </w:r>
      <w:r w:rsidR="00926355" w:rsidRPr="002433F3">
        <w:rPr>
          <w:rFonts w:eastAsia="Calibri" w:cs="Times New Roman"/>
          <w:szCs w:val="20"/>
          <w:lang w:val="en-US"/>
        </w:rPr>
        <w:t xml:space="preserve">also </w:t>
      </w:r>
      <w:r w:rsidRPr="002433F3">
        <w:rPr>
          <w:rFonts w:eastAsia="Calibri" w:cs="Times New Roman"/>
          <w:szCs w:val="20"/>
          <w:lang w:val="en-US"/>
        </w:rPr>
        <w:t>disagree with s</w:t>
      </w:r>
      <w:r w:rsidR="000820B5" w:rsidRPr="002433F3">
        <w:rPr>
          <w:rFonts w:eastAsia="Calibri" w:cs="Times New Roman"/>
          <w:szCs w:val="20"/>
          <w:lang w:val="en-US"/>
        </w:rPr>
        <w:t xml:space="preserve">ome </w:t>
      </w:r>
      <w:r w:rsidRPr="002433F3">
        <w:rPr>
          <w:rFonts w:eastAsia="Calibri" w:cs="Times New Roman"/>
          <w:szCs w:val="20"/>
          <w:lang w:val="en-US"/>
        </w:rPr>
        <w:t xml:space="preserve">of the grounds – though not with the decision – for </w:t>
      </w:r>
      <w:r w:rsidR="00140746" w:rsidRPr="002433F3">
        <w:rPr>
          <w:rFonts w:eastAsia="Calibri" w:cs="Times New Roman"/>
          <w:szCs w:val="20"/>
          <w:lang w:val="en-US"/>
        </w:rPr>
        <w:t xml:space="preserve">dismissing </w:t>
      </w:r>
      <w:r w:rsidRPr="002433F3">
        <w:rPr>
          <w:rFonts w:eastAsia="Calibri" w:cs="Times New Roman"/>
          <w:szCs w:val="20"/>
          <w:lang w:val="en-US"/>
        </w:rPr>
        <w:t xml:space="preserve">the preliminary objections regarding prior exhaustion of domestic remedies filed by Colombia (hereinafter “the State”), </w:t>
      </w:r>
      <w:r w:rsidR="005423C1" w:rsidRPr="002433F3">
        <w:rPr>
          <w:rFonts w:eastAsia="Calibri" w:cs="Times New Roman"/>
          <w:szCs w:val="20"/>
          <w:lang w:val="en-US"/>
        </w:rPr>
        <w:t xml:space="preserve">I </w:t>
      </w:r>
      <w:r w:rsidR="00926355" w:rsidRPr="002433F3">
        <w:rPr>
          <w:rFonts w:eastAsia="Calibri" w:cs="Times New Roman"/>
          <w:szCs w:val="20"/>
          <w:lang w:val="en-US"/>
        </w:rPr>
        <w:t>have chosen not to refer to that</w:t>
      </w:r>
      <w:r w:rsidR="005423C1" w:rsidRPr="002433F3">
        <w:rPr>
          <w:rFonts w:eastAsia="Calibri" w:cs="Times New Roman"/>
          <w:szCs w:val="20"/>
          <w:lang w:val="en-US"/>
        </w:rPr>
        <w:t xml:space="preserve"> matter in </w:t>
      </w:r>
      <w:r w:rsidRPr="002433F3">
        <w:rPr>
          <w:rFonts w:eastAsia="Calibri" w:cs="Times New Roman"/>
          <w:szCs w:val="20"/>
          <w:lang w:val="en-US"/>
        </w:rPr>
        <w:t>this opinion,</w:t>
      </w:r>
      <w:r w:rsidRPr="002433F3">
        <w:rPr>
          <w:rFonts w:eastAsia="Calibri" w:cs="Times New Roman"/>
          <w:szCs w:val="20"/>
          <w:vertAlign w:val="superscript"/>
          <w:lang w:val="en-US"/>
        </w:rPr>
        <w:footnoteReference w:id="185"/>
      </w:r>
      <w:r w:rsidRPr="002433F3">
        <w:rPr>
          <w:rFonts w:eastAsia="Calibri" w:cs="Times New Roman"/>
          <w:szCs w:val="20"/>
          <w:lang w:val="en-US"/>
        </w:rPr>
        <w:t xml:space="preserve"> </w:t>
      </w:r>
      <w:r w:rsidR="00926355" w:rsidRPr="002433F3">
        <w:rPr>
          <w:rFonts w:eastAsia="Calibri" w:cs="Times New Roman"/>
          <w:szCs w:val="20"/>
          <w:lang w:val="en-US"/>
        </w:rPr>
        <w:t xml:space="preserve">considering </w:t>
      </w:r>
      <w:r w:rsidRPr="002433F3">
        <w:rPr>
          <w:rFonts w:eastAsia="Calibri" w:cs="Times New Roman"/>
          <w:szCs w:val="20"/>
          <w:lang w:val="en-US"/>
        </w:rPr>
        <w:t xml:space="preserve">the </w:t>
      </w:r>
      <w:r w:rsidR="001656A8">
        <w:rPr>
          <w:rFonts w:eastAsia="Calibri" w:cs="Times New Roman"/>
          <w:szCs w:val="20"/>
          <w:lang w:val="en-US"/>
        </w:rPr>
        <w:t>importance of the decision</w:t>
      </w:r>
      <w:r w:rsidR="00031572" w:rsidRPr="002433F3">
        <w:rPr>
          <w:rFonts w:eastAsia="Calibri" w:cs="Times New Roman"/>
          <w:szCs w:val="20"/>
          <w:lang w:val="en-US"/>
        </w:rPr>
        <w:t xml:space="preserve"> adopted </w:t>
      </w:r>
      <w:r w:rsidR="0032433A" w:rsidRPr="002433F3">
        <w:rPr>
          <w:rFonts w:eastAsia="Calibri" w:cs="Times New Roman"/>
          <w:szCs w:val="20"/>
          <w:lang w:val="en-US"/>
        </w:rPr>
        <w:t xml:space="preserve">in the </w:t>
      </w:r>
      <w:r w:rsidRPr="002433F3">
        <w:rPr>
          <w:rFonts w:eastAsia="Calibri" w:cs="Times New Roman"/>
          <w:szCs w:val="20"/>
          <w:lang w:val="en-US"/>
        </w:rPr>
        <w:t>Judgment</w:t>
      </w:r>
      <w:r w:rsidR="001656A8">
        <w:rPr>
          <w:rFonts w:eastAsia="Calibri" w:cs="Times New Roman"/>
          <w:szCs w:val="20"/>
          <w:lang w:val="en-US"/>
        </w:rPr>
        <w:t xml:space="preserve"> </w:t>
      </w:r>
      <w:r w:rsidR="001656A8" w:rsidRPr="002433F3">
        <w:rPr>
          <w:rFonts w:eastAsia="Calibri" w:cs="Times New Roman"/>
          <w:szCs w:val="20"/>
          <w:lang w:val="en-US"/>
        </w:rPr>
        <w:t xml:space="preserve">in </w:t>
      </w:r>
      <w:r w:rsidR="001656A8">
        <w:rPr>
          <w:rFonts w:eastAsia="Calibri" w:cs="Times New Roman"/>
          <w:szCs w:val="20"/>
          <w:lang w:val="en-US"/>
        </w:rPr>
        <w:t xml:space="preserve">its </w:t>
      </w:r>
      <w:r w:rsidR="001656A8" w:rsidRPr="002433F3">
        <w:rPr>
          <w:rFonts w:eastAsia="Calibri" w:cs="Times New Roman"/>
          <w:szCs w:val="20"/>
          <w:lang w:val="en-US"/>
        </w:rPr>
        <w:t xml:space="preserve">essential </w:t>
      </w:r>
      <w:r w:rsidR="001656A8">
        <w:rPr>
          <w:rFonts w:eastAsia="Calibri" w:cs="Times New Roman"/>
          <w:szCs w:val="20"/>
          <w:lang w:val="en-US"/>
        </w:rPr>
        <w:t>terms</w:t>
      </w:r>
      <w:r w:rsidRPr="002433F3">
        <w:rPr>
          <w:rFonts w:eastAsia="Calibri" w:cs="Times New Roman"/>
          <w:szCs w:val="20"/>
          <w:lang w:val="en-US"/>
        </w:rPr>
        <w:t xml:space="preserve">. </w:t>
      </w:r>
    </w:p>
    <w:p w14:paraId="379A9A6D" w14:textId="77777777" w:rsidR="007B0DE4" w:rsidRPr="002433F3" w:rsidRDefault="007B0DE4" w:rsidP="007B0DE4">
      <w:pPr>
        <w:spacing w:after="240"/>
        <w:rPr>
          <w:rFonts w:eastAsia="Calibri" w:cs="Tahoma"/>
          <w:szCs w:val="20"/>
          <w:lang w:val="en-US"/>
        </w:rPr>
      </w:pPr>
      <w:r w:rsidRPr="002433F3">
        <w:rPr>
          <w:rFonts w:eastAsia="Calibri" w:cs="Times New Roman"/>
          <w:szCs w:val="20"/>
          <w:lang w:val="en-US"/>
        </w:rPr>
        <w:t xml:space="preserve">That said, </w:t>
      </w:r>
      <w:r w:rsidR="005759CC" w:rsidRPr="002433F3">
        <w:rPr>
          <w:rFonts w:eastAsia="Calibri" w:cs="Times New Roman"/>
          <w:szCs w:val="20"/>
          <w:lang w:val="en-US"/>
        </w:rPr>
        <w:t xml:space="preserve">I disagree with the </w:t>
      </w:r>
      <w:r w:rsidR="00031572" w:rsidRPr="002433F3">
        <w:rPr>
          <w:rFonts w:eastAsia="Calibri" w:cs="Times New Roman"/>
          <w:szCs w:val="20"/>
          <w:lang w:val="en-US"/>
        </w:rPr>
        <w:t xml:space="preserve">ruling </w:t>
      </w:r>
      <w:r w:rsidRPr="002433F3">
        <w:rPr>
          <w:rFonts w:eastAsia="Calibri" w:cs="Times New Roman"/>
          <w:szCs w:val="20"/>
          <w:lang w:val="en-US"/>
        </w:rPr>
        <w:t xml:space="preserve">in this case </w:t>
      </w:r>
      <w:r w:rsidR="000820B5" w:rsidRPr="002433F3">
        <w:rPr>
          <w:rFonts w:eastAsia="Calibri" w:cs="Times New Roman"/>
          <w:szCs w:val="20"/>
          <w:lang w:val="en-US"/>
        </w:rPr>
        <w:t>because, in the f</w:t>
      </w:r>
      <w:r w:rsidR="005D6D7C" w:rsidRPr="002433F3">
        <w:rPr>
          <w:rFonts w:eastAsia="Calibri" w:cs="Times New Roman"/>
          <w:szCs w:val="20"/>
          <w:lang w:val="en-US"/>
        </w:rPr>
        <w:t xml:space="preserve">irst place, the </w:t>
      </w:r>
      <w:r w:rsidRPr="002433F3">
        <w:rPr>
          <w:rFonts w:eastAsia="Calibri" w:cs="Times New Roman"/>
          <w:szCs w:val="20"/>
          <w:lang w:val="en-US"/>
        </w:rPr>
        <w:t xml:space="preserve">claims made </w:t>
      </w:r>
      <w:r w:rsidR="00031572" w:rsidRPr="002433F3">
        <w:rPr>
          <w:rFonts w:eastAsia="Calibri" w:cs="Times New Roman"/>
          <w:szCs w:val="20"/>
          <w:lang w:val="en-US"/>
        </w:rPr>
        <w:t xml:space="preserve">in the application </w:t>
      </w:r>
      <w:r w:rsidRPr="002433F3">
        <w:rPr>
          <w:rFonts w:eastAsia="Calibri" w:cs="Times New Roman"/>
          <w:szCs w:val="20"/>
          <w:lang w:val="en-US"/>
        </w:rPr>
        <w:t xml:space="preserve">were fully </w:t>
      </w:r>
      <w:r w:rsidRPr="002433F3">
        <w:rPr>
          <w:rFonts w:eastAsia="Calibri" w:cs="Times New Roman"/>
          <w:iCs/>
          <w:color w:val="000000"/>
          <w:szCs w:val="20"/>
          <w:lang w:val="en-US"/>
        </w:rPr>
        <w:t xml:space="preserve">satisfied prior to the Judgment </w:t>
      </w:r>
      <w:r w:rsidRPr="002433F3">
        <w:rPr>
          <w:rFonts w:eastAsia="Calibri" w:cs="Times New Roman"/>
          <w:szCs w:val="20"/>
          <w:lang w:val="en-US"/>
        </w:rPr>
        <w:t>(</w:t>
      </w:r>
      <w:r w:rsidR="003A4B66" w:rsidRPr="002433F3">
        <w:rPr>
          <w:rFonts w:eastAsia="Calibri" w:cs="Times New Roman"/>
          <w:i/>
          <w:szCs w:val="20"/>
          <w:lang w:val="en-US"/>
        </w:rPr>
        <w:t>litigious purpose</w:t>
      </w:r>
      <w:r w:rsidRPr="002433F3">
        <w:rPr>
          <w:rFonts w:eastAsia="Calibri" w:cs="Times New Roman"/>
          <w:i/>
          <w:iCs/>
          <w:color w:val="000000"/>
          <w:szCs w:val="20"/>
          <w:lang w:val="en-US"/>
        </w:rPr>
        <w:t>)</w:t>
      </w:r>
      <w:r w:rsidR="000820B5" w:rsidRPr="002433F3">
        <w:rPr>
          <w:rFonts w:eastAsia="Calibri" w:cs="Times New Roman"/>
          <w:i/>
          <w:iCs/>
          <w:color w:val="000000"/>
          <w:szCs w:val="20"/>
          <w:lang w:val="en-US"/>
        </w:rPr>
        <w:t>.</w:t>
      </w:r>
      <w:r w:rsidR="000820B5" w:rsidRPr="002433F3">
        <w:rPr>
          <w:rFonts w:eastAsia="Calibri" w:cs="Times New Roman"/>
          <w:iCs/>
          <w:color w:val="000000"/>
          <w:szCs w:val="20"/>
          <w:lang w:val="en-US"/>
        </w:rPr>
        <w:t xml:space="preserve"> I</w:t>
      </w:r>
      <w:r w:rsidRPr="002433F3">
        <w:rPr>
          <w:rFonts w:eastAsia="Calibri" w:cs="Times New Roman"/>
          <w:iCs/>
          <w:color w:val="000000"/>
          <w:szCs w:val="20"/>
          <w:lang w:val="en-US"/>
        </w:rPr>
        <w:t xml:space="preserve">n </w:t>
      </w:r>
      <w:r w:rsidR="000820B5" w:rsidRPr="002433F3">
        <w:rPr>
          <w:rFonts w:eastAsia="Calibri" w:cs="Times New Roman"/>
          <w:iCs/>
          <w:color w:val="000000"/>
          <w:szCs w:val="20"/>
          <w:lang w:val="en-US"/>
        </w:rPr>
        <w:t xml:space="preserve">the </w:t>
      </w:r>
      <w:r w:rsidRPr="002433F3">
        <w:rPr>
          <w:rFonts w:eastAsia="Calibri" w:cs="Times New Roman"/>
          <w:iCs/>
          <w:color w:val="000000"/>
          <w:szCs w:val="20"/>
          <w:lang w:val="en-US"/>
        </w:rPr>
        <w:t xml:space="preserve">second place, </w:t>
      </w:r>
      <w:r w:rsidR="000820B5" w:rsidRPr="002433F3">
        <w:rPr>
          <w:rFonts w:eastAsia="Calibri" w:cs="Times New Roman"/>
          <w:iCs/>
          <w:color w:val="000000"/>
          <w:szCs w:val="20"/>
          <w:lang w:val="en-US"/>
        </w:rPr>
        <w:t xml:space="preserve">no </w:t>
      </w:r>
      <w:r w:rsidRPr="002433F3">
        <w:rPr>
          <w:rFonts w:eastAsia="Calibri" w:cs="Times New Roman"/>
          <w:iCs/>
          <w:color w:val="000000"/>
          <w:szCs w:val="20"/>
          <w:lang w:val="en-US"/>
        </w:rPr>
        <w:t xml:space="preserve">international legal obligation </w:t>
      </w:r>
      <w:r w:rsidR="00031572" w:rsidRPr="002433F3">
        <w:rPr>
          <w:rFonts w:eastAsia="Calibri" w:cs="Times New Roman"/>
          <w:iCs/>
          <w:color w:val="000000"/>
          <w:szCs w:val="20"/>
          <w:lang w:val="en-US"/>
        </w:rPr>
        <w:t xml:space="preserve">was </w:t>
      </w:r>
      <w:r w:rsidRPr="002433F3">
        <w:rPr>
          <w:rFonts w:eastAsia="Calibri" w:cs="Times New Roman"/>
          <w:iCs/>
          <w:color w:val="000000"/>
          <w:szCs w:val="20"/>
          <w:lang w:val="en-US"/>
        </w:rPr>
        <w:t xml:space="preserve">invoked </w:t>
      </w:r>
      <w:r w:rsidR="00031572" w:rsidRPr="002433F3">
        <w:rPr>
          <w:rFonts w:eastAsia="Calibri" w:cs="Times New Roman"/>
          <w:iCs/>
          <w:color w:val="000000"/>
          <w:szCs w:val="20"/>
          <w:lang w:val="en-US"/>
        </w:rPr>
        <w:t xml:space="preserve">for the Court </w:t>
      </w:r>
      <w:r w:rsidRPr="002433F3">
        <w:rPr>
          <w:rFonts w:eastAsia="Calibri" w:cs="Times New Roman"/>
          <w:iCs/>
          <w:color w:val="000000"/>
          <w:szCs w:val="20"/>
          <w:lang w:val="en-US"/>
        </w:rPr>
        <w:t xml:space="preserve">to rule </w:t>
      </w:r>
      <w:r w:rsidRPr="002433F3">
        <w:rPr>
          <w:rFonts w:eastAsia="Calibri" w:cs="Tahoma"/>
          <w:szCs w:val="20"/>
          <w:lang w:val="en-US"/>
        </w:rPr>
        <w:t xml:space="preserve">as </w:t>
      </w:r>
      <w:r w:rsidR="006E11A3" w:rsidRPr="002433F3">
        <w:rPr>
          <w:rFonts w:eastAsia="Calibri" w:cs="Tahoma"/>
          <w:szCs w:val="20"/>
          <w:lang w:val="en-US"/>
        </w:rPr>
        <w:t xml:space="preserve">it has </w:t>
      </w:r>
      <w:r w:rsidRPr="002433F3">
        <w:rPr>
          <w:rFonts w:eastAsia="Calibri" w:cs="Tahoma"/>
          <w:i/>
          <w:szCs w:val="20"/>
          <w:lang w:val="en-US"/>
        </w:rPr>
        <w:t>(causa petendi)</w:t>
      </w:r>
      <w:r w:rsidRPr="002433F3">
        <w:rPr>
          <w:rFonts w:eastAsia="Calibri" w:cs="Tahoma"/>
          <w:szCs w:val="20"/>
          <w:lang w:val="en-US"/>
        </w:rPr>
        <w:t xml:space="preserve"> and</w:t>
      </w:r>
      <w:r w:rsidR="005759CC" w:rsidRPr="002433F3">
        <w:rPr>
          <w:rFonts w:eastAsia="Calibri" w:cs="Tahoma"/>
          <w:szCs w:val="20"/>
          <w:lang w:val="en-US"/>
        </w:rPr>
        <w:t xml:space="preserve"> </w:t>
      </w:r>
      <w:r w:rsidR="00031572" w:rsidRPr="002433F3">
        <w:rPr>
          <w:rFonts w:eastAsia="Calibri" w:cs="Tahoma"/>
          <w:szCs w:val="20"/>
          <w:lang w:val="en-US"/>
        </w:rPr>
        <w:t xml:space="preserve">also </w:t>
      </w:r>
      <w:r w:rsidR="005759CC" w:rsidRPr="002433F3">
        <w:rPr>
          <w:rFonts w:eastAsia="Calibri" w:cs="Tahoma"/>
          <w:szCs w:val="20"/>
          <w:lang w:val="en-US"/>
        </w:rPr>
        <w:t>because</w:t>
      </w:r>
      <w:r w:rsidRPr="002433F3">
        <w:rPr>
          <w:rFonts w:eastAsia="Calibri" w:cs="Tahoma"/>
          <w:szCs w:val="20"/>
          <w:lang w:val="en-US"/>
        </w:rPr>
        <w:t xml:space="preserve">, </w:t>
      </w:r>
      <w:r w:rsidR="00031572" w:rsidRPr="002433F3">
        <w:rPr>
          <w:rFonts w:eastAsia="Calibri" w:cs="Tahoma"/>
          <w:szCs w:val="20"/>
          <w:lang w:val="en-US"/>
        </w:rPr>
        <w:t xml:space="preserve">ultimately </w:t>
      </w:r>
      <w:r w:rsidRPr="002433F3">
        <w:rPr>
          <w:rFonts w:eastAsia="Calibri" w:cs="Tahoma"/>
          <w:szCs w:val="20"/>
          <w:lang w:val="en-US"/>
        </w:rPr>
        <w:t>and consequently, there could not have been discrimination.</w:t>
      </w:r>
    </w:p>
    <w:p w14:paraId="412313CD" w14:textId="77777777" w:rsidR="007B0DE4" w:rsidRPr="002433F3" w:rsidRDefault="00E74D06" w:rsidP="007B0DE4">
      <w:pPr>
        <w:numPr>
          <w:ilvl w:val="0"/>
          <w:numId w:val="14"/>
        </w:numPr>
        <w:spacing w:after="240" w:line="276" w:lineRule="auto"/>
        <w:jc w:val="left"/>
        <w:rPr>
          <w:rFonts w:eastAsia="Calibri" w:cs="Times New Roman"/>
          <w:szCs w:val="20"/>
          <w:lang w:val="en-US" w:eastAsia="es-ES"/>
        </w:rPr>
      </w:pPr>
      <w:r w:rsidRPr="002433F3">
        <w:rPr>
          <w:rFonts w:eastAsia="Calibri" w:cs="Tahoma"/>
          <w:szCs w:val="20"/>
          <w:lang w:val="en-US"/>
        </w:rPr>
        <w:t xml:space="preserve">The claims were </w:t>
      </w:r>
      <w:r w:rsidR="007B0DE4" w:rsidRPr="002433F3">
        <w:rPr>
          <w:rFonts w:eastAsia="Calibri" w:cs="Tahoma"/>
          <w:szCs w:val="20"/>
          <w:lang w:val="en-US"/>
        </w:rPr>
        <w:t>satisfied (</w:t>
      </w:r>
      <w:r w:rsidR="003A4B66" w:rsidRPr="002433F3">
        <w:rPr>
          <w:rFonts w:eastAsia="Calibri" w:cs="Tahoma"/>
          <w:szCs w:val="20"/>
          <w:lang w:val="en-US"/>
        </w:rPr>
        <w:t>lack of a</w:t>
      </w:r>
      <w:r w:rsidR="005D6D7C" w:rsidRPr="002433F3">
        <w:rPr>
          <w:rFonts w:eastAsia="Calibri" w:cs="Tahoma"/>
          <w:szCs w:val="20"/>
          <w:lang w:val="en-US"/>
        </w:rPr>
        <w:t xml:space="preserve"> </w:t>
      </w:r>
      <w:r w:rsidR="003A4B66" w:rsidRPr="002433F3">
        <w:rPr>
          <w:rFonts w:eastAsia="Calibri" w:cs="Tahoma"/>
          <w:i/>
          <w:szCs w:val="20"/>
          <w:lang w:val="en-US"/>
        </w:rPr>
        <w:t>litigious purpose</w:t>
      </w:r>
      <w:r w:rsidR="007B0DE4" w:rsidRPr="002433F3">
        <w:rPr>
          <w:rFonts w:eastAsia="Calibri" w:cs="Tahoma"/>
          <w:i/>
          <w:szCs w:val="20"/>
          <w:lang w:val="en-US"/>
        </w:rPr>
        <w:t>)</w:t>
      </w:r>
      <w:r w:rsidR="007B0DE4" w:rsidRPr="002433F3">
        <w:rPr>
          <w:rFonts w:eastAsia="Calibri" w:cs="Times New Roman"/>
          <w:i/>
          <w:iCs/>
          <w:color w:val="000000"/>
          <w:szCs w:val="20"/>
          <w:lang w:val="en-US"/>
        </w:rPr>
        <w:t>.</w:t>
      </w:r>
    </w:p>
    <w:p w14:paraId="79BB6EE5" w14:textId="77777777" w:rsidR="007B0DE4" w:rsidRPr="002433F3" w:rsidRDefault="007B0DE4" w:rsidP="007B0DE4">
      <w:pPr>
        <w:spacing w:after="240"/>
        <w:rPr>
          <w:rFonts w:eastAsia="Calibri" w:cs="Times New Roman"/>
          <w:szCs w:val="20"/>
          <w:lang w:val="en-US"/>
        </w:rPr>
      </w:pPr>
      <w:r w:rsidRPr="002433F3">
        <w:rPr>
          <w:rFonts w:eastAsia="Calibri" w:cs="Times New Roman"/>
          <w:szCs w:val="20"/>
          <w:lang w:val="en-US"/>
        </w:rPr>
        <w:t>In th</w:t>
      </w:r>
      <w:r w:rsidR="000820B5" w:rsidRPr="002433F3">
        <w:rPr>
          <w:rFonts w:eastAsia="Calibri" w:cs="Times New Roman"/>
          <w:szCs w:val="20"/>
          <w:lang w:val="en-US"/>
        </w:rPr>
        <w:t xml:space="preserve">is case, </w:t>
      </w:r>
      <w:r w:rsidR="00E74D06" w:rsidRPr="002433F3">
        <w:rPr>
          <w:rFonts w:eastAsia="Calibri" w:cs="Times New Roman"/>
          <w:szCs w:val="20"/>
          <w:lang w:val="en-US"/>
        </w:rPr>
        <w:t xml:space="preserve">the victim made two claims </w:t>
      </w:r>
      <w:r w:rsidR="000820B5" w:rsidRPr="002433F3">
        <w:rPr>
          <w:rFonts w:eastAsia="Calibri" w:cs="Times New Roman"/>
          <w:szCs w:val="20"/>
          <w:lang w:val="en-US"/>
        </w:rPr>
        <w:t>i</w:t>
      </w:r>
      <w:r w:rsidRPr="002433F3">
        <w:rPr>
          <w:rFonts w:eastAsia="Calibri" w:cs="Times New Roman"/>
          <w:szCs w:val="20"/>
          <w:lang w:val="en-US"/>
        </w:rPr>
        <w:t xml:space="preserve">n </w:t>
      </w:r>
      <w:r w:rsidR="00793649" w:rsidRPr="002433F3">
        <w:rPr>
          <w:rFonts w:eastAsia="Calibri" w:cs="Times New Roman"/>
          <w:szCs w:val="20"/>
          <w:lang w:val="en-US"/>
        </w:rPr>
        <w:t xml:space="preserve">relation to the subject matter of </w:t>
      </w:r>
      <w:r w:rsidR="00E74D06" w:rsidRPr="002433F3">
        <w:rPr>
          <w:rFonts w:eastAsia="Calibri" w:cs="Times New Roman"/>
          <w:szCs w:val="20"/>
          <w:lang w:val="en-US"/>
        </w:rPr>
        <w:t>the third operative p</w:t>
      </w:r>
      <w:r w:rsidR="000A7A70" w:rsidRPr="002433F3">
        <w:rPr>
          <w:rFonts w:eastAsia="Calibri" w:cs="Times New Roman"/>
          <w:szCs w:val="20"/>
          <w:lang w:val="en-US"/>
        </w:rPr>
        <w:t>aragraph</w:t>
      </w:r>
      <w:r w:rsidRPr="002433F3">
        <w:rPr>
          <w:rFonts w:eastAsia="Calibri" w:cs="Times New Roman"/>
          <w:szCs w:val="20"/>
          <w:lang w:val="en-US"/>
        </w:rPr>
        <w:t xml:space="preserve"> of the Judgment,: i) t</w:t>
      </w:r>
      <w:r w:rsidR="000820B5" w:rsidRPr="002433F3">
        <w:rPr>
          <w:rFonts w:eastAsia="Calibri" w:cs="Times New Roman"/>
          <w:szCs w:val="20"/>
          <w:lang w:val="en-US"/>
        </w:rPr>
        <w:t xml:space="preserve">o be allowed to </w:t>
      </w:r>
      <w:r w:rsidRPr="002433F3">
        <w:rPr>
          <w:rFonts w:eastAsia="Calibri" w:cs="Times New Roman"/>
          <w:szCs w:val="20"/>
          <w:lang w:val="en-US"/>
        </w:rPr>
        <w:t xml:space="preserve">request and </w:t>
      </w:r>
      <w:r w:rsidR="005759CC" w:rsidRPr="002433F3">
        <w:rPr>
          <w:rFonts w:eastAsia="Calibri" w:cs="Times New Roman"/>
          <w:szCs w:val="20"/>
          <w:lang w:val="en-US"/>
        </w:rPr>
        <w:t xml:space="preserve">obtain the </w:t>
      </w:r>
      <w:r w:rsidRPr="002433F3">
        <w:rPr>
          <w:rFonts w:eastAsia="Calibri" w:cs="Times New Roman"/>
          <w:szCs w:val="20"/>
          <w:lang w:val="en-US"/>
        </w:rPr>
        <w:t xml:space="preserve">survivor’s pension </w:t>
      </w:r>
      <w:r w:rsidR="000820B5" w:rsidRPr="002433F3">
        <w:rPr>
          <w:rFonts w:eastAsia="Calibri" w:cs="Times New Roman"/>
          <w:szCs w:val="20"/>
          <w:lang w:val="en-US"/>
        </w:rPr>
        <w:t xml:space="preserve">of </w:t>
      </w:r>
      <w:r w:rsidR="005759CC" w:rsidRPr="002433F3">
        <w:rPr>
          <w:rFonts w:eastAsia="Calibri" w:cs="Times New Roman"/>
          <w:szCs w:val="20"/>
          <w:lang w:val="en-US"/>
        </w:rPr>
        <w:t>his same-sex partner</w:t>
      </w:r>
      <w:r w:rsidRPr="002433F3">
        <w:rPr>
          <w:rFonts w:eastAsia="Calibri" w:cs="Times New Roman"/>
          <w:szCs w:val="20"/>
          <w:lang w:val="en-US"/>
        </w:rPr>
        <w:t>, and ii) that Colombian law reco</w:t>
      </w:r>
      <w:r w:rsidR="000A7A70" w:rsidRPr="002433F3">
        <w:rPr>
          <w:rFonts w:eastAsia="Calibri" w:cs="Times New Roman"/>
          <w:szCs w:val="20"/>
          <w:lang w:val="en-US"/>
        </w:rPr>
        <w:t xml:space="preserve">gnize </w:t>
      </w:r>
      <w:r w:rsidR="00912557" w:rsidRPr="002433F3">
        <w:rPr>
          <w:rFonts w:eastAsia="Calibri" w:cs="Times New Roman"/>
          <w:szCs w:val="20"/>
          <w:lang w:val="en-US"/>
        </w:rPr>
        <w:t xml:space="preserve">the  right of </w:t>
      </w:r>
      <w:r w:rsidR="00793649" w:rsidRPr="002433F3">
        <w:rPr>
          <w:rFonts w:eastAsia="Calibri" w:cs="Times New Roman"/>
          <w:szCs w:val="20"/>
          <w:lang w:val="en-US"/>
        </w:rPr>
        <w:t>same-</w:t>
      </w:r>
      <w:r w:rsidR="000A7A70" w:rsidRPr="002433F3">
        <w:rPr>
          <w:rFonts w:eastAsia="Calibri" w:cs="Times New Roman"/>
          <w:szCs w:val="20"/>
          <w:lang w:val="en-US"/>
        </w:rPr>
        <w:t xml:space="preserve">sex </w:t>
      </w:r>
      <w:r w:rsidRPr="002433F3">
        <w:rPr>
          <w:rFonts w:eastAsia="Calibri" w:cs="Times New Roman"/>
          <w:szCs w:val="20"/>
          <w:lang w:val="en-US"/>
        </w:rPr>
        <w:t xml:space="preserve">couples </w:t>
      </w:r>
      <w:r w:rsidR="00793649" w:rsidRPr="002433F3">
        <w:rPr>
          <w:rFonts w:eastAsia="Calibri" w:cs="Times New Roman"/>
          <w:szCs w:val="20"/>
          <w:lang w:val="en-US"/>
        </w:rPr>
        <w:t xml:space="preserve">to </w:t>
      </w:r>
      <w:r w:rsidR="00912557" w:rsidRPr="002433F3">
        <w:rPr>
          <w:rFonts w:eastAsia="Calibri" w:cs="Times New Roman"/>
          <w:szCs w:val="20"/>
          <w:lang w:val="en-US"/>
        </w:rPr>
        <w:t xml:space="preserve">receive </w:t>
      </w:r>
      <w:r w:rsidR="00793649" w:rsidRPr="002433F3">
        <w:rPr>
          <w:rFonts w:eastAsia="Calibri" w:cs="Times New Roman"/>
          <w:szCs w:val="20"/>
          <w:lang w:val="en-US"/>
        </w:rPr>
        <w:t>a survivor’s pension</w:t>
      </w:r>
      <w:r w:rsidRPr="002433F3">
        <w:rPr>
          <w:rFonts w:eastAsia="Calibri" w:cs="Times New Roman"/>
          <w:szCs w:val="20"/>
          <w:lang w:val="en-US"/>
        </w:rPr>
        <w:t xml:space="preserve">. </w:t>
      </w:r>
    </w:p>
    <w:p w14:paraId="269A35B6" w14:textId="77777777" w:rsidR="007B0DE4" w:rsidRPr="002433F3" w:rsidRDefault="00390251" w:rsidP="007B0DE4">
      <w:pPr>
        <w:spacing w:after="240"/>
        <w:rPr>
          <w:rFonts w:eastAsia="Calibri" w:cs="Times New Roman"/>
          <w:szCs w:val="20"/>
          <w:lang w:val="en-US"/>
        </w:rPr>
      </w:pPr>
      <w:r w:rsidRPr="002433F3">
        <w:rPr>
          <w:rFonts w:eastAsia="Calibri" w:cs="Times New Roman"/>
          <w:szCs w:val="20"/>
          <w:lang w:val="en-US"/>
        </w:rPr>
        <w:t xml:space="preserve">As to </w:t>
      </w:r>
      <w:r w:rsidR="007B0DE4" w:rsidRPr="002433F3">
        <w:rPr>
          <w:rFonts w:eastAsia="Calibri" w:cs="Times New Roman"/>
          <w:szCs w:val="20"/>
          <w:lang w:val="en-US"/>
        </w:rPr>
        <w:t xml:space="preserve">the first claim, </w:t>
      </w:r>
      <w:r w:rsidR="00140746" w:rsidRPr="002433F3">
        <w:rPr>
          <w:rFonts w:eastAsia="Calibri" w:cs="Times New Roman"/>
          <w:szCs w:val="20"/>
          <w:lang w:val="en-US"/>
        </w:rPr>
        <w:t xml:space="preserve">it is important to </w:t>
      </w:r>
      <w:r w:rsidR="00E74D06" w:rsidRPr="002433F3">
        <w:rPr>
          <w:rFonts w:eastAsia="Calibri" w:cs="Times New Roman"/>
          <w:szCs w:val="20"/>
          <w:lang w:val="en-US"/>
        </w:rPr>
        <w:t xml:space="preserve">recall </w:t>
      </w:r>
      <w:r w:rsidR="007B0DE4" w:rsidRPr="002433F3">
        <w:rPr>
          <w:rFonts w:eastAsia="Calibri" w:cs="Times New Roman"/>
          <w:szCs w:val="20"/>
          <w:lang w:val="en-US"/>
        </w:rPr>
        <w:t xml:space="preserve">that </w:t>
      </w:r>
      <w:r w:rsidR="00CB2CC6" w:rsidRPr="002433F3">
        <w:rPr>
          <w:rFonts w:eastAsia="Calibri" w:cs="Times New Roman"/>
          <w:szCs w:val="20"/>
          <w:lang w:val="en-US"/>
        </w:rPr>
        <w:t xml:space="preserve">this was the reason </w:t>
      </w:r>
      <w:r w:rsidR="00912557" w:rsidRPr="002433F3">
        <w:rPr>
          <w:rFonts w:eastAsia="Calibri" w:cs="Times New Roman"/>
          <w:szCs w:val="20"/>
          <w:lang w:val="en-US"/>
        </w:rPr>
        <w:t xml:space="preserve">that prompted </w:t>
      </w:r>
      <w:r w:rsidR="00CB2CC6" w:rsidRPr="002433F3">
        <w:rPr>
          <w:rFonts w:eastAsia="Calibri" w:cs="Times New Roman"/>
          <w:szCs w:val="20"/>
          <w:lang w:val="en-US"/>
        </w:rPr>
        <w:t xml:space="preserve">the </w:t>
      </w:r>
      <w:r w:rsidR="007B0DE4" w:rsidRPr="002433F3">
        <w:rPr>
          <w:rFonts w:eastAsia="Calibri" w:cs="Times New Roman"/>
          <w:szCs w:val="20"/>
          <w:lang w:val="en-US"/>
        </w:rPr>
        <w:t xml:space="preserve">victim </w:t>
      </w:r>
      <w:r w:rsidR="00912557" w:rsidRPr="002433F3">
        <w:rPr>
          <w:rFonts w:eastAsia="Calibri" w:cs="Times New Roman"/>
          <w:szCs w:val="20"/>
          <w:lang w:val="en-US"/>
        </w:rPr>
        <w:t>to allege</w:t>
      </w:r>
      <w:r w:rsidR="005759CC" w:rsidRPr="002433F3">
        <w:rPr>
          <w:rFonts w:eastAsia="Calibri" w:cs="Times New Roman"/>
          <w:szCs w:val="20"/>
          <w:lang w:val="en-US"/>
        </w:rPr>
        <w:t xml:space="preserve"> </w:t>
      </w:r>
      <w:r w:rsidR="007B0DE4" w:rsidRPr="002433F3">
        <w:rPr>
          <w:rFonts w:eastAsia="Calibri" w:cs="Times New Roman"/>
          <w:szCs w:val="20"/>
          <w:lang w:val="en-US"/>
        </w:rPr>
        <w:t>that h</w:t>
      </w:r>
      <w:r w:rsidR="005759CC" w:rsidRPr="002433F3">
        <w:rPr>
          <w:rFonts w:eastAsia="Calibri" w:cs="Times New Roman"/>
          <w:szCs w:val="20"/>
          <w:lang w:val="en-US"/>
        </w:rPr>
        <w:t xml:space="preserve">e had </w:t>
      </w:r>
      <w:r w:rsidR="007B0DE4" w:rsidRPr="002433F3">
        <w:rPr>
          <w:rFonts w:eastAsia="Calibri" w:cs="Times New Roman"/>
          <w:szCs w:val="20"/>
          <w:lang w:val="en-US"/>
        </w:rPr>
        <w:t xml:space="preserve">exhausted domestic remedies in relation </w:t>
      </w:r>
      <w:r w:rsidR="005759CC" w:rsidRPr="002433F3">
        <w:rPr>
          <w:rFonts w:eastAsia="Calibri" w:cs="Times New Roman"/>
          <w:szCs w:val="20"/>
          <w:lang w:val="en-US"/>
        </w:rPr>
        <w:t xml:space="preserve">to </w:t>
      </w:r>
      <w:r w:rsidR="007B0DE4" w:rsidRPr="002433F3">
        <w:rPr>
          <w:rFonts w:eastAsia="Calibri" w:cs="Times New Roman"/>
          <w:szCs w:val="20"/>
          <w:lang w:val="en-US"/>
        </w:rPr>
        <w:t xml:space="preserve">the </w:t>
      </w:r>
      <w:r w:rsidR="005759CC" w:rsidRPr="002433F3">
        <w:rPr>
          <w:rFonts w:eastAsia="Calibri" w:cs="Times New Roman"/>
          <w:szCs w:val="20"/>
          <w:lang w:val="en-US"/>
        </w:rPr>
        <w:t>refusal</w:t>
      </w:r>
      <w:r w:rsidR="007B0DE4" w:rsidRPr="002433F3">
        <w:rPr>
          <w:rFonts w:eastAsia="Calibri" w:cs="Times New Roman"/>
          <w:szCs w:val="20"/>
          <w:lang w:val="en-US"/>
        </w:rPr>
        <w:t xml:space="preserve"> </w:t>
      </w:r>
      <w:r w:rsidRPr="002433F3">
        <w:rPr>
          <w:rFonts w:eastAsia="Calibri" w:cs="Times New Roman"/>
          <w:szCs w:val="20"/>
          <w:lang w:val="en-US"/>
        </w:rPr>
        <w:t xml:space="preserve">of his request for a </w:t>
      </w:r>
      <w:r w:rsidR="00EE4C16" w:rsidRPr="002433F3">
        <w:rPr>
          <w:rFonts w:eastAsia="Calibri" w:cs="Times New Roman"/>
          <w:szCs w:val="20"/>
          <w:lang w:val="en-US"/>
        </w:rPr>
        <w:t xml:space="preserve">survivor’s </w:t>
      </w:r>
      <w:r w:rsidR="007B0DE4" w:rsidRPr="002433F3">
        <w:rPr>
          <w:rFonts w:eastAsia="Calibri" w:cs="Times New Roman"/>
          <w:szCs w:val="20"/>
          <w:lang w:val="en-US"/>
        </w:rPr>
        <w:t>pension, but no</w:t>
      </w:r>
      <w:r w:rsidR="0032433A" w:rsidRPr="002433F3">
        <w:rPr>
          <w:rFonts w:eastAsia="Calibri" w:cs="Times New Roman"/>
          <w:szCs w:val="20"/>
          <w:lang w:val="en-US"/>
        </w:rPr>
        <w:t>t</w:t>
      </w:r>
      <w:r w:rsidR="007B0DE4" w:rsidRPr="002433F3">
        <w:rPr>
          <w:rFonts w:eastAsia="Calibri" w:cs="Times New Roman"/>
          <w:szCs w:val="20"/>
          <w:lang w:val="en-US"/>
        </w:rPr>
        <w:t xml:space="preserve"> </w:t>
      </w:r>
      <w:r w:rsidRPr="002433F3">
        <w:rPr>
          <w:rFonts w:eastAsia="Calibri" w:cs="Times New Roman"/>
          <w:szCs w:val="20"/>
          <w:lang w:val="en-US"/>
        </w:rPr>
        <w:t xml:space="preserve">with respect to the laws </w:t>
      </w:r>
      <w:r w:rsidR="000B5082" w:rsidRPr="002433F3">
        <w:rPr>
          <w:rFonts w:eastAsia="Calibri" w:cs="Times New Roman"/>
          <w:szCs w:val="20"/>
          <w:lang w:val="en-US"/>
        </w:rPr>
        <w:t>that established</w:t>
      </w:r>
      <w:r w:rsidRPr="002433F3">
        <w:rPr>
          <w:rFonts w:eastAsia="Calibri" w:cs="Times New Roman"/>
          <w:szCs w:val="20"/>
          <w:lang w:val="en-US"/>
        </w:rPr>
        <w:t xml:space="preserve"> </w:t>
      </w:r>
      <w:r w:rsidR="00793649" w:rsidRPr="002433F3">
        <w:rPr>
          <w:rFonts w:eastAsia="Calibri" w:cs="Times New Roman"/>
          <w:szCs w:val="20"/>
          <w:lang w:val="en-US"/>
        </w:rPr>
        <w:t>that th</w:t>
      </w:r>
      <w:r w:rsidR="000B5082" w:rsidRPr="002433F3">
        <w:rPr>
          <w:rFonts w:eastAsia="Calibri" w:cs="Times New Roman"/>
          <w:szCs w:val="20"/>
          <w:lang w:val="en-US"/>
        </w:rPr>
        <w:t xml:space="preserve">is </w:t>
      </w:r>
      <w:r w:rsidR="007B0DE4" w:rsidRPr="002433F3">
        <w:rPr>
          <w:rFonts w:eastAsia="Calibri" w:cs="Times New Roman"/>
          <w:szCs w:val="20"/>
          <w:lang w:val="en-US"/>
        </w:rPr>
        <w:t xml:space="preserve">benefit was only for </w:t>
      </w:r>
      <w:r w:rsidR="00793649" w:rsidRPr="002433F3">
        <w:rPr>
          <w:rFonts w:eastAsia="Calibri" w:cs="Times New Roman"/>
          <w:szCs w:val="20"/>
          <w:lang w:val="en-US"/>
        </w:rPr>
        <w:t>opposite-</w:t>
      </w:r>
      <w:r w:rsidR="007B0DE4" w:rsidRPr="002433F3">
        <w:rPr>
          <w:rFonts w:eastAsia="Calibri" w:cs="Times New Roman"/>
          <w:szCs w:val="20"/>
          <w:lang w:val="en-US"/>
        </w:rPr>
        <w:t xml:space="preserve">sex couples, </w:t>
      </w:r>
      <w:r w:rsidR="000B5082" w:rsidRPr="002433F3">
        <w:rPr>
          <w:rFonts w:eastAsia="Calibri" w:cs="Times New Roman"/>
          <w:szCs w:val="20"/>
          <w:lang w:val="en-US"/>
        </w:rPr>
        <w:t xml:space="preserve">which </w:t>
      </w:r>
      <w:r w:rsidRPr="002433F3">
        <w:rPr>
          <w:rFonts w:eastAsia="Calibri" w:cs="Times New Roman"/>
          <w:szCs w:val="20"/>
          <w:lang w:val="en-US"/>
        </w:rPr>
        <w:t xml:space="preserve">he considered </w:t>
      </w:r>
      <w:r w:rsidR="007B0DE4" w:rsidRPr="002433F3">
        <w:rPr>
          <w:rFonts w:eastAsia="Calibri" w:cs="Times New Roman"/>
          <w:szCs w:val="20"/>
          <w:lang w:val="en-US"/>
        </w:rPr>
        <w:t xml:space="preserve">discriminatory. In other words, he did not exhaust the domestic remedies </w:t>
      </w:r>
      <w:r w:rsidR="006D1224" w:rsidRPr="002433F3">
        <w:rPr>
          <w:rFonts w:eastAsia="Calibri" w:cs="Times New Roman"/>
          <w:szCs w:val="20"/>
          <w:lang w:val="en-US"/>
        </w:rPr>
        <w:t xml:space="preserve">to challenge those </w:t>
      </w:r>
      <w:r w:rsidR="0040558F" w:rsidRPr="002433F3">
        <w:rPr>
          <w:rFonts w:eastAsia="Calibri" w:cs="Times New Roman"/>
          <w:szCs w:val="20"/>
          <w:lang w:val="en-US"/>
        </w:rPr>
        <w:t>bodies of law</w:t>
      </w:r>
      <w:r w:rsidR="007B0DE4" w:rsidRPr="002433F3">
        <w:rPr>
          <w:rFonts w:eastAsia="Calibri" w:cs="Times New Roman"/>
          <w:szCs w:val="20"/>
          <w:lang w:val="en-US"/>
        </w:rPr>
        <w:t xml:space="preserve">, </w:t>
      </w:r>
      <w:r w:rsidR="00793649" w:rsidRPr="002433F3">
        <w:rPr>
          <w:rFonts w:eastAsia="Calibri" w:cs="Times New Roman"/>
          <w:szCs w:val="20"/>
          <w:lang w:val="en-US"/>
        </w:rPr>
        <w:t xml:space="preserve">since </w:t>
      </w:r>
      <w:r w:rsidR="007B0DE4" w:rsidRPr="002433F3">
        <w:rPr>
          <w:rFonts w:eastAsia="Calibri" w:cs="Times New Roman"/>
          <w:szCs w:val="20"/>
          <w:lang w:val="en-US"/>
        </w:rPr>
        <w:t xml:space="preserve">what </w:t>
      </w:r>
      <w:r w:rsidR="0040558F" w:rsidRPr="002433F3">
        <w:rPr>
          <w:rFonts w:eastAsia="Calibri" w:cs="Times New Roman"/>
          <w:szCs w:val="20"/>
          <w:lang w:val="en-US"/>
        </w:rPr>
        <w:t xml:space="preserve">he </w:t>
      </w:r>
      <w:r w:rsidR="009D35F7" w:rsidRPr="002433F3">
        <w:rPr>
          <w:rFonts w:eastAsia="Calibri" w:cs="Times New Roman"/>
          <w:szCs w:val="20"/>
          <w:lang w:val="en-US"/>
        </w:rPr>
        <w:t xml:space="preserve">sought </w:t>
      </w:r>
      <w:r w:rsidR="007B0DE4" w:rsidRPr="002433F3">
        <w:rPr>
          <w:rFonts w:eastAsia="Calibri" w:cs="Times New Roman"/>
          <w:szCs w:val="20"/>
          <w:lang w:val="en-US"/>
        </w:rPr>
        <w:t xml:space="preserve">and </w:t>
      </w:r>
      <w:r w:rsidR="0040558F" w:rsidRPr="002433F3">
        <w:rPr>
          <w:rFonts w:eastAsia="Calibri" w:cs="Times New Roman"/>
          <w:szCs w:val="20"/>
          <w:lang w:val="en-US"/>
        </w:rPr>
        <w:t xml:space="preserve">claimed </w:t>
      </w:r>
      <w:r w:rsidR="009D35F7" w:rsidRPr="002433F3">
        <w:rPr>
          <w:rFonts w:eastAsia="Calibri" w:cs="Times New Roman"/>
          <w:szCs w:val="20"/>
          <w:lang w:val="en-US"/>
        </w:rPr>
        <w:t xml:space="preserve">in the </w:t>
      </w:r>
      <w:r w:rsidR="007B0DE4" w:rsidRPr="002433F3">
        <w:rPr>
          <w:rFonts w:eastAsia="Calibri" w:cs="Times New Roman"/>
          <w:szCs w:val="20"/>
          <w:lang w:val="en-US"/>
        </w:rPr>
        <w:t>domestic or national</w:t>
      </w:r>
      <w:r w:rsidR="00793649" w:rsidRPr="002433F3">
        <w:rPr>
          <w:rFonts w:eastAsia="Calibri" w:cs="Times New Roman"/>
          <w:szCs w:val="20"/>
          <w:lang w:val="en-US"/>
        </w:rPr>
        <w:t xml:space="preserve"> courts </w:t>
      </w:r>
      <w:r w:rsidR="00A8784E" w:rsidRPr="002433F3">
        <w:rPr>
          <w:rFonts w:eastAsia="Calibri" w:cs="Times New Roman"/>
          <w:szCs w:val="20"/>
          <w:lang w:val="en-US"/>
        </w:rPr>
        <w:t xml:space="preserve">was </w:t>
      </w:r>
      <w:r w:rsidR="009D35F7" w:rsidRPr="002433F3">
        <w:rPr>
          <w:rFonts w:eastAsia="Calibri" w:cs="Times New Roman"/>
          <w:szCs w:val="20"/>
          <w:lang w:val="en-US"/>
        </w:rPr>
        <w:t xml:space="preserve">merely </w:t>
      </w:r>
      <w:r w:rsidR="00793649" w:rsidRPr="002433F3">
        <w:rPr>
          <w:rFonts w:eastAsia="Calibri" w:cs="Times New Roman"/>
          <w:szCs w:val="20"/>
          <w:lang w:val="en-US"/>
        </w:rPr>
        <w:t>access to this</w:t>
      </w:r>
      <w:r w:rsidR="007B0DE4" w:rsidRPr="002433F3">
        <w:rPr>
          <w:rFonts w:eastAsia="Calibri" w:cs="Times New Roman"/>
          <w:szCs w:val="20"/>
          <w:lang w:val="en-US"/>
        </w:rPr>
        <w:t xml:space="preserve"> benefi</w:t>
      </w:r>
      <w:r w:rsidR="005D6D7C" w:rsidRPr="002433F3">
        <w:rPr>
          <w:rFonts w:eastAsia="Calibri" w:cs="Times New Roman"/>
          <w:szCs w:val="20"/>
          <w:lang w:val="en-US"/>
        </w:rPr>
        <w:t>t</w:t>
      </w:r>
      <w:r w:rsidR="000B5082" w:rsidRPr="002433F3">
        <w:rPr>
          <w:rFonts w:eastAsia="Calibri" w:cs="Times New Roman"/>
          <w:szCs w:val="20"/>
          <w:lang w:val="en-US"/>
        </w:rPr>
        <w:t>,</w:t>
      </w:r>
      <w:r w:rsidR="005D6D7C" w:rsidRPr="002433F3">
        <w:rPr>
          <w:rFonts w:eastAsia="Calibri" w:cs="Times New Roman"/>
          <w:szCs w:val="20"/>
          <w:lang w:val="en-US"/>
        </w:rPr>
        <w:t xml:space="preserve"> and no</w:t>
      </w:r>
      <w:r w:rsidR="00A8784E" w:rsidRPr="002433F3">
        <w:rPr>
          <w:rFonts w:eastAsia="Calibri" w:cs="Times New Roman"/>
          <w:szCs w:val="20"/>
          <w:lang w:val="en-US"/>
        </w:rPr>
        <w:t xml:space="preserve">t </w:t>
      </w:r>
      <w:r w:rsidR="009D35F7" w:rsidRPr="002433F3">
        <w:rPr>
          <w:rFonts w:eastAsia="Calibri" w:cs="Times New Roman"/>
          <w:szCs w:val="20"/>
          <w:lang w:val="en-US"/>
        </w:rPr>
        <w:t xml:space="preserve">to </w:t>
      </w:r>
      <w:r w:rsidR="000B5082" w:rsidRPr="002433F3">
        <w:rPr>
          <w:rFonts w:eastAsia="Calibri" w:cs="Times New Roman"/>
          <w:szCs w:val="20"/>
          <w:lang w:val="en-US"/>
        </w:rPr>
        <w:t xml:space="preserve">request that </w:t>
      </w:r>
      <w:r w:rsidR="009D35F7" w:rsidRPr="002433F3">
        <w:rPr>
          <w:rFonts w:eastAsia="Calibri" w:cs="Times New Roman"/>
          <w:szCs w:val="20"/>
          <w:lang w:val="en-US"/>
        </w:rPr>
        <w:t xml:space="preserve">the </w:t>
      </w:r>
      <w:r w:rsidR="00A8784E" w:rsidRPr="002433F3">
        <w:rPr>
          <w:rFonts w:eastAsia="Calibri" w:cs="Times New Roman"/>
          <w:szCs w:val="20"/>
          <w:lang w:val="en-US"/>
        </w:rPr>
        <w:t>l</w:t>
      </w:r>
      <w:r w:rsidR="005D6D7C" w:rsidRPr="002433F3">
        <w:rPr>
          <w:rFonts w:eastAsia="Calibri" w:cs="Times New Roman"/>
          <w:szCs w:val="20"/>
          <w:lang w:val="en-US"/>
        </w:rPr>
        <w:t>aw</w:t>
      </w:r>
      <w:r w:rsidR="007B0DE4" w:rsidRPr="002433F3">
        <w:rPr>
          <w:rFonts w:eastAsia="Calibri" w:cs="Times New Roman"/>
          <w:szCs w:val="20"/>
          <w:lang w:val="en-US"/>
        </w:rPr>
        <w:t xml:space="preserve">s </w:t>
      </w:r>
      <w:r w:rsidR="000B5082" w:rsidRPr="002433F3">
        <w:rPr>
          <w:rFonts w:eastAsia="Calibri" w:cs="Times New Roman"/>
          <w:szCs w:val="20"/>
          <w:lang w:val="en-US"/>
        </w:rPr>
        <w:t xml:space="preserve">preventing it be </w:t>
      </w:r>
      <w:r w:rsidR="009D35F7" w:rsidRPr="002433F3">
        <w:rPr>
          <w:rFonts w:eastAsia="Calibri" w:cs="Times New Roman"/>
          <w:szCs w:val="20"/>
          <w:lang w:val="en-US"/>
        </w:rPr>
        <w:t xml:space="preserve">declared </w:t>
      </w:r>
      <w:r w:rsidR="000B5082" w:rsidRPr="002433F3">
        <w:rPr>
          <w:rFonts w:eastAsia="Calibri" w:cs="Times New Roman"/>
          <w:szCs w:val="20"/>
          <w:lang w:val="en-US"/>
        </w:rPr>
        <w:t>c</w:t>
      </w:r>
      <w:r w:rsidR="007B0DE4" w:rsidRPr="002433F3">
        <w:rPr>
          <w:rFonts w:eastAsia="Calibri" w:cs="Times New Roman"/>
          <w:szCs w:val="20"/>
          <w:lang w:val="en-US"/>
        </w:rPr>
        <w:t>ontrary</w:t>
      </w:r>
      <w:r w:rsidR="005D6D7C" w:rsidRPr="002433F3">
        <w:rPr>
          <w:rFonts w:eastAsia="Calibri" w:cs="Times New Roman"/>
          <w:szCs w:val="20"/>
          <w:lang w:val="en-US"/>
        </w:rPr>
        <w:t xml:space="preserve"> to </w:t>
      </w:r>
      <w:r w:rsidR="007B0DE4" w:rsidRPr="002433F3">
        <w:rPr>
          <w:rFonts w:eastAsia="Calibri" w:cs="Times New Roman"/>
          <w:szCs w:val="20"/>
          <w:lang w:val="en-US"/>
        </w:rPr>
        <w:t>the Convention.</w:t>
      </w:r>
      <w:r w:rsidR="007B0DE4" w:rsidRPr="002433F3">
        <w:rPr>
          <w:rFonts w:eastAsia="Calibri" w:cs="Times New Roman"/>
          <w:szCs w:val="20"/>
          <w:vertAlign w:val="superscript"/>
          <w:lang w:val="en-US"/>
        </w:rPr>
        <w:footnoteReference w:id="186"/>
      </w:r>
      <w:r w:rsidR="007B0DE4" w:rsidRPr="002433F3">
        <w:rPr>
          <w:rFonts w:eastAsia="Calibri" w:cs="Times New Roman"/>
          <w:szCs w:val="20"/>
          <w:lang w:val="en-US"/>
        </w:rPr>
        <w:t xml:space="preserve"> </w:t>
      </w:r>
    </w:p>
    <w:p w14:paraId="050B5DF7" w14:textId="77777777" w:rsidR="007B0DE4" w:rsidRPr="002433F3" w:rsidRDefault="00140746" w:rsidP="007B0DE4">
      <w:pPr>
        <w:spacing w:before="240" w:after="200"/>
        <w:rPr>
          <w:rFonts w:eastAsia="Calibri" w:cs="Times New Roman"/>
          <w:szCs w:val="20"/>
          <w:lang w:val="en-US"/>
        </w:rPr>
      </w:pPr>
      <w:r w:rsidRPr="002433F3">
        <w:rPr>
          <w:rFonts w:eastAsia="Calibri" w:cs="Times New Roman"/>
          <w:szCs w:val="20"/>
          <w:lang w:val="en-US"/>
        </w:rPr>
        <w:t>That said</w:t>
      </w:r>
      <w:r w:rsidR="007B0DE4" w:rsidRPr="002433F3">
        <w:rPr>
          <w:rFonts w:eastAsia="Calibri" w:cs="Times New Roman"/>
          <w:szCs w:val="20"/>
          <w:lang w:val="en-US"/>
        </w:rPr>
        <w:t>, i</w:t>
      </w:r>
      <w:r w:rsidR="005759CC" w:rsidRPr="002433F3">
        <w:rPr>
          <w:rFonts w:eastAsia="Calibri" w:cs="Times New Roman"/>
          <w:szCs w:val="20"/>
          <w:lang w:val="en-US"/>
        </w:rPr>
        <w:t xml:space="preserve">t </w:t>
      </w:r>
      <w:r w:rsidR="00B13CE5" w:rsidRPr="002433F3">
        <w:rPr>
          <w:rFonts w:eastAsia="Calibri" w:cs="Times New Roman"/>
          <w:szCs w:val="20"/>
          <w:lang w:val="en-US"/>
        </w:rPr>
        <w:t xml:space="preserve">should be noted </w:t>
      </w:r>
      <w:r w:rsidR="007B0DE4" w:rsidRPr="002433F3">
        <w:rPr>
          <w:rFonts w:eastAsia="Calibri" w:cs="Times New Roman"/>
          <w:szCs w:val="20"/>
          <w:lang w:val="en-US"/>
        </w:rPr>
        <w:t>that,</w:t>
      </w:r>
      <w:r w:rsidR="007B0DE4" w:rsidRPr="002433F3">
        <w:rPr>
          <w:rFonts w:eastAsia="Calibri" w:cs="Arial"/>
          <w:szCs w:val="20"/>
          <w:lang w:val="en-US"/>
        </w:rPr>
        <w:t xml:space="preserve"> as</w:t>
      </w:r>
      <w:r w:rsidR="00A27041" w:rsidRPr="002433F3">
        <w:rPr>
          <w:rFonts w:eastAsia="Calibri" w:cs="Arial"/>
          <w:szCs w:val="20"/>
          <w:lang w:val="en-US"/>
        </w:rPr>
        <w:t xml:space="preserve"> stated in</w:t>
      </w:r>
      <w:r w:rsidR="0032433A" w:rsidRPr="002433F3">
        <w:rPr>
          <w:rFonts w:eastAsia="Calibri" w:cs="Arial"/>
          <w:szCs w:val="20"/>
          <w:lang w:val="en-US"/>
        </w:rPr>
        <w:t xml:space="preserve"> the </w:t>
      </w:r>
      <w:r w:rsidR="007B0DE4" w:rsidRPr="002433F3">
        <w:rPr>
          <w:rFonts w:eastAsia="Calibri" w:cs="Arial"/>
          <w:szCs w:val="20"/>
          <w:lang w:val="en-US"/>
        </w:rPr>
        <w:t>Judgment, the Consti</w:t>
      </w:r>
      <w:r w:rsidR="009D35F7" w:rsidRPr="002433F3">
        <w:rPr>
          <w:rFonts w:eastAsia="Calibri" w:cs="Arial"/>
          <w:szCs w:val="20"/>
          <w:lang w:val="en-US"/>
        </w:rPr>
        <w:t>tutional Court of Colombia</w:t>
      </w:r>
      <w:r w:rsidR="00BD307C" w:rsidRPr="002433F3">
        <w:rPr>
          <w:rFonts w:eastAsia="Calibri" w:cs="Arial"/>
          <w:szCs w:val="20"/>
          <w:lang w:val="en-US"/>
        </w:rPr>
        <w:t xml:space="preserve"> </w:t>
      </w:r>
      <w:r w:rsidR="008828CD" w:rsidRPr="002433F3">
        <w:rPr>
          <w:rFonts w:eastAsia="Calibri" w:cs="Arial"/>
          <w:szCs w:val="20"/>
          <w:lang w:val="en-US"/>
        </w:rPr>
        <w:t xml:space="preserve">recognized the </w:t>
      </w:r>
      <w:r w:rsidR="007B0DE4" w:rsidRPr="002433F3">
        <w:rPr>
          <w:rFonts w:eastAsia="Calibri" w:cs="Arial"/>
          <w:szCs w:val="20"/>
          <w:lang w:val="en-US"/>
        </w:rPr>
        <w:t xml:space="preserve">right </w:t>
      </w:r>
      <w:r w:rsidR="00BD307C" w:rsidRPr="002433F3">
        <w:rPr>
          <w:rFonts w:eastAsia="Calibri" w:cs="Arial"/>
          <w:szCs w:val="20"/>
          <w:lang w:val="en-US"/>
        </w:rPr>
        <w:t xml:space="preserve">of same-sex couples </w:t>
      </w:r>
      <w:r w:rsidR="007B0DE4" w:rsidRPr="002433F3">
        <w:rPr>
          <w:rFonts w:eastAsia="Calibri" w:cs="Arial"/>
          <w:szCs w:val="20"/>
          <w:lang w:val="en-US"/>
        </w:rPr>
        <w:t>to request th</w:t>
      </w:r>
      <w:r w:rsidR="00BD307C" w:rsidRPr="002433F3">
        <w:rPr>
          <w:rFonts w:eastAsia="Calibri" w:cs="Arial"/>
          <w:szCs w:val="20"/>
          <w:lang w:val="en-US"/>
        </w:rPr>
        <w:t xml:space="preserve">e </w:t>
      </w:r>
      <w:r w:rsidR="00EE4C16" w:rsidRPr="002433F3">
        <w:rPr>
          <w:rFonts w:eastAsia="Calibri" w:cs="Arial"/>
          <w:szCs w:val="20"/>
          <w:lang w:val="en-US"/>
        </w:rPr>
        <w:t xml:space="preserve">survivor’s </w:t>
      </w:r>
      <w:r w:rsidR="007B0DE4" w:rsidRPr="002433F3">
        <w:rPr>
          <w:rFonts w:eastAsia="Calibri" w:cs="Arial"/>
          <w:szCs w:val="20"/>
          <w:lang w:val="en-US"/>
        </w:rPr>
        <w:t>pension</w:t>
      </w:r>
      <w:r w:rsidR="00BD307C" w:rsidRPr="002433F3">
        <w:rPr>
          <w:rFonts w:eastAsia="Calibri" w:cs="Arial"/>
          <w:szCs w:val="20"/>
          <w:lang w:val="en-US"/>
        </w:rPr>
        <w:t xml:space="preserve"> in various decisions of 2007, 2008 and 2010</w:t>
      </w:r>
      <w:r w:rsidR="007B0DE4" w:rsidRPr="002433F3">
        <w:rPr>
          <w:rFonts w:eastAsia="Calibri" w:cs="Arial"/>
          <w:szCs w:val="20"/>
          <w:lang w:val="en-US"/>
        </w:rPr>
        <w:t>.</w:t>
      </w:r>
      <w:r w:rsidR="007B0DE4" w:rsidRPr="002433F3">
        <w:rPr>
          <w:rFonts w:eastAsia="Calibri" w:cs="Arial"/>
          <w:szCs w:val="20"/>
          <w:vertAlign w:val="superscript"/>
          <w:lang w:val="en-US"/>
        </w:rPr>
        <w:footnoteReference w:id="187"/>
      </w:r>
      <w:r w:rsidR="007B0DE4" w:rsidRPr="002433F3">
        <w:rPr>
          <w:rFonts w:eastAsia="Calibri" w:cs="Times New Roman"/>
          <w:szCs w:val="20"/>
          <w:lang w:val="en-US"/>
        </w:rPr>
        <w:t xml:space="preserve"> It is </w:t>
      </w:r>
      <w:r w:rsidR="00EE4C16" w:rsidRPr="002433F3">
        <w:rPr>
          <w:rFonts w:eastAsia="Calibri" w:cs="Times New Roman"/>
          <w:szCs w:val="20"/>
          <w:lang w:val="en-US"/>
        </w:rPr>
        <w:t xml:space="preserve">also </w:t>
      </w:r>
      <w:r w:rsidR="007B0DE4" w:rsidRPr="002433F3">
        <w:rPr>
          <w:rFonts w:eastAsia="Calibri" w:cs="Times New Roman"/>
          <w:szCs w:val="20"/>
          <w:lang w:val="en-US"/>
        </w:rPr>
        <w:t xml:space="preserve">important to reiterate that, </w:t>
      </w:r>
      <w:r w:rsidR="00D67802" w:rsidRPr="002433F3">
        <w:rPr>
          <w:rFonts w:eastAsia="Calibri" w:cs="Times New Roman"/>
          <w:szCs w:val="20"/>
          <w:lang w:val="en-US"/>
        </w:rPr>
        <w:t xml:space="preserve">as a </w:t>
      </w:r>
      <w:r w:rsidR="00D67802" w:rsidRPr="002433F3">
        <w:rPr>
          <w:rFonts w:eastAsia="Calibri" w:cs="Times New Roman"/>
          <w:szCs w:val="20"/>
          <w:lang w:val="en-US"/>
        </w:rPr>
        <w:lastRenderedPageBreak/>
        <w:t xml:space="preserve">result of </w:t>
      </w:r>
      <w:r w:rsidR="007B0DE4" w:rsidRPr="002433F3">
        <w:rPr>
          <w:rFonts w:eastAsia="Calibri" w:cs="Times New Roman"/>
          <w:szCs w:val="20"/>
          <w:lang w:val="en-US"/>
        </w:rPr>
        <w:t xml:space="preserve">that </w:t>
      </w:r>
      <w:r w:rsidR="0034724F" w:rsidRPr="002433F3">
        <w:rPr>
          <w:rFonts w:eastAsia="Calibri" w:cs="Times New Roman"/>
          <w:szCs w:val="20"/>
          <w:lang w:val="en-US"/>
        </w:rPr>
        <w:t>jurisprudence</w:t>
      </w:r>
      <w:r w:rsidR="007B0DE4" w:rsidRPr="002433F3">
        <w:rPr>
          <w:rFonts w:eastAsia="Calibri" w:cs="Times New Roman"/>
          <w:szCs w:val="20"/>
          <w:lang w:val="en-US"/>
        </w:rPr>
        <w:t xml:space="preserve">, </w:t>
      </w:r>
      <w:r w:rsidR="00D67802" w:rsidRPr="002433F3">
        <w:rPr>
          <w:rFonts w:eastAsia="Calibri" w:cs="Times New Roman"/>
          <w:szCs w:val="20"/>
          <w:lang w:val="en-US"/>
        </w:rPr>
        <w:t xml:space="preserve">the State has granted </w:t>
      </w:r>
      <w:r w:rsidR="00EE4C16" w:rsidRPr="002433F3">
        <w:rPr>
          <w:rFonts w:eastAsia="Calibri" w:cs="Times New Roman"/>
          <w:szCs w:val="20"/>
          <w:lang w:val="en-US"/>
        </w:rPr>
        <w:t xml:space="preserve">same-sex couples the possibility of </w:t>
      </w:r>
      <w:r w:rsidRPr="002433F3">
        <w:rPr>
          <w:rFonts w:eastAsia="Calibri" w:cs="Times New Roman"/>
          <w:szCs w:val="20"/>
          <w:lang w:val="en-US"/>
        </w:rPr>
        <w:t>request</w:t>
      </w:r>
      <w:r w:rsidR="00EE4C16" w:rsidRPr="002433F3">
        <w:rPr>
          <w:rFonts w:eastAsia="Calibri" w:cs="Times New Roman"/>
          <w:szCs w:val="20"/>
          <w:lang w:val="en-US"/>
        </w:rPr>
        <w:t>ing</w:t>
      </w:r>
      <w:r w:rsidRPr="002433F3">
        <w:rPr>
          <w:rFonts w:eastAsia="Calibri" w:cs="Times New Roman"/>
          <w:szCs w:val="20"/>
          <w:lang w:val="en-US"/>
        </w:rPr>
        <w:t xml:space="preserve"> </w:t>
      </w:r>
      <w:r w:rsidR="00D67802" w:rsidRPr="002433F3">
        <w:rPr>
          <w:rFonts w:eastAsia="Calibri" w:cs="Times New Roman"/>
          <w:szCs w:val="20"/>
          <w:lang w:val="en-US"/>
        </w:rPr>
        <w:t xml:space="preserve">a </w:t>
      </w:r>
      <w:r w:rsidR="007B0DE4" w:rsidRPr="002433F3">
        <w:rPr>
          <w:rFonts w:eastAsia="Calibri" w:cs="Times New Roman"/>
          <w:szCs w:val="20"/>
          <w:lang w:val="en-US"/>
        </w:rPr>
        <w:t xml:space="preserve">survivor’s pension </w:t>
      </w:r>
      <w:r w:rsidR="00D67802" w:rsidRPr="002433F3">
        <w:rPr>
          <w:rFonts w:eastAsia="Calibri" w:cs="Times New Roman"/>
          <w:szCs w:val="20"/>
          <w:lang w:val="en-US"/>
        </w:rPr>
        <w:t>since 2007</w:t>
      </w:r>
      <w:r w:rsidR="007B0DE4" w:rsidRPr="002433F3">
        <w:rPr>
          <w:rFonts w:eastAsia="Calibri" w:cs="Times New Roman"/>
          <w:szCs w:val="20"/>
          <w:lang w:val="en-US"/>
        </w:rPr>
        <w:t xml:space="preserve">. </w:t>
      </w:r>
      <w:r w:rsidR="00A8784E" w:rsidRPr="002433F3">
        <w:rPr>
          <w:rFonts w:eastAsia="Calibri" w:cs="Times New Roman"/>
          <w:szCs w:val="20"/>
          <w:lang w:val="en-US"/>
        </w:rPr>
        <w:t>However</w:t>
      </w:r>
      <w:r w:rsidR="007B0DE4" w:rsidRPr="002433F3">
        <w:rPr>
          <w:rFonts w:eastAsia="Calibri" w:cs="Times New Roman"/>
          <w:szCs w:val="20"/>
          <w:lang w:val="en-US"/>
        </w:rPr>
        <w:t>, in th</w:t>
      </w:r>
      <w:r w:rsidR="00A8784E" w:rsidRPr="002433F3">
        <w:rPr>
          <w:rFonts w:eastAsia="Calibri" w:cs="Times New Roman"/>
          <w:szCs w:val="20"/>
          <w:lang w:val="en-US"/>
        </w:rPr>
        <w:t xml:space="preserve">is </w:t>
      </w:r>
      <w:r w:rsidR="008828CD" w:rsidRPr="002433F3">
        <w:rPr>
          <w:rFonts w:eastAsia="Calibri" w:cs="Times New Roman"/>
          <w:szCs w:val="20"/>
          <w:lang w:val="en-US"/>
        </w:rPr>
        <w:t xml:space="preserve">case, </w:t>
      </w:r>
      <w:r w:rsidR="00392AB5" w:rsidRPr="002433F3">
        <w:rPr>
          <w:rFonts w:eastAsia="Calibri" w:cs="Times New Roman"/>
          <w:szCs w:val="20"/>
          <w:lang w:val="en-US"/>
        </w:rPr>
        <w:t xml:space="preserve">it was not requested </w:t>
      </w:r>
      <w:r w:rsidR="0034724F" w:rsidRPr="002433F3">
        <w:rPr>
          <w:rFonts w:eastAsia="Calibri" w:cs="Times New Roman"/>
          <w:szCs w:val="20"/>
          <w:lang w:val="en-US"/>
        </w:rPr>
        <w:t xml:space="preserve">through any </w:t>
      </w:r>
      <w:r w:rsidR="008828CD" w:rsidRPr="002433F3">
        <w:rPr>
          <w:rFonts w:eastAsia="Calibri" w:cs="Times New Roman"/>
          <w:szCs w:val="20"/>
          <w:lang w:val="en-US"/>
        </w:rPr>
        <w:t>means</w:t>
      </w:r>
      <w:r w:rsidR="007B0DE4" w:rsidRPr="002433F3">
        <w:rPr>
          <w:rFonts w:eastAsia="Calibri" w:cs="Times New Roman"/>
          <w:szCs w:val="20"/>
          <w:lang w:val="en-US"/>
        </w:rPr>
        <w:t xml:space="preserve">, </w:t>
      </w:r>
      <w:r w:rsidR="0034724F" w:rsidRPr="002433F3">
        <w:rPr>
          <w:rFonts w:eastAsia="Calibri" w:cs="Times New Roman"/>
          <w:szCs w:val="20"/>
          <w:lang w:val="en-US"/>
        </w:rPr>
        <w:t xml:space="preserve">and </w:t>
      </w:r>
      <w:r w:rsidR="00745C84" w:rsidRPr="002433F3">
        <w:rPr>
          <w:rFonts w:eastAsia="Calibri" w:cs="Times New Roman"/>
          <w:szCs w:val="20"/>
          <w:lang w:val="en-US"/>
        </w:rPr>
        <w:t xml:space="preserve">no reasons </w:t>
      </w:r>
      <w:r w:rsidR="0034724F" w:rsidRPr="002433F3">
        <w:rPr>
          <w:rFonts w:eastAsia="Calibri" w:cs="Times New Roman"/>
          <w:szCs w:val="20"/>
          <w:lang w:val="en-US"/>
        </w:rPr>
        <w:t xml:space="preserve">were </w:t>
      </w:r>
      <w:r w:rsidR="00745C84" w:rsidRPr="002433F3">
        <w:rPr>
          <w:rFonts w:eastAsia="Calibri" w:cs="Times New Roman"/>
          <w:szCs w:val="20"/>
          <w:lang w:val="en-US"/>
        </w:rPr>
        <w:t xml:space="preserve">given for </w:t>
      </w:r>
      <w:r w:rsidR="007B0DE4" w:rsidRPr="002433F3">
        <w:rPr>
          <w:rFonts w:eastAsia="Calibri" w:cs="Times New Roman"/>
          <w:szCs w:val="20"/>
          <w:lang w:val="en-US"/>
        </w:rPr>
        <w:t>no</w:t>
      </w:r>
      <w:r w:rsidR="00745C84" w:rsidRPr="002433F3">
        <w:rPr>
          <w:rFonts w:eastAsia="Calibri" w:cs="Times New Roman"/>
          <w:szCs w:val="20"/>
          <w:lang w:val="en-US"/>
        </w:rPr>
        <w:t>t</w:t>
      </w:r>
      <w:r w:rsidR="007B0DE4" w:rsidRPr="002433F3">
        <w:rPr>
          <w:rFonts w:eastAsia="Calibri" w:cs="Times New Roman"/>
          <w:szCs w:val="20"/>
          <w:lang w:val="en-US"/>
        </w:rPr>
        <w:t xml:space="preserve"> </w:t>
      </w:r>
      <w:r w:rsidR="00B21D49" w:rsidRPr="002433F3">
        <w:rPr>
          <w:rFonts w:eastAsia="Calibri" w:cs="Times New Roman"/>
          <w:szCs w:val="20"/>
          <w:lang w:val="en-US"/>
        </w:rPr>
        <w:t>doing so</w:t>
      </w:r>
      <w:r w:rsidR="007B0DE4" w:rsidRPr="002433F3">
        <w:rPr>
          <w:rFonts w:eastAsia="Calibri" w:cs="Times New Roman"/>
          <w:szCs w:val="20"/>
          <w:lang w:val="en-US"/>
        </w:rPr>
        <w:t xml:space="preserve">. </w:t>
      </w:r>
    </w:p>
    <w:p w14:paraId="20206DDA" w14:textId="77777777" w:rsidR="007B0DE4" w:rsidRPr="002433F3" w:rsidRDefault="007B0DE4" w:rsidP="007B0DE4">
      <w:pPr>
        <w:spacing w:before="240" w:after="200"/>
        <w:rPr>
          <w:rFonts w:eastAsia="Calibri" w:cs="Times New Roman"/>
          <w:szCs w:val="20"/>
          <w:lang w:val="en-US"/>
        </w:rPr>
      </w:pPr>
      <w:r w:rsidRPr="002433F3">
        <w:rPr>
          <w:rFonts w:eastAsia="Calibri" w:cs="Times New Roman"/>
          <w:szCs w:val="20"/>
          <w:lang w:val="en-US"/>
        </w:rPr>
        <w:t xml:space="preserve">Therefore, the obligation to grant the aforementioned pension, </w:t>
      </w:r>
      <w:r w:rsidR="00392AB5" w:rsidRPr="002433F3">
        <w:rPr>
          <w:rFonts w:eastAsia="Calibri" w:cs="Times New Roman"/>
          <w:szCs w:val="20"/>
          <w:lang w:val="en-US"/>
        </w:rPr>
        <w:t xml:space="preserve">which is of a domestic nature, </w:t>
      </w:r>
      <w:r w:rsidRPr="002433F3">
        <w:rPr>
          <w:rFonts w:eastAsia="Calibri" w:cs="Times New Roman"/>
          <w:szCs w:val="20"/>
          <w:lang w:val="en-US"/>
        </w:rPr>
        <w:t xml:space="preserve">has been recognized by </w:t>
      </w:r>
      <w:r w:rsidR="00392AB5" w:rsidRPr="002433F3">
        <w:rPr>
          <w:rFonts w:eastAsia="Calibri" w:cs="Times New Roman"/>
          <w:szCs w:val="20"/>
          <w:lang w:val="en-US"/>
        </w:rPr>
        <w:t xml:space="preserve">the case law of the </w:t>
      </w:r>
      <w:r w:rsidRPr="002433F3">
        <w:rPr>
          <w:rFonts w:eastAsia="Calibri" w:cs="Times New Roman"/>
          <w:szCs w:val="20"/>
          <w:lang w:val="en-US"/>
        </w:rPr>
        <w:t xml:space="preserve">Constitutional Court. </w:t>
      </w:r>
    </w:p>
    <w:p w14:paraId="1723029D" w14:textId="77777777" w:rsidR="007B0DE4" w:rsidRPr="002433F3" w:rsidRDefault="00745C84" w:rsidP="007B0DE4">
      <w:pPr>
        <w:spacing w:before="240" w:after="200"/>
        <w:rPr>
          <w:rFonts w:eastAsia="Calibri" w:cs="Times New Roman"/>
          <w:szCs w:val="20"/>
          <w:lang w:val="en-US"/>
        </w:rPr>
      </w:pPr>
      <w:r w:rsidRPr="002433F3">
        <w:rPr>
          <w:rFonts w:eastAsia="Calibri" w:cs="Times New Roman"/>
          <w:szCs w:val="20"/>
          <w:lang w:val="en-US"/>
        </w:rPr>
        <w:t>In this re</w:t>
      </w:r>
      <w:r w:rsidR="009D3C42" w:rsidRPr="002433F3">
        <w:rPr>
          <w:rFonts w:eastAsia="Calibri" w:cs="Times New Roman"/>
          <w:szCs w:val="20"/>
          <w:lang w:val="en-US"/>
        </w:rPr>
        <w:t>spect</w:t>
      </w:r>
      <w:r w:rsidRPr="002433F3">
        <w:rPr>
          <w:rFonts w:eastAsia="Calibri" w:cs="Times New Roman"/>
          <w:szCs w:val="20"/>
          <w:lang w:val="en-US"/>
        </w:rPr>
        <w:t xml:space="preserve">, it is appropriate to </w:t>
      </w:r>
      <w:r w:rsidR="009D3C42" w:rsidRPr="002433F3">
        <w:rPr>
          <w:rFonts w:eastAsia="Calibri" w:cs="Times New Roman"/>
          <w:szCs w:val="20"/>
          <w:lang w:val="en-US"/>
        </w:rPr>
        <w:t xml:space="preserve">recall </w:t>
      </w:r>
      <w:r w:rsidRPr="002433F3">
        <w:rPr>
          <w:rFonts w:eastAsia="Calibri" w:cs="Times New Roman"/>
          <w:szCs w:val="20"/>
          <w:lang w:val="en-US"/>
        </w:rPr>
        <w:t xml:space="preserve">the </w:t>
      </w:r>
      <w:r w:rsidR="007B0DE4" w:rsidRPr="002433F3">
        <w:rPr>
          <w:rFonts w:eastAsia="Calibri" w:cs="Times New Roman"/>
          <w:szCs w:val="20"/>
          <w:lang w:val="en-US"/>
        </w:rPr>
        <w:t>Court’s constant case</w:t>
      </w:r>
      <w:r w:rsidR="00132D1A" w:rsidRPr="002433F3">
        <w:rPr>
          <w:rFonts w:eastAsia="Calibri" w:cs="Times New Roman"/>
          <w:szCs w:val="20"/>
          <w:lang w:val="en-US"/>
        </w:rPr>
        <w:t xml:space="preserve"> law </w:t>
      </w:r>
      <w:r w:rsidR="009D3C42" w:rsidRPr="002433F3">
        <w:rPr>
          <w:rFonts w:eastAsia="Calibri" w:cs="Times New Roman"/>
          <w:szCs w:val="20"/>
          <w:lang w:val="en-US"/>
        </w:rPr>
        <w:t xml:space="preserve">with regard to </w:t>
      </w:r>
      <w:r w:rsidRPr="002433F3">
        <w:rPr>
          <w:rFonts w:eastAsia="Calibri" w:cs="Times New Roman"/>
          <w:szCs w:val="20"/>
          <w:lang w:val="en-US"/>
        </w:rPr>
        <w:t xml:space="preserve">the </w:t>
      </w:r>
      <w:r w:rsidR="009D3C42" w:rsidRPr="002433F3">
        <w:rPr>
          <w:rFonts w:eastAsia="Calibri" w:cs="Times New Roman"/>
          <w:szCs w:val="20"/>
          <w:lang w:val="en-US"/>
        </w:rPr>
        <w:t xml:space="preserve">fact that the </w:t>
      </w:r>
      <w:r w:rsidR="009D3C42" w:rsidRPr="002433F3">
        <w:rPr>
          <w:lang w:val="en-US"/>
        </w:rPr>
        <w:t>State’s responsibility under the Convention can only be required at the international lev</w:t>
      </w:r>
      <w:r w:rsidR="001656A8">
        <w:rPr>
          <w:lang w:val="en-US"/>
        </w:rPr>
        <w:t>el after the State has had an</w:t>
      </w:r>
      <w:r w:rsidR="009D3C42" w:rsidRPr="002433F3">
        <w:rPr>
          <w:lang w:val="en-US"/>
        </w:rPr>
        <w:t xml:space="preserve"> opportunity to declare the violation and to repair the damage caused by its own means.</w:t>
      </w:r>
      <w:r w:rsidR="007B0DE4" w:rsidRPr="002433F3">
        <w:rPr>
          <w:rFonts w:eastAsia="Calibri" w:cs="Times New Roman"/>
          <w:szCs w:val="20"/>
          <w:vertAlign w:val="superscript"/>
          <w:lang w:val="en-US"/>
        </w:rPr>
        <w:footnoteReference w:id="188"/>
      </w:r>
      <w:r w:rsidR="007B0DE4" w:rsidRPr="002433F3">
        <w:rPr>
          <w:rFonts w:eastAsia="Calibri" w:cs="Times New Roman"/>
          <w:szCs w:val="20"/>
          <w:lang w:val="en-US"/>
        </w:rPr>
        <w:t xml:space="preserve"> </w:t>
      </w:r>
      <w:r w:rsidR="009D3C42" w:rsidRPr="002433F3">
        <w:rPr>
          <w:lang w:val="en-US"/>
        </w:rPr>
        <w:t xml:space="preserve">This is based on the principle of complementarity (subsidiarity), that </w:t>
      </w:r>
      <w:r w:rsidR="001656A8">
        <w:rPr>
          <w:lang w:val="en-US"/>
        </w:rPr>
        <w:t xml:space="preserve">permeates </w:t>
      </w:r>
      <w:r w:rsidR="009D3C42" w:rsidRPr="002433F3">
        <w:rPr>
          <w:lang w:val="en-US"/>
        </w:rPr>
        <w:t>the inter-American human rights system, which – as stated in the Preamble to the American Convention – “reinforce[s] or complement[s] the protection provided by the domestic law of the American States</w:t>
      </w:r>
      <w:r w:rsidR="007B0DE4" w:rsidRPr="002433F3">
        <w:rPr>
          <w:rFonts w:eastAsia="Calibri" w:cs="Times New Roman"/>
          <w:i/>
          <w:szCs w:val="20"/>
          <w:lang w:val="en-US"/>
        </w:rPr>
        <w:t>.</w:t>
      </w:r>
      <w:r w:rsidR="007B0DE4" w:rsidRPr="002433F3">
        <w:rPr>
          <w:rFonts w:eastAsia="Calibri" w:cs="Times New Roman"/>
          <w:szCs w:val="20"/>
          <w:lang w:val="en-US"/>
        </w:rPr>
        <w:t xml:space="preserve">” </w:t>
      </w:r>
    </w:p>
    <w:p w14:paraId="35280047" w14:textId="77777777" w:rsidR="007B0DE4" w:rsidRPr="002433F3" w:rsidRDefault="007B0DE4" w:rsidP="007B0DE4">
      <w:pPr>
        <w:spacing w:after="240"/>
        <w:ind w:right="4"/>
        <w:rPr>
          <w:rFonts w:eastAsia="Calibri" w:cs="Times New Roman"/>
          <w:szCs w:val="20"/>
          <w:lang w:val="en-US"/>
        </w:rPr>
      </w:pPr>
      <w:r w:rsidRPr="002433F3">
        <w:rPr>
          <w:rFonts w:eastAsia="Calibri" w:cs="Times New Roman"/>
          <w:szCs w:val="20"/>
          <w:lang w:val="en-US"/>
        </w:rPr>
        <w:t xml:space="preserve">Consequently, </w:t>
      </w:r>
      <w:r w:rsidR="001656A8">
        <w:rPr>
          <w:rFonts w:eastAsia="Calibri" w:cs="Times New Roman"/>
          <w:szCs w:val="20"/>
          <w:lang w:val="en-US"/>
        </w:rPr>
        <w:t xml:space="preserve">and </w:t>
      </w:r>
      <w:r w:rsidR="00AE22A2" w:rsidRPr="002433F3">
        <w:rPr>
          <w:rFonts w:eastAsia="Calibri" w:cs="Times New Roman"/>
          <w:szCs w:val="20"/>
          <w:lang w:val="en-US"/>
        </w:rPr>
        <w:t xml:space="preserve">for that reason, </w:t>
      </w:r>
      <w:r w:rsidRPr="002433F3">
        <w:rPr>
          <w:rFonts w:eastAsia="Calibri" w:cs="Times New Roman"/>
          <w:szCs w:val="20"/>
          <w:lang w:val="en-US"/>
        </w:rPr>
        <w:t xml:space="preserve">the Judgment </w:t>
      </w:r>
      <w:r w:rsidR="00745C84" w:rsidRPr="002433F3">
        <w:rPr>
          <w:rFonts w:eastAsia="Calibri" w:cs="Times New Roman"/>
          <w:szCs w:val="20"/>
          <w:lang w:val="en-US"/>
        </w:rPr>
        <w:t>could not order</w:t>
      </w:r>
      <w:r w:rsidR="00AE22A2" w:rsidRPr="002433F3">
        <w:rPr>
          <w:rFonts w:eastAsia="Calibri" w:cs="Times New Roman"/>
          <w:szCs w:val="20"/>
          <w:lang w:val="en-US"/>
        </w:rPr>
        <w:t>,</w:t>
      </w:r>
      <w:r w:rsidRPr="002433F3">
        <w:rPr>
          <w:rFonts w:eastAsia="Calibri" w:cs="Times New Roman"/>
          <w:szCs w:val="20"/>
          <w:lang w:val="en-US"/>
        </w:rPr>
        <w:t xml:space="preserve"> as </w:t>
      </w:r>
      <w:r w:rsidR="00A8784E" w:rsidRPr="002433F3">
        <w:rPr>
          <w:rFonts w:eastAsia="Calibri" w:cs="Times New Roman"/>
          <w:szCs w:val="20"/>
          <w:lang w:val="en-US"/>
        </w:rPr>
        <w:t>mandated by Article 63 (</w:t>
      </w:r>
      <w:r w:rsidRPr="002433F3">
        <w:rPr>
          <w:rFonts w:eastAsia="Calibri" w:cs="Times New Roman"/>
          <w:szCs w:val="20"/>
          <w:lang w:val="en-US"/>
        </w:rPr>
        <w:t>1) of the Convention,</w:t>
      </w:r>
      <w:r w:rsidRPr="002433F3">
        <w:rPr>
          <w:rFonts w:eastAsia="Calibri" w:cs="Tahoma"/>
          <w:szCs w:val="20"/>
          <w:lang w:val="en-US"/>
        </w:rPr>
        <w:t xml:space="preserve"> </w:t>
      </w:r>
      <w:r w:rsidRPr="002433F3">
        <w:rPr>
          <w:rFonts w:eastAsia="Calibri" w:cs="Tahoma"/>
          <w:i/>
          <w:szCs w:val="20"/>
          <w:lang w:val="en-US"/>
        </w:rPr>
        <w:t>“</w:t>
      </w:r>
      <w:r w:rsidR="008828CD" w:rsidRPr="002433F3">
        <w:rPr>
          <w:i/>
          <w:color w:val="000000"/>
          <w:lang w:val="en-US"/>
        </w:rPr>
        <w:t>that the injured party be ensured the enjoyment of his right or freedom that was violated</w:t>
      </w:r>
      <w:r w:rsidR="005423C1" w:rsidRPr="002433F3">
        <w:rPr>
          <w:rFonts w:eastAsia="Calibri" w:cs="Tahoma"/>
          <w:i/>
          <w:szCs w:val="20"/>
          <w:lang w:val="en-US"/>
        </w:rPr>
        <w:t>,</w:t>
      </w:r>
      <w:r w:rsidR="005423C1" w:rsidRPr="002433F3">
        <w:rPr>
          <w:rFonts w:eastAsia="Calibri" w:cs="Tahoma"/>
          <w:szCs w:val="20"/>
          <w:lang w:val="en-US"/>
        </w:rPr>
        <w:t>”</w:t>
      </w:r>
      <w:r w:rsidRPr="002433F3">
        <w:rPr>
          <w:rFonts w:eastAsia="Calibri" w:cs="Tahoma"/>
          <w:szCs w:val="20"/>
          <w:lang w:val="en-US"/>
        </w:rPr>
        <w:t xml:space="preserve"> given that </w:t>
      </w:r>
      <w:r w:rsidR="00A8784E" w:rsidRPr="002433F3">
        <w:rPr>
          <w:rFonts w:eastAsia="Calibri" w:cs="Tahoma"/>
          <w:szCs w:val="20"/>
          <w:lang w:val="en-US"/>
        </w:rPr>
        <w:t>this had already occurred</w:t>
      </w:r>
      <w:r w:rsidRPr="002433F3">
        <w:rPr>
          <w:rFonts w:eastAsia="Calibri" w:cs="Tahoma"/>
          <w:szCs w:val="20"/>
          <w:lang w:val="en-US"/>
        </w:rPr>
        <w:t xml:space="preserve">. </w:t>
      </w:r>
      <w:r w:rsidR="000A17FF" w:rsidRPr="002433F3">
        <w:rPr>
          <w:rFonts w:eastAsia="Calibri" w:cs="Tahoma"/>
          <w:szCs w:val="20"/>
          <w:lang w:val="en-US"/>
        </w:rPr>
        <w:t>I</w:t>
      </w:r>
      <w:r w:rsidR="005423C1" w:rsidRPr="002433F3">
        <w:rPr>
          <w:rFonts w:eastAsia="Calibri" w:cs="Tahoma"/>
          <w:szCs w:val="20"/>
          <w:lang w:val="en-US"/>
        </w:rPr>
        <w:t xml:space="preserve">t was unable to do so because </w:t>
      </w:r>
      <w:r w:rsidRPr="002433F3">
        <w:rPr>
          <w:rFonts w:eastAsia="Calibri" w:cs="Tahoma"/>
          <w:szCs w:val="20"/>
          <w:lang w:val="en-US"/>
        </w:rPr>
        <w:t xml:space="preserve">the </w:t>
      </w:r>
      <w:r w:rsidR="00A8784E" w:rsidRPr="002433F3">
        <w:rPr>
          <w:rFonts w:eastAsia="Calibri" w:cs="Tahoma"/>
          <w:szCs w:val="20"/>
          <w:lang w:val="en-US"/>
        </w:rPr>
        <w:t xml:space="preserve">object and purpose </w:t>
      </w:r>
      <w:r w:rsidRPr="002433F3">
        <w:rPr>
          <w:rFonts w:eastAsia="Calibri" w:cs="Tahoma"/>
          <w:szCs w:val="20"/>
          <w:lang w:val="en-US"/>
        </w:rPr>
        <w:t>p</w:t>
      </w:r>
      <w:r w:rsidR="00A8784E" w:rsidRPr="002433F3">
        <w:rPr>
          <w:rFonts w:eastAsia="Calibri" w:cs="Tahoma"/>
          <w:szCs w:val="20"/>
          <w:lang w:val="en-US"/>
        </w:rPr>
        <w:t xml:space="preserve">ursued </w:t>
      </w:r>
      <w:r w:rsidR="00745C84" w:rsidRPr="002433F3">
        <w:rPr>
          <w:rFonts w:eastAsia="Calibri" w:cs="Tahoma"/>
          <w:szCs w:val="20"/>
          <w:lang w:val="en-US"/>
        </w:rPr>
        <w:t>had already been ac</w:t>
      </w:r>
      <w:r w:rsidR="005423C1" w:rsidRPr="002433F3">
        <w:rPr>
          <w:rFonts w:eastAsia="Calibri" w:cs="Tahoma"/>
          <w:szCs w:val="20"/>
          <w:lang w:val="en-US"/>
        </w:rPr>
        <w:t xml:space="preserve">complished with the </w:t>
      </w:r>
      <w:r w:rsidRPr="002433F3">
        <w:rPr>
          <w:rFonts w:eastAsia="Calibri" w:cs="Tahoma"/>
          <w:szCs w:val="20"/>
          <w:lang w:val="en-US"/>
        </w:rPr>
        <w:t>intervention of the inter-American</w:t>
      </w:r>
      <w:r w:rsidR="00A8784E" w:rsidRPr="002433F3">
        <w:rPr>
          <w:rFonts w:eastAsia="Calibri" w:cs="Tahoma"/>
          <w:szCs w:val="20"/>
          <w:lang w:val="en-US"/>
        </w:rPr>
        <w:t xml:space="preserve"> jurisdiction</w:t>
      </w:r>
      <w:r w:rsidRPr="002433F3">
        <w:rPr>
          <w:rFonts w:eastAsia="Calibri" w:cs="Tahoma"/>
          <w:szCs w:val="20"/>
          <w:lang w:val="en-US"/>
        </w:rPr>
        <w:t xml:space="preserve">, </w:t>
      </w:r>
      <w:r w:rsidR="000A17FF" w:rsidRPr="002433F3">
        <w:rPr>
          <w:rFonts w:eastAsia="Calibri" w:cs="Tahoma"/>
          <w:szCs w:val="20"/>
          <w:lang w:val="en-US"/>
        </w:rPr>
        <w:t xml:space="preserve">in other words, the </w:t>
      </w:r>
      <w:r w:rsidR="00745C84" w:rsidRPr="002433F3">
        <w:rPr>
          <w:rFonts w:eastAsia="Calibri" w:cs="Tahoma"/>
          <w:szCs w:val="20"/>
          <w:lang w:val="en-US"/>
        </w:rPr>
        <w:t>prompt</w:t>
      </w:r>
      <w:r w:rsidRPr="002433F3">
        <w:rPr>
          <w:rFonts w:eastAsia="Calibri" w:cs="Tahoma"/>
          <w:szCs w:val="20"/>
          <w:lang w:val="en-US"/>
        </w:rPr>
        <w:t xml:space="preserve"> and effective </w:t>
      </w:r>
      <w:r w:rsidR="000A17FF" w:rsidRPr="002433F3">
        <w:rPr>
          <w:rFonts w:eastAsia="Calibri" w:cs="Tahoma"/>
          <w:szCs w:val="20"/>
          <w:lang w:val="en-US"/>
        </w:rPr>
        <w:t xml:space="preserve">reestablishment </w:t>
      </w:r>
      <w:r w:rsidRPr="002433F3">
        <w:rPr>
          <w:rFonts w:eastAsia="Calibri" w:cs="Tahoma"/>
          <w:szCs w:val="20"/>
          <w:lang w:val="en-US"/>
        </w:rPr>
        <w:t xml:space="preserve">of the </w:t>
      </w:r>
      <w:r w:rsidR="00A8784E" w:rsidRPr="002433F3">
        <w:rPr>
          <w:rFonts w:eastAsia="Calibri" w:cs="Tahoma"/>
          <w:szCs w:val="20"/>
          <w:lang w:val="en-US"/>
        </w:rPr>
        <w:t xml:space="preserve">human </w:t>
      </w:r>
      <w:r w:rsidRPr="002433F3">
        <w:rPr>
          <w:rFonts w:eastAsia="Calibri" w:cs="Tahoma"/>
          <w:szCs w:val="20"/>
          <w:lang w:val="en-US"/>
        </w:rPr>
        <w:t xml:space="preserve">right </w:t>
      </w:r>
      <w:r w:rsidR="000A17FF" w:rsidRPr="002433F3">
        <w:rPr>
          <w:rFonts w:eastAsia="Calibri" w:cs="Tahoma"/>
          <w:szCs w:val="20"/>
          <w:lang w:val="en-US"/>
        </w:rPr>
        <w:t xml:space="preserve">that was </w:t>
      </w:r>
      <w:r w:rsidR="00745C84" w:rsidRPr="002433F3">
        <w:rPr>
          <w:rFonts w:eastAsia="Calibri" w:cs="Tahoma"/>
          <w:szCs w:val="20"/>
          <w:lang w:val="en-US"/>
        </w:rPr>
        <w:t>violated</w:t>
      </w:r>
      <w:r w:rsidRPr="002433F3">
        <w:rPr>
          <w:rFonts w:eastAsia="Calibri" w:cs="Tahoma"/>
          <w:szCs w:val="20"/>
          <w:lang w:val="en-US"/>
        </w:rPr>
        <w:t>.</w:t>
      </w:r>
    </w:p>
    <w:p w14:paraId="5A9F62F5" w14:textId="77777777" w:rsidR="007B0DE4" w:rsidRPr="002433F3" w:rsidRDefault="007B0DE4" w:rsidP="007B0DE4">
      <w:pPr>
        <w:spacing w:after="240"/>
        <w:ind w:right="4"/>
        <w:rPr>
          <w:rFonts w:eastAsia="Calibri" w:cs="Times New Roman"/>
          <w:szCs w:val="20"/>
          <w:lang w:val="en-US"/>
        </w:rPr>
      </w:pPr>
      <w:r w:rsidRPr="002433F3">
        <w:rPr>
          <w:rFonts w:eastAsia="Calibri" w:cs="Times New Roman"/>
          <w:szCs w:val="20"/>
          <w:lang w:val="en-US"/>
        </w:rPr>
        <w:t>As to the second claim, i</w:t>
      </w:r>
      <w:r w:rsidR="00FC0032" w:rsidRPr="002433F3">
        <w:rPr>
          <w:rFonts w:eastAsia="Calibri" w:cs="Times New Roman"/>
          <w:szCs w:val="20"/>
          <w:lang w:val="en-US"/>
        </w:rPr>
        <w:t>t i</w:t>
      </w:r>
      <w:r w:rsidRPr="002433F3">
        <w:rPr>
          <w:rFonts w:eastAsia="Calibri" w:cs="Times New Roman"/>
          <w:szCs w:val="20"/>
          <w:lang w:val="en-US"/>
        </w:rPr>
        <w:t xml:space="preserve">s pertinent </w:t>
      </w:r>
      <w:r w:rsidR="000A17FF" w:rsidRPr="002433F3">
        <w:rPr>
          <w:rFonts w:eastAsia="Calibri" w:cs="Times New Roman"/>
          <w:szCs w:val="20"/>
          <w:lang w:val="en-US"/>
        </w:rPr>
        <w:t xml:space="preserve">to </w:t>
      </w:r>
      <w:r w:rsidRPr="002433F3">
        <w:rPr>
          <w:rFonts w:eastAsia="Calibri" w:cs="Times New Roman"/>
          <w:szCs w:val="20"/>
          <w:lang w:val="en-US"/>
        </w:rPr>
        <w:t xml:space="preserve">recall that </w:t>
      </w:r>
      <w:r w:rsidR="000F0E04" w:rsidRPr="002433F3">
        <w:rPr>
          <w:rFonts w:eastAsia="Calibri" w:cs="Times New Roman"/>
          <w:szCs w:val="20"/>
          <w:lang w:val="en-US"/>
        </w:rPr>
        <w:t xml:space="preserve">it </w:t>
      </w:r>
      <w:r w:rsidRPr="002433F3">
        <w:rPr>
          <w:rFonts w:eastAsia="Calibri" w:cs="Times New Roman"/>
          <w:szCs w:val="20"/>
          <w:lang w:val="en-US"/>
        </w:rPr>
        <w:t xml:space="preserve">was </w:t>
      </w:r>
      <w:r w:rsidR="00400E5E" w:rsidRPr="002433F3">
        <w:rPr>
          <w:rFonts w:eastAsia="Calibri" w:cs="Times New Roman"/>
          <w:szCs w:val="20"/>
          <w:lang w:val="en-US"/>
        </w:rPr>
        <w:t xml:space="preserve">only in </w:t>
      </w:r>
      <w:r w:rsidRPr="002433F3">
        <w:rPr>
          <w:rFonts w:eastAsia="Calibri" w:cs="Times New Roman"/>
          <w:szCs w:val="20"/>
          <w:lang w:val="en-US"/>
        </w:rPr>
        <w:t xml:space="preserve">the petition lodged </w:t>
      </w:r>
      <w:r w:rsidR="00400E5E" w:rsidRPr="002433F3">
        <w:rPr>
          <w:rFonts w:eastAsia="Calibri" w:cs="Times New Roman"/>
          <w:szCs w:val="20"/>
          <w:lang w:val="en-US"/>
        </w:rPr>
        <w:t xml:space="preserve">with </w:t>
      </w:r>
      <w:r w:rsidRPr="002433F3">
        <w:rPr>
          <w:rFonts w:eastAsia="Calibri" w:cs="Times New Roman"/>
          <w:szCs w:val="20"/>
          <w:lang w:val="en-US"/>
        </w:rPr>
        <w:t>the Inter-American Commission on Human Rights (hereinafter “the Commission”)</w:t>
      </w:r>
      <w:r w:rsidR="00FC0032" w:rsidRPr="002433F3">
        <w:rPr>
          <w:rFonts w:eastAsia="Calibri" w:cs="Times New Roman"/>
          <w:szCs w:val="20"/>
          <w:lang w:val="en-US"/>
        </w:rPr>
        <w:t>, which</w:t>
      </w:r>
      <w:r w:rsidRPr="002433F3">
        <w:rPr>
          <w:rFonts w:eastAsia="Calibri" w:cs="Times New Roman"/>
          <w:szCs w:val="20"/>
          <w:lang w:val="en-US"/>
        </w:rPr>
        <w:t xml:space="preserve"> gave rise to the instant case</w:t>
      </w:r>
      <w:r w:rsidR="00FC0032" w:rsidRPr="002433F3">
        <w:rPr>
          <w:rFonts w:eastAsia="Calibri" w:cs="Times New Roman"/>
          <w:szCs w:val="20"/>
          <w:lang w:val="en-US"/>
        </w:rPr>
        <w:t xml:space="preserve"> where</w:t>
      </w:r>
      <w:r w:rsidRPr="002433F3">
        <w:rPr>
          <w:rFonts w:eastAsia="Calibri" w:cs="Times New Roman"/>
          <w:szCs w:val="20"/>
          <w:lang w:val="en-US"/>
        </w:rPr>
        <w:t xml:space="preserve">, </w:t>
      </w:r>
      <w:r w:rsidR="00FC0032" w:rsidRPr="002433F3">
        <w:rPr>
          <w:rFonts w:eastAsia="Calibri" w:cs="Times New Roman"/>
          <w:szCs w:val="20"/>
          <w:lang w:val="en-US"/>
        </w:rPr>
        <w:t>for the first time,</w:t>
      </w:r>
      <w:r w:rsidRPr="002433F3">
        <w:rPr>
          <w:rFonts w:eastAsia="Calibri" w:cs="Times New Roman"/>
          <w:szCs w:val="20"/>
          <w:lang w:val="en-US"/>
        </w:rPr>
        <w:t xml:space="preserve"> the </w:t>
      </w:r>
      <w:r w:rsidR="00745C84" w:rsidRPr="002433F3">
        <w:rPr>
          <w:rFonts w:eastAsia="Calibri" w:cs="Times New Roman"/>
          <w:szCs w:val="20"/>
          <w:lang w:val="en-US"/>
        </w:rPr>
        <w:t>provisions</w:t>
      </w:r>
      <w:r w:rsidRPr="002433F3">
        <w:rPr>
          <w:rFonts w:eastAsia="Calibri" w:cs="Times New Roman"/>
          <w:szCs w:val="20"/>
          <w:lang w:val="en-US"/>
        </w:rPr>
        <w:t xml:space="preserve"> of </w:t>
      </w:r>
      <w:r w:rsidR="00514DD6" w:rsidRPr="002433F3">
        <w:rPr>
          <w:rFonts w:eastAsia="Calibri" w:cs="Times New Roman"/>
          <w:szCs w:val="20"/>
          <w:lang w:val="en-US"/>
        </w:rPr>
        <w:t xml:space="preserve">the State’s </w:t>
      </w:r>
      <w:r w:rsidRPr="002433F3">
        <w:rPr>
          <w:rFonts w:eastAsia="Calibri" w:cs="Times New Roman"/>
          <w:szCs w:val="20"/>
          <w:lang w:val="en-US"/>
        </w:rPr>
        <w:t>domestic law</w:t>
      </w:r>
      <w:r w:rsidR="00514DD6" w:rsidRPr="002433F3">
        <w:rPr>
          <w:rFonts w:eastAsia="Calibri" w:cs="Times New Roman"/>
          <w:szCs w:val="20"/>
          <w:lang w:val="en-US"/>
        </w:rPr>
        <w:t>s were invoked which</w:t>
      </w:r>
      <w:r w:rsidRPr="002433F3">
        <w:rPr>
          <w:rFonts w:eastAsia="Calibri" w:cs="Times New Roman"/>
          <w:szCs w:val="20"/>
          <w:lang w:val="en-US"/>
        </w:rPr>
        <w:t>, a</w:t>
      </w:r>
      <w:r w:rsidR="00514DD6" w:rsidRPr="002433F3">
        <w:rPr>
          <w:rFonts w:eastAsia="Calibri" w:cs="Times New Roman"/>
          <w:szCs w:val="20"/>
          <w:lang w:val="en-US"/>
        </w:rPr>
        <w:t xml:space="preserve">t that time, </w:t>
      </w:r>
      <w:r w:rsidR="00745C84" w:rsidRPr="002433F3">
        <w:rPr>
          <w:rFonts w:eastAsia="Calibri" w:cs="Times New Roman"/>
          <w:szCs w:val="20"/>
          <w:lang w:val="en-US"/>
        </w:rPr>
        <w:t>were deemed contrary to</w:t>
      </w:r>
      <w:r w:rsidRPr="002433F3">
        <w:rPr>
          <w:rFonts w:eastAsia="Calibri" w:cs="Times New Roman"/>
          <w:szCs w:val="20"/>
          <w:lang w:val="en-US"/>
        </w:rPr>
        <w:t xml:space="preserve"> the Convention.</w:t>
      </w:r>
      <w:r w:rsidRPr="002433F3">
        <w:rPr>
          <w:rFonts w:eastAsia="Calibri" w:cs="Times New Roman"/>
          <w:szCs w:val="20"/>
          <w:vertAlign w:val="superscript"/>
          <w:lang w:val="en-US"/>
        </w:rPr>
        <w:footnoteReference w:id="189"/>
      </w:r>
      <w:r w:rsidRPr="002433F3">
        <w:rPr>
          <w:rFonts w:eastAsia="Calibri" w:cs="Times New Roman"/>
          <w:szCs w:val="20"/>
          <w:lang w:val="en-US"/>
        </w:rPr>
        <w:t xml:space="preserve"> </w:t>
      </w:r>
      <w:r w:rsidR="00745C84" w:rsidRPr="002433F3">
        <w:rPr>
          <w:rFonts w:eastAsia="Calibri" w:cs="Times New Roman"/>
          <w:szCs w:val="20"/>
          <w:lang w:val="en-US"/>
        </w:rPr>
        <w:t xml:space="preserve">For this reason, the </w:t>
      </w:r>
      <w:r w:rsidR="00FC0032" w:rsidRPr="002433F3">
        <w:rPr>
          <w:rFonts w:eastAsia="Calibri" w:cs="Times New Roman"/>
          <w:szCs w:val="20"/>
          <w:lang w:val="en-US"/>
        </w:rPr>
        <w:t xml:space="preserve">victim’s </w:t>
      </w:r>
      <w:r w:rsidRPr="002433F3">
        <w:rPr>
          <w:rFonts w:eastAsia="Calibri" w:cs="Times New Roman"/>
          <w:szCs w:val="20"/>
          <w:lang w:val="en-US"/>
        </w:rPr>
        <w:t>representatives request</w:t>
      </w:r>
      <w:r w:rsidR="00745C84" w:rsidRPr="002433F3">
        <w:rPr>
          <w:rFonts w:eastAsia="Calibri" w:cs="Times New Roman"/>
          <w:szCs w:val="20"/>
          <w:lang w:val="en-US"/>
        </w:rPr>
        <w:t>ed</w:t>
      </w:r>
      <w:r w:rsidRPr="002433F3">
        <w:rPr>
          <w:rFonts w:eastAsia="Calibri" w:cs="Times New Roman"/>
          <w:szCs w:val="20"/>
          <w:lang w:val="en-US"/>
        </w:rPr>
        <w:t>, as</w:t>
      </w:r>
      <w:r w:rsidR="00745C84" w:rsidRPr="002433F3">
        <w:rPr>
          <w:rFonts w:eastAsia="Calibri" w:cs="Times New Roman"/>
          <w:szCs w:val="20"/>
          <w:lang w:val="en-US"/>
        </w:rPr>
        <w:t xml:space="preserve"> a</w:t>
      </w:r>
      <w:r w:rsidRPr="002433F3">
        <w:rPr>
          <w:rFonts w:eastAsia="Calibri" w:cs="Times New Roman"/>
          <w:szCs w:val="20"/>
          <w:lang w:val="en-US"/>
        </w:rPr>
        <w:t xml:space="preserve"> measure of reparation, “</w:t>
      </w:r>
      <w:r w:rsidR="00421A78" w:rsidRPr="002433F3">
        <w:rPr>
          <w:i/>
          <w:lang w:val="en-US"/>
        </w:rPr>
        <w:t>the promulgation of a law recognizing equal property rights for same-sex couples, in relation to the survivor’s pension to which heterosexual couples are entitled</w:t>
      </w:r>
      <w:r w:rsidRPr="002433F3">
        <w:rPr>
          <w:rFonts w:eastAsia="Calibri" w:cs="Times New Roman"/>
          <w:i/>
          <w:szCs w:val="20"/>
          <w:lang w:val="en-US"/>
        </w:rPr>
        <w:t>.”</w:t>
      </w:r>
      <w:r w:rsidRPr="002433F3">
        <w:rPr>
          <w:rFonts w:eastAsia="Calibri" w:cs="Times New Roman"/>
          <w:i/>
          <w:szCs w:val="20"/>
          <w:vertAlign w:val="superscript"/>
          <w:lang w:val="en-US"/>
        </w:rPr>
        <w:footnoteReference w:id="190"/>
      </w:r>
      <w:r w:rsidRPr="002433F3">
        <w:rPr>
          <w:rFonts w:eastAsia="Calibri" w:cs="Times New Roman"/>
          <w:szCs w:val="20"/>
          <w:lang w:val="en-US"/>
        </w:rPr>
        <w:t xml:space="preserve"> </w:t>
      </w:r>
    </w:p>
    <w:p w14:paraId="2FA42F91" w14:textId="77777777" w:rsidR="007B0DE4" w:rsidRPr="002433F3" w:rsidRDefault="007B0DE4" w:rsidP="007B0DE4">
      <w:pPr>
        <w:spacing w:after="240"/>
        <w:ind w:right="4"/>
        <w:rPr>
          <w:rFonts w:eastAsia="Calibri" w:cs="Times New Roman"/>
          <w:szCs w:val="20"/>
          <w:lang w:val="en-US"/>
        </w:rPr>
      </w:pPr>
      <w:r w:rsidRPr="002433F3">
        <w:rPr>
          <w:rFonts w:eastAsia="Calibri" w:cs="Times New Roman"/>
          <w:szCs w:val="20"/>
          <w:lang w:val="en-US"/>
        </w:rPr>
        <w:t xml:space="preserve">However, on this point it is essential to bear in mind that, </w:t>
      </w:r>
      <w:r w:rsidR="00421A78" w:rsidRPr="002433F3">
        <w:rPr>
          <w:rFonts w:eastAsia="Calibri" w:cs="Times New Roman"/>
          <w:szCs w:val="20"/>
          <w:lang w:val="en-US"/>
        </w:rPr>
        <w:t>in 2010 -</w:t>
      </w:r>
      <w:r w:rsidRPr="002433F3">
        <w:rPr>
          <w:rFonts w:eastAsia="Calibri" w:cs="Times New Roman"/>
          <w:szCs w:val="20"/>
          <w:lang w:val="en-US"/>
        </w:rPr>
        <w:t xml:space="preserve"> </w:t>
      </w:r>
      <w:r w:rsidR="00340B48" w:rsidRPr="002433F3">
        <w:rPr>
          <w:rFonts w:eastAsia="Calibri" w:cs="Times New Roman"/>
          <w:szCs w:val="20"/>
          <w:lang w:val="en-US"/>
        </w:rPr>
        <w:t>that is</w:t>
      </w:r>
      <w:r w:rsidRPr="002433F3">
        <w:rPr>
          <w:rFonts w:eastAsia="Calibri" w:cs="Times New Roman"/>
          <w:szCs w:val="20"/>
          <w:lang w:val="en-US"/>
        </w:rPr>
        <w:t>, before the Commission i</w:t>
      </w:r>
      <w:r w:rsidR="00340B48" w:rsidRPr="002433F3">
        <w:rPr>
          <w:rFonts w:eastAsia="Calibri" w:cs="Times New Roman"/>
          <w:szCs w:val="20"/>
          <w:lang w:val="en-US"/>
        </w:rPr>
        <w:t xml:space="preserve">ssued its Admissibility Report </w:t>
      </w:r>
      <w:r w:rsidRPr="002433F3">
        <w:rPr>
          <w:rFonts w:eastAsia="Calibri" w:cs="Times New Roman"/>
          <w:szCs w:val="20"/>
          <w:lang w:val="en-US"/>
        </w:rPr>
        <w:t xml:space="preserve">on November 2, 2011, and </w:t>
      </w:r>
      <w:r w:rsidR="00745C84" w:rsidRPr="002433F3">
        <w:rPr>
          <w:rFonts w:eastAsia="Calibri" w:cs="Times New Roman"/>
          <w:szCs w:val="20"/>
          <w:lang w:val="en-US"/>
        </w:rPr>
        <w:t>well before it submitted</w:t>
      </w:r>
      <w:r w:rsidR="00D538AD" w:rsidRPr="002433F3">
        <w:rPr>
          <w:rFonts w:eastAsia="Calibri" w:cs="Times New Roman"/>
          <w:szCs w:val="20"/>
          <w:lang w:val="en-US"/>
        </w:rPr>
        <w:t xml:space="preserve"> </w:t>
      </w:r>
      <w:r w:rsidRPr="002433F3">
        <w:rPr>
          <w:rFonts w:eastAsia="Calibri" w:cs="Times New Roman"/>
          <w:szCs w:val="20"/>
          <w:lang w:val="en-US"/>
        </w:rPr>
        <w:t xml:space="preserve">the case </w:t>
      </w:r>
      <w:r w:rsidR="00745C84" w:rsidRPr="002433F3">
        <w:rPr>
          <w:rFonts w:eastAsia="Calibri" w:cs="Times New Roman"/>
          <w:szCs w:val="20"/>
          <w:lang w:val="en-US"/>
        </w:rPr>
        <w:t xml:space="preserve">to </w:t>
      </w:r>
      <w:r w:rsidRPr="002433F3">
        <w:rPr>
          <w:rFonts w:eastAsia="Calibri" w:cs="Times New Roman"/>
          <w:szCs w:val="20"/>
          <w:lang w:val="en-US"/>
        </w:rPr>
        <w:t xml:space="preserve">the Court, </w:t>
      </w:r>
      <w:r w:rsidR="00421A78" w:rsidRPr="002433F3">
        <w:rPr>
          <w:rFonts w:eastAsia="Calibri" w:cs="Times New Roman"/>
          <w:szCs w:val="20"/>
          <w:lang w:val="en-US"/>
        </w:rPr>
        <w:t>on October 21, 2014 -</w:t>
      </w:r>
      <w:r w:rsidR="005060D3" w:rsidRPr="002433F3">
        <w:rPr>
          <w:rFonts w:eastAsia="Calibri" w:cs="Times New Roman"/>
          <w:szCs w:val="20"/>
          <w:lang w:val="en-US"/>
        </w:rPr>
        <w:t xml:space="preserve"> the </w:t>
      </w:r>
      <w:r w:rsidRPr="002433F3">
        <w:rPr>
          <w:rFonts w:eastAsia="Calibri" w:cs="Times New Roman"/>
          <w:i/>
          <w:szCs w:val="20"/>
          <w:lang w:val="en-US"/>
        </w:rPr>
        <w:t>effect útil</w:t>
      </w:r>
      <w:r w:rsidR="00D538AD" w:rsidRPr="002433F3">
        <w:rPr>
          <w:rFonts w:eastAsia="Calibri" w:cs="Times New Roman"/>
          <w:i/>
          <w:szCs w:val="20"/>
          <w:lang w:val="en-US"/>
        </w:rPr>
        <w:t>e</w:t>
      </w:r>
      <w:r w:rsidR="00421A78" w:rsidRPr="002433F3">
        <w:rPr>
          <w:rFonts w:eastAsia="Calibri" w:cs="Times New Roman"/>
          <w:szCs w:val="20"/>
          <w:lang w:val="en-US"/>
        </w:rPr>
        <w:t xml:space="preserve"> sought through </w:t>
      </w:r>
      <w:r w:rsidR="007135E8" w:rsidRPr="002433F3">
        <w:rPr>
          <w:rFonts w:eastAsia="Calibri" w:cs="Times New Roman"/>
          <w:szCs w:val="20"/>
          <w:lang w:val="en-US"/>
        </w:rPr>
        <w:t xml:space="preserve">the </w:t>
      </w:r>
      <w:r w:rsidRPr="002433F3">
        <w:rPr>
          <w:rFonts w:eastAsia="Calibri" w:cs="Times New Roman"/>
          <w:szCs w:val="20"/>
          <w:lang w:val="en-US"/>
        </w:rPr>
        <w:t>intervention of the inter-American</w:t>
      </w:r>
      <w:r w:rsidR="007135E8" w:rsidRPr="002433F3">
        <w:rPr>
          <w:rFonts w:eastAsia="Calibri" w:cs="Times New Roman"/>
          <w:szCs w:val="20"/>
          <w:lang w:val="en-US"/>
        </w:rPr>
        <w:t xml:space="preserve"> jurisdiction</w:t>
      </w:r>
      <w:r w:rsidRPr="002433F3">
        <w:rPr>
          <w:rFonts w:eastAsia="Calibri" w:cs="Times New Roman"/>
          <w:szCs w:val="20"/>
          <w:lang w:val="en-US"/>
        </w:rPr>
        <w:t xml:space="preserve"> </w:t>
      </w:r>
      <w:r w:rsidR="007135E8" w:rsidRPr="002433F3">
        <w:rPr>
          <w:rFonts w:eastAsia="Calibri" w:cs="Times New Roman"/>
          <w:szCs w:val="20"/>
          <w:lang w:val="en-US"/>
        </w:rPr>
        <w:t xml:space="preserve">had already been fully </w:t>
      </w:r>
      <w:r w:rsidR="00340B48" w:rsidRPr="002433F3">
        <w:rPr>
          <w:rFonts w:eastAsia="Calibri" w:cs="Times New Roman"/>
          <w:szCs w:val="20"/>
          <w:lang w:val="en-US"/>
        </w:rPr>
        <w:t>ac</w:t>
      </w:r>
      <w:r w:rsidR="00421A78" w:rsidRPr="002433F3">
        <w:rPr>
          <w:rFonts w:eastAsia="Calibri" w:cs="Times New Roman"/>
          <w:szCs w:val="20"/>
          <w:lang w:val="en-US"/>
        </w:rPr>
        <w:t>hieved</w:t>
      </w:r>
      <w:r w:rsidRPr="002433F3">
        <w:rPr>
          <w:rFonts w:eastAsia="Calibri" w:cs="Times New Roman"/>
          <w:szCs w:val="20"/>
          <w:lang w:val="en-US"/>
        </w:rPr>
        <w:t xml:space="preserve">, </w:t>
      </w:r>
      <w:r w:rsidR="00421A78" w:rsidRPr="002433F3">
        <w:rPr>
          <w:rFonts w:eastAsia="Calibri" w:cs="Times New Roman"/>
          <w:szCs w:val="20"/>
          <w:lang w:val="en-US"/>
        </w:rPr>
        <w:t xml:space="preserve">and therefore </w:t>
      </w:r>
      <w:r w:rsidR="00340B48" w:rsidRPr="002433F3">
        <w:rPr>
          <w:rFonts w:eastAsia="Calibri" w:cs="Times New Roman"/>
          <w:szCs w:val="20"/>
          <w:lang w:val="en-US"/>
        </w:rPr>
        <w:t xml:space="preserve">it was </w:t>
      </w:r>
      <w:r w:rsidR="00D538AD" w:rsidRPr="002433F3">
        <w:rPr>
          <w:rFonts w:eastAsia="Calibri" w:cs="Times New Roman"/>
          <w:szCs w:val="20"/>
          <w:lang w:val="en-US"/>
        </w:rPr>
        <w:t>u</w:t>
      </w:r>
      <w:r w:rsidRPr="002433F3">
        <w:rPr>
          <w:rFonts w:eastAsia="Calibri" w:cs="Times New Roman"/>
          <w:szCs w:val="20"/>
          <w:lang w:val="en-US"/>
        </w:rPr>
        <w:t xml:space="preserve">nnecessary that </w:t>
      </w:r>
      <w:r w:rsidR="00421A78" w:rsidRPr="002433F3">
        <w:rPr>
          <w:rFonts w:eastAsia="Calibri" w:cs="Times New Roman"/>
          <w:szCs w:val="20"/>
          <w:lang w:val="en-US"/>
        </w:rPr>
        <w:t xml:space="preserve">the case </w:t>
      </w:r>
      <w:r w:rsidRPr="002433F3">
        <w:rPr>
          <w:rFonts w:eastAsia="Calibri" w:cs="Times New Roman"/>
          <w:szCs w:val="20"/>
          <w:lang w:val="en-US"/>
        </w:rPr>
        <w:t>continu</w:t>
      </w:r>
      <w:r w:rsidR="00745C84" w:rsidRPr="002433F3">
        <w:rPr>
          <w:rFonts w:eastAsia="Calibri" w:cs="Times New Roman"/>
          <w:szCs w:val="20"/>
          <w:lang w:val="en-US"/>
        </w:rPr>
        <w:t>e.</w:t>
      </w:r>
    </w:p>
    <w:p w14:paraId="48C189FE" w14:textId="77777777" w:rsidR="007B0DE4" w:rsidRPr="002433F3" w:rsidRDefault="007135E8" w:rsidP="007B0DE4">
      <w:pPr>
        <w:spacing w:before="120" w:after="120"/>
        <w:ind w:right="4"/>
        <w:rPr>
          <w:rFonts w:eastAsia="Calibri" w:cs="Times New Roman"/>
          <w:szCs w:val="20"/>
          <w:lang w:val="en-US"/>
        </w:rPr>
      </w:pPr>
      <w:r w:rsidRPr="002433F3">
        <w:rPr>
          <w:rFonts w:eastAsia="Calibri" w:cs="Times New Roman"/>
          <w:szCs w:val="20"/>
          <w:lang w:val="en-US"/>
        </w:rPr>
        <w:t>Perhaps for this reason</w:t>
      </w:r>
      <w:r w:rsidR="007B0DE4" w:rsidRPr="002433F3">
        <w:rPr>
          <w:rFonts w:eastAsia="Calibri" w:cs="Times New Roman"/>
          <w:szCs w:val="20"/>
          <w:lang w:val="en-US"/>
        </w:rPr>
        <w:t xml:space="preserve">, </w:t>
      </w:r>
      <w:r w:rsidR="000340AD" w:rsidRPr="002433F3">
        <w:rPr>
          <w:rFonts w:eastAsia="Calibri" w:cs="Times New Roman"/>
          <w:szCs w:val="20"/>
          <w:lang w:val="en-US"/>
        </w:rPr>
        <w:t xml:space="preserve">in response to the </w:t>
      </w:r>
      <w:r w:rsidR="00CD74BB" w:rsidRPr="002433F3">
        <w:rPr>
          <w:rFonts w:eastAsia="Calibri" w:cs="Times New Roman"/>
          <w:szCs w:val="20"/>
          <w:lang w:val="en-US"/>
        </w:rPr>
        <w:t xml:space="preserve">petition of </w:t>
      </w:r>
      <w:r w:rsidR="007B0DE4" w:rsidRPr="002433F3">
        <w:rPr>
          <w:rFonts w:eastAsia="Calibri" w:cs="Times New Roman"/>
          <w:szCs w:val="20"/>
          <w:lang w:val="en-US"/>
        </w:rPr>
        <w:t xml:space="preserve">the </w:t>
      </w:r>
      <w:r w:rsidR="00743407" w:rsidRPr="002433F3">
        <w:rPr>
          <w:rFonts w:eastAsia="Calibri" w:cs="Times New Roman"/>
          <w:szCs w:val="20"/>
          <w:lang w:val="en-US"/>
        </w:rPr>
        <w:t>victim’s</w:t>
      </w:r>
      <w:r w:rsidR="00353B30" w:rsidRPr="002433F3">
        <w:rPr>
          <w:rFonts w:eastAsia="Calibri" w:cs="Times New Roman"/>
          <w:szCs w:val="20"/>
          <w:lang w:val="en-US"/>
        </w:rPr>
        <w:t xml:space="preserve"> representatives, the </w:t>
      </w:r>
      <w:r w:rsidR="007B0DE4" w:rsidRPr="002433F3">
        <w:rPr>
          <w:rFonts w:eastAsia="Calibri" w:cs="Times New Roman"/>
          <w:szCs w:val="20"/>
          <w:lang w:val="en-US"/>
        </w:rPr>
        <w:t xml:space="preserve">Judgment, after considering the aforementioned decision of the Constitutional Court of </w:t>
      </w:r>
      <w:r w:rsidR="000340AD" w:rsidRPr="002433F3">
        <w:rPr>
          <w:rFonts w:eastAsia="Calibri" w:cs="Times New Roman"/>
          <w:szCs w:val="20"/>
          <w:lang w:val="en-US"/>
        </w:rPr>
        <w:t xml:space="preserve">Colombia, </w:t>
      </w:r>
      <w:r w:rsidR="007B0DE4" w:rsidRPr="002433F3">
        <w:rPr>
          <w:rFonts w:eastAsia="Calibri" w:cs="Times New Roman"/>
          <w:szCs w:val="20"/>
          <w:lang w:val="en-US"/>
        </w:rPr>
        <w:t xml:space="preserve">concludes that </w:t>
      </w:r>
      <w:r w:rsidR="00745C84" w:rsidRPr="002433F3">
        <w:rPr>
          <w:rFonts w:eastAsia="Calibri" w:cs="Times New Roman"/>
          <w:szCs w:val="20"/>
          <w:lang w:val="en-US"/>
        </w:rPr>
        <w:t xml:space="preserve">the latter </w:t>
      </w:r>
      <w:r w:rsidR="007B0DE4" w:rsidRPr="002433F3">
        <w:rPr>
          <w:rFonts w:eastAsia="Calibri" w:cs="Times New Roman"/>
          <w:szCs w:val="20"/>
          <w:lang w:val="en-US"/>
        </w:rPr>
        <w:t>“</w:t>
      </w:r>
      <w:r w:rsidR="00BC5790" w:rsidRPr="002433F3">
        <w:rPr>
          <w:szCs w:val="20"/>
          <w:lang w:val="en-US" w:eastAsia="es-CR"/>
        </w:rPr>
        <w:t xml:space="preserve">is not responsible for the violation of […] Article 2 of the American Convention, in relation to Articles 24 and 1(1) </w:t>
      </w:r>
      <w:r w:rsidR="00CD74BB" w:rsidRPr="002433F3">
        <w:rPr>
          <w:szCs w:val="20"/>
          <w:lang w:val="en-US" w:eastAsia="es-CR"/>
        </w:rPr>
        <w:t>of the same instrument</w:t>
      </w:r>
      <w:r w:rsidR="00745C84" w:rsidRPr="002433F3">
        <w:rPr>
          <w:rFonts w:eastAsia="Calibri" w:cs="Times New Roman"/>
          <w:i/>
          <w:szCs w:val="20"/>
          <w:lang w:val="en-US"/>
        </w:rPr>
        <w:t>,</w:t>
      </w:r>
      <w:r w:rsidR="007B0DE4" w:rsidRPr="002433F3">
        <w:rPr>
          <w:rFonts w:eastAsia="Calibri" w:cs="Times New Roman"/>
          <w:szCs w:val="20"/>
          <w:lang w:val="en-US"/>
        </w:rPr>
        <w:t>”</w:t>
      </w:r>
      <w:r w:rsidR="007B0DE4" w:rsidRPr="002433F3">
        <w:rPr>
          <w:rFonts w:eastAsia="Calibri" w:cs="Times New Roman"/>
          <w:szCs w:val="20"/>
          <w:vertAlign w:val="superscript"/>
          <w:lang w:val="en-US"/>
        </w:rPr>
        <w:footnoteReference w:id="191"/>
      </w:r>
      <w:r w:rsidR="007B0DE4" w:rsidRPr="002433F3">
        <w:rPr>
          <w:rFonts w:eastAsia="Calibri" w:cs="Times New Roman"/>
          <w:szCs w:val="20"/>
          <w:lang w:val="en-US"/>
        </w:rPr>
        <w:t xml:space="preserve"> </w:t>
      </w:r>
      <w:r w:rsidR="00CD74BB" w:rsidRPr="002433F3">
        <w:rPr>
          <w:rFonts w:eastAsia="Calibri" w:cs="Times New Roman"/>
          <w:szCs w:val="20"/>
          <w:lang w:val="en-US"/>
        </w:rPr>
        <w:t>and does not accede</w:t>
      </w:r>
      <w:r w:rsidR="007B0DE4" w:rsidRPr="002433F3">
        <w:rPr>
          <w:rFonts w:eastAsia="Calibri" w:cs="Times New Roman"/>
          <w:szCs w:val="20"/>
          <w:lang w:val="en-US"/>
        </w:rPr>
        <w:t xml:space="preserve"> </w:t>
      </w:r>
      <w:r w:rsidR="002F35CC" w:rsidRPr="002433F3">
        <w:rPr>
          <w:rFonts w:eastAsia="Calibri" w:cs="Times New Roman"/>
          <w:szCs w:val="20"/>
          <w:lang w:val="en-US"/>
        </w:rPr>
        <w:t>to the</w:t>
      </w:r>
      <w:r w:rsidR="00CD74BB" w:rsidRPr="002433F3">
        <w:rPr>
          <w:rFonts w:eastAsia="Calibri" w:cs="Times New Roman"/>
          <w:szCs w:val="20"/>
          <w:lang w:val="en-US"/>
        </w:rPr>
        <w:t>ir</w:t>
      </w:r>
      <w:r w:rsidR="002F35CC" w:rsidRPr="002433F3">
        <w:rPr>
          <w:rFonts w:eastAsia="Calibri" w:cs="Times New Roman"/>
          <w:szCs w:val="20"/>
          <w:lang w:val="en-US"/>
        </w:rPr>
        <w:t xml:space="preserve"> request</w:t>
      </w:r>
      <w:r w:rsidR="007B0DE4" w:rsidRPr="002433F3">
        <w:rPr>
          <w:rFonts w:eastAsia="Calibri" w:cs="Times New Roman"/>
          <w:szCs w:val="20"/>
          <w:lang w:val="en-US"/>
        </w:rPr>
        <w:t>.</w:t>
      </w:r>
      <w:r w:rsidR="007B0DE4" w:rsidRPr="002433F3">
        <w:rPr>
          <w:rFonts w:eastAsia="Calibri" w:cs="Times New Roman"/>
          <w:szCs w:val="20"/>
          <w:vertAlign w:val="superscript"/>
          <w:lang w:val="en-US"/>
        </w:rPr>
        <w:footnoteReference w:id="192"/>
      </w:r>
      <w:r w:rsidR="007B0DE4" w:rsidRPr="002433F3">
        <w:rPr>
          <w:rFonts w:eastAsia="Calibri" w:cs="Times New Roman"/>
          <w:szCs w:val="20"/>
          <w:lang w:val="en-US"/>
        </w:rPr>
        <w:t xml:space="preserve"> </w:t>
      </w:r>
    </w:p>
    <w:p w14:paraId="43D7B794" w14:textId="77777777" w:rsidR="007B0DE4" w:rsidRPr="002433F3" w:rsidRDefault="005759CC" w:rsidP="007B0DE4">
      <w:pPr>
        <w:spacing w:before="240" w:after="200"/>
        <w:rPr>
          <w:rFonts w:eastAsia="Calibri" w:cs="Times New Roman"/>
          <w:szCs w:val="20"/>
          <w:lang w:val="en-US"/>
        </w:rPr>
      </w:pPr>
      <w:r w:rsidRPr="002433F3">
        <w:rPr>
          <w:rFonts w:eastAsia="Calibri" w:cs="Times New Roman"/>
          <w:szCs w:val="20"/>
          <w:lang w:val="en-US"/>
        </w:rPr>
        <w:lastRenderedPageBreak/>
        <w:t>Thus</w:t>
      </w:r>
      <w:r w:rsidR="007B0DE4" w:rsidRPr="002433F3">
        <w:rPr>
          <w:rFonts w:eastAsia="Calibri" w:cs="Times New Roman"/>
          <w:szCs w:val="20"/>
          <w:lang w:val="en-US"/>
        </w:rPr>
        <w:t xml:space="preserve">, </w:t>
      </w:r>
      <w:r w:rsidRPr="002433F3">
        <w:rPr>
          <w:rFonts w:eastAsia="Calibri" w:cs="Times New Roman"/>
          <w:szCs w:val="20"/>
          <w:lang w:val="en-US"/>
        </w:rPr>
        <w:t xml:space="preserve">bearing in mind the </w:t>
      </w:r>
      <w:r w:rsidR="007B0DE4" w:rsidRPr="002433F3">
        <w:rPr>
          <w:rFonts w:eastAsia="Calibri" w:cs="Times New Roman"/>
          <w:szCs w:val="20"/>
          <w:lang w:val="en-US"/>
        </w:rPr>
        <w:t xml:space="preserve">subsidiarity </w:t>
      </w:r>
      <w:r w:rsidR="007445F2" w:rsidRPr="002433F3">
        <w:rPr>
          <w:rFonts w:eastAsia="Calibri" w:cs="Times New Roman"/>
          <w:szCs w:val="20"/>
          <w:lang w:val="en-US"/>
        </w:rPr>
        <w:t>principle of the inter-American s</w:t>
      </w:r>
      <w:r w:rsidR="007B0DE4" w:rsidRPr="002433F3">
        <w:rPr>
          <w:rFonts w:eastAsia="Calibri" w:cs="Times New Roman"/>
          <w:szCs w:val="20"/>
          <w:lang w:val="en-US"/>
        </w:rPr>
        <w:t>ys</w:t>
      </w:r>
      <w:r w:rsidR="00340B48" w:rsidRPr="002433F3">
        <w:rPr>
          <w:rFonts w:eastAsia="Calibri" w:cs="Times New Roman"/>
          <w:szCs w:val="20"/>
          <w:lang w:val="en-US"/>
        </w:rPr>
        <w:t xml:space="preserve">tem and </w:t>
      </w:r>
      <w:r w:rsidR="007445F2" w:rsidRPr="002433F3">
        <w:rPr>
          <w:rFonts w:eastAsia="Calibri" w:cs="Times New Roman"/>
          <w:szCs w:val="20"/>
          <w:lang w:val="en-US"/>
        </w:rPr>
        <w:t xml:space="preserve">considering </w:t>
      </w:r>
      <w:r w:rsidR="00340B48" w:rsidRPr="002433F3">
        <w:rPr>
          <w:rFonts w:eastAsia="Calibri" w:cs="Times New Roman"/>
          <w:szCs w:val="20"/>
          <w:lang w:val="en-US"/>
        </w:rPr>
        <w:t xml:space="preserve">that the </w:t>
      </w:r>
      <w:r w:rsidR="007B0DE4" w:rsidRPr="002433F3">
        <w:rPr>
          <w:rFonts w:eastAsia="Calibri" w:cs="Times New Roman"/>
          <w:szCs w:val="20"/>
          <w:lang w:val="en-US"/>
        </w:rPr>
        <w:t xml:space="preserve">claims </w:t>
      </w:r>
      <w:r w:rsidR="007445F2" w:rsidRPr="002433F3">
        <w:rPr>
          <w:rFonts w:eastAsia="Calibri" w:cs="Times New Roman"/>
          <w:szCs w:val="20"/>
          <w:lang w:val="en-US"/>
        </w:rPr>
        <w:t xml:space="preserve">filed in the </w:t>
      </w:r>
      <w:r w:rsidR="008662C4">
        <w:rPr>
          <w:rFonts w:eastAsia="Calibri" w:cs="Times New Roman"/>
          <w:szCs w:val="20"/>
          <w:lang w:val="en-US"/>
        </w:rPr>
        <w:t>petition -</w:t>
      </w:r>
      <w:r w:rsidR="007B0DE4" w:rsidRPr="002433F3">
        <w:rPr>
          <w:rFonts w:eastAsia="Calibri" w:cs="Times New Roman"/>
          <w:szCs w:val="20"/>
          <w:lang w:val="en-US"/>
        </w:rPr>
        <w:t xml:space="preserve"> namely, t</w:t>
      </w:r>
      <w:r w:rsidR="00340B48" w:rsidRPr="002433F3">
        <w:rPr>
          <w:rFonts w:eastAsia="Calibri" w:cs="Times New Roman"/>
          <w:szCs w:val="20"/>
          <w:lang w:val="en-US"/>
        </w:rPr>
        <w:t xml:space="preserve">o </w:t>
      </w:r>
      <w:r w:rsidR="008662C4">
        <w:rPr>
          <w:rFonts w:eastAsia="Calibri" w:cs="Times New Roman"/>
          <w:szCs w:val="20"/>
          <w:lang w:val="en-US"/>
        </w:rPr>
        <w:t xml:space="preserve">obtain recognition of </w:t>
      </w:r>
      <w:r w:rsidR="00340B48" w:rsidRPr="002433F3">
        <w:rPr>
          <w:rFonts w:eastAsia="Calibri" w:cs="Times New Roman"/>
          <w:szCs w:val="20"/>
          <w:lang w:val="en-US"/>
        </w:rPr>
        <w:t xml:space="preserve">the victim’s right to obtain a </w:t>
      </w:r>
      <w:r w:rsidR="007B0DE4" w:rsidRPr="002433F3">
        <w:rPr>
          <w:rFonts w:eastAsia="Calibri" w:cs="Times New Roman"/>
          <w:szCs w:val="20"/>
          <w:lang w:val="en-US"/>
        </w:rPr>
        <w:t>survivor’s pension and t</w:t>
      </w:r>
      <w:r w:rsidR="007445F2" w:rsidRPr="002433F3">
        <w:rPr>
          <w:rFonts w:eastAsia="Calibri" w:cs="Times New Roman"/>
          <w:szCs w:val="20"/>
          <w:lang w:val="en-US"/>
        </w:rPr>
        <w:t xml:space="preserve">o change the </w:t>
      </w:r>
      <w:r w:rsidR="007B0DE4" w:rsidRPr="002433F3">
        <w:rPr>
          <w:rFonts w:eastAsia="Calibri" w:cs="Times New Roman"/>
          <w:szCs w:val="20"/>
          <w:lang w:val="en-US"/>
        </w:rPr>
        <w:t xml:space="preserve">legislation </w:t>
      </w:r>
      <w:r w:rsidR="007445F2" w:rsidRPr="002433F3">
        <w:rPr>
          <w:rFonts w:eastAsia="Calibri" w:cs="Times New Roman"/>
          <w:szCs w:val="20"/>
          <w:lang w:val="en-US"/>
        </w:rPr>
        <w:t xml:space="preserve">related to this </w:t>
      </w:r>
      <w:r w:rsidR="00C43768" w:rsidRPr="002433F3">
        <w:rPr>
          <w:rFonts w:eastAsia="Calibri" w:cs="Times New Roman"/>
          <w:szCs w:val="20"/>
          <w:lang w:val="en-US"/>
        </w:rPr>
        <w:t xml:space="preserve">matter </w:t>
      </w:r>
      <w:r w:rsidR="007445F2" w:rsidRPr="002433F3">
        <w:rPr>
          <w:rFonts w:eastAsia="Calibri" w:cs="Times New Roman"/>
          <w:szCs w:val="20"/>
          <w:lang w:val="en-US"/>
        </w:rPr>
        <w:t xml:space="preserve">that was </w:t>
      </w:r>
      <w:r w:rsidR="00C43768" w:rsidRPr="002433F3">
        <w:rPr>
          <w:rFonts w:eastAsia="Calibri" w:cs="Times New Roman"/>
          <w:szCs w:val="20"/>
          <w:lang w:val="en-US"/>
        </w:rPr>
        <w:t>considered contrary to</w:t>
      </w:r>
      <w:r w:rsidR="008662C4">
        <w:rPr>
          <w:rFonts w:eastAsia="Calibri" w:cs="Times New Roman"/>
          <w:szCs w:val="20"/>
          <w:lang w:val="en-US"/>
        </w:rPr>
        <w:t xml:space="preserve"> the Convention -</w:t>
      </w:r>
      <w:r w:rsidR="007B0DE4" w:rsidRPr="002433F3">
        <w:rPr>
          <w:rFonts w:eastAsia="Calibri" w:cs="Times New Roman"/>
          <w:szCs w:val="20"/>
          <w:lang w:val="en-US"/>
        </w:rPr>
        <w:t xml:space="preserve"> </w:t>
      </w:r>
      <w:r w:rsidR="007445F2" w:rsidRPr="002433F3">
        <w:rPr>
          <w:rFonts w:eastAsia="Calibri" w:cs="Times New Roman"/>
          <w:szCs w:val="20"/>
          <w:lang w:val="en-US"/>
        </w:rPr>
        <w:t xml:space="preserve">were </w:t>
      </w:r>
      <w:r w:rsidR="00340B48" w:rsidRPr="002433F3">
        <w:rPr>
          <w:rFonts w:eastAsia="Calibri" w:cs="Times New Roman"/>
          <w:szCs w:val="20"/>
          <w:lang w:val="en-US"/>
        </w:rPr>
        <w:t xml:space="preserve">fully </w:t>
      </w:r>
      <w:r w:rsidR="007B0DE4" w:rsidRPr="002433F3">
        <w:rPr>
          <w:rFonts w:eastAsia="Calibri" w:cs="Times New Roman"/>
          <w:szCs w:val="20"/>
          <w:lang w:val="en-US"/>
        </w:rPr>
        <w:t>satis</w:t>
      </w:r>
      <w:r w:rsidR="00340B48" w:rsidRPr="002433F3">
        <w:rPr>
          <w:rFonts w:eastAsia="Calibri" w:cs="Times New Roman"/>
          <w:szCs w:val="20"/>
          <w:lang w:val="en-US"/>
        </w:rPr>
        <w:t xml:space="preserve">fied </w:t>
      </w:r>
      <w:r w:rsidR="007B0DE4" w:rsidRPr="002433F3">
        <w:rPr>
          <w:rFonts w:eastAsia="Calibri" w:cs="Times New Roman"/>
          <w:szCs w:val="20"/>
          <w:lang w:val="en-US"/>
        </w:rPr>
        <w:t xml:space="preserve">by the State prior to this case, </w:t>
      </w:r>
      <w:r w:rsidR="007445F2" w:rsidRPr="002433F3">
        <w:rPr>
          <w:rFonts w:eastAsia="Calibri" w:cs="Times New Roman"/>
          <w:szCs w:val="20"/>
          <w:lang w:val="en-US"/>
        </w:rPr>
        <w:t xml:space="preserve">we </w:t>
      </w:r>
      <w:r w:rsidR="00E21C9F" w:rsidRPr="002433F3">
        <w:rPr>
          <w:rFonts w:eastAsia="Calibri" w:cs="Times New Roman"/>
          <w:szCs w:val="20"/>
          <w:lang w:val="en-US"/>
        </w:rPr>
        <w:t xml:space="preserve">can conclude </w:t>
      </w:r>
      <w:r w:rsidR="007B0DE4" w:rsidRPr="002433F3">
        <w:rPr>
          <w:rFonts w:eastAsia="Calibri" w:cs="Times New Roman"/>
          <w:szCs w:val="20"/>
          <w:lang w:val="en-US"/>
        </w:rPr>
        <w:t>that in</w:t>
      </w:r>
      <w:r w:rsidR="00B21D49" w:rsidRPr="002433F3">
        <w:rPr>
          <w:rFonts w:eastAsia="Calibri" w:cs="Times New Roman"/>
          <w:szCs w:val="20"/>
          <w:lang w:val="en-US"/>
        </w:rPr>
        <w:t xml:space="preserve"> this case</w:t>
      </w:r>
      <w:r w:rsidR="007445F2" w:rsidRPr="002433F3">
        <w:rPr>
          <w:rFonts w:eastAsia="Calibri" w:cs="Times New Roman"/>
          <w:szCs w:val="20"/>
          <w:lang w:val="en-US"/>
        </w:rPr>
        <w:t xml:space="preserve"> the </w:t>
      </w:r>
      <w:r w:rsidR="007B0DE4" w:rsidRPr="002433F3">
        <w:rPr>
          <w:rFonts w:eastAsia="Calibri" w:cs="Times New Roman"/>
          <w:szCs w:val="20"/>
          <w:lang w:val="en-US"/>
        </w:rPr>
        <w:t xml:space="preserve">Judgment </w:t>
      </w:r>
      <w:r w:rsidR="007445F2" w:rsidRPr="002433F3">
        <w:rPr>
          <w:rFonts w:eastAsia="Calibri" w:cs="Times New Roman"/>
          <w:szCs w:val="20"/>
          <w:lang w:val="en-US"/>
        </w:rPr>
        <w:t xml:space="preserve">should have </w:t>
      </w:r>
      <w:r w:rsidR="007B0DE4" w:rsidRPr="002433F3">
        <w:rPr>
          <w:rFonts w:eastAsia="Calibri" w:cs="Times New Roman"/>
          <w:szCs w:val="20"/>
          <w:lang w:val="en-US"/>
        </w:rPr>
        <w:t>reco</w:t>
      </w:r>
      <w:r w:rsidRPr="002433F3">
        <w:rPr>
          <w:rFonts w:eastAsia="Calibri" w:cs="Times New Roman"/>
          <w:szCs w:val="20"/>
          <w:lang w:val="en-US"/>
        </w:rPr>
        <w:t>gnize</w:t>
      </w:r>
      <w:r w:rsidR="007445F2" w:rsidRPr="002433F3">
        <w:rPr>
          <w:rFonts w:eastAsia="Calibri" w:cs="Times New Roman"/>
          <w:szCs w:val="20"/>
          <w:lang w:val="en-US"/>
        </w:rPr>
        <w:t>d</w:t>
      </w:r>
      <w:r w:rsidRPr="002433F3">
        <w:rPr>
          <w:rFonts w:eastAsia="Calibri" w:cs="Times New Roman"/>
          <w:szCs w:val="20"/>
          <w:lang w:val="en-US"/>
        </w:rPr>
        <w:t xml:space="preserve"> </w:t>
      </w:r>
      <w:r w:rsidR="007B0DE4" w:rsidRPr="002433F3">
        <w:rPr>
          <w:rFonts w:eastAsia="Calibri" w:cs="Times New Roman"/>
          <w:szCs w:val="20"/>
          <w:lang w:val="en-US"/>
        </w:rPr>
        <w:t xml:space="preserve">that no </w:t>
      </w:r>
      <w:r w:rsidR="003A4B66" w:rsidRPr="002433F3">
        <w:rPr>
          <w:rFonts w:eastAsia="Calibri" w:cs="Times New Roman"/>
          <w:i/>
          <w:szCs w:val="20"/>
          <w:lang w:val="en-US"/>
        </w:rPr>
        <w:t>litigious purpose</w:t>
      </w:r>
      <w:r w:rsidR="0087157E" w:rsidRPr="002433F3">
        <w:rPr>
          <w:rFonts w:eastAsia="Calibri" w:cs="Times New Roman"/>
          <w:szCs w:val="20"/>
          <w:lang w:val="en-US"/>
        </w:rPr>
        <w:t xml:space="preserve">” </w:t>
      </w:r>
      <w:r w:rsidR="00CF576A" w:rsidRPr="002433F3">
        <w:rPr>
          <w:rFonts w:eastAsia="Calibri" w:cs="Times New Roman"/>
          <w:szCs w:val="20"/>
          <w:lang w:val="en-US"/>
        </w:rPr>
        <w:t>remained to be decided</w:t>
      </w:r>
      <w:r w:rsidR="007B0DE4" w:rsidRPr="002433F3">
        <w:rPr>
          <w:rFonts w:eastAsia="Calibri" w:cs="Times New Roman"/>
          <w:szCs w:val="20"/>
          <w:lang w:val="en-US"/>
        </w:rPr>
        <w:t xml:space="preserve">. </w:t>
      </w:r>
    </w:p>
    <w:p w14:paraId="45AA8E98" w14:textId="77777777" w:rsidR="007B0DE4" w:rsidRPr="002433F3" w:rsidRDefault="002F35CC" w:rsidP="007B0DE4">
      <w:pPr>
        <w:numPr>
          <w:ilvl w:val="0"/>
          <w:numId w:val="14"/>
        </w:numPr>
        <w:spacing w:before="240" w:after="200" w:line="276" w:lineRule="auto"/>
        <w:jc w:val="left"/>
        <w:rPr>
          <w:rFonts w:eastAsia="Calibri" w:cs="Times New Roman"/>
          <w:szCs w:val="20"/>
          <w:lang w:val="en-US"/>
        </w:rPr>
      </w:pPr>
      <w:r w:rsidRPr="002433F3">
        <w:rPr>
          <w:rFonts w:eastAsia="Calibri" w:cs="Times New Roman"/>
          <w:szCs w:val="20"/>
          <w:lang w:val="en-US"/>
        </w:rPr>
        <w:t>Non-</w:t>
      </w:r>
      <w:r w:rsidR="007B0DE4" w:rsidRPr="002433F3">
        <w:rPr>
          <w:rFonts w:eastAsia="Calibri" w:cs="Times New Roman"/>
          <w:szCs w:val="20"/>
          <w:lang w:val="en-US"/>
        </w:rPr>
        <w:t xml:space="preserve">existence of </w:t>
      </w:r>
      <w:r w:rsidR="008E2BFF" w:rsidRPr="002433F3">
        <w:rPr>
          <w:rFonts w:eastAsia="Calibri" w:cs="Times New Roman"/>
          <w:szCs w:val="20"/>
          <w:lang w:val="en-US"/>
        </w:rPr>
        <w:t xml:space="preserve">the </w:t>
      </w:r>
      <w:r w:rsidR="007B0DE4" w:rsidRPr="002433F3">
        <w:rPr>
          <w:rFonts w:eastAsia="Calibri" w:cs="Times New Roman"/>
          <w:szCs w:val="20"/>
          <w:lang w:val="en-US"/>
        </w:rPr>
        <w:t xml:space="preserve">international legal obligation invoked (Absence of </w:t>
      </w:r>
      <w:r w:rsidR="007B0DE4" w:rsidRPr="002433F3">
        <w:rPr>
          <w:rFonts w:eastAsia="Calibri" w:cs="Times New Roman"/>
          <w:i/>
          <w:szCs w:val="20"/>
          <w:lang w:val="en-US"/>
        </w:rPr>
        <w:t>causa petendi).</w:t>
      </w:r>
    </w:p>
    <w:p w14:paraId="3B2D314A" w14:textId="77777777" w:rsidR="007B0DE4" w:rsidRPr="002433F3" w:rsidRDefault="00C43768" w:rsidP="007B0DE4">
      <w:pPr>
        <w:spacing w:before="240" w:after="200"/>
        <w:rPr>
          <w:rFonts w:eastAsia="Calibri" w:cs="Times New Roman"/>
          <w:szCs w:val="20"/>
          <w:lang w:val="en-US"/>
        </w:rPr>
      </w:pPr>
      <w:r w:rsidRPr="002433F3">
        <w:rPr>
          <w:rFonts w:eastAsia="Calibri" w:cs="Times New Roman"/>
          <w:szCs w:val="20"/>
          <w:lang w:val="en-US"/>
        </w:rPr>
        <w:t xml:space="preserve">It is perhaps </w:t>
      </w:r>
      <w:r w:rsidR="00FC0032" w:rsidRPr="002433F3">
        <w:rPr>
          <w:rFonts w:eastAsia="Calibri" w:cs="Times New Roman"/>
          <w:szCs w:val="20"/>
          <w:lang w:val="en-US"/>
        </w:rPr>
        <w:t>for the reason</w:t>
      </w:r>
      <w:r w:rsidR="00F45967" w:rsidRPr="002433F3">
        <w:rPr>
          <w:rFonts w:eastAsia="Calibri" w:cs="Times New Roman"/>
          <w:szCs w:val="20"/>
          <w:lang w:val="en-US"/>
        </w:rPr>
        <w:t xml:space="preserve">s </w:t>
      </w:r>
      <w:r w:rsidR="008662C4">
        <w:rPr>
          <w:rFonts w:eastAsia="Calibri" w:cs="Times New Roman"/>
          <w:szCs w:val="20"/>
          <w:lang w:val="en-US"/>
        </w:rPr>
        <w:t xml:space="preserve">indicated above </w:t>
      </w:r>
      <w:r w:rsidR="00FC0032" w:rsidRPr="002433F3">
        <w:rPr>
          <w:rFonts w:eastAsia="Calibri" w:cs="Times New Roman"/>
          <w:szCs w:val="20"/>
          <w:lang w:val="en-US"/>
        </w:rPr>
        <w:t xml:space="preserve">that the </w:t>
      </w:r>
      <w:r w:rsidR="007B0DE4" w:rsidRPr="002433F3">
        <w:rPr>
          <w:rFonts w:eastAsia="Calibri" w:cs="Times New Roman"/>
          <w:szCs w:val="20"/>
          <w:lang w:val="en-US"/>
        </w:rPr>
        <w:t xml:space="preserve">Judgment </w:t>
      </w:r>
      <w:r w:rsidR="00F45967" w:rsidRPr="002433F3">
        <w:rPr>
          <w:rFonts w:eastAsia="Calibri" w:cs="Times New Roman"/>
          <w:szCs w:val="20"/>
          <w:lang w:val="en-US"/>
        </w:rPr>
        <w:t xml:space="preserve">reduces </w:t>
      </w:r>
      <w:r w:rsidR="007B0DE4" w:rsidRPr="002433F3">
        <w:rPr>
          <w:rFonts w:eastAsia="Calibri" w:cs="Times New Roman"/>
          <w:szCs w:val="20"/>
          <w:lang w:val="en-US"/>
        </w:rPr>
        <w:t xml:space="preserve">what </w:t>
      </w:r>
      <w:r w:rsidR="00F45967" w:rsidRPr="002433F3">
        <w:rPr>
          <w:rFonts w:eastAsia="Calibri" w:cs="Times New Roman"/>
          <w:szCs w:val="20"/>
          <w:lang w:val="en-US"/>
        </w:rPr>
        <w:t xml:space="preserve">it </w:t>
      </w:r>
      <w:r w:rsidR="00CF576A" w:rsidRPr="008662C4">
        <w:rPr>
          <w:rFonts w:eastAsia="Calibri" w:cs="Times New Roman"/>
          <w:szCs w:val="20"/>
          <w:lang w:val="en-US"/>
        </w:rPr>
        <w:t>consider</w:t>
      </w:r>
      <w:r w:rsidR="00F45967" w:rsidRPr="008662C4">
        <w:rPr>
          <w:rFonts w:eastAsia="Calibri" w:cs="Times New Roman"/>
          <w:szCs w:val="20"/>
          <w:lang w:val="en-US"/>
        </w:rPr>
        <w:t xml:space="preserve">s to be </w:t>
      </w:r>
      <w:r w:rsidR="00CF576A" w:rsidRPr="008662C4">
        <w:rPr>
          <w:rFonts w:eastAsia="Calibri" w:cs="Times New Roman"/>
          <w:szCs w:val="20"/>
          <w:lang w:val="en-US"/>
        </w:rPr>
        <w:t xml:space="preserve">an </w:t>
      </w:r>
      <w:r w:rsidRPr="008662C4">
        <w:rPr>
          <w:rFonts w:eastAsia="Calibri" w:cs="Times New Roman"/>
          <w:szCs w:val="20"/>
          <w:lang w:val="en-US"/>
        </w:rPr>
        <w:t>international</w:t>
      </w:r>
      <w:r w:rsidR="0087157E" w:rsidRPr="008662C4">
        <w:rPr>
          <w:rFonts w:eastAsia="Calibri" w:cs="Times New Roman"/>
          <w:szCs w:val="20"/>
          <w:lang w:val="en-US"/>
        </w:rPr>
        <w:t>ly</w:t>
      </w:r>
      <w:r w:rsidRPr="008662C4">
        <w:rPr>
          <w:rFonts w:eastAsia="Calibri" w:cs="Times New Roman"/>
          <w:szCs w:val="20"/>
          <w:lang w:val="en-US"/>
        </w:rPr>
        <w:t xml:space="preserve"> </w:t>
      </w:r>
      <w:r w:rsidR="0087157E" w:rsidRPr="008662C4">
        <w:rPr>
          <w:rFonts w:eastAsia="Calibri" w:cs="Times New Roman"/>
          <w:szCs w:val="20"/>
          <w:lang w:val="en-US"/>
        </w:rPr>
        <w:t xml:space="preserve">wrongful act </w:t>
      </w:r>
      <w:r w:rsidR="00CF576A" w:rsidRPr="008662C4">
        <w:rPr>
          <w:rFonts w:eastAsia="Calibri" w:cs="Times New Roman"/>
          <w:szCs w:val="20"/>
          <w:lang w:val="en-US"/>
        </w:rPr>
        <w:t xml:space="preserve">to </w:t>
      </w:r>
      <w:r w:rsidR="008E2BFF" w:rsidRPr="008662C4">
        <w:rPr>
          <w:rFonts w:eastAsia="Calibri" w:cs="Times New Roman"/>
          <w:szCs w:val="20"/>
          <w:lang w:val="en-US"/>
        </w:rPr>
        <w:t xml:space="preserve">the </w:t>
      </w:r>
      <w:r w:rsidR="00E62991">
        <w:rPr>
          <w:rFonts w:eastAsia="Calibri" w:cs="Times New Roman"/>
          <w:szCs w:val="20"/>
          <w:lang w:val="en-US"/>
        </w:rPr>
        <w:t xml:space="preserve">stipulations </w:t>
      </w:r>
      <w:r w:rsidR="008E2BFF" w:rsidRPr="008662C4">
        <w:rPr>
          <w:rFonts w:eastAsia="Calibri" w:cs="Times New Roman"/>
          <w:szCs w:val="20"/>
          <w:lang w:val="en-US"/>
        </w:rPr>
        <w:t xml:space="preserve">contained </w:t>
      </w:r>
      <w:r w:rsidR="002F35CC" w:rsidRPr="008662C4">
        <w:rPr>
          <w:rFonts w:eastAsia="Calibri" w:cs="Times New Roman"/>
          <w:szCs w:val="20"/>
          <w:lang w:val="en-US"/>
        </w:rPr>
        <w:t>in</w:t>
      </w:r>
      <w:r w:rsidR="002F35CC" w:rsidRPr="002433F3">
        <w:rPr>
          <w:rFonts w:eastAsia="Calibri" w:cs="Times New Roman"/>
          <w:szCs w:val="20"/>
          <w:lang w:val="en-US"/>
        </w:rPr>
        <w:t xml:space="preserve"> the </w:t>
      </w:r>
      <w:r w:rsidRPr="002433F3">
        <w:rPr>
          <w:rFonts w:eastAsia="Calibri" w:cs="Times New Roman"/>
          <w:szCs w:val="20"/>
          <w:lang w:val="en-US"/>
        </w:rPr>
        <w:t>State</w:t>
      </w:r>
      <w:r w:rsidR="002F35CC" w:rsidRPr="002433F3">
        <w:rPr>
          <w:rFonts w:eastAsia="Calibri" w:cs="Times New Roman"/>
          <w:szCs w:val="20"/>
          <w:lang w:val="en-US"/>
        </w:rPr>
        <w:t>’s domestic legislation</w:t>
      </w:r>
      <w:r w:rsidR="00E62991">
        <w:rPr>
          <w:rFonts w:eastAsia="Calibri" w:cs="Times New Roman"/>
          <w:szCs w:val="20"/>
          <w:lang w:val="en-US"/>
        </w:rPr>
        <w:t xml:space="preserve"> </w:t>
      </w:r>
      <w:r w:rsidR="00E62991" w:rsidRPr="008662C4">
        <w:rPr>
          <w:rFonts w:eastAsia="Calibri" w:cs="Times New Roman"/>
          <w:szCs w:val="20"/>
          <w:lang w:val="en-US"/>
        </w:rPr>
        <w:t xml:space="preserve">in force in 2002, </w:t>
      </w:r>
      <w:r w:rsidRPr="002433F3">
        <w:rPr>
          <w:rFonts w:eastAsia="Calibri" w:cs="Times New Roman"/>
          <w:szCs w:val="20"/>
          <w:lang w:val="en-US"/>
        </w:rPr>
        <w:t>applicable to the</w:t>
      </w:r>
      <w:r w:rsidR="00E62991">
        <w:rPr>
          <w:rFonts w:eastAsia="Calibri" w:cs="Times New Roman"/>
          <w:szCs w:val="20"/>
          <w:lang w:val="en-US"/>
        </w:rPr>
        <w:t xml:space="preserve"> case,</w:t>
      </w:r>
      <w:r w:rsidR="007B0DE4" w:rsidRPr="002433F3">
        <w:rPr>
          <w:rFonts w:eastAsia="Calibri" w:cs="Times New Roman"/>
          <w:szCs w:val="20"/>
          <w:vertAlign w:val="superscript"/>
          <w:lang w:val="en-US"/>
        </w:rPr>
        <w:footnoteReference w:id="193"/>
      </w:r>
      <w:r w:rsidR="00F45967" w:rsidRPr="002433F3">
        <w:rPr>
          <w:rFonts w:eastAsia="Calibri" w:cs="Times New Roman"/>
          <w:szCs w:val="20"/>
          <w:lang w:val="en-US"/>
        </w:rPr>
        <w:t xml:space="preserve"> </w:t>
      </w:r>
      <w:r w:rsidR="00E62991">
        <w:rPr>
          <w:rFonts w:eastAsia="Calibri" w:cs="Times New Roman"/>
          <w:szCs w:val="20"/>
          <w:lang w:val="en-US"/>
        </w:rPr>
        <w:t>a</w:t>
      </w:r>
      <w:r w:rsidR="00782C90" w:rsidRPr="002433F3">
        <w:rPr>
          <w:rFonts w:eastAsia="Calibri" w:cs="Times New Roman"/>
          <w:szCs w:val="20"/>
          <w:lang w:val="en-US"/>
        </w:rPr>
        <w:t>nd</w:t>
      </w:r>
      <w:r w:rsidR="007B0DE4" w:rsidRPr="002433F3">
        <w:rPr>
          <w:rFonts w:eastAsia="Calibri" w:cs="Times New Roman"/>
          <w:szCs w:val="20"/>
          <w:lang w:val="en-US"/>
        </w:rPr>
        <w:t xml:space="preserve">, </w:t>
      </w:r>
      <w:r w:rsidR="00782C90" w:rsidRPr="002433F3">
        <w:rPr>
          <w:rFonts w:eastAsia="Calibri" w:cs="Times New Roman"/>
          <w:szCs w:val="20"/>
          <w:lang w:val="en-US"/>
        </w:rPr>
        <w:t xml:space="preserve">even more </w:t>
      </w:r>
      <w:r w:rsidR="007B0DE4" w:rsidRPr="002433F3">
        <w:rPr>
          <w:rFonts w:eastAsia="Calibri" w:cs="Times New Roman"/>
          <w:szCs w:val="20"/>
          <w:lang w:val="en-US"/>
        </w:rPr>
        <w:t>inexplicable</w:t>
      </w:r>
      <w:r w:rsidR="002F35CC" w:rsidRPr="002433F3">
        <w:rPr>
          <w:rFonts w:eastAsia="Calibri" w:cs="Times New Roman"/>
          <w:szCs w:val="20"/>
          <w:lang w:val="en-US"/>
        </w:rPr>
        <w:t>, to</w:t>
      </w:r>
      <w:r w:rsidRPr="002433F3">
        <w:rPr>
          <w:rFonts w:eastAsia="Calibri" w:cs="Times New Roman"/>
          <w:szCs w:val="20"/>
          <w:lang w:val="en-US"/>
        </w:rPr>
        <w:t xml:space="preserve"> a mere</w:t>
      </w:r>
      <w:r w:rsidR="007B0DE4" w:rsidRPr="002433F3">
        <w:rPr>
          <w:rFonts w:eastAsia="Calibri" w:cs="Times New Roman"/>
          <w:szCs w:val="20"/>
          <w:lang w:val="en-US"/>
        </w:rPr>
        <w:t xml:space="preserve"> </w:t>
      </w:r>
      <w:r w:rsidR="00F45967" w:rsidRPr="002433F3">
        <w:rPr>
          <w:rFonts w:eastAsia="Calibri" w:cs="Times New Roman"/>
          <w:szCs w:val="20"/>
          <w:lang w:val="en-US"/>
        </w:rPr>
        <w:t xml:space="preserve">eventuality </w:t>
      </w:r>
      <w:r w:rsidR="007B0DE4" w:rsidRPr="002433F3">
        <w:rPr>
          <w:rFonts w:eastAsia="Calibri" w:cs="Times New Roman"/>
          <w:szCs w:val="20"/>
          <w:lang w:val="en-US"/>
        </w:rPr>
        <w:t xml:space="preserve">that the </w:t>
      </w:r>
      <w:r w:rsidR="00F45967" w:rsidRPr="002433F3">
        <w:rPr>
          <w:rFonts w:eastAsia="Calibri" w:cs="Times New Roman"/>
          <w:szCs w:val="20"/>
          <w:lang w:val="en-US"/>
        </w:rPr>
        <w:t>afore</w:t>
      </w:r>
      <w:r w:rsidR="00850ED8" w:rsidRPr="002433F3">
        <w:rPr>
          <w:rFonts w:eastAsia="Calibri" w:cs="Times New Roman"/>
          <w:szCs w:val="20"/>
          <w:lang w:val="en-US"/>
        </w:rPr>
        <w:t>said</w:t>
      </w:r>
      <w:r w:rsidR="007B0DE4" w:rsidRPr="002433F3">
        <w:rPr>
          <w:rFonts w:eastAsia="Calibri" w:cs="Times New Roman"/>
          <w:szCs w:val="20"/>
          <w:lang w:val="en-US"/>
        </w:rPr>
        <w:t xml:space="preserve"> pension, </w:t>
      </w:r>
      <w:r w:rsidR="00850ED8" w:rsidRPr="002433F3">
        <w:rPr>
          <w:rFonts w:eastAsia="Calibri" w:cs="Times New Roman"/>
          <w:szCs w:val="20"/>
          <w:lang w:val="en-US"/>
        </w:rPr>
        <w:t xml:space="preserve">if paid to </w:t>
      </w:r>
      <w:r w:rsidR="007B0DE4" w:rsidRPr="002433F3">
        <w:rPr>
          <w:rFonts w:eastAsia="Calibri" w:cs="Times New Roman"/>
          <w:szCs w:val="20"/>
          <w:lang w:val="en-US"/>
        </w:rPr>
        <w:t>t</w:t>
      </w:r>
      <w:r w:rsidR="00F45967" w:rsidRPr="002433F3">
        <w:rPr>
          <w:rFonts w:eastAsia="Calibri" w:cs="Times New Roman"/>
          <w:szCs w:val="20"/>
          <w:lang w:val="en-US"/>
        </w:rPr>
        <w:t xml:space="preserve">he </w:t>
      </w:r>
      <w:r w:rsidRPr="002433F3">
        <w:rPr>
          <w:rFonts w:eastAsia="Calibri" w:cs="Times New Roman"/>
          <w:szCs w:val="20"/>
          <w:lang w:val="en-US"/>
        </w:rPr>
        <w:t xml:space="preserve">victim, </w:t>
      </w:r>
      <w:r w:rsidR="00850ED8" w:rsidRPr="002433F3">
        <w:rPr>
          <w:rFonts w:eastAsia="Calibri" w:cs="Times New Roman"/>
          <w:szCs w:val="20"/>
          <w:lang w:val="en-US"/>
        </w:rPr>
        <w:t xml:space="preserve">would not be </w:t>
      </w:r>
      <w:r w:rsidRPr="002433F3">
        <w:rPr>
          <w:rFonts w:eastAsia="Calibri" w:cs="Times New Roman"/>
          <w:szCs w:val="20"/>
          <w:lang w:val="en-US"/>
        </w:rPr>
        <w:t>retroactive</w:t>
      </w:r>
      <w:r w:rsidR="007B0DE4" w:rsidRPr="002433F3">
        <w:rPr>
          <w:rFonts w:eastAsia="Calibri" w:cs="Times New Roman"/>
          <w:szCs w:val="20"/>
          <w:lang w:val="en-US"/>
        </w:rPr>
        <w:t>.</w:t>
      </w:r>
      <w:r w:rsidR="007B0DE4" w:rsidRPr="002433F3">
        <w:rPr>
          <w:rFonts w:eastAsia="Calibri" w:cs="Times New Roman"/>
          <w:szCs w:val="20"/>
          <w:vertAlign w:val="superscript"/>
          <w:lang w:val="en-US"/>
        </w:rPr>
        <w:footnoteReference w:id="194"/>
      </w:r>
      <w:r w:rsidR="007B0DE4" w:rsidRPr="002433F3">
        <w:rPr>
          <w:rFonts w:eastAsia="Calibri" w:cs="Times New Roman"/>
          <w:szCs w:val="20"/>
          <w:lang w:val="en-US"/>
        </w:rPr>
        <w:t xml:space="preserve"> </w:t>
      </w:r>
    </w:p>
    <w:p w14:paraId="4FC8B614" w14:textId="77777777" w:rsidR="007B0DE4" w:rsidRPr="002433F3" w:rsidRDefault="000030B2" w:rsidP="007B0DE4">
      <w:pPr>
        <w:spacing w:after="240"/>
        <w:rPr>
          <w:rFonts w:eastAsia="Calibri" w:cs="Times New Roman"/>
          <w:szCs w:val="20"/>
          <w:lang w:val="en-US"/>
        </w:rPr>
      </w:pPr>
      <w:r w:rsidRPr="002433F3">
        <w:rPr>
          <w:rFonts w:eastAsia="Calibri" w:cs="Times New Roman"/>
          <w:szCs w:val="20"/>
          <w:lang w:val="en-US"/>
        </w:rPr>
        <w:t>Accordingly</w:t>
      </w:r>
      <w:r w:rsidR="007B0DE4" w:rsidRPr="002433F3">
        <w:rPr>
          <w:rFonts w:eastAsia="Calibri" w:cs="Times New Roman"/>
          <w:szCs w:val="20"/>
          <w:lang w:val="en-US"/>
        </w:rPr>
        <w:t xml:space="preserve">, the Judgment </w:t>
      </w:r>
      <w:r w:rsidR="00850ED8" w:rsidRPr="002433F3">
        <w:rPr>
          <w:rFonts w:eastAsia="Calibri" w:cs="Times New Roman"/>
          <w:szCs w:val="20"/>
          <w:lang w:val="en-US"/>
        </w:rPr>
        <w:t xml:space="preserve">concludes by </w:t>
      </w:r>
      <w:r w:rsidR="007B0DE4" w:rsidRPr="002433F3">
        <w:rPr>
          <w:rFonts w:eastAsia="Calibri" w:cs="Times New Roman"/>
          <w:szCs w:val="20"/>
          <w:lang w:val="en-US"/>
        </w:rPr>
        <w:t>declar</w:t>
      </w:r>
      <w:r w:rsidR="00782C90" w:rsidRPr="002433F3">
        <w:rPr>
          <w:rFonts w:eastAsia="Calibri" w:cs="Times New Roman"/>
          <w:szCs w:val="20"/>
          <w:lang w:val="en-US"/>
        </w:rPr>
        <w:t>ing</w:t>
      </w:r>
      <w:r w:rsidR="007B0DE4" w:rsidRPr="002433F3">
        <w:rPr>
          <w:rFonts w:eastAsia="Calibri" w:cs="Times New Roman"/>
          <w:szCs w:val="20"/>
          <w:lang w:val="en-US"/>
        </w:rPr>
        <w:t xml:space="preserve">, in </w:t>
      </w:r>
      <w:r w:rsidR="00FC0032" w:rsidRPr="002433F3">
        <w:rPr>
          <w:rFonts w:eastAsia="Calibri" w:cs="Times New Roman"/>
          <w:szCs w:val="20"/>
          <w:lang w:val="en-US"/>
        </w:rPr>
        <w:t>the third operative p</w:t>
      </w:r>
      <w:r w:rsidR="00782C90" w:rsidRPr="002433F3">
        <w:rPr>
          <w:rFonts w:eastAsia="Calibri" w:cs="Times New Roman"/>
          <w:szCs w:val="20"/>
          <w:lang w:val="en-US"/>
        </w:rPr>
        <w:t>aragraph</w:t>
      </w:r>
      <w:r w:rsidR="007B0DE4" w:rsidRPr="002433F3">
        <w:rPr>
          <w:rFonts w:eastAsia="Calibri" w:cs="Times New Roman"/>
          <w:szCs w:val="20"/>
          <w:lang w:val="en-US"/>
        </w:rPr>
        <w:t>, the violation of Article</w:t>
      </w:r>
      <w:r w:rsidR="00850ED8" w:rsidRPr="002433F3">
        <w:rPr>
          <w:rFonts w:eastAsia="Calibri" w:cs="Times New Roman"/>
          <w:szCs w:val="20"/>
          <w:lang w:val="en-US"/>
        </w:rPr>
        <w:t xml:space="preserve"> 24 in relation to Article 1(1)</w:t>
      </w:r>
      <w:r w:rsidR="007B0DE4" w:rsidRPr="002433F3">
        <w:rPr>
          <w:rFonts w:eastAsia="Calibri" w:cs="Times New Roman"/>
          <w:szCs w:val="20"/>
          <w:lang w:val="en-US"/>
        </w:rPr>
        <w:t xml:space="preserve"> of the Convention</w:t>
      </w:r>
      <w:r w:rsidR="007B0DE4" w:rsidRPr="002433F3">
        <w:rPr>
          <w:rFonts w:eastAsia="Calibri" w:cs="Times New Roman"/>
          <w:szCs w:val="20"/>
          <w:vertAlign w:val="superscript"/>
          <w:lang w:val="en-US"/>
        </w:rPr>
        <w:footnoteReference w:id="195"/>
      </w:r>
      <w:r w:rsidR="007B0DE4" w:rsidRPr="002433F3">
        <w:rPr>
          <w:rFonts w:eastAsia="Calibri" w:cs="Times New Roman"/>
          <w:szCs w:val="20"/>
          <w:lang w:val="en-US"/>
        </w:rPr>
        <w:t xml:space="preserve"> and </w:t>
      </w:r>
      <w:r w:rsidR="00143717" w:rsidRPr="002433F3">
        <w:rPr>
          <w:rFonts w:eastAsia="Calibri" w:cs="Times New Roman"/>
          <w:szCs w:val="20"/>
          <w:lang w:val="en-US"/>
        </w:rPr>
        <w:t xml:space="preserve">requiring the State to guarantee </w:t>
      </w:r>
      <w:r w:rsidR="007B0DE4" w:rsidRPr="002433F3">
        <w:rPr>
          <w:rFonts w:eastAsia="Calibri" w:cs="Times New Roman"/>
          <w:szCs w:val="20"/>
          <w:lang w:val="en-US"/>
        </w:rPr>
        <w:t>a</w:t>
      </w:r>
      <w:r w:rsidR="00C43768" w:rsidRPr="002433F3">
        <w:rPr>
          <w:rFonts w:eastAsia="Calibri" w:cs="Times New Roman"/>
          <w:szCs w:val="20"/>
          <w:lang w:val="en-US"/>
        </w:rPr>
        <w:t>n</w:t>
      </w:r>
      <w:r w:rsidR="007B0DE4" w:rsidRPr="002433F3">
        <w:rPr>
          <w:rFonts w:eastAsia="Calibri" w:cs="Times New Roman"/>
          <w:szCs w:val="20"/>
          <w:lang w:val="en-US"/>
        </w:rPr>
        <w:t xml:space="preserve"> effective remedy </w:t>
      </w:r>
      <w:r w:rsidR="00143717" w:rsidRPr="002433F3">
        <w:rPr>
          <w:rFonts w:eastAsia="Calibri" w:cs="Times New Roman"/>
          <w:szCs w:val="20"/>
          <w:lang w:val="en-US"/>
        </w:rPr>
        <w:t xml:space="preserve">so that the victim can </w:t>
      </w:r>
      <w:r w:rsidR="007B0DE4" w:rsidRPr="002433F3">
        <w:rPr>
          <w:rFonts w:eastAsia="Calibri" w:cs="Times New Roman"/>
          <w:szCs w:val="20"/>
          <w:lang w:val="en-US"/>
        </w:rPr>
        <w:t xml:space="preserve">request </w:t>
      </w:r>
      <w:r w:rsidR="003F697F" w:rsidRPr="002433F3">
        <w:rPr>
          <w:rFonts w:eastAsia="Calibri" w:cs="Times New Roman"/>
          <w:szCs w:val="20"/>
          <w:lang w:val="en-US"/>
        </w:rPr>
        <w:t>the cited</w:t>
      </w:r>
      <w:r w:rsidR="00143717" w:rsidRPr="002433F3">
        <w:rPr>
          <w:rFonts w:eastAsia="Calibri" w:cs="Times New Roman"/>
          <w:szCs w:val="20"/>
          <w:lang w:val="en-US"/>
        </w:rPr>
        <w:t xml:space="preserve"> </w:t>
      </w:r>
      <w:r w:rsidR="007B0DE4" w:rsidRPr="002433F3">
        <w:rPr>
          <w:rFonts w:eastAsia="Calibri" w:cs="Times New Roman"/>
          <w:szCs w:val="20"/>
          <w:lang w:val="en-US"/>
        </w:rPr>
        <w:t>pension.</w:t>
      </w:r>
      <w:r w:rsidR="007B0DE4" w:rsidRPr="002433F3">
        <w:rPr>
          <w:rFonts w:eastAsia="Calibri" w:cs="Times New Roman"/>
          <w:szCs w:val="20"/>
          <w:vertAlign w:val="superscript"/>
          <w:lang w:val="en-US"/>
        </w:rPr>
        <w:footnoteReference w:id="196"/>
      </w:r>
    </w:p>
    <w:p w14:paraId="61FE0112" w14:textId="77777777" w:rsidR="007B0DE4" w:rsidRPr="002433F3" w:rsidRDefault="0087157E" w:rsidP="007B0DE4">
      <w:pPr>
        <w:spacing w:before="240" w:after="200"/>
        <w:rPr>
          <w:rFonts w:eastAsia="Calibri" w:cs="Times New Roman"/>
          <w:i/>
          <w:spacing w:val="-2"/>
          <w:szCs w:val="20"/>
          <w:lang w:val="en-US"/>
        </w:rPr>
      </w:pPr>
      <w:r w:rsidRPr="002433F3">
        <w:rPr>
          <w:rFonts w:eastAsia="Calibri" w:cs="Times New Roman"/>
          <w:spacing w:val="-2"/>
          <w:szCs w:val="20"/>
          <w:lang w:val="en-US"/>
        </w:rPr>
        <w:t>C</w:t>
      </w:r>
      <w:r w:rsidR="007B0DE4" w:rsidRPr="002433F3">
        <w:rPr>
          <w:rFonts w:eastAsia="Calibri" w:cs="Times New Roman"/>
          <w:spacing w:val="-2"/>
          <w:szCs w:val="20"/>
          <w:lang w:val="en-US"/>
        </w:rPr>
        <w:t xml:space="preserve">onsequently, </w:t>
      </w:r>
      <w:r w:rsidR="003F697F" w:rsidRPr="002433F3">
        <w:rPr>
          <w:rFonts w:eastAsia="Calibri" w:cs="Times New Roman"/>
          <w:spacing w:val="-2"/>
          <w:szCs w:val="20"/>
          <w:lang w:val="en-US"/>
        </w:rPr>
        <w:t xml:space="preserve">by </w:t>
      </w:r>
      <w:r w:rsidRPr="002433F3">
        <w:rPr>
          <w:rFonts w:eastAsia="Calibri" w:cs="Times New Roman"/>
          <w:spacing w:val="-2"/>
          <w:szCs w:val="20"/>
          <w:lang w:val="en-US"/>
        </w:rPr>
        <w:t>c</w:t>
      </w:r>
      <w:r w:rsidR="003F697F" w:rsidRPr="002433F3">
        <w:rPr>
          <w:rFonts w:eastAsia="Calibri" w:cs="Times New Roman"/>
          <w:spacing w:val="-2"/>
          <w:szCs w:val="20"/>
          <w:lang w:val="en-US"/>
        </w:rPr>
        <w:t xml:space="preserve">haracterizing </w:t>
      </w:r>
      <w:r w:rsidR="007B0DE4" w:rsidRPr="002433F3">
        <w:rPr>
          <w:rFonts w:eastAsia="Calibri" w:cs="Times New Roman"/>
          <w:spacing w:val="-2"/>
          <w:szCs w:val="20"/>
          <w:lang w:val="en-US"/>
        </w:rPr>
        <w:t xml:space="preserve">the </w:t>
      </w:r>
      <w:r w:rsidR="00C43768" w:rsidRPr="002433F3">
        <w:rPr>
          <w:rFonts w:eastAsia="Calibri" w:cs="Times New Roman"/>
          <w:spacing w:val="-2"/>
          <w:szCs w:val="20"/>
          <w:lang w:val="en-US"/>
        </w:rPr>
        <w:t>refusal</w:t>
      </w:r>
      <w:r w:rsidR="003F697F" w:rsidRPr="002433F3">
        <w:rPr>
          <w:rFonts w:eastAsia="Calibri" w:cs="Times New Roman"/>
          <w:spacing w:val="-2"/>
          <w:szCs w:val="20"/>
          <w:lang w:val="en-US"/>
        </w:rPr>
        <w:t>, given in 2002,</w:t>
      </w:r>
      <w:r w:rsidR="00C43768" w:rsidRPr="002433F3">
        <w:rPr>
          <w:rFonts w:eastAsia="Calibri" w:cs="Times New Roman"/>
          <w:spacing w:val="-2"/>
          <w:szCs w:val="20"/>
          <w:lang w:val="en-US"/>
        </w:rPr>
        <w:t xml:space="preserve"> </w:t>
      </w:r>
      <w:r w:rsidR="003F697F" w:rsidRPr="002433F3">
        <w:rPr>
          <w:rFonts w:eastAsia="Calibri" w:cs="Times New Roman"/>
          <w:spacing w:val="-2"/>
          <w:szCs w:val="20"/>
          <w:lang w:val="en-US"/>
        </w:rPr>
        <w:t xml:space="preserve">to provide </w:t>
      </w:r>
      <w:r w:rsidR="007B0DE4" w:rsidRPr="002433F3">
        <w:rPr>
          <w:rFonts w:eastAsia="Calibri" w:cs="Times New Roman"/>
          <w:szCs w:val="20"/>
          <w:lang w:val="en-US" w:eastAsia="es-ES"/>
        </w:rPr>
        <w:t xml:space="preserve">information regarding the </w:t>
      </w:r>
      <w:r w:rsidR="003F697F" w:rsidRPr="002433F3">
        <w:rPr>
          <w:rFonts w:eastAsia="Calibri" w:cs="Times New Roman"/>
          <w:szCs w:val="20"/>
          <w:lang w:val="en-US" w:eastAsia="es-ES"/>
        </w:rPr>
        <w:t xml:space="preserve">request for a </w:t>
      </w:r>
      <w:r w:rsidR="007B0DE4" w:rsidRPr="002433F3">
        <w:rPr>
          <w:rFonts w:eastAsia="Calibri" w:cs="Times New Roman"/>
          <w:szCs w:val="20"/>
          <w:lang w:val="en-US" w:eastAsia="es-ES"/>
        </w:rPr>
        <w:t>survivor’s pension</w:t>
      </w:r>
      <w:r w:rsidR="003F697F" w:rsidRPr="002433F3">
        <w:rPr>
          <w:rFonts w:eastAsia="Calibri" w:cs="Times New Roman"/>
          <w:szCs w:val="20"/>
          <w:lang w:val="en-US" w:eastAsia="es-ES"/>
        </w:rPr>
        <w:t xml:space="preserve"> </w:t>
      </w:r>
      <w:r w:rsidR="003F697F" w:rsidRPr="002433F3">
        <w:rPr>
          <w:rFonts w:eastAsia="Calibri" w:cs="Times New Roman"/>
          <w:spacing w:val="-2"/>
          <w:szCs w:val="20"/>
          <w:lang w:val="en-US"/>
        </w:rPr>
        <w:t>as an internationally wrongful act</w:t>
      </w:r>
      <w:r w:rsidR="003F697F" w:rsidRPr="002433F3">
        <w:rPr>
          <w:rFonts w:eastAsia="Calibri" w:cs="Times New Roman"/>
          <w:szCs w:val="20"/>
          <w:lang w:val="en-US" w:eastAsia="es-ES"/>
        </w:rPr>
        <w:t xml:space="preserve">, </w:t>
      </w:r>
      <w:r w:rsidR="00EF14C8" w:rsidRPr="002433F3">
        <w:rPr>
          <w:rFonts w:eastAsia="Calibri" w:cs="Times New Roman"/>
          <w:szCs w:val="20"/>
          <w:lang w:val="en-US" w:eastAsia="es-ES"/>
        </w:rPr>
        <w:t>the Judgment</w:t>
      </w:r>
      <w:r w:rsidR="003F697F" w:rsidRPr="002433F3">
        <w:rPr>
          <w:rFonts w:eastAsia="Calibri" w:cs="Times New Roman"/>
          <w:szCs w:val="20"/>
          <w:lang w:val="en-US" w:eastAsia="es-ES"/>
        </w:rPr>
        <w:t xml:space="preserve"> limits </w:t>
      </w:r>
      <w:r w:rsidR="009D3025" w:rsidRPr="002433F3">
        <w:rPr>
          <w:rFonts w:eastAsia="Calibri" w:cs="Times New Roman"/>
          <w:szCs w:val="20"/>
          <w:lang w:val="en-US" w:eastAsia="es-ES"/>
        </w:rPr>
        <w:t xml:space="preserve">the </w:t>
      </w:r>
      <w:r w:rsidR="007C01C1" w:rsidRPr="002433F3">
        <w:rPr>
          <w:rFonts w:eastAsia="Calibri" w:cs="Times New Roman"/>
          <w:szCs w:val="20"/>
          <w:lang w:val="en-US" w:eastAsia="es-ES"/>
        </w:rPr>
        <w:t xml:space="preserve">timeframe of the object of the </w:t>
      </w:r>
      <w:r w:rsidR="003A4B66" w:rsidRPr="002433F3">
        <w:rPr>
          <w:rFonts w:eastAsia="Calibri" w:cs="Times New Roman"/>
          <w:szCs w:val="20"/>
          <w:lang w:val="en-US" w:eastAsia="es-ES"/>
        </w:rPr>
        <w:t>litig</w:t>
      </w:r>
      <w:r w:rsidR="007C01C1" w:rsidRPr="002433F3">
        <w:rPr>
          <w:rFonts w:eastAsia="Calibri" w:cs="Times New Roman"/>
          <w:szCs w:val="20"/>
          <w:lang w:val="en-US" w:eastAsia="es-ES"/>
        </w:rPr>
        <w:t xml:space="preserve">ation </w:t>
      </w:r>
      <w:r w:rsidR="009D3025" w:rsidRPr="002433F3">
        <w:rPr>
          <w:rFonts w:eastAsia="Calibri" w:cs="Times New Roman"/>
          <w:szCs w:val="20"/>
          <w:lang w:val="en-US" w:eastAsia="es-ES"/>
        </w:rPr>
        <w:t xml:space="preserve">to the </w:t>
      </w:r>
      <w:r w:rsidR="007B0DE4" w:rsidRPr="002433F3">
        <w:rPr>
          <w:rFonts w:eastAsia="Calibri" w:cs="Times New Roman"/>
          <w:szCs w:val="20"/>
          <w:lang w:val="en-US" w:eastAsia="es-ES"/>
        </w:rPr>
        <w:t xml:space="preserve">period from </w:t>
      </w:r>
      <w:r w:rsidR="003F697F" w:rsidRPr="002433F3">
        <w:rPr>
          <w:rFonts w:eastAsia="Calibri" w:cs="Times New Roman"/>
          <w:szCs w:val="20"/>
          <w:lang w:val="en-US"/>
        </w:rPr>
        <w:t>2002 – the date of</w:t>
      </w:r>
      <w:r w:rsidR="007B0DE4" w:rsidRPr="002433F3">
        <w:rPr>
          <w:rFonts w:eastAsia="Calibri" w:cs="Times New Roman"/>
          <w:szCs w:val="20"/>
          <w:lang w:val="en-US"/>
        </w:rPr>
        <w:t xml:space="preserve"> the </w:t>
      </w:r>
      <w:r w:rsidR="007C01C1" w:rsidRPr="002433F3">
        <w:rPr>
          <w:rFonts w:eastAsia="Calibri" w:cs="Times New Roman"/>
          <w:szCs w:val="20"/>
          <w:lang w:val="en-US"/>
        </w:rPr>
        <w:t xml:space="preserve">aforementioned </w:t>
      </w:r>
      <w:r w:rsidR="003F697F" w:rsidRPr="002433F3">
        <w:rPr>
          <w:rFonts w:eastAsia="Calibri" w:cs="Times New Roman"/>
          <w:szCs w:val="20"/>
          <w:lang w:val="en-US"/>
        </w:rPr>
        <w:t>request -</w:t>
      </w:r>
      <w:r w:rsidR="007B0DE4" w:rsidRPr="002433F3">
        <w:rPr>
          <w:rFonts w:eastAsia="Calibri" w:cs="Times New Roman"/>
          <w:szCs w:val="20"/>
          <w:lang w:val="en-US"/>
        </w:rPr>
        <w:t xml:space="preserve"> to 2007 and/or 2009, </w:t>
      </w:r>
      <w:r w:rsidR="003F697F" w:rsidRPr="002433F3">
        <w:rPr>
          <w:rFonts w:eastAsia="Calibri" w:cs="Times New Roman"/>
          <w:szCs w:val="20"/>
          <w:lang w:val="en-US"/>
        </w:rPr>
        <w:t>thereby including</w:t>
      </w:r>
      <w:r w:rsidR="007B0DE4" w:rsidRPr="002433F3">
        <w:rPr>
          <w:rFonts w:eastAsia="Calibri" w:cs="Times New Roman"/>
          <w:szCs w:val="20"/>
          <w:lang w:val="en-US"/>
        </w:rPr>
        <w:t xml:space="preserve"> 2005, </w:t>
      </w:r>
      <w:r w:rsidR="007C01C1" w:rsidRPr="002433F3">
        <w:rPr>
          <w:rFonts w:eastAsia="Calibri" w:cs="Times New Roman"/>
          <w:szCs w:val="20"/>
          <w:lang w:val="en-US"/>
        </w:rPr>
        <w:t xml:space="preserve">the year in which </w:t>
      </w:r>
      <w:r w:rsidR="009D3025" w:rsidRPr="002433F3">
        <w:rPr>
          <w:rFonts w:eastAsia="Calibri" w:cs="Times New Roman"/>
          <w:szCs w:val="20"/>
          <w:lang w:val="en-US"/>
        </w:rPr>
        <w:t xml:space="preserve">the </w:t>
      </w:r>
      <w:r w:rsidR="007B0DE4" w:rsidRPr="002433F3">
        <w:rPr>
          <w:rFonts w:eastAsia="Calibri" w:cs="Times New Roman"/>
          <w:szCs w:val="20"/>
          <w:lang w:val="en-US"/>
        </w:rPr>
        <w:t xml:space="preserve">petition that gave rise to this case </w:t>
      </w:r>
      <w:r w:rsidR="009D3025" w:rsidRPr="002433F3">
        <w:rPr>
          <w:rFonts w:eastAsia="Calibri" w:cs="Times New Roman"/>
          <w:szCs w:val="20"/>
          <w:lang w:val="en-US"/>
        </w:rPr>
        <w:t xml:space="preserve">was submitted to </w:t>
      </w:r>
      <w:r w:rsidR="007B0DE4" w:rsidRPr="002433F3">
        <w:rPr>
          <w:rFonts w:eastAsia="Calibri" w:cs="Times New Roman"/>
          <w:szCs w:val="20"/>
          <w:lang w:val="en-US"/>
        </w:rPr>
        <w:t>the Commission</w:t>
      </w:r>
      <w:r w:rsidR="007C01C1" w:rsidRPr="002433F3">
        <w:rPr>
          <w:rFonts w:eastAsia="Calibri" w:cs="Times New Roman"/>
          <w:szCs w:val="20"/>
          <w:lang w:val="en-US"/>
        </w:rPr>
        <w:t>.</w:t>
      </w:r>
      <w:r w:rsidR="007B0DE4" w:rsidRPr="002433F3">
        <w:rPr>
          <w:rFonts w:eastAsia="Calibri" w:cs="Times New Roman"/>
          <w:szCs w:val="20"/>
          <w:lang w:val="en-US"/>
        </w:rPr>
        <w:t xml:space="preserve"> </w:t>
      </w:r>
      <w:r w:rsidR="007C01C1" w:rsidRPr="002433F3">
        <w:rPr>
          <w:rFonts w:eastAsia="Calibri" w:cs="Times New Roman"/>
          <w:szCs w:val="20"/>
          <w:lang w:val="en-US"/>
        </w:rPr>
        <w:t xml:space="preserve">And, I reiterate, it is </w:t>
      </w:r>
      <w:r w:rsidR="007E43A4" w:rsidRPr="002433F3">
        <w:rPr>
          <w:rFonts w:eastAsia="Calibri" w:cs="Times New Roman"/>
          <w:szCs w:val="20"/>
          <w:lang w:val="en-US"/>
        </w:rPr>
        <w:t>based o</w:t>
      </w:r>
      <w:r w:rsidR="00C01A16" w:rsidRPr="002433F3">
        <w:rPr>
          <w:rFonts w:eastAsia="Calibri" w:cs="Times New Roman"/>
          <w:szCs w:val="20"/>
          <w:lang w:val="en-US"/>
        </w:rPr>
        <w:t xml:space="preserve">n a mere </w:t>
      </w:r>
      <w:r w:rsidR="007C01C1" w:rsidRPr="002433F3">
        <w:rPr>
          <w:rFonts w:eastAsia="Calibri" w:cs="Times New Roman"/>
          <w:szCs w:val="20"/>
          <w:lang w:val="en-US"/>
        </w:rPr>
        <w:t xml:space="preserve">eventuality or </w:t>
      </w:r>
      <w:r w:rsidR="00C01A16" w:rsidRPr="002433F3">
        <w:rPr>
          <w:rFonts w:eastAsia="Calibri" w:cs="Times New Roman"/>
          <w:szCs w:val="20"/>
          <w:lang w:val="en-US"/>
        </w:rPr>
        <w:t>possibility of a future and uncertain event</w:t>
      </w:r>
      <w:r w:rsidR="007B0DE4" w:rsidRPr="002433F3">
        <w:rPr>
          <w:rFonts w:eastAsia="Calibri" w:cs="Times New Roman"/>
          <w:szCs w:val="20"/>
          <w:lang w:val="en-US"/>
        </w:rPr>
        <w:t>.</w:t>
      </w:r>
    </w:p>
    <w:p w14:paraId="687BE747" w14:textId="77777777" w:rsidR="007B0DE4" w:rsidRPr="002433F3" w:rsidRDefault="00C43768" w:rsidP="007B0DE4">
      <w:pPr>
        <w:spacing w:before="240" w:after="200"/>
        <w:rPr>
          <w:rFonts w:eastAsia="Calibri" w:cs="Times New Roman"/>
          <w:szCs w:val="20"/>
          <w:lang w:val="en-US"/>
        </w:rPr>
      </w:pPr>
      <w:r w:rsidRPr="002433F3">
        <w:rPr>
          <w:rFonts w:eastAsia="Calibri" w:cs="Times New Roman"/>
          <w:szCs w:val="20"/>
          <w:lang w:val="en-US"/>
        </w:rPr>
        <w:t>That said</w:t>
      </w:r>
      <w:r w:rsidR="007B0DE4" w:rsidRPr="002433F3">
        <w:rPr>
          <w:rFonts w:eastAsia="Calibri" w:cs="Times New Roman"/>
          <w:szCs w:val="20"/>
          <w:lang w:val="en-US"/>
        </w:rPr>
        <w:t>, contrary</w:t>
      </w:r>
      <w:r w:rsidRPr="002433F3">
        <w:rPr>
          <w:rFonts w:eastAsia="Calibri" w:cs="Times New Roman"/>
          <w:szCs w:val="20"/>
          <w:lang w:val="en-US"/>
        </w:rPr>
        <w:t xml:space="preserve"> to </w:t>
      </w:r>
      <w:r w:rsidR="007B0DE4" w:rsidRPr="002433F3">
        <w:rPr>
          <w:rFonts w:eastAsia="Calibri" w:cs="Times New Roman"/>
          <w:szCs w:val="20"/>
          <w:lang w:val="en-US"/>
        </w:rPr>
        <w:t xml:space="preserve">what </w:t>
      </w:r>
      <w:r w:rsidRPr="002433F3">
        <w:rPr>
          <w:rFonts w:eastAsia="Calibri" w:cs="Times New Roman"/>
          <w:szCs w:val="20"/>
          <w:lang w:val="en-US"/>
        </w:rPr>
        <w:t xml:space="preserve">is </w:t>
      </w:r>
      <w:r w:rsidR="007B0DE4" w:rsidRPr="002433F3">
        <w:rPr>
          <w:rFonts w:eastAsia="Calibri" w:cs="Times New Roman"/>
          <w:szCs w:val="20"/>
          <w:lang w:val="en-US"/>
        </w:rPr>
        <w:t>establ</w:t>
      </w:r>
      <w:r w:rsidRPr="002433F3">
        <w:rPr>
          <w:rFonts w:eastAsia="Calibri" w:cs="Times New Roman"/>
          <w:szCs w:val="20"/>
          <w:lang w:val="en-US"/>
        </w:rPr>
        <w:t xml:space="preserve">ished </w:t>
      </w:r>
      <w:r w:rsidR="007E43A4" w:rsidRPr="002433F3">
        <w:rPr>
          <w:rFonts w:eastAsia="Calibri" w:cs="Times New Roman"/>
          <w:szCs w:val="20"/>
          <w:lang w:val="en-US"/>
        </w:rPr>
        <w:t xml:space="preserve">in the </w:t>
      </w:r>
      <w:r w:rsidR="007B0DE4" w:rsidRPr="002433F3">
        <w:rPr>
          <w:rFonts w:eastAsia="Calibri" w:cs="Times New Roman"/>
          <w:szCs w:val="20"/>
          <w:lang w:val="en-US"/>
        </w:rPr>
        <w:t xml:space="preserve">Judgment, </w:t>
      </w:r>
      <w:r w:rsidR="00707B72" w:rsidRPr="002433F3">
        <w:rPr>
          <w:rFonts w:eastAsia="Calibri" w:cs="Times New Roman"/>
          <w:szCs w:val="20"/>
          <w:lang w:val="en-US"/>
        </w:rPr>
        <w:t xml:space="preserve">such </w:t>
      </w:r>
      <w:r w:rsidR="007B0DE4" w:rsidRPr="002433F3">
        <w:rPr>
          <w:rFonts w:eastAsia="Calibri" w:cs="Times New Roman"/>
          <w:szCs w:val="20"/>
          <w:lang w:val="en-US"/>
        </w:rPr>
        <w:t xml:space="preserve">legislation was not </w:t>
      </w:r>
      <w:r w:rsidR="00443800" w:rsidRPr="002433F3">
        <w:rPr>
          <w:rFonts w:eastAsia="Calibri" w:cs="Times New Roman"/>
          <w:szCs w:val="20"/>
          <w:lang w:val="en-US"/>
        </w:rPr>
        <w:t xml:space="preserve">the </w:t>
      </w:r>
      <w:r w:rsidR="007C01C1" w:rsidRPr="002433F3">
        <w:rPr>
          <w:rFonts w:eastAsia="Calibri" w:cs="Times New Roman"/>
          <w:szCs w:val="20"/>
          <w:lang w:val="en-US"/>
        </w:rPr>
        <w:t xml:space="preserve">object of </w:t>
      </w:r>
      <w:r w:rsidR="00443800" w:rsidRPr="002433F3">
        <w:rPr>
          <w:rFonts w:eastAsia="Calibri" w:cs="Times New Roman"/>
          <w:szCs w:val="20"/>
          <w:lang w:val="en-US"/>
        </w:rPr>
        <w:t>litig</w:t>
      </w:r>
      <w:r w:rsidR="007C01C1" w:rsidRPr="002433F3">
        <w:rPr>
          <w:rFonts w:eastAsia="Calibri" w:cs="Times New Roman"/>
          <w:szCs w:val="20"/>
          <w:lang w:val="en-US"/>
        </w:rPr>
        <w:t xml:space="preserve">ation in this </w:t>
      </w:r>
      <w:r w:rsidR="00443800" w:rsidRPr="002433F3">
        <w:rPr>
          <w:rFonts w:eastAsia="Calibri" w:cs="Times New Roman"/>
          <w:szCs w:val="20"/>
          <w:lang w:val="en-US"/>
        </w:rPr>
        <w:t>case</w:t>
      </w:r>
      <w:r w:rsidR="007B0DE4" w:rsidRPr="002433F3">
        <w:rPr>
          <w:rFonts w:eastAsia="Calibri" w:cs="Times New Roman"/>
          <w:szCs w:val="20"/>
          <w:lang w:val="en-US"/>
        </w:rPr>
        <w:t xml:space="preserve">, </w:t>
      </w:r>
      <w:r w:rsidR="00C01A16" w:rsidRPr="002433F3">
        <w:rPr>
          <w:rFonts w:eastAsia="Calibri" w:cs="Times New Roman"/>
          <w:szCs w:val="20"/>
          <w:lang w:val="en-US"/>
        </w:rPr>
        <w:t xml:space="preserve">but rather the </w:t>
      </w:r>
      <w:r w:rsidR="007B0DE4" w:rsidRPr="002433F3">
        <w:rPr>
          <w:rFonts w:eastAsia="Calibri" w:cs="Times New Roman"/>
          <w:i/>
          <w:szCs w:val="20"/>
          <w:lang w:val="en-US"/>
        </w:rPr>
        <w:t>causa petendi</w:t>
      </w:r>
      <w:r w:rsidR="007B0DE4" w:rsidRPr="002433F3">
        <w:rPr>
          <w:rFonts w:eastAsia="Calibri" w:cs="Times New Roman"/>
          <w:szCs w:val="20"/>
          <w:lang w:val="en-US"/>
        </w:rPr>
        <w:t>. T</w:t>
      </w:r>
      <w:r w:rsidR="002F35CC" w:rsidRPr="002433F3">
        <w:rPr>
          <w:rFonts w:eastAsia="Calibri" w:cs="Times New Roman"/>
          <w:szCs w:val="20"/>
          <w:lang w:val="en-US"/>
        </w:rPr>
        <w:t>h</w:t>
      </w:r>
      <w:r w:rsidR="007C01C1" w:rsidRPr="002433F3">
        <w:rPr>
          <w:rFonts w:eastAsia="Calibri" w:cs="Times New Roman"/>
          <w:szCs w:val="20"/>
          <w:lang w:val="en-US"/>
        </w:rPr>
        <w:t xml:space="preserve">is </w:t>
      </w:r>
      <w:r w:rsidR="007B0DE4" w:rsidRPr="002433F3">
        <w:rPr>
          <w:rFonts w:eastAsia="Calibri" w:cs="Times New Roman"/>
          <w:szCs w:val="20"/>
          <w:lang w:val="en-US"/>
        </w:rPr>
        <w:t xml:space="preserve">conclusion </w:t>
      </w:r>
      <w:r w:rsidR="0059238D" w:rsidRPr="002433F3">
        <w:rPr>
          <w:rFonts w:eastAsia="Calibri" w:cs="Times New Roman"/>
          <w:szCs w:val="20"/>
          <w:lang w:val="en-US"/>
        </w:rPr>
        <w:t xml:space="preserve">is derived from the </w:t>
      </w:r>
      <w:r w:rsidR="002F35CC" w:rsidRPr="002433F3">
        <w:rPr>
          <w:rFonts w:eastAsia="Calibri" w:cs="Times New Roman"/>
          <w:szCs w:val="20"/>
          <w:lang w:val="en-US"/>
        </w:rPr>
        <w:t xml:space="preserve">fact </w:t>
      </w:r>
      <w:r w:rsidR="007B0DE4" w:rsidRPr="002433F3">
        <w:rPr>
          <w:rFonts w:eastAsia="Calibri" w:cs="Times New Roman"/>
          <w:szCs w:val="20"/>
          <w:lang w:val="en-US"/>
        </w:rPr>
        <w:t xml:space="preserve">that, </w:t>
      </w:r>
      <w:r w:rsidR="0059238D" w:rsidRPr="002433F3">
        <w:rPr>
          <w:rFonts w:eastAsia="Calibri" w:cs="Times New Roman"/>
          <w:szCs w:val="20"/>
          <w:lang w:val="en-US"/>
        </w:rPr>
        <w:t xml:space="preserve">although </w:t>
      </w:r>
      <w:r w:rsidR="007C01C1" w:rsidRPr="002433F3">
        <w:rPr>
          <w:rFonts w:eastAsia="Calibri" w:cs="Times New Roman"/>
          <w:szCs w:val="20"/>
          <w:lang w:val="en-US"/>
        </w:rPr>
        <w:t xml:space="preserve">the </w:t>
      </w:r>
      <w:r w:rsidR="007B0DE4" w:rsidRPr="002433F3">
        <w:rPr>
          <w:rFonts w:eastAsia="Calibri" w:cs="Times New Roman"/>
          <w:szCs w:val="20"/>
          <w:lang w:val="en-US"/>
        </w:rPr>
        <w:t>cla</w:t>
      </w:r>
      <w:r w:rsidR="0059238D" w:rsidRPr="002433F3">
        <w:rPr>
          <w:rFonts w:eastAsia="Calibri" w:cs="Times New Roman"/>
          <w:szCs w:val="20"/>
          <w:lang w:val="en-US"/>
        </w:rPr>
        <w:t xml:space="preserve">im </w:t>
      </w:r>
      <w:r w:rsidR="007C01C1" w:rsidRPr="002433F3">
        <w:rPr>
          <w:rFonts w:eastAsia="Calibri" w:cs="Times New Roman"/>
          <w:szCs w:val="20"/>
          <w:lang w:val="en-US"/>
        </w:rPr>
        <w:t xml:space="preserve">made before </w:t>
      </w:r>
      <w:r w:rsidR="0059238D" w:rsidRPr="002433F3">
        <w:rPr>
          <w:rFonts w:eastAsia="Calibri" w:cs="Times New Roman"/>
          <w:szCs w:val="20"/>
          <w:lang w:val="en-US"/>
        </w:rPr>
        <w:t xml:space="preserve">the Court is the </w:t>
      </w:r>
      <w:r w:rsidR="007C01C1" w:rsidRPr="002433F3">
        <w:rPr>
          <w:rFonts w:eastAsia="Calibri" w:cs="Times New Roman"/>
          <w:szCs w:val="20"/>
          <w:lang w:val="en-US"/>
        </w:rPr>
        <w:t xml:space="preserve">petitioner’s </w:t>
      </w:r>
      <w:r w:rsidR="007B0DE4" w:rsidRPr="002433F3">
        <w:rPr>
          <w:rFonts w:eastAsia="Calibri" w:cs="Times New Roman"/>
          <w:szCs w:val="20"/>
          <w:lang w:val="en-US"/>
        </w:rPr>
        <w:t xml:space="preserve">right to request </w:t>
      </w:r>
      <w:r w:rsidR="007C01C1" w:rsidRPr="002433F3">
        <w:rPr>
          <w:rFonts w:eastAsia="Calibri" w:cs="Times New Roman"/>
          <w:szCs w:val="20"/>
          <w:lang w:val="en-US"/>
        </w:rPr>
        <w:t xml:space="preserve">a survivor’s </w:t>
      </w:r>
      <w:r w:rsidR="007B0DE4" w:rsidRPr="002433F3">
        <w:rPr>
          <w:rFonts w:eastAsia="Calibri" w:cs="Times New Roman"/>
          <w:szCs w:val="20"/>
          <w:lang w:val="en-US"/>
        </w:rPr>
        <w:t xml:space="preserve">pension, </w:t>
      </w:r>
      <w:r w:rsidR="006E2A90" w:rsidRPr="002433F3">
        <w:rPr>
          <w:rFonts w:eastAsia="Calibri" w:cs="Times New Roman"/>
          <w:szCs w:val="20"/>
          <w:lang w:val="en-US"/>
        </w:rPr>
        <w:t xml:space="preserve">such </w:t>
      </w:r>
      <w:r w:rsidR="007B0DE4" w:rsidRPr="002433F3">
        <w:rPr>
          <w:rFonts w:eastAsia="Calibri" w:cs="Times New Roman"/>
          <w:szCs w:val="20"/>
          <w:lang w:val="en-US"/>
        </w:rPr>
        <w:t xml:space="preserve">requirement </w:t>
      </w:r>
      <w:r w:rsidR="0059238D" w:rsidRPr="002433F3">
        <w:rPr>
          <w:rFonts w:eastAsia="Calibri" w:cs="Times New Roman"/>
          <w:szCs w:val="20"/>
          <w:lang w:val="en-US"/>
        </w:rPr>
        <w:t xml:space="preserve">is based on the fact that the domestic </w:t>
      </w:r>
      <w:r w:rsidR="007C01C1" w:rsidRPr="002433F3">
        <w:rPr>
          <w:rFonts w:eastAsia="Calibri" w:cs="Times New Roman"/>
          <w:szCs w:val="20"/>
          <w:lang w:val="en-US"/>
        </w:rPr>
        <w:t xml:space="preserve">laws </w:t>
      </w:r>
      <w:r w:rsidR="0059238D" w:rsidRPr="002433F3">
        <w:rPr>
          <w:rFonts w:eastAsia="Calibri" w:cs="Times New Roman"/>
          <w:szCs w:val="20"/>
          <w:lang w:val="en-US"/>
        </w:rPr>
        <w:t>that prevent</w:t>
      </w:r>
      <w:r w:rsidR="007C01C1" w:rsidRPr="002433F3">
        <w:rPr>
          <w:rFonts w:eastAsia="Calibri" w:cs="Times New Roman"/>
          <w:szCs w:val="20"/>
          <w:lang w:val="en-US"/>
        </w:rPr>
        <w:t>ed this request</w:t>
      </w:r>
      <w:r w:rsidR="0059238D" w:rsidRPr="002433F3">
        <w:rPr>
          <w:rFonts w:eastAsia="Calibri" w:cs="Times New Roman"/>
          <w:szCs w:val="20"/>
          <w:lang w:val="en-US"/>
        </w:rPr>
        <w:t xml:space="preserve"> from being granted </w:t>
      </w:r>
      <w:r w:rsidR="007C01C1" w:rsidRPr="002433F3">
        <w:rPr>
          <w:rFonts w:eastAsia="Calibri" w:cs="Times New Roman"/>
          <w:szCs w:val="20"/>
          <w:lang w:val="en-US"/>
        </w:rPr>
        <w:t>were</w:t>
      </w:r>
      <w:r w:rsidR="007B0DE4" w:rsidRPr="002433F3">
        <w:rPr>
          <w:rFonts w:eastAsia="Calibri" w:cs="Times New Roman"/>
          <w:szCs w:val="20"/>
          <w:lang w:val="en-US"/>
        </w:rPr>
        <w:t xml:space="preserve"> contrary </w:t>
      </w:r>
      <w:r w:rsidR="0059238D" w:rsidRPr="002433F3">
        <w:rPr>
          <w:rFonts w:eastAsia="Calibri" w:cs="Times New Roman"/>
          <w:szCs w:val="20"/>
          <w:lang w:val="en-US"/>
        </w:rPr>
        <w:t>to international law and, in particular, to</w:t>
      </w:r>
      <w:r w:rsidR="007B0DE4" w:rsidRPr="002433F3">
        <w:rPr>
          <w:rFonts w:eastAsia="Calibri" w:cs="Times New Roman"/>
          <w:szCs w:val="20"/>
          <w:lang w:val="en-US"/>
        </w:rPr>
        <w:t xml:space="preserve"> the Convention. </w:t>
      </w:r>
    </w:p>
    <w:p w14:paraId="74648387" w14:textId="77777777" w:rsidR="007B0DE4" w:rsidRPr="002433F3" w:rsidRDefault="00361D6D" w:rsidP="007B0DE4">
      <w:pPr>
        <w:spacing w:before="240" w:after="200"/>
        <w:rPr>
          <w:rFonts w:eastAsia="Calibri" w:cs="Times New Roman"/>
          <w:szCs w:val="20"/>
          <w:lang w:val="en-US"/>
        </w:rPr>
      </w:pPr>
      <w:r w:rsidRPr="002433F3">
        <w:rPr>
          <w:rFonts w:eastAsia="Calibri" w:cs="Times New Roman"/>
          <w:szCs w:val="20"/>
          <w:lang w:val="en-US"/>
        </w:rPr>
        <w:lastRenderedPageBreak/>
        <w:t xml:space="preserve">In this regard, </w:t>
      </w:r>
      <w:r w:rsidR="006A3282" w:rsidRPr="002433F3">
        <w:rPr>
          <w:rFonts w:eastAsia="Calibri" w:cs="Times New Roman"/>
          <w:szCs w:val="20"/>
          <w:lang w:val="en-US"/>
        </w:rPr>
        <w:t xml:space="preserve">it should be noted </w:t>
      </w:r>
      <w:r w:rsidR="00567029" w:rsidRPr="002433F3">
        <w:rPr>
          <w:rFonts w:eastAsia="Calibri" w:cs="Times New Roman"/>
          <w:szCs w:val="20"/>
          <w:lang w:val="en-US"/>
        </w:rPr>
        <w:t>that</w:t>
      </w:r>
      <w:r w:rsidR="007B0DE4" w:rsidRPr="002433F3">
        <w:rPr>
          <w:rFonts w:eastAsia="Calibri" w:cs="Times New Roman"/>
          <w:szCs w:val="20"/>
          <w:lang w:val="en-US"/>
        </w:rPr>
        <w:t xml:space="preserve"> </w:t>
      </w:r>
      <w:r w:rsidR="00567029" w:rsidRPr="002433F3">
        <w:rPr>
          <w:rFonts w:eastAsia="Calibri" w:cs="Times New Roman"/>
          <w:szCs w:val="20"/>
          <w:lang w:val="en-US"/>
        </w:rPr>
        <w:t xml:space="preserve">during the period </w:t>
      </w:r>
      <w:r w:rsidR="0059238D" w:rsidRPr="002433F3">
        <w:rPr>
          <w:rFonts w:eastAsia="Calibri" w:cs="Times New Roman"/>
          <w:szCs w:val="20"/>
          <w:lang w:val="en-US"/>
        </w:rPr>
        <w:t xml:space="preserve">in </w:t>
      </w:r>
      <w:r w:rsidR="00567029" w:rsidRPr="002433F3">
        <w:rPr>
          <w:rFonts w:eastAsia="Calibri" w:cs="Times New Roman"/>
          <w:szCs w:val="20"/>
          <w:lang w:val="en-US"/>
        </w:rPr>
        <w:t>question</w:t>
      </w:r>
      <w:r w:rsidR="007B0DE4" w:rsidRPr="002433F3">
        <w:rPr>
          <w:rFonts w:eastAsia="Calibri" w:cs="Times New Roman"/>
          <w:szCs w:val="20"/>
          <w:lang w:val="en-US"/>
        </w:rPr>
        <w:t xml:space="preserve"> </w:t>
      </w:r>
      <w:r w:rsidR="00850ED8" w:rsidRPr="002433F3">
        <w:rPr>
          <w:rFonts w:eastAsia="Calibri" w:cs="Times New Roman"/>
          <w:szCs w:val="20"/>
          <w:lang w:val="en-US"/>
        </w:rPr>
        <w:t xml:space="preserve">there was no </w:t>
      </w:r>
      <w:r w:rsidR="007B0DE4" w:rsidRPr="002433F3">
        <w:rPr>
          <w:rFonts w:eastAsia="Calibri" w:cs="Times New Roman"/>
          <w:szCs w:val="20"/>
          <w:lang w:val="en-US"/>
        </w:rPr>
        <w:t xml:space="preserve">international </w:t>
      </w:r>
      <w:r w:rsidRPr="002433F3">
        <w:rPr>
          <w:rFonts w:eastAsia="Calibri" w:cs="Times New Roman"/>
          <w:szCs w:val="20"/>
          <w:lang w:val="en-US"/>
        </w:rPr>
        <w:t xml:space="preserve">legal obligation </w:t>
      </w:r>
      <w:r w:rsidR="006A3282" w:rsidRPr="002433F3">
        <w:rPr>
          <w:rFonts w:eastAsia="Calibri" w:cs="Times New Roman"/>
          <w:szCs w:val="20"/>
          <w:lang w:val="en-US"/>
        </w:rPr>
        <w:t xml:space="preserve">to </w:t>
      </w:r>
      <w:r w:rsidR="007B0DE4" w:rsidRPr="002433F3">
        <w:rPr>
          <w:rFonts w:eastAsia="Calibri" w:cs="Times New Roman"/>
          <w:szCs w:val="20"/>
          <w:lang w:val="en-US"/>
        </w:rPr>
        <w:t xml:space="preserve">grant a </w:t>
      </w:r>
      <w:r w:rsidR="006E2A90" w:rsidRPr="002433F3">
        <w:rPr>
          <w:rFonts w:eastAsia="Calibri" w:cs="Times New Roman"/>
          <w:szCs w:val="20"/>
          <w:lang w:val="en-US"/>
        </w:rPr>
        <w:t>survivor’</w:t>
      </w:r>
      <w:r w:rsidR="0059238D" w:rsidRPr="002433F3">
        <w:rPr>
          <w:rFonts w:eastAsia="Calibri" w:cs="Times New Roman"/>
          <w:szCs w:val="20"/>
          <w:lang w:val="en-US"/>
        </w:rPr>
        <w:t xml:space="preserve">s </w:t>
      </w:r>
      <w:r w:rsidR="007B0DE4" w:rsidRPr="002433F3">
        <w:rPr>
          <w:rFonts w:eastAsia="Calibri" w:cs="Times New Roman"/>
          <w:szCs w:val="20"/>
          <w:lang w:val="en-US"/>
        </w:rPr>
        <w:t xml:space="preserve">pension </w:t>
      </w:r>
      <w:r w:rsidR="0059238D" w:rsidRPr="002433F3">
        <w:rPr>
          <w:rFonts w:eastAsia="Calibri" w:cs="Times New Roman"/>
          <w:szCs w:val="20"/>
          <w:lang w:val="en-US"/>
        </w:rPr>
        <w:t xml:space="preserve">to a </w:t>
      </w:r>
      <w:r w:rsidR="007B0DE4" w:rsidRPr="002433F3">
        <w:rPr>
          <w:rFonts w:eastAsia="Calibri" w:cs="Times New Roman"/>
          <w:szCs w:val="20"/>
          <w:lang w:val="en-US"/>
        </w:rPr>
        <w:t xml:space="preserve">person </w:t>
      </w:r>
      <w:r w:rsidR="0059238D" w:rsidRPr="002433F3">
        <w:rPr>
          <w:rFonts w:eastAsia="Calibri" w:cs="Times New Roman"/>
          <w:szCs w:val="20"/>
          <w:lang w:val="en-US"/>
        </w:rPr>
        <w:t xml:space="preserve">in a </w:t>
      </w:r>
      <w:r w:rsidRPr="002433F3">
        <w:rPr>
          <w:rFonts w:eastAsia="Calibri" w:cs="Times New Roman"/>
          <w:szCs w:val="20"/>
          <w:lang w:val="en-US"/>
        </w:rPr>
        <w:t xml:space="preserve">civil or </w:t>
      </w:r>
      <w:r w:rsidR="007B0DE4" w:rsidRPr="002433F3">
        <w:rPr>
          <w:rFonts w:eastAsia="Calibri" w:cs="Times New Roman"/>
          <w:i/>
          <w:szCs w:val="20"/>
          <w:lang w:val="en-US"/>
        </w:rPr>
        <w:t>de facto</w:t>
      </w:r>
      <w:r w:rsidR="007B0DE4" w:rsidRPr="002433F3">
        <w:rPr>
          <w:rFonts w:eastAsia="Calibri" w:cs="Times New Roman"/>
          <w:szCs w:val="20"/>
          <w:lang w:val="en-US"/>
        </w:rPr>
        <w:t xml:space="preserve"> </w:t>
      </w:r>
      <w:r w:rsidR="00C01A16" w:rsidRPr="002433F3">
        <w:rPr>
          <w:rFonts w:eastAsia="Calibri" w:cs="Times New Roman"/>
          <w:szCs w:val="20"/>
          <w:lang w:val="en-US"/>
        </w:rPr>
        <w:t xml:space="preserve">union with </w:t>
      </w:r>
      <w:r w:rsidR="00567029" w:rsidRPr="002433F3">
        <w:rPr>
          <w:rFonts w:eastAsia="Calibri" w:cs="Times New Roman"/>
          <w:szCs w:val="20"/>
          <w:lang w:val="en-US"/>
        </w:rPr>
        <w:t xml:space="preserve">a </w:t>
      </w:r>
      <w:r w:rsidR="00C01A16" w:rsidRPr="002433F3">
        <w:rPr>
          <w:rFonts w:eastAsia="Calibri" w:cs="Times New Roman"/>
          <w:szCs w:val="20"/>
          <w:lang w:val="en-US"/>
        </w:rPr>
        <w:t xml:space="preserve">deceased </w:t>
      </w:r>
      <w:r w:rsidRPr="002433F3">
        <w:rPr>
          <w:rFonts w:eastAsia="Calibri" w:cs="Times New Roman"/>
          <w:szCs w:val="20"/>
          <w:lang w:val="en-US"/>
        </w:rPr>
        <w:t xml:space="preserve">partner of the same </w:t>
      </w:r>
      <w:r w:rsidR="00C01A16" w:rsidRPr="002433F3">
        <w:rPr>
          <w:rFonts w:eastAsia="Calibri" w:cs="Times New Roman"/>
          <w:szCs w:val="20"/>
          <w:lang w:val="en-US"/>
        </w:rPr>
        <w:t>sex</w:t>
      </w:r>
      <w:r w:rsidR="007B0DE4" w:rsidRPr="002433F3">
        <w:rPr>
          <w:rFonts w:eastAsia="Calibri" w:cs="Times New Roman"/>
          <w:szCs w:val="20"/>
          <w:lang w:val="en-US"/>
        </w:rPr>
        <w:t xml:space="preserve">, </w:t>
      </w:r>
      <w:r w:rsidR="00C01A16" w:rsidRPr="002433F3">
        <w:rPr>
          <w:rFonts w:eastAsia="Calibri" w:cs="Times New Roman"/>
          <w:szCs w:val="20"/>
          <w:lang w:val="en-US"/>
        </w:rPr>
        <w:t xml:space="preserve">since </w:t>
      </w:r>
      <w:r w:rsidR="0059238D" w:rsidRPr="002433F3">
        <w:rPr>
          <w:rFonts w:eastAsia="Calibri" w:cs="Times New Roman"/>
          <w:szCs w:val="20"/>
          <w:lang w:val="en-US"/>
        </w:rPr>
        <w:t xml:space="preserve">such unions were not </w:t>
      </w:r>
      <w:r w:rsidR="007B0DE4" w:rsidRPr="002433F3">
        <w:rPr>
          <w:rFonts w:eastAsia="Calibri" w:cs="Times New Roman"/>
          <w:szCs w:val="20"/>
          <w:lang w:val="en-US"/>
        </w:rPr>
        <w:t>international</w:t>
      </w:r>
      <w:r w:rsidR="00567029" w:rsidRPr="002433F3">
        <w:rPr>
          <w:rFonts w:eastAsia="Calibri" w:cs="Times New Roman"/>
          <w:szCs w:val="20"/>
          <w:lang w:val="en-US"/>
        </w:rPr>
        <w:t>ly recognized</w:t>
      </w:r>
      <w:r w:rsidRPr="002433F3">
        <w:rPr>
          <w:rFonts w:eastAsia="Calibri" w:cs="Times New Roman"/>
          <w:szCs w:val="20"/>
          <w:lang w:val="en-GB"/>
        </w:rPr>
        <w:t>;</w:t>
      </w:r>
      <w:r w:rsidR="00B21B6E" w:rsidRPr="002433F3">
        <w:rPr>
          <w:rFonts w:eastAsia="Calibri" w:cs="Times New Roman"/>
          <w:szCs w:val="20"/>
          <w:lang w:val="en-GB"/>
        </w:rPr>
        <w:t xml:space="preserve"> therefore</w:t>
      </w:r>
      <w:r w:rsidR="0059238D" w:rsidRPr="002433F3">
        <w:rPr>
          <w:rFonts w:eastAsia="Calibri" w:cs="Times New Roman"/>
          <w:szCs w:val="20"/>
          <w:lang w:val="en-GB"/>
        </w:rPr>
        <w:t>,</w:t>
      </w:r>
      <w:r w:rsidR="007B0DE4" w:rsidRPr="002433F3">
        <w:rPr>
          <w:rFonts w:eastAsia="Calibri" w:cs="Times New Roman"/>
          <w:szCs w:val="20"/>
          <w:lang w:val="en-US"/>
        </w:rPr>
        <w:t xml:space="preserve"> </w:t>
      </w:r>
      <w:r w:rsidR="0059238D" w:rsidRPr="002433F3">
        <w:rPr>
          <w:rFonts w:eastAsia="Calibri" w:cs="Times New Roman"/>
          <w:szCs w:val="20"/>
          <w:lang w:val="en-US"/>
        </w:rPr>
        <w:t xml:space="preserve">it </w:t>
      </w:r>
      <w:r w:rsidR="007B0DE4" w:rsidRPr="002433F3">
        <w:rPr>
          <w:rFonts w:eastAsia="Calibri" w:cs="Times New Roman"/>
          <w:szCs w:val="20"/>
          <w:lang w:val="en-US"/>
        </w:rPr>
        <w:t xml:space="preserve">was not </w:t>
      </w:r>
      <w:r w:rsidR="00367EFA" w:rsidRPr="002433F3">
        <w:rPr>
          <w:rFonts w:eastAsia="Calibri" w:cs="Times New Roman"/>
          <w:szCs w:val="20"/>
          <w:lang w:val="en-US"/>
        </w:rPr>
        <w:t xml:space="preserve">appropriate to </w:t>
      </w:r>
      <w:r w:rsidR="007B0DE4" w:rsidRPr="002433F3">
        <w:rPr>
          <w:rFonts w:eastAsia="Calibri" w:cs="Times New Roman"/>
          <w:szCs w:val="20"/>
          <w:lang w:val="en-US"/>
        </w:rPr>
        <w:t>invo</w:t>
      </w:r>
      <w:r w:rsidR="006E2A90" w:rsidRPr="002433F3">
        <w:rPr>
          <w:rFonts w:eastAsia="Calibri" w:cs="Times New Roman"/>
          <w:szCs w:val="20"/>
          <w:lang w:val="en-US"/>
        </w:rPr>
        <w:t>ke th</w:t>
      </w:r>
      <w:r w:rsidR="00567029" w:rsidRPr="002433F3">
        <w:rPr>
          <w:rFonts w:eastAsia="Calibri" w:cs="Times New Roman"/>
          <w:szCs w:val="20"/>
          <w:lang w:val="en-US"/>
        </w:rPr>
        <w:t xml:space="preserve">is fact </w:t>
      </w:r>
      <w:r w:rsidR="007B0DE4" w:rsidRPr="002433F3">
        <w:rPr>
          <w:rFonts w:eastAsia="Calibri" w:cs="Times New Roman"/>
          <w:szCs w:val="20"/>
          <w:lang w:val="en-US"/>
        </w:rPr>
        <w:t xml:space="preserve">as </w:t>
      </w:r>
      <w:r w:rsidR="006E2A90" w:rsidRPr="002433F3">
        <w:rPr>
          <w:rFonts w:eastAsia="Calibri" w:cs="Times New Roman"/>
          <w:szCs w:val="20"/>
          <w:lang w:val="en-US"/>
        </w:rPr>
        <w:t xml:space="preserve">grounds for </w:t>
      </w:r>
      <w:r w:rsidR="007B0DE4" w:rsidRPr="002433F3">
        <w:rPr>
          <w:rFonts w:eastAsia="Calibri" w:cs="Times New Roman"/>
          <w:szCs w:val="20"/>
          <w:lang w:val="en-US"/>
        </w:rPr>
        <w:t xml:space="preserve">the </w:t>
      </w:r>
      <w:r w:rsidR="003A4B66" w:rsidRPr="002433F3">
        <w:rPr>
          <w:rFonts w:eastAsia="Calibri" w:cs="Times New Roman"/>
          <w:i/>
          <w:szCs w:val="20"/>
          <w:lang w:val="en-US"/>
        </w:rPr>
        <w:t>litigious purpose</w:t>
      </w:r>
      <w:r w:rsidR="007B0DE4" w:rsidRPr="002433F3">
        <w:rPr>
          <w:rFonts w:eastAsia="Calibri" w:cs="Times New Roman"/>
          <w:szCs w:val="20"/>
          <w:lang w:val="en-US"/>
        </w:rPr>
        <w:t xml:space="preserve"> or </w:t>
      </w:r>
      <w:r w:rsidR="006E2A90" w:rsidRPr="002433F3">
        <w:rPr>
          <w:rFonts w:eastAsia="Calibri" w:cs="Times New Roman"/>
          <w:szCs w:val="20"/>
          <w:lang w:val="en-US"/>
        </w:rPr>
        <w:t xml:space="preserve">to claim </w:t>
      </w:r>
      <w:r w:rsidR="004350AF" w:rsidRPr="002433F3">
        <w:rPr>
          <w:rFonts w:eastAsia="Calibri" w:cs="Times New Roman"/>
          <w:szCs w:val="20"/>
          <w:lang w:val="en-US"/>
        </w:rPr>
        <w:t>the right to request th</w:t>
      </w:r>
      <w:r w:rsidR="00347BBB" w:rsidRPr="002433F3">
        <w:rPr>
          <w:rFonts w:eastAsia="Calibri" w:cs="Times New Roman"/>
          <w:szCs w:val="20"/>
          <w:lang w:val="en-US"/>
        </w:rPr>
        <w:t xml:space="preserve">at </w:t>
      </w:r>
      <w:r w:rsidR="007B0DE4" w:rsidRPr="002433F3">
        <w:rPr>
          <w:rFonts w:eastAsia="Calibri" w:cs="Times New Roman"/>
          <w:szCs w:val="20"/>
          <w:lang w:val="en-US"/>
        </w:rPr>
        <w:t xml:space="preserve">pension. </w:t>
      </w:r>
      <w:r w:rsidR="0059238D" w:rsidRPr="002433F3">
        <w:rPr>
          <w:rFonts w:eastAsia="Calibri" w:cs="Times New Roman"/>
          <w:szCs w:val="20"/>
          <w:lang w:val="en-US"/>
        </w:rPr>
        <w:t>Indeed</w:t>
      </w:r>
      <w:r w:rsidR="004350AF" w:rsidRPr="002433F3">
        <w:rPr>
          <w:rFonts w:eastAsia="Calibri" w:cs="Times New Roman"/>
          <w:szCs w:val="20"/>
          <w:lang w:val="en-US"/>
        </w:rPr>
        <w:t xml:space="preserve">, </w:t>
      </w:r>
      <w:r w:rsidR="00347BBB" w:rsidRPr="002433F3">
        <w:rPr>
          <w:rFonts w:eastAsia="Calibri" w:cs="Times New Roman"/>
          <w:szCs w:val="20"/>
          <w:lang w:val="en-US"/>
        </w:rPr>
        <w:t>at the time, there was no</w:t>
      </w:r>
      <w:r w:rsidR="004350AF" w:rsidRPr="002433F3">
        <w:rPr>
          <w:rFonts w:eastAsia="Calibri" w:cs="Times New Roman"/>
          <w:szCs w:val="20"/>
          <w:lang w:val="en-US"/>
        </w:rPr>
        <w:t xml:space="preserve"> source of </w:t>
      </w:r>
      <w:r w:rsidR="00367EFA" w:rsidRPr="002433F3">
        <w:rPr>
          <w:rFonts w:eastAsia="Calibri" w:cs="Times New Roman"/>
          <w:szCs w:val="20"/>
          <w:lang w:val="en-US"/>
        </w:rPr>
        <w:t>international l</w:t>
      </w:r>
      <w:r w:rsidR="007B0DE4" w:rsidRPr="002433F3">
        <w:rPr>
          <w:rFonts w:eastAsia="Calibri" w:cs="Times New Roman"/>
          <w:szCs w:val="20"/>
          <w:lang w:val="en-US"/>
        </w:rPr>
        <w:t xml:space="preserve">aw </w:t>
      </w:r>
      <w:r w:rsidR="00347BBB" w:rsidRPr="002433F3">
        <w:rPr>
          <w:rFonts w:eastAsia="Calibri" w:cs="Times New Roman"/>
          <w:szCs w:val="20"/>
          <w:lang w:val="en-US"/>
        </w:rPr>
        <w:t xml:space="preserve">that required </w:t>
      </w:r>
      <w:r w:rsidR="00B21B6E" w:rsidRPr="002433F3">
        <w:rPr>
          <w:rFonts w:eastAsia="Calibri" w:cs="Times New Roman"/>
          <w:szCs w:val="20"/>
          <w:lang w:val="en-US"/>
        </w:rPr>
        <w:t xml:space="preserve">the </w:t>
      </w:r>
      <w:r w:rsidR="007B0DE4" w:rsidRPr="002433F3">
        <w:rPr>
          <w:rFonts w:eastAsia="Calibri" w:cs="Times New Roman"/>
          <w:szCs w:val="20"/>
          <w:lang w:val="en-US"/>
        </w:rPr>
        <w:t>State</w:t>
      </w:r>
      <w:r w:rsidR="00B21B6E" w:rsidRPr="002433F3">
        <w:rPr>
          <w:rFonts w:eastAsia="Calibri" w:cs="Times New Roman"/>
          <w:szCs w:val="20"/>
          <w:lang w:val="en-US"/>
        </w:rPr>
        <w:t xml:space="preserve"> to </w:t>
      </w:r>
      <w:r w:rsidR="00C01A16" w:rsidRPr="002433F3">
        <w:rPr>
          <w:rFonts w:eastAsia="Calibri" w:cs="Times New Roman"/>
          <w:szCs w:val="20"/>
          <w:lang w:val="en-US"/>
        </w:rPr>
        <w:t xml:space="preserve">recognize </w:t>
      </w:r>
      <w:r w:rsidR="00347BBB" w:rsidRPr="002433F3">
        <w:rPr>
          <w:rFonts w:eastAsia="Calibri" w:cs="Times New Roman"/>
          <w:szCs w:val="20"/>
          <w:lang w:val="en-US"/>
        </w:rPr>
        <w:t xml:space="preserve">the right of </w:t>
      </w:r>
      <w:r w:rsidR="004350AF" w:rsidRPr="002433F3">
        <w:rPr>
          <w:rFonts w:eastAsia="Calibri" w:cs="Times New Roman"/>
          <w:szCs w:val="20"/>
          <w:lang w:val="en-US"/>
        </w:rPr>
        <w:t xml:space="preserve">same-sex </w:t>
      </w:r>
      <w:r w:rsidR="007B0DE4" w:rsidRPr="002433F3">
        <w:rPr>
          <w:rFonts w:eastAsia="Calibri" w:cs="Times New Roman"/>
          <w:szCs w:val="20"/>
          <w:lang w:val="en-US"/>
        </w:rPr>
        <w:t>couples</w:t>
      </w:r>
      <w:r w:rsidR="00347BBB" w:rsidRPr="002433F3">
        <w:rPr>
          <w:rFonts w:eastAsia="Calibri" w:cs="Times New Roman"/>
          <w:szCs w:val="20"/>
          <w:lang w:val="en-US"/>
        </w:rPr>
        <w:t xml:space="preserve"> to a survivor’s pension</w:t>
      </w:r>
      <w:r w:rsidR="007B0DE4" w:rsidRPr="002433F3">
        <w:rPr>
          <w:rFonts w:eastAsia="Calibri" w:cs="Times New Roman"/>
          <w:szCs w:val="20"/>
          <w:lang w:val="en-US"/>
        </w:rPr>
        <w:t xml:space="preserve">. </w:t>
      </w:r>
    </w:p>
    <w:p w14:paraId="4F16D218" w14:textId="77777777" w:rsidR="007B0DE4" w:rsidRPr="002433F3" w:rsidRDefault="00367EFA" w:rsidP="007B0DE4">
      <w:pPr>
        <w:spacing w:before="240" w:after="200"/>
        <w:rPr>
          <w:rFonts w:eastAsia="Calibri" w:cs="Times New Roman"/>
          <w:szCs w:val="20"/>
          <w:lang w:val="en-US"/>
        </w:rPr>
      </w:pPr>
      <w:r w:rsidRPr="002433F3">
        <w:rPr>
          <w:rFonts w:eastAsia="Calibri" w:cs="Times New Roman"/>
          <w:szCs w:val="20"/>
          <w:lang w:val="en-US"/>
        </w:rPr>
        <w:t xml:space="preserve">The </w:t>
      </w:r>
      <w:r w:rsidR="00003821" w:rsidRPr="002433F3">
        <w:rPr>
          <w:rFonts w:eastAsia="Calibri" w:cs="Times New Roman"/>
          <w:szCs w:val="20"/>
          <w:lang w:val="en-US"/>
        </w:rPr>
        <w:t xml:space="preserve">above situation </w:t>
      </w:r>
      <w:r w:rsidR="007B0DE4" w:rsidRPr="002433F3">
        <w:rPr>
          <w:rFonts w:eastAsia="Calibri" w:cs="Times New Roman"/>
          <w:szCs w:val="20"/>
          <w:lang w:val="en-US"/>
        </w:rPr>
        <w:t>is clearly evident from the rules established in Articles 31</w:t>
      </w:r>
      <w:r w:rsidR="007B0DE4" w:rsidRPr="002433F3">
        <w:rPr>
          <w:rFonts w:eastAsia="Calibri" w:cs="Times New Roman"/>
          <w:szCs w:val="20"/>
          <w:vertAlign w:val="superscript"/>
          <w:lang w:val="en-US"/>
        </w:rPr>
        <w:footnoteReference w:id="197"/>
      </w:r>
      <w:r w:rsidR="007B0DE4" w:rsidRPr="002433F3">
        <w:rPr>
          <w:rFonts w:eastAsia="Calibri" w:cs="Times New Roman"/>
          <w:szCs w:val="20"/>
          <w:lang w:val="en-US"/>
        </w:rPr>
        <w:t xml:space="preserve"> and 32</w:t>
      </w:r>
      <w:r w:rsidR="007B0DE4" w:rsidRPr="002433F3">
        <w:rPr>
          <w:rFonts w:eastAsia="Calibri" w:cs="Times New Roman"/>
          <w:szCs w:val="20"/>
          <w:vertAlign w:val="superscript"/>
          <w:lang w:val="en-US"/>
        </w:rPr>
        <w:footnoteReference w:id="198"/>
      </w:r>
      <w:r w:rsidR="007B0DE4" w:rsidRPr="002433F3">
        <w:rPr>
          <w:rFonts w:eastAsia="Calibri" w:cs="Times New Roman"/>
          <w:szCs w:val="20"/>
          <w:lang w:val="en-US"/>
        </w:rPr>
        <w:t xml:space="preserve"> of the Vienna Convention on the Law of Treaties</w:t>
      </w:r>
      <w:r w:rsidR="0059238D" w:rsidRPr="002433F3">
        <w:rPr>
          <w:rFonts w:eastAsia="Calibri" w:cs="Times New Roman"/>
          <w:szCs w:val="20"/>
          <w:lang w:val="en-US"/>
        </w:rPr>
        <w:t>,</w:t>
      </w:r>
      <w:r w:rsidR="007B0DE4" w:rsidRPr="002433F3">
        <w:rPr>
          <w:rFonts w:eastAsia="Calibri" w:cs="Times New Roman"/>
          <w:szCs w:val="20"/>
          <w:vertAlign w:val="superscript"/>
          <w:lang w:val="en-US"/>
        </w:rPr>
        <w:footnoteReference w:id="199"/>
      </w:r>
      <w:r w:rsidR="007B0DE4" w:rsidRPr="002433F3">
        <w:rPr>
          <w:rFonts w:eastAsia="Calibri" w:cs="Times New Roman"/>
          <w:szCs w:val="20"/>
          <w:lang w:val="en-US"/>
        </w:rPr>
        <w:t xml:space="preserve"> applicable to the Convention </w:t>
      </w:r>
      <w:r w:rsidR="00003821" w:rsidRPr="002433F3">
        <w:rPr>
          <w:rFonts w:eastAsia="Calibri" w:cs="Times New Roman"/>
          <w:szCs w:val="20"/>
          <w:lang w:val="en-US"/>
        </w:rPr>
        <w:t>which is, after all, a treaty</w:t>
      </w:r>
      <w:r w:rsidR="007B0DE4" w:rsidRPr="002433F3">
        <w:rPr>
          <w:rFonts w:eastAsia="Calibri" w:cs="Times New Roman"/>
          <w:szCs w:val="20"/>
          <w:lang w:val="en-US"/>
        </w:rPr>
        <w:t>.</w:t>
      </w:r>
    </w:p>
    <w:p w14:paraId="3986CCE5" w14:textId="77777777" w:rsidR="007B0DE4" w:rsidRPr="002433F3" w:rsidRDefault="007B0DE4" w:rsidP="007B0DE4">
      <w:pPr>
        <w:spacing w:before="240" w:after="200"/>
        <w:rPr>
          <w:rFonts w:eastAsia="Times New Roman" w:cs="Times New Roman"/>
          <w:bCs/>
          <w:szCs w:val="20"/>
          <w:lang w:val="en-US" w:eastAsia="es-CL"/>
        </w:rPr>
      </w:pPr>
      <w:r w:rsidRPr="002433F3">
        <w:rPr>
          <w:rFonts w:eastAsia="Times New Roman" w:cs="Times New Roman"/>
          <w:bCs/>
          <w:szCs w:val="20"/>
          <w:lang w:val="en-US" w:eastAsia="es-CL"/>
        </w:rPr>
        <w:t>Indeed, there is no</w:t>
      </w:r>
      <w:r w:rsidR="0059238D" w:rsidRPr="002433F3">
        <w:rPr>
          <w:rFonts w:eastAsia="Times New Roman" w:cs="Times New Roman"/>
          <w:bCs/>
          <w:szCs w:val="20"/>
          <w:lang w:val="en-US" w:eastAsia="es-CL"/>
        </w:rPr>
        <w:t xml:space="preserve"> precedent to suggest that the </w:t>
      </w:r>
      <w:r w:rsidRPr="002433F3">
        <w:rPr>
          <w:rFonts w:eastAsia="Times New Roman" w:cs="Times New Roman"/>
          <w:bCs/>
          <w:szCs w:val="20"/>
          <w:lang w:val="en-US" w:eastAsia="es-CL"/>
        </w:rPr>
        <w:t>States Parties t</w:t>
      </w:r>
      <w:r w:rsidR="0059238D" w:rsidRPr="002433F3">
        <w:rPr>
          <w:rFonts w:eastAsia="Times New Roman" w:cs="Times New Roman"/>
          <w:bCs/>
          <w:szCs w:val="20"/>
          <w:lang w:val="en-US" w:eastAsia="es-CL"/>
        </w:rPr>
        <w:t>o the Convention consented</w:t>
      </w:r>
      <w:r w:rsidR="00003821" w:rsidRPr="002433F3">
        <w:rPr>
          <w:rFonts w:eastAsia="Times New Roman" w:cs="Times New Roman"/>
          <w:bCs/>
          <w:szCs w:val="20"/>
          <w:lang w:val="en-US" w:eastAsia="es-CL"/>
        </w:rPr>
        <w:t>,</w:t>
      </w:r>
      <w:r w:rsidR="0059238D" w:rsidRPr="002433F3">
        <w:rPr>
          <w:rFonts w:eastAsia="Times New Roman" w:cs="Times New Roman"/>
          <w:bCs/>
          <w:szCs w:val="20"/>
          <w:lang w:val="en-US" w:eastAsia="es-CL"/>
        </w:rPr>
        <w:t xml:space="preserve"> in</w:t>
      </w:r>
      <w:r w:rsidRPr="002433F3">
        <w:rPr>
          <w:rFonts w:eastAsia="Times New Roman" w:cs="Times New Roman"/>
          <w:bCs/>
          <w:szCs w:val="20"/>
          <w:lang w:val="en-US" w:eastAsia="es-CL"/>
        </w:rPr>
        <w:t xml:space="preserve"> ”</w:t>
      </w:r>
      <w:r w:rsidRPr="002433F3">
        <w:rPr>
          <w:rFonts w:eastAsia="Times New Roman" w:cs="Times New Roman"/>
          <w:bCs/>
          <w:i/>
          <w:szCs w:val="20"/>
          <w:lang w:val="en-US" w:eastAsia="es-CL"/>
        </w:rPr>
        <w:t>good faith</w:t>
      </w:r>
      <w:r w:rsidR="00003821" w:rsidRPr="002433F3">
        <w:rPr>
          <w:rFonts w:eastAsia="Times New Roman" w:cs="Times New Roman"/>
          <w:bCs/>
          <w:i/>
          <w:szCs w:val="20"/>
          <w:lang w:val="en-US" w:eastAsia="es-CL"/>
        </w:rPr>
        <w:t>,</w:t>
      </w:r>
      <w:r w:rsidRPr="002433F3">
        <w:rPr>
          <w:rFonts w:eastAsia="Times New Roman" w:cs="Times New Roman"/>
          <w:bCs/>
          <w:szCs w:val="20"/>
          <w:lang w:val="en-US" w:eastAsia="es-CL"/>
        </w:rPr>
        <w:t>”</w:t>
      </w:r>
      <w:r w:rsidRPr="002433F3">
        <w:rPr>
          <w:rFonts w:eastAsia="Times New Roman" w:cs="Times New Roman"/>
          <w:bCs/>
          <w:szCs w:val="20"/>
          <w:vertAlign w:val="superscript"/>
          <w:lang w:val="en-US" w:eastAsia="es-CL"/>
        </w:rPr>
        <w:footnoteReference w:id="200"/>
      </w:r>
      <w:r w:rsidR="00003821" w:rsidRPr="002433F3">
        <w:rPr>
          <w:rFonts w:eastAsia="Times New Roman" w:cs="Times New Roman"/>
          <w:bCs/>
          <w:szCs w:val="20"/>
          <w:lang w:val="en-US" w:eastAsia="es-CL"/>
        </w:rPr>
        <w:t xml:space="preserve"> in 1969 -</w:t>
      </w:r>
      <w:r w:rsidRPr="002433F3">
        <w:rPr>
          <w:rFonts w:eastAsia="Times New Roman" w:cs="Times New Roman"/>
          <w:bCs/>
          <w:szCs w:val="20"/>
          <w:lang w:val="en-US" w:eastAsia="es-CL"/>
        </w:rPr>
        <w:t xml:space="preserve"> </w:t>
      </w:r>
      <w:r w:rsidR="0059238D" w:rsidRPr="002433F3">
        <w:rPr>
          <w:rFonts w:eastAsia="Times New Roman" w:cs="Times New Roman"/>
          <w:bCs/>
          <w:szCs w:val="20"/>
          <w:lang w:val="en-US" w:eastAsia="es-CL"/>
        </w:rPr>
        <w:t xml:space="preserve">the </w:t>
      </w:r>
      <w:r w:rsidR="001843EB" w:rsidRPr="002433F3">
        <w:rPr>
          <w:rFonts w:eastAsia="Times New Roman" w:cs="Times New Roman"/>
          <w:bCs/>
          <w:szCs w:val="20"/>
          <w:lang w:val="en-US" w:eastAsia="es-CL"/>
        </w:rPr>
        <w:t xml:space="preserve">year in </w:t>
      </w:r>
      <w:r w:rsidR="0059238D" w:rsidRPr="002433F3">
        <w:rPr>
          <w:rFonts w:eastAsia="Times New Roman" w:cs="Times New Roman"/>
          <w:bCs/>
          <w:szCs w:val="20"/>
          <w:lang w:val="en-US" w:eastAsia="es-CL"/>
        </w:rPr>
        <w:t>which the latter was signed</w:t>
      </w:r>
      <w:r w:rsidR="00003821" w:rsidRPr="002433F3">
        <w:rPr>
          <w:rFonts w:eastAsia="Times New Roman" w:cs="Times New Roman"/>
          <w:bCs/>
          <w:szCs w:val="20"/>
          <w:lang w:val="en-US" w:eastAsia="es-CL"/>
        </w:rPr>
        <w:t xml:space="preserve"> -</w:t>
      </w:r>
      <w:r w:rsidRPr="002433F3">
        <w:rPr>
          <w:rFonts w:eastAsia="Times New Roman" w:cs="Times New Roman"/>
          <w:bCs/>
          <w:szCs w:val="20"/>
          <w:lang w:val="en-US" w:eastAsia="es-CL"/>
        </w:rPr>
        <w:t xml:space="preserve"> that its provisions would apply to </w:t>
      </w:r>
      <w:r w:rsidRPr="002433F3">
        <w:rPr>
          <w:rFonts w:eastAsia="Times New Roman" w:cs="Times New Roman"/>
          <w:bCs/>
          <w:i/>
          <w:szCs w:val="20"/>
          <w:lang w:val="en-US" w:eastAsia="es-CL"/>
        </w:rPr>
        <w:t>de facto</w:t>
      </w:r>
      <w:r w:rsidRPr="002433F3">
        <w:rPr>
          <w:rFonts w:eastAsia="Times New Roman" w:cs="Times New Roman"/>
          <w:bCs/>
          <w:szCs w:val="20"/>
          <w:lang w:val="en-US" w:eastAsia="es-CL"/>
        </w:rPr>
        <w:t xml:space="preserve"> unions between persons of the same sex. </w:t>
      </w:r>
      <w:r w:rsidR="00003821" w:rsidRPr="002433F3">
        <w:rPr>
          <w:rFonts w:eastAsia="Times New Roman" w:cs="Times New Roman"/>
          <w:bCs/>
          <w:szCs w:val="20"/>
          <w:lang w:val="en-US" w:eastAsia="es-CL"/>
        </w:rPr>
        <w:t xml:space="preserve">To </w:t>
      </w:r>
      <w:r w:rsidRPr="002433F3">
        <w:rPr>
          <w:rFonts w:eastAsia="Times New Roman" w:cs="Times New Roman"/>
          <w:bCs/>
          <w:szCs w:val="20"/>
          <w:lang w:val="en-US" w:eastAsia="es-CL"/>
        </w:rPr>
        <w:t>the contra</w:t>
      </w:r>
      <w:r w:rsidR="00003821" w:rsidRPr="002433F3">
        <w:rPr>
          <w:rFonts w:eastAsia="Times New Roman" w:cs="Times New Roman"/>
          <w:bCs/>
          <w:szCs w:val="20"/>
          <w:lang w:val="en-US" w:eastAsia="es-CL"/>
        </w:rPr>
        <w:t>ry, it could be argued that the States</w:t>
      </w:r>
      <w:r w:rsidRPr="002433F3">
        <w:rPr>
          <w:rFonts w:eastAsia="Times New Roman" w:cs="Times New Roman"/>
          <w:bCs/>
          <w:szCs w:val="20"/>
          <w:lang w:val="en-US" w:eastAsia="es-CL"/>
        </w:rPr>
        <w:t xml:space="preserve"> did not have any intention of regulating the</w:t>
      </w:r>
      <w:r w:rsidR="00003821" w:rsidRPr="002433F3">
        <w:rPr>
          <w:rFonts w:eastAsia="Times New Roman" w:cs="Times New Roman"/>
          <w:bCs/>
          <w:szCs w:val="20"/>
          <w:lang w:val="en-US" w:eastAsia="es-CL"/>
        </w:rPr>
        <w:t xml:space="preserve">se unions </w:t>
      </w:r>
      <w:r w:rsidRPr="002433F3">
        <w:rPr>
          <w:rFonts w:eastAsia="Times New Roman" w:cs="Times New Roman"/>
          <w:bCs/>
          <w:szCs w:val="20"/>
          <w:lang w:val="en-US" w:eastAsia="es-CL"/>
        </w:rPr>
        <w:t xml:space="preserve">internationally. </w:t>
      </w:r>
    </w:p>
    <w:p w14:paraId="036F2F6F" w14:textId="77777777" w:rsidR="007B0DE4" w:rsidRPr="002433F3" w:rsidRDefault="0063692A" w:rsidP="007B0DE4">
      <w:pPr>
        <w:spacing w:before="240" w:after="200"/>
        <w:rPr>
          <w:rFonts w:eastAsia="Times New Roman" w:cs="Times New Roman"/>
          <w:bCs/>
          <w:szCs w:val="20"/>
          <w:lang w:val="en-US" w:eastAsia="es-CL"/>
        </w:rPr>
      </w:pPr>
      <w:r w:rsidRPr="002433F3">
        <w:rPr>
          <w:rFonts w:eastAsia="Times New Roman" w:cs="Times New Roman"/>
          <w:bCs/>
          <w:szCs w:val="20"/>
          <w:lang w:val="en-US" w:eastAsia="es-CL"/>
        </w:rPr>
        <w:t>This may be surmised</w:t>
      </w:r>
      <w:r w:rsidR="008D4861" w:rsidRPr="002433F3">
        <w:rPr>
          <w:rFonts w:eastAsia="Times New Roman" w:cs="Times New Roman"/>
          <w:bCs/>
          <w:szCs w:val="20"/>
          <w:lang w:val="en-US" w:eastAsia="es-CL"/>
        </w:rPr>
        <w:t xml:space="preserve"> </w:t>
      </w:r>
      <w:r w:rsidR="009C068D" w:rsidRPr="002433F3">
        <w:rPr>
          <w:rFonts w:eastAsia="Times New Roman" w:cs="Times New Roman"/>
          <w:bCs/>
          <w:szCs w:val="20"/>
          <w:lang w:val="en-US" w:eastAsia="es-CL"/>
        </w:rPr>
        <w:t xml:space="preserve">from </w:t>
      </w:r>
      <w:r w:rsidR="008D4861" w:rsidRPr="002433F3">
        <w:rPr>
          <w:rFonts w:eastAsia="Times New Roman" w:cs="Times New Roman"/>
          <w:bCs/>
          <w:szCs w:val="20"/>
          <w:lang w:val="en-US" w:eastAsia="es-CL"/>
        </w:rPr>
        <w:t>the fact that</w:t>
      </w:r>
      <w:r w:rsidR="007B0DE4" w:rsidRPr="002433F3">
        <w:rPr>
          <w:rFonts w:eastAsia="Times New Roman" w:cs="Times New Roman"/>
          <w:bCs/>
          <w:szCs w:val="20"/>
          <w:lang w:val="en-US" w:eastAsia="es-CL"/>
        </w:rPr>
        <w:t xml:space="preserve">, </w:t>
      </w:r>
      <w:r w:rsidR="00CD612A" w:rsidRPr="002433F3">
        <w:rPr>
          <w:rFonts w:eastAsia="Times New Roman" w:cs="Times New Roman"/>
          <w:bCs/>
          <w:szCs w:val="20"/>
          <w:lang w:val="en-US" w:eastAsia="es-CL"/>
        </w:rPr>
        <w:t>in those times</w:t>
      </w:r>
      <w:r w:rsidR="00AA54FD" w:rsidRPr="002433F3">
        <w:rPr>
          <w:rFonts w:eastAsia="Times New Roman" w:cs="Times New Roman"/>
          <w:bCs/>
          <w:szCs w:val="20"/>
          <w:lang w:val="en-US" w:eastAsia="es-CL"/>
        </w:rPr>
        <w:t xml:space="preserve">, </w:t>
      </w:r>
      <w:r w:rsidR="00464642" w:rsidRPr="002433F3">
        <w:rPr>
          <w:rFonts w:eastAsia="Times New Roman" w:cs="Times New Roman"/>
          <w:bCs/>
          <w:szCs w:val="20"/>
          <w:lang w:val="en-US" w:eastAsia="es-CL"/>
        </w:rPr>
        <w:t xml:space="preserve">as noted in the </w:t>
      </w:r>
      <w:r w:rsidR="007B0DE4" w:rsidRPr="002433F3">
        <w:rPr>
          <w:rFonts w:eastAsia="Times New Roman" w:cs="Times New Roman"/>
          <w:bCs/>
          <w:szCs w:val="20"/>
          <w:lang w:val="en-US" w:eastAsia="es-CL"/>
        </w:rPr>
        <w:t xml:space="preserve">Judgment, </w:t>
      </w:r>
      <w:r w:rsidR="00464642" w:rsidRPr="002433F3">
        <w:rPr>
          <w:rFonts w:eastAsia="Times New Roman" w:cs="Times New Roman"/>
          <w:bCs/>
          <w:szCs w:val="20"/>
          <w:lang w:val="en-US" w:eastAsia="es-CL"/>
        </w:rPr>
        <w:t xml:space="preserve">there </w:t>
      </w:r>
      <w:r w:rsidR="009C068D" w:rsidRPr="002433F3">
        <w:rPr>
          <w:rFonts w:eastAsia="Times New Roman" w:cs="Times New Roman"/>
          <w:bCs/>
          <w:szCs w:val="20"/>
          <w:lang w:val="en-US" w:eastAsia="es-CL"/>
        </w:rPr>
        <w:t xml:space="preserve">was </w:t>
      </w:r>
      <w:r w:rsidR="00464642" w:rsidRPr="002433F3">
        <w:rPr>
          <w:rFonts w:eastAsia="Times New Roman" w:cs="Times New Roman"/>
          <w:bCs/>
          <w:szCs w:val="20"/>
          <w:lang w:val="en-US" w:eastAsia="es-CL"/>
        </w:rPr>
        <w:t xml:space="preserve">no </w:t>
      </w:r>
      <w:r w:rsidRPr="002433F3">
        <w:rPr>
          <w:rFonts w:eastAsia="Times New Roman" w:cs="Times New Roman"/>
          <w:bCs/>
          <w:szCs w:val="20"/>
          <w:lang w:val="en-US" w:eastAsia="es-CL"/>
        </w:rPr>
        <w:t xml:space="preserve">international </w:t>
      </w:r>
      <w:r w:rsidR="007B0DE4" w:rsidRPr="002433F3">
        <w:rPr>
          <w:rFonts w:eastAsia="Times New Roman" w:cs="Times New Roman"/>
          <w:bCs/>
          <w:szCs w:val="20"/>
          <w:lang w:val="en-US" w:eastAsia="es-CL"/>
        </w:rPr>
        <w:t>treaty</w:t>
      </w:r>
      <w:r w:rsidRPr="002433F3">
        <w:rPr>
          <w:rFonts w:eastAsia="Times New Roman" w:cs="Times New Roman"/>
          <w:bCs/>
          <w:szCs w:val="20"/>
          <w:lang w:val="en-US" w:eastAsia="es-CL"/>
        </w:rPr>
        <w:t>, rule or</w:t>
      </w:r>
      <w:r w:rsidR="007B0DE4" w:rsidRPr="002433F3">
        <w:rPr>
          <w:rFonts w:eastAsia="Times New Roman" w:cs="Times New Roman"/>
          <w:bCs/>
          <w:szCs w:val="20"/>
          <w:lang w:val="en-US" w:eastAsia="es-CL"/>
        </w:rPr>
        <w:t xml:space="preserve"> law </w:t>
      </w:r>
      <w:r w:rsidR="00464642" w:rsidRPr="002433F3">
        <w:rPr>
          <w:rFonts w:eastAsia="Times New Roman" w:cs="Times New Roman"/>
          <w:bCs/>
          <w:szCs w:val="20"/>
          <w:lang w:val="en-US" w:eastAsia="es-CL"/>
        </w:rPr>
        <w:t xml:space="preserve">that alluded to </w:t>
      </w:r>
      <w:r w:rsidR="007B0DE4" w:rsidRPr="002433F3">
        <w:rPr>
          <w:rFonts w:eastAsia="Times New Roman" w:cs="Times New Roman"/>
          <w:bCs/>
          <w:i/>
          <w:szCs w:val="20"/>
          <w:lang w:val="en-US" w:eastAsia="es-CL"/>
        </w:rPr>
        <w:t>de facto</w:t>
      </w:r>
      <w:r w:rsidR="007B0DE4" w:rsidRPr="002433F3">
        <w:rPr>
          <w:rFonts w:eastAsia="Times New Roman" w:cs="Times New Roman"/>
          <w:bCs/>
          <w:szCs w:val="20"/>
          <w:lang w:val="en-US" w:eastAsia="es-CL"/>
        </w:rPr>
        <w:t xml:space="preserve"> unions,</w:t>
      </w:r>
      <w:r w:rsidR="009D502B" w:rsidRPr="002433F3">
        <w:rPr>
          <w:rFonts w:eastAsia="Times New Roman" w:cs="Times New Roman"/>
          <w:bCs/>
          <w:szCs w:val="20"/>
          <w:lang w:val="en-US" w:eastAsia="es-CL"/>
        </w:rPr>
        <w:t xml:space="preserve"> </w:t>
      </w:r>
      <w:r w:rsidR="009C068D" w:rsidRPr="002433F3">
        <w:rPr>
          <w:rFonts w:eastAsia="Times New Roman" w:cs="Times New Roman"/>
          <w:bCs/>
          <w:szCs w:val="20"/>
          <w:lang w:val="en-US" w:eastAsia="es-CL"/>
        </w:rPr>
        <w:t xml:space="preserve">and </w:t>
      </w:r>
      <w:r w:rsidR="007B0DE4" w:rsidRPr="002433F3">
        <w:rPr>
          <w:rFonts w:eastAsia="Times New Roman" w:cs="Times New Roman"/>
          <w:bCs/>
          <w:szCs w:val="20"/>
          <w:lang w:val="en-US" w:eastAsia="es-CL"/>
        </w:rPr>
        <w:t xml:space="preserve">that </w:t>
      </w:r>
      <w:r w:rsidR="009C068D" w:rsidRPr="002433F3">
        <w:rPr>
          <w:rFonts w:eastAsia="Times New Roman" w:cs="Times New Roman"/>
          <w:bCs/>
          <w:szCs w:val="20"/>
          <w:lang w:val="en-US" w:eastAsia="es-CL"/>
        </w:rPr>
        <w:t xml:space="preserve">such </w:t>
      </w:r>
      <w:r w:rsidR="009C068D" w:rsidRPr="002433F3">
        <w:rPr>
          <w:rFonts w:eastAsia="Times New Roman" w:cs="Times New Roman"/>
          <w:bCs/>
          <w:szCs w:val="20"/>
          <w:lang w:val="en-US" w:eastAsia="es-CL"/>
        </w:rPr>
        <w:lastRenderedPageBreak/>
        <w:t xml:space="preserve">unions have only been recognized in </w:t>
      </w:r>
      <w:r w:rsidR="0059238D" w:rsidRPr="002433F3">
        <w:rPr>
          <w:rFonts w:eastAsia="Times New Roman" w:cs="Times New Roman"/>
          <w:bCs/>
          <w:szCs w:val="20"/>
          <w:lang w:val="en-US" w:eastAsia="es-CL"/>
        </w:rPr>
        <w:t>five States Parties t</w:t>
      </w:r>
      <w:r w:rsidR="007B0DE4" w:rsidRPr="002433F3">
        <w:rPr>
          <w:rFonts w:eastAsia="Times New Roman" w:cs="Times New Roman"/>
          <w:bCs/>
          <w:szCs w:val="20"/>
          <w:lang w:val="en-US" w:eastAsia="es-CL"/>
        </w:rPr>
        <w:t xml:space="preserve">o the Convention </w:t>
      </w:r>
      <w:r w:rsidR="009C068D" w:rsidRPr="002433F3">
        <w:rPr>
          <w:rFonts w:eastAsia="Times New Roman" w:cs="Times New Roman"/>
          <w:bCs/>
          <w:szCs w:val="20"/>
          <w:lang w:val="en-US" w:eastAsia="es-CL"/>
        </w:rPr>
        <w:t xml:space="preserve">since </w:t>
      </w:r>
      <w:r w:rsidR="007B0DE4" w:rsidRPr="002433F3">
        <w:rPr>
          <w:rFonts w:eastAsia="Times New Roman" w:cs="Times New Roman"/>
          <w:bCs/>
          <w:szCs w:val="20"/>
          <w:lang w:val="en-US" w:eastAsia="es-CL"/>
        </w:rPr>
        <w:t>2002.</w:t>
      </w:r>
      <w:r w:rsidR="007B0DE4" w:rsidRPr="002433F3">
        <w:rPr>
          <w:rFonts w:eastAsia="Times New Roman" w:cs="Times New Roman"/>
          <w:bCs/>
          <w:szCs w:val="20"/>
          <w:vertAlign w:val="superscript"/>
          <w:lang w:val="en-US" w:eastAsia="es-CL"/>
        </w:rPr>
        <w:footnoteReference w:id="201"/>
      </w:r>
      <w:r w:rsidR="007B0DE4" w:rsidRPr="002433F3">
        <w:rPr>
          <w:rFonts w:eastAsia="Times New Roman" w:cs="Times New Roman"/>
          <w:bCs/>
          <w:szCs w:val="20"/>
          <w:lang w:val="en-US" w:eastAsia="es-CL"/>
        </w:rPr>
        <w:t xml:space="preserve"> </w:t>
      </w:r>
      <w:r w:rsidR="00CD612A" w:rsidRPr="002433F3">
        <w:rPr>
          <w:rFonts w:eastAsia="Times New Roman" w:cs="Times New Roman"/>
          <w:bCs/>
          <w:szCs w:val="20"/>
          <w:lang w:val="en-US" w:eastAsia="es-CL"/>
        </w:rPr>
        <w:t xml:space="preserve">In addition, it should be noted </w:t>
      </w:r>
      <w:r w:rsidR="007B0DE4" w:rsidRPr="002433F3">
        <w:rPr>
          <w:rFonts w:eastAsia="Times New Roman" w:cs="Times New Roman"/>
          <w:szCs w:val="20"/>
          <w:lang w:val="en-US" w:eastAsia="es-CL"/>
        </w:rPr>
        <w:t xml:space="preserve">that marriage between persons of the same sex has been </w:t>
      </w:r>
      <w:r w:rsidR="004111CC">
        <w:rPr>
          <w:rFonts w:eastAsia="Times New Roman" w:cs="Times New Roman"/>
          <w:szCs w:val="20"/>
          <w:lang w:val="en-US" w:eastAsia="es-CL"/>
        </w:rPr>
        <w:t xml:space="preserve">permitted </w:t>
      </w:r>
      <w:r w:rsidR="007B0DE4" w:rsidRPr="002433F3">
        <w:rPr>
          <w:rFonts w:eastAsia="Times New Roman" w:cs="Times New Roman"/>
          <w:szCs w:val="20"/>
          <w:lang w:val="en-US" w:eastAsia="es-CL"/>
        </w:rPr>
        <w:t>in only four States Parties to the Convention and in very recent times.</w:t>
      </w:r>
      <w:r w:rsidR="007B0DE4" w:rsidRPr="002433F3">
        <w:rPr>
          <w:rFonts w:eastAsia="Times New Roman" w:cs="Times New Roman"/>
          <w:szCs w:val="20"/>
          <w:vertAlign w:val="superscript"/>
          <w:lang w:val="en-US" w:eastAsia="es-CL"/>
        </w:rPr>
        <w:footnoteReference w:id="202"/>
      </w:r>
      <w:r w:rsidR="007B0DE4" w:rsidRPr="002433F3">
        <w:rPr>
          <w:rFonts w:eastAsia="Times New Roman" w:cs="Times New Roman"/>
          <w:szCs w:val="20"/>
          <w:lang w:val="en-US" w:eastAsia="es-CL"/>
        </w:rPr>
        <w:t xml:space="preserve">  Thus, even </w:t>
      </w:r>
      <w:r w:rsidR="00CD612A" w:rsidRPr="002433F3">
        <w:rPr>
          <w:rFonts w:eastAsia="Times New Roman" w:cs="Times New Roman"/>
          <w:szCs w:val="20"/>
          <w:lang w:val="en-US" w:eastAsia="es-CL"/>
        </w:rPr>
        <w:t>nowadays</w:t>
      </w:r>
      <w:r w:rsidR="006E0E7A" w:rsidRPr="002433F3">
        <w:rPr>
          <w:rFonts w:eastAsia="Times New Roman" w:cs="Times New Roman"/>
          <w:szCs w:val="20"/>
          <w:lang w:val="en-US" w:eastAsia="es-CL"/>
        </w:rPr>
        <w:t xml:space="preserve">, </w:t>
      </w:r>
      <w:r w:rsidR="007B0DE4" w:rsidRPr="002433F3">
        <w:rPr>
          <w:rFonts w:eastAsia="Times New Roman" w:cs="Times New Roman"/>
          <w:szCs w:val="20"/>
          <w:lang w:val="en-US" w:eastAsia="es-CL"/>
        </w:rPr>
        <w:t xml:space="preserve">sixteen States Parties to the Convention do not contemplate </w:t>
      </w:r>
      <w:r w:rsidR="007B0DE4" w:rsidRPr="002433F3">
        <w:rPr>
          <w:rFonts w:eastAsia="Times New Roman" w:cs="Times New Roman"/>
          <w:i/>
          <w:szCs w:val="20"/>
          <w:lang w:val="en-US" w:eastAsia="es-CL"/>
        </w:rPr>
        <w:t>de facto</w:t>
      </w:r>
      <w:r w:rsidR="007B0DE4" w:rsidRPr="002433F3">
        <w:rPr>
          <w:rFonts w:eastAsia="Times New Roman" w:cs="Times New Roman"/>
          <w:szCs w:val="20"/>
          <w:lang w:val="en-US" w:eastAsia="es-CL"/>
        </w:rPr>
        <w:t xml:space="preserve"> or civil unions between persons of the same sex</w:t>
      </w:r>
      <w:r w:rsidR="006E0E7A" w:rsidRPr="002433F3">
        <w:rPr>
          <w:rFonts w:eastAsia="Times New Roman" w:cs="Times New Roman"/>
          <w:szCs w:val="20"/>
          <w:lang w:val="en-US" w:eastAsia="es-CL"/>
        </w:rPr>
        <w:t xml:space="preserve"> in their respective legislations</w:t>
      </w:r>
      <w:r w:rsidR="007B0DE4" w:rsidRPr="002433F3">
        <w:rPr>
          <w:rFonts w:eastAsia="Times New Roman" w:cs="Times New Roman"/>
          <w:szCs w:val="20"/>
          <w:lang w:val="en-US" w:eastAsia="es-CL"/>
        </w:rPr>
        <w:t>.</w:t>
      </w:r>
    </w:p>
    <w:p w14:paraId="5B7B5850" w14:textId="77777777" w:rsidR="007B0DE4" w:rsidRPr="002433F3" w:rsidRDefault="00B26F42" w:rsidP="007B0DE4">
      <w:pPr>
        <w:spacing w:before="240" w:after="200"/>
        <w:rPr>
          <w:rFonts w:eastAsia="Times New Roman" w:cs="Times New Roman"/>
          <w:szCs w:val="20"/>
          <w:lang w:val="en-US" w:eastAsia="es-CL"/>
        </w:rPr>
      </w:pPr>
      <w:r w:rsidRPr="002433F3">
        <w:rPr>
          <w:rFonts w:eastAsia="Times New Roman" w:cs="Times New Roman"/>
          <w:szCs w:val="20"/>
          <w:lang w:val="en-US" w:eastAsia="es-CL"/>
        </w:rPr>
        <w:t xml:space="preserve">It should also be noted that </w:t>
      </w:r>
      <w:r w:rsidR="00464642" w:rsidRPr="002433F3">
        <w:rPr>
          <w:rFonts w:eastAsia="Times New Roman" w:cs="Times New Roman"/>
          <w:szCs w:val="20"/>
          <w:lang w:val="en-US" w:eastAsia="es-CL"/>
        </w:rPr>
        <w:t xml:space="preserve">the </w:t>
      </w:r>
      <w:r w:rsidR="007B0DE4" w:rsidRPr="002433F3">
        <w:rPr>
          <w:rFonts w:eastAsia="Times New Roman" w:cs="Times New Roman"/>
          <w:szCs w:val="20"/>
          <w:lang w:val="en-US" w:eastAsia="es-CL"/>
        </w:rPr>
        <w:t xml:space="preserve">Judgment </w:t>
      </w:r>
      <w:r w:rsidRPr="002433F3">
        <w:rPr>
          <w:rFonts w:eastAsia="Times New Roman" w:cs="Times New Roman"/>
          <w:szCs w:val="20"/>
          <w:lang w:val="en-US" w:eastAsia="es-CL"/>
        </w:rPr>
        <w:t xml:space="preserve">does not allude to </w:t>
      </w:r>
      <w:r w:rsidR="00464642" w:rsidRPr="002433F3">
        <w:rPr>
          <w:rFonts w:eastAsia="Times New Roman" w:cs="Times New Roman"/>
          <w:szCs w:val="20"/>
          <w:lang w:val="en-US" w:eastAsia="es-CL"/>
        </w:rPr>
        <w:t xml:space="preserve">the </w:t>
      </w:r>
      <w:r w:rsidR="007B0DE4" w:rsidRPr="002433F3">
        <w:rPr>
          <w:rFonts w:eastAsia="Times New Roman" w:cs="Times New Roman"/>
          <w:szCs w:val="20"/>
          <w:lang w:val="en-US" w:eastAsia="es-CL"/>
        </w:rPr>
        <w:t>“</w:t>
      </w:r>
      <w:r w:rsidR="007B0DE4" w:rsidRPr="002433F3">
        <w:rPr>
          <w:rFonts w:eastAsia="Times New Roman" w:cs="Times New Roman"/>
          <w:i/>
          <w:szCs w:val="20"/>
          <w:lang w:val="en-US" w:eastAsia="es-CL"/>
        </w:rPr>
        <w:t>context”</w:t>
      </w:r>
      <w:r w:rsidR="00464642" w:rsidRPr="002433F3">
        <w:rPr>
          <w:rFonts w:eastAsia="Times New Roman" w:cs="Times New Roman"/>
          <w:szCs w:val="20"/>
          <w:lang w:val="en-US" w:eastAsia="es-CL"/>
        </w:rPr>
        <w:t xml:space="preserve"> of the </w:t>
      </w:r>
      <w:r w:rsidR="007B0DE4" w:rsidRPr="002433F3">
        <w:rPr>
          <w:rFonts w:eastAsia="Times New Roman" w:cs="Times New Roman"/>
          <w:szCs w:val="20"/>
          <w:lang w:val="en-US" w:eastAsia="es-CL"/>
        </w:rPr>
        <w:t>terms of the Convention</w:t>
      </w:r>
      <w:r w:rsidRPr="002433F3">
        <w:rPr>
          <w:rFonts w:eastAsia="Times New Roman" w:cs="Times New Roman"/>
          <w:szCs w:val="20"/>
          <w:lang w:val="en-US" w:eastAsia="es-CL"/>
        </w:rPr>
        <w:t>,</w:t>
      </w:r>
      <w:r w:rsidR="007B0DE4" w:rsidRPr="002433F3">
        <w:rPr>
          <w:rFonts w:eastAsia="Times New Roman" w:cs="Times New Roman"/>
          <w:szCs w:val="20"/>
          <w:vertAlign w:val="superscript"/>
          <w:lang w:val="en-US" w:eastAsia="es-CL"/>
        </w:rPr>
        <w:footnoteReference w:id="203"/>
      </w:r>
      <w:r w:rsidR="007B0DE4" w:rsidRPr="002433F3">
        <w:rPr>
          <w:rFonts w:eastAsia="Times New Roman" w:cs="Times New Roman"/>
          <w:szCs w:val="20"/>
          <w:lang w:val="en-US" w:eastAsia="es-CL"/>
        </w:rPr>
        <w:t xml:space="preserve"> </w:t>
      </w:r>
      <w:r w:rsidRPr="002433F3">
        <w:rPr>
          <w:rFonts w:eastAsia="Times New Roman" w:cs="Times New Roman"/>
          <w:szCs w:val="20"/>
          <w:lang w:val="en-US" w:eastAsia="es-CL"/>
        </w:rPr>
        <w:t xml:space="preserve">from which it could be inferred that </w:t>
      </w:r>
      <w:r w:rsidR="00B61C83" w:rsidRPr="002433F3">
        <w:rPr>
          <w:rFonts w:eastAsia="Times New Roman" w:cs="Times New Roman"/>
          <w:szCs w:val="20"/>
          <w:lang w:val="en-US" w:eastAsia="es-CL"/>
        </w:rPr>
        <w:t xml:space="preserve">the </w:t>
      </w:r>
      <w:r w:rsidR="007B0DE4" w:rsidRPr="002433F3">
        <w:rPr>
          <w:rFonts w:eastAsia="Times New Roman" w:cs="Times New Roman"/>
          <w:szCs w:val="20"/>
          <w:lang w:val="en-US" w:eastAsia="es-CL"/>
        </w:rPr>
        <w:t xml:space="preserve">States Parties </w:t>
      </w:r>
      <w:r w:rsidR="00B61C83" w:rsidRPr="002433F3">
        <w:rPr>
          <w:rFonts w:eastAsia="Times New Roman" w:cs="Times New Roman"/>
          <w:szCs w:val="20"/>
          <w:lang w:val="en-US" w:eastAsia="es-CL"/>
        </w:rPr>
        <w:t xml:space="preserve">understood that </w:t>
      </w:r>
      <w:r w:rsidR="00C43768" w:rsidRPr="002433F3">
        <w:rPr>
          <w:rFonts w:eastAsia="Times New Roman" w:cs="Times New Roman"/>
          <w:szCs w:val="20"/>
          <w:lang w:val="en-US" w:eastAsia="es-CL"/>
        </w:rPr>
        <w:t xml:space="preserve">those </w:t>
      </w:r>
      <w:r w:rsidR="007B0DE4" w:rsidRPr="002433F3">
        <w:rPr>
          <w:rFonts w:eastAsia="Times New Roman" w:cs="Times New Roman"/>
          <w:szCs w:val="20"/>
          <w:lang w:val="en-US" w:eastAsia="es-CL"/>
        </w:rPr>
        <w:t>unions</w:t>
      </w:r>
      <w:r w:rsidR="004111CC">
        <w:rPr>
          <w:rFonts w:eastAsia="Times New Roman" w:cs="Times New Roman"/>
          <w:szCs w:val="20"/>
          <w:lang w:val="en-US" w:eastAsia="es-CL"/>
        </w:rPr>
        <w:t xml:space="preserve"> were included</w:t>
      </w:r>
      <w:r w:rsidR="007B0DE4" w:rsidRPr="002433F3">
        <w:rPr>
          <w:rFonts w:eastAsia="Times New Roman" w:cs="Times New Roman"/>
          <w:szCs w:val="20"/>
          <w:lang w:val="en-US" w:eastAsia="es-CL"/>
        </w:rPr>
        <w:t>.</w:t>
      </w:r>
      <w:r w:rsidR="007B0DE4" w:rsidRPr="002433F3">
        <w:rPr>
          <w:rFonts w:eastAsia="Times New Roman" w:cs="Times New Roman"/>
          <w:i/>
          <w:szCs w:val="20"/>
          <w:lang w:val="en-US" w:eastAsia="es-CL"/>
        </w:rPr>
        <w:t xml:space="preserve"> </w:t>
      </w:r>
      <w:r w:rsidR="008D4C83" w:rsidRPr="002433F3">
        <w:rPr>
          <w:rFonts w:eastAsia="Times New Roman" w:cs="Times New Roman"/>
          <w:szCs w:val="20"/>
          <w:lang w:val="en-US" w:eastAsia="es-CL"/>
        </w:rPr>
        <w:t xml:space="preserve">And this in consideration </w:t>
      </w:r>
      <w:r w:rsidR="0096748C" w:rsidRPr="002433F3">
        <w:rPr>
          <w:rFonts w:eastAsia="Times New Roman" w:cs="Times New Roman"/>
          <w:szCs w:val="20"/>
          <w:lang w:val="en-US" w:eastAsia="es-CL"/>
        </w:rPr>
        <w:t xml:space="preserve">of the fact </w:t>
      </w:r>
      <w:r w:rsidR="008D4C83" w:rsidRPr="002433F3">
        <w:rPr>
          <w:rFonts w:eastAsia="Times New Roman" w:cs="Times New Roman"/>
          <w:szCs w:val="20"/>
          <w:lang w:val="en-US" w:eastAsia="es-CL"/>
        </w:rPr>
        <w:t xml:space="preserve">that </w:t>
      </w:r>
      <w:r w:rsidR="0092104F" w:rsidRPr="002433F3">
        <w:rPr>
          <w:rFonts w:eastAsia="Times New Roman" w:cs="Times New Roman"/>
          <w:szCs w:val="20"/>
          <w:lang w:val="en-US" w:eastAsia="es-CL"/>
        </w:rPr>
        <w:t>the</w:t>
      </w:r>
      <w:r w:rsidR="008D4C83" w:rsidRPr="002433F3">
        <w:rPr>
          <w:rFonts w:eastAsia="Times New Roman" w:cs="Times New Roman"/>
          <w:szCs w:val="20"/>
          <w:lang w:val="en-US" w:eastAsia="es-CL"/>
        </w:rPr>
        <w:t>re is no mention in the</w:t>
      </w:r>
      <w:r w:rsidR="0092104F" w:rsidRPr="002433F3">
        <w:rPr>
          <w:rFonts w:eastAsia="Times New Roman" w:cs="Times New Roman"/>
          <w:szCs w:val="20"/>
          <w:lang w:val="en-US" w:eastAsia="es-CL"/>
        </w:rPr>
        <w:t xml:space="preserve"> </w:t>
      </w:r>
      <w:r w:rsidR="007B0DE4" w:rsidRPr="002433F3">
        <w:rPr>
          <w:rFonts w:eastAsia="Times New Roman" w:cs="Times New Roman"/>
          <w:szCs w:val="20"/>
          <w:lang w:val="en-US" w:eastAsia="es-CL"/>
        </w:rPr>
        <w:t>text of the Convention</w:t>
      </w:r>
      <w:r w:rsidR="008D4C83" w:rsidRPr="002433F3">
        <w:rPr>
          <w:rFonts w:eastAsia="Times New Roman" w:cs="Times New Roman"/>
          <w:szCs w:val="20"/>
          <w:lang w:val="en-US" w:eastAsia="es-CL"/>
        </w:rPr>
        <w:t>,</w:t>
      </w:r>
      <w:r w:rsidR="007B0DE4" w:rsidRPr="002433F3">
        <w:rPr>
          <w:rFonts w:eastAsia="Times New Roman" w:cs="Times New Roman"/>
          <w:szCs w:val="20"/>
          <w:lang w:val="en-US" w:eastAsia="es-CL"/>
        </w:rPr>
        <w:t xml:space="preserve"> </w:t>
      </w:r>
      <w:r w:rsidR="008D4C83" w:rsidRPr="002433F3">
        <w:rPr>
          <w:rFonts w:eastAsia="Times New Roman" w:cs="Times New Roman"/>
          <w:szCs w:val="20"/>
          <w:lang w:val="en-US" w:eastAsia="es-CL"/>
        </w:rPr>
        <w:t xml:space="preserve">or </w:t>
      </w:r>
      <w:r w:rsidR="007B0DE4" w:rsidRPr="002433F3">
        <w:rPr>
          <w:rFonts w:eastAsia="Times New Roman" w:cs="Times New Roman"/>
          <w:szCs w:val="20"/>
          <w:lang w:val="en-US" w:eastAsia="es-CL"/>
        </w:rPr>
        <w:t xml:space="preserve">in </w:t>
      </w:r>
      <w:r w:rsidR="0092104F" w:rsidRPr="002433F3">
        <w:rPr>
          <w:rFonts w:eastAsia="Times New Roman" w:cs="Times New Roman"/>
          <w:szCs w:val="20"/>
          <w:lang w:val="en-US" w:eastAsia="es-CL"/>
        </w:rPr>
        <w:t xml:space="preserve">its </w:t>
      </w:r>
      <w:r w:rsidR="00C43768" w:rsidRPr="002433F3">
        <w:rPr>
          <w:rFonts w:eastAsia="Times New Roman" w:cs="Times New Roman"/>
          <w:szCs w:val="20"/>
          <w:lang w:val="en-US" w:eastAsia="es-CL"/>
        </w:rPr>
        <w:t xml:space="preserve">preamble </w:t>
      </w:r>
      <w:r w:rsidR="008D4C83" w:rsidRPr="002433F3">
        <w:rPr>
          <w:rFonts w:eastAsia="Times New Roman" w:cs="Times New Roman"/>
          <w:szCs w:val="20"/>
          <w:lang w:val="en-US" w:eastAsia="es-CL"/>
        </w:rPr>
        <w:t xml:space="preserve">or </w:t>
      </w:r>
      <w:r w:rsidR="00C43768" w:rsidRPr="002433F3">
        <w:rPr>
          <w:rFonts w:eastAsia="Times New Roman" w:cs="Times New Roman"/>
          <w:szCs w:val="20"/>
          <w:lang w:val="en-US" w:eastAsia="es-CL"/>
        </w:rPr>
        <w:t>annexes</w:t>
      </w:r>
      <w:r w:rsidR="007B0DE4" w:rsidRPr="002433F3">
        <w:rPr>
          <w:rFonts w:eastAsia="Times New Roman" w:cs="Times New Roman"/>
          <w:szCs w:val="20"/>
          <w:lang w:val="en-US" w:eastAsia="es-CL"/>
        </w:rPr>
        <w:t xml:space="preserve">, </w:t>
      </w:r>
      <w:r w:rsidR="0092104F" w:rsidRPr="002433F3">
        <w:rPr>
          <w:rFonts w:eastAsia="Times New Roman" w:cs="Times New Roman"/>
          <w:szCs w:val="20"/>
          <w:lang w:val="en-US" w:eastAsia="es-CL"/>
        </w:rPr>
        <w:t xml:space="preserve">or </w:t>
      </w:r>
      <w:r w:rsidR="007B0DE4" w:rsidRPr="002433F3">
        <w:rPr>
          <w:rFonts w:eastAsia="Times New Roman" w:cs="Times New Roman"/>
          <w:szCs w:val="20"/>
          <w:lang w:val="en-US" w:eastAsia="es-CL"/>
        </w:rPr>
        <w:t xml:space="preserve">in </w:t>
      </w:r>
      <w:r w:rsidR="0092104F" w:rsidRPr="002433F3">
        <w:rPr>
          <w:rFonts w:eastAsia="Times New Roman" w:cs="Times New Roman"/>
          <w:szCs w:val="20"/>
          <w:lang w:val="en-US" w:eastAsia="es-CL"/>
        </w:rPr>
        <w:t xml:space="preserve">any subsequent </w:t>
      </w:r>
      <w:r w:rsidR="007B0DE4" w:rsidRPr="002433F3">
        <w:rPr>
          <w:rFonts w:eastAsia="Times New Roman" w:cs="Times New Roman"/>
          <w:szCs w:val="20"/>
          <w:lang w:val="en-US" w:eastAsia="es-CL"/>
        </w:rPr>
        <w:t>“</w:t>
      </w:r>
      <w:r w:rsidR="00B21B6E" w:rsidRPr="002433F3">
        <w:rPr>
          <w:rFonts w:eastAsia="Times New Roman" w:cs="Times New Roman"/>
          <w:i/>
          <w:szCs w:val="20"/>
          <w:lang w:val="en-US" w:eastAsia="es-CL"/>
        </w:rPr>
        <w:t>agreement,</w:t>
      </w:r>
      <w:r w:rsidR="007B0DE4" w:rsidRPr="002433F3">
        <w:rPr>
          <w:rFonts w:eastAsia="Times New Roman" w:cs="Times New Roman"/>
          <w:szCs w:val="20"/>
          <w:lang w:val="en-US" w:eastAsia="es-CL"/>
        </w:rPr>
        <w:t>” “</w:t>
      </w:r>
      <w:r w:rsidR="007B0DE4" w:rsidRPr="002433F3">
        <w:rPr>
          <w:rFonts w:eastAsia="Times New Roman" w:cs="Times New Roman"/>
          <w:i/>
          <w:szCs w:val="20"/>
          <w:lang w:val="en-US" w:eastAsia="es-CL"/>
        </w:rPr>
        <w:t>instrument</w:t>
      </w:r>
      <w:r w:rsidR="007B0DE4" w:rsidRPr="002433F3">
        <w:rPr>
          <w:rFonts w:eastAsia="Times New Roman" w:cs="Times New Roman"/>
          <w:szCs w:val="20"/>
          <w:lang w:val="en-US" w:eastAsia="es-CL"/>
        </w:rPr>
        <w:t>” or “</w:t>
      </w:r>
      <w:r w:rsidR="007B0DE4" w:rsidRPr="002433F3">
        <w:rPr>
          <w:rFonts w:eastAsia="Times New Roman" w:cs="Times New Roman"/>
          <w:i/>
          <w:szCs w:val="20"/>
          <w:lang w:val="en-US" w:eastAsia="es-CL"/>
        </w:rPr>
        <w:t>practice</w:t>
      </w:r>
      <w:r w:rsidR="007B0DE4" w:rsidRPr="002433F3">
        <w:rPr>
          <w:rFonts w:eastAsia="Times New Roman" w:cs="Times New Roman"/>
          <w:szCs w:val="20"/>
          <w:lang w:val="en-US" w:eastAsia="es-CL"/>
        </w:rPr>
        <w:t>”</w:t>
      </w:r>
      <w:r w:rsidR="007B0DE4" w:rsidRPr="002433F3">
        <w:rPr>
          <w:rFonts w:eastAsia="Times New Roman" w:cs="Times New Roman"/>
          <w:szCs w:val="20"/>
          <w:vertAlign w:val="superscript"/>
          <w:lang w:val="en-US" w:eastAsia="es-CL"/>
        </w:rPr>
        <w:footnoteReference w:id="204"/>
      </w:r>
      <w:r w:rsidR="008D4C83" w:rsidRPr="002433F3">
        <w:rPr>
          <w:rFonts w:eastAsia="Times New Roman" w:cs="Times New Roman"/>
          <w:szCs w:val="20"/>
          <w:lang w:val="en-US" w:eastAsia="es-CL"/>
        </w:rPr>
        <w:t xml:space="preserve"> concerning the </w:t>
      </w:r>
      <w:r w:rsidR="007B0DE4" w:rsidRPr="002433F3">
        <w:rPr>
          <w:rFonts w:eastAsia="Times New Roman" w:cs="Times New Roman"/>
          <w:szCs w:val="20"/>
          <w:lang w:val="en-US" w:eastAsia="es-CL"/>
        </w:rPr>
        <w:t xml:space="preserve">Convention or its </w:t>
      </w:r>
      <w:r w:rsidR="005158EF" w:rsidRPr="002433F3">
        <w:rPr>
          <w:rFonts w:eastAsia="Times New Roman" w:cs="Times New Roman"/>
          <w:szCs w:val="20"/>
          <w:lang w:val="en-US" w:eastAsia="es-CL"/>
        </w:rPr>
        <w:t xml:space="preserve">evolutive </w:t>
      </w:r>
      <w:r w:rsidR="007B0DE4" w:rsidRPr="002433F3">
        <w:rPr>
          <w:rFonts w:eastAsia="Times New Roman" w:cs="Times New Roman"/>
          <w:szCs w:val="20"/>
          <w:lang w:val="en-US" w:eastAsia="es-CL"/>
        </w:rPr>
        <w:t xml:space="preserve">interpretation, </w:t>
      </w:r>
      <w:r w:rsidR="008D4C83" w:rsidRPr="002433F3">
        <w:rPr>
          <w:rFonts w:eastAsia="Times New Roman" w:cs="Times New Roman"/>
          <w:szCs w:val="20"/>
          <w:lang w:val="en-US" w:eastAsia="es-CL"/>
        </w:rPr>
        <w:t xml:space="preserve">to suggest </w:t>
      </w:r>
      <w:r w:rsidR="00B61C83" w:rsidRPr="002433F3">
        <w:rPr>
          <w:rFonts w:eastAsia="Times New Roman" w:cs="Times New Roman"/>
          <w:szCs w:val="20"/>
          <w:lang w:val="en-US" w:eastAsia="es-CL"/>
        </w:rPr>
        <w:t xml:space="preserve">that </w:t>
      </w:r>
      <w:r w:rsidR="008D4C83" w:rsidRPr="002433F3">
        <w:rPr>
          <w:rFonts w:eastAsia="Times New Roman" w:cs="Times New Roman"/>
          <w:szCs w:val="20"/>
          <w:lang w:val="en-US" w:eastAsia="es-CL"/>
        </w:rPr>
        <w:t>the</w:t>
      </w:r>
      <w:r w:rsidR="00464642" w:rsidRPr="002433F3">
        <w:rPr>
          <w:rFonts w:eastAsia="Times New Roman" w:cs="Times New Roman"/>
          <w:szCs w:val="20"/>
          <w:lang w:val="en-US" w:eastAsia="es-CL"/>
        </w:rPr>
        <w:t xml:space="preserve"> </w:t>
      </w:r>
      <w:r w:rsidR="007B0DE4" w:rsidRPr="002433F3">
        <w:rPr>
          <w:rFonts w:eastAsia="Times New Roman" w:cs="Times New Roman"/>
          <w:szCs w:val="20"/>
          <w:lang w:val="en-US" w:eastAsia="es-CL"/>
        </w:rPr>
        <w:t>States Parties ha</w:t>
      </w:r>
      <w:r w:rsidR="0092104F" w:rsidRPr="002433F3">
        <w:rPr>
          <w:rFonts w:eastAsia="Times New Roman" w:cs="Times New Roman"/>
          <w:szCs w:val="20"/>
          <w:lang w:val="en-US" w:eastAsia="es-CL"/>
        </w:rPr>
        <w:t xml:space="preserve">ve </w:t>
      </w:r>
      <w:r w:rsidR="007B0DE4" w:rsidRPr="002433F3">
        <w:rPr>
          <w:rFonts w:eastAsia="Times New Roman" w:cs="Times New Roman"/>
          <w:szCs w:val="20"/>
          <w:lang w:val="en-US" w:eastAsia="es-CL"/>
        </w:rPr>
        <w:t>understood that the Conve</w:t>
      </w:r>
      <w:r w:rsidR="000030B2" w:rsidRPr="002433F3">
        <w:rPr>
          <w:rFonts w:eastAsia="Times New Roman" w:cs="Times New Roman"/>
          <w:szCs w:val="20"/>
          <w:lang w:val="en-US" w:eastAsia="es-CL"/>
        </w:rPr>
        <w:t xml:space="preserve">ntion </w:t>
      </w:r>
      <w:r w:rsidR="007B0DE4" w:rsidRPr="002433F3">
        <w:rPr>
          <w:rFonts w:eastAsia="Times New Roman" w:cs="Times New Roman"/>
          <w:szCs w:val="20"/>
          <w:lang w:val="en-US" w:eastAsia="es-CL"/>
        </w:rPr>
        <w:t>regula</w:t>
      </w:r>
      <w:r w:rsidR="005D3CD4" w:rsidRPr="002433F3">
        <w:rPr>
          <w:rFonts w:eastAsia="Times New Roman" w:cs="Times New Roman"/>
          <w:szCs w:val="20"/>
          <w:lang w:val="en-US" w:eastAsia="es-CL"/>
        </w:rPr>
        <w:t>tes</w:t>
      </w:r>
      <w:r w:rsidR="007B0DE4" w:rsidRPr="002433F3">
        <w:rPr>
          <w:rFonts w:eastAsia="Times New Roman" w:cs="Times New Roman"/>
          <w:szCs w:val="20"/>
          <w:lang w:val="en-US" w:eastAsia="es-CL"/>
        </w:rPr>
        <w:t xml:space="preserve"> or contempla</w:t>
      </w:r>
      <w:r w:rsidR="00464642" w:rsidRPr="002433F3">
        <w:rPr>
          <w:rFonts w:eastAsia="Times New Roman" w:cs="Times New Roman"/>
          <w:szCs w:val="20"/>
          <w:lang w:val="en-US" w:eastAsia="es-CL"/>
        </w:rPr>
        <w:t>tes</w:t>
      </w:r>
      <w:r w:rsidRPr="002433F3">
        <w:rPr>
          <w:rFonts w:eastAsia="Times New Roman" w:cs="Times New Roman"/>
          <w:szCs w:val="20"/>
          <w:lang w:val="en-US" w:eastAsia="es-CL"/>
        </w:rPr>
        <w:t xml:space="preserve"> such unions</w:t>
      </w:r>
      <w:r w:rsidR="007B0DE4" w:rsidRPr="002433F3">
        <w:rPr>
          <w:rFonts w:eastAsia="Times New Roman" w:cs="Times New Roman"/>
          <w:szCs w:val="20"/>
          <w:lang w:val="en-US" w:eastAsia="es-CL"/>
        </w:rPr>
        <w:t xml:space="preserve">. </w:t>
      </w:r>
    </w:p>
    <w:p w14:paraId="25F7EE99" w14:textId="77777777" w:rsidR="007B0DE4" w:rsidRPr="002433F3" w:rsidRDefault="00C01A16" w:rsidP="007B0DE4">
      <w:pPr>
        <w:spacing w:before="240" w:after="200"/>
        <w:rPr>
          <w:rFonts w:eastAsia="Times New Roman" w:cs="Times New Roman"/>
          <w:szCs w:val="20"/>
          <w:lang w:val="en-US" w:eastAsia="es-CL"/>
        </w:rPr>
      </w:pPr>
      <w:r w:rsidRPr="002433F3">
        <w:rPr>
          <w:rFonts w:eastAsia="Times New Roman" w:cs="Times New Roman"/>
          <w:szCs w:val="20"/>
          <w:lang w:val="en-US" w:eastAsia="es-CL"/>
        </w:rPr>
        <w:t>In that order</w:t>
      </w:r>
      <w:r w:rsidR="00B61C83" w:rsidRPr="002433F3">
        <w:rPr>
          <w:rFonts w:eastAsia="Times New Roman" w:cs="Times New Roman"/>
          <w:szCs w:val="20"/>
          <w:lang w:val="en-US" w:eastAsia="es-CL"/>
        </w:rPr>
        <w:t xml:space="preserve"> of ideas, </w:t>
      </w:r>
      <w:r w:rsidR="007B4565" w:rsidRPr="002433F3">
        <w:rPr>
          <w:rFonts w:eastAsia="Times New Roman" w:cs="Times New Roman"/>
          <w:szCs w:val="20"/>
          <w:lang w:val="en-US" w:eastAsia="es-CL"/>
        </w:rPr>
        <w:t xml:space="preserve">the </w:t>
      </w:r>
      <w:r w:rsidR="007B0DE4" w:rsidRPr="002433F3">
        <w:rPr>
          <w:rFonts w:eastAsia="Times New Roman" w:cs="Times New Roman"/>
          <w:szCs w:val="20"/>
          <w:lang w:val="en-US" w:eastAsia="es-CL"/>
        </w:rPr>
        <w:t xml:space="preserve">evolutive interpretation of the Convention or the </w:t>
      </w:r>
      <w:r w:rsidR="0088045F" w:rsidRPr="002433F3">
        <w:rPr>
          <w:rFonts w:eastAsia="Times New Roman" w:cs="Times New Roman"/>
          <w:szCs w:val="20"/>
          <w:lang w:val="en-US" w:eastAsia="es-CL"/>
        </w:rPr>
        <w:t>notion</w:t>
      </w:r>
      <w:r w:rsidR="007B0DE4" w:rsidRPr="002433F3">
        <w:rPr>
          <w:rFonts w:eastAsia="Times New Roman" w:cs="Times New Roman"/>
          <w:szCs w:val="20"/>
          <w:lang w:val="en-US" w:eastAsia="es-CL"/>
        </w:rPr>
        <w:t xml:space="preserve"> </w:t>
      </w:r>
      <w:r w:rsidR="005158EF" w:rsidRPr="002433F3">
        <w:rPr>
          <w:rFonts w:eastAsia="Times New Roman" w:cs="Times New Roman"/>
          <w:szCs w:val="20"/>
          <w:lang w:val="en-US" w:eastAsia="es-CL"/>
        </w:rPr>
        <w:t xml:space="preserve">that it is a living </w:t>
      </w:r>
      <w:r w:rsidR="005D3CD4" w:rsidRPr="002433F3">
        <w:rPr>
          <w:rFonts w:eastAsia="Times New Roman" w:cs="Times New Roman"/>
          <w:szCs w:val="20"/>
          <w:lang w:val="en-US" w:eastAsia="es-CL"/>
        </w:rPr>
        <w:t>instrument</w:t>
      </w:r>
      <w:r w:rsidR="007B0DE4" w:rsidRPr="002433F3">
        <w:rPr>
          <w:rFonts w:eastAsia="Times New Roman" w:cs="Times New Roman"/>
          <w:szCs w:val="20"/>
          <w:lang w:val="en-US" w:eastAsia="es-CL"/>
        </w:rPr>
        <w:t>,</w:t>
      </w:r>
      <w:r w:rsidR="007B4565" w:rsidRPr="002433F3">
        <w:rPr>
          <w:rFonts w:eastAsia="Times New Roman" w:cs="Times New Roman"/>
          <w:szCs w:val="20"/>
          <w:lang w:val="en-US" w:eastAsia="es-CL"/>
        </w:rPr>
        <w:t xml:space="preserve"> does not mean that it should be interpreted to legitimize, almost </w:t>
      </w:r>
      <w:r w:rsidR="007B0DE4" w:rsidRPr="002433F3">
        <w:rPr>
          <w:rFonts w:eastAsia="Times New Roman" w:cs="Times New Roman"/>
          <w:szCs w:val="20"/>
          <w:lang w:val="en-US" w:eastAsia="es-CL"/>
        </w:rPr>
        <w:t xml:space="preserve">automatically, </w:t>
      </w:r>
      <w:r w:rsidR="007B4565" w:rsidRPr="002433F3">
        <w:rPr>
          <w:rFonts w:eastAsia="Times New Roman" w:cs="Times New Roman"/>
          <w:szCs w:val="20"/>
          <w:lang w:val="en-US" w:eastAsia="es-CL"/>
        </w:rPr>
        <w:t xml:space="preserve">the </w:t>
      </w:r>
      <w:r w:rsidR="007B0DE4" w:rsidRPr="002433F3">
        <w:rPr>
          <w:rFonts w:eastAsia="Times New Roman" w:cs="Times New Roman"/>
          <w:szCs w:val="20"/>
          <w:lang w:val="en-US" w:eastAsia="es-CL"/>
        </w:rPr>
        <w:t>s</w:t>
      </w:r>
      <w:r w:rsidR="007B4565" w:rsidRPr="002433F3">
        <w:rPr>
          <w:rFonts w:eastAsia="Times New Roman" w:cs="Times New Roman"/>
          <w:szCs w:val="20"/>
          <w:lang w:val="en-US" w:eastAsia="es-CL"/>
        </w:rPr>
        <w:t>ocial reality that is being expressed</w:t>
      </w:r>
      <w:r w:rsidR="006479FC" w:rsidRPr="002433F3">
        <w:rPr>
          <w:rFonts w:eastAsia="Times New Roman" w:cs="Times New Roman"/>
          <w:szCs w:val="20"/>
          <w:lang w:val="en-US" w:eastAsia="es-CL"/>
        </w:rPr>
        <w:t xml:space="preserve"> at the </w:t>
      </w:r>
      <w:r w:rsidR="004111CC">
        <w:rPr>
          <w:rFonts w:eastAsia="Times New Roman" w:cs="Times New Roman"/>
          <w:szCs w:val="20"/>
          <w:lang w:val="en-US" w:eastAsia="es-CL"/>
        </w:rPr>
        <w:t>moment of the interpretation;</w:t>
      </w:r>
      <w:r w:rsidR="007B4565" w:rsidRPr="002433F3">
        <w:rPr>
          <w:rFonts w:eastAsia="Times New Roman" w:cs="Times New Roman"/>
          <w:szCs w:val="20"/>
          <w:lang w:val="en-US" w:eastAsia="es-CL"/>
        </w:rPr>
        <w:t xml:space="preserve"> </w:t>
      </w:r>
      <w:r w:rsidR="004111CC">
        <w:rPr>
          <w:rFonts w:eastAsia="Times New Roman" w:cs="Times New Roman"/>
          <w:szCs w:val="20"/>
          <w:lang w:val="en-US" w:eastAsia="es-CL"/>
        </w:rPr>
        <w:t>in that case, the</w:t>
      </w:r>
      <w:r w:rsidR="007B4565" w:rsidRPr="002433F3">
        <w:rPr>
          <w:rFonts w:eastAsia="Times New Roman" w:cs="Times New Roman"/>
          <w:szCs w:val="20"/>
          <w:lang w:val="en-US" w:eastAsia="es-CL"/>
        </w:rPr>
        <w:t xml:space="preserve"> </w:t>
      </w:r>
      <w:r w:rsidR="004111CC">
        <w:rPr>
          <w:rFonts w:eastAsia="Times New Roman" w:cs="Times New Roman"/>
          <w:szCs w:val="20"/>
          <w:lang w:val="en-US" w:eastAsia="es-CL"/>
        </w:rPr>
        <w:t xml:space="preserve">social </w:t>
      </w:r>
      <w:r w:rsidR="007B4565" w:rsidRPr="002433F3">
        <w:rPr>
          <w:rFonts w:eastAsia="Times New Roman" w:cs="Times New Roman"/>
          <w:szCs w:val="20"/>
          <w:lang w:val="en-US" w:eastAsia="es-CL"/>
        </w:rPr>
        <w:t xml:space="preserve">reality </w:t>
      </w:r>
      <w:r w:rsidR="004111CC">
        <w:rPr>
          <w:rFonts w:eastAsia="Times New Roman" w:cs="Times New Roman"/>
          <w:szCs w:val="20"/>
          <w:lang w:val="en-US" w:eastAsia="es-CL"/>
        </w:rPr>
        <w:t xml:space="preserve">itself </w:t>
      </w:r>
      <w:r w:rsidR="00BA42B8" w:rsidRPr="002433F3">
        <w:rPr>
          <w:rFonts w:eastAsia="Times New Roman" w:cs="Times New Roman"/>
          <w:szCs w:val="20"/>
          <w:lang w:val="en-US" w:eastAsia="es-CL"/>
        </w:rPr>
        <w:t xml:space="preserve">would be </w:t>
      </w:r>
      <w:r w:rsidR="007B0DE4" w:rsidRPr="002433F3">
        <w:rPr>
          <w:rFonts w:eastAsia="Times New Roman" w:cs="Times New Roman"/>
          <w:szCs w:val="20"/>
          <w:lang w:val="en-US" w:eastAsia="es-CL"/>
        </w:rPr>
        <w:t xml:space="preserve">the interpreter and </w:t>
      </w:r>
      <w:r w:rsidR="007B4565" w:rsidRPr="002433F3">
        <w:rPr>
          <w:rFonts w:eastAsia="Times New Roman" w:cs="Times New Roman"/>
          <w:szCs w:val="20"/>
          <w:lang w:val="en-US" w:eastAsia="es-CL"/>
        </w:rPr>
        <w:t xml:space="preserve">would </w:t>
      </w:r>
      <w:r w:rsidR="00000132" w:rsidRPr="002433F3">
        <w:rPr>
          <w:rFonts w:eastAsia="Times New Roman" w:cs="Times New Roman"/>
          <w:szCs w:val="20"/>
          <w:lang w:val="en-US" w:eastAsia="es-CL"/>
        </w:rPr>
        <w:t xml:space="preserve">even </w:t>
      </w:r>
      <w:r w:rsidR="007B4565" w:rsidRPr="002433F3">
        <w:rPr>
          <w:rFonts w:eastAsia="Times New Roman" w:cs="Times New Roman"/>
          <w:szCs w:val="20"/>
          <w:lang w:val="en-US" w:eastAsia="es-CL"/>
        </w:rPr>
        <w:t xml:space="preserve">exercise a </w:t>
      </w:r>
      <w:r w:rsidRPr="002433F3">
        <w:rPr>
          <w:rFonts w:eastAsia="Times New Roman" w:cs="Times New Roman"/>
          <w:szCs w:val="20"/>
          <w:lang w:val="en-US" w:eastAsia="es-CL"/>
        </w:rPr>
        <w:t xml:space="preserve">regulatory </w:t>
      </w:r>
      <w:r w:rsidR="007B0DE4" w:rsidRPr="002433F3">
        <w:rPr>
          <w:rFonts w:eastAsia="Times New Roman" w:cs="Times New Roman"/>
          <w:szCs w:val="20"/>
          <w:lang w:val="en-US" w:eastAsia="es-CL"/>
        </w:rPr>
        <w:t xml:space="preserve">function. </w:t>
      </w:r>
      <w:r w:rsidR="007B4565" w:rsidRPr="002433F3">
        <w:rPr>
          <w:rFonts w:eastAsia="Times New Roman" w:cs="Times New Roman"/>
          <w:szCs w:val="20"/>
          <w:lang w:val="en-US" w:eastAsia="es-CL"/>
        </w:rPr>
        <w:t xml:space="preserve">Instead, </w:t>
      </w:r>
      <w:r w:rsidR="007B0DE4" w:rsidRPr="002433F3">
        <w:rPr>
          <w:rFonts w:eastAsia="Times New Roman" w:cs="Times New Roman"/>
          <w:szCs w:val="20"/>
          <w:lang w:val="en-US" w:eastAsia="es-CL"/>
        </w:rPr>
        <w:t xml:space="preserve">the </w:t>
      </w:r>
      <w:r w:rsidR="006479FC" w:rsidRPr="002433F3">
        <w:rPr>
          <w:rFonts w:eastAsia="Times New Roman" w:cs="Times New Roman"/>
          <w:szCs w:val="20"/>
          <w:lang w:val="en-US" w:eastAsia="es-CL"/>
        </w:rPr>
        <w:t xml:space="preserve">evolutive </w:t>
      </w:r>
      <w:r w:rsidR="007B0DE4" w:rsidRPr="002433F3">
        <w:rPr>
          <w:rFonts w:eastAsia="Times New Roman" w:cs="Times New Roman"/>
          <w:szCs w:val="20"/>
          <w:lang w:val="en-US" w:eastAsia="es-CL"/>
        </w:rPr>
        <w:t xml:space="preserve">interpretation of the Convention </w:t>
      </w:r>
      <w:r w:rsidR="007B4565" w:rsidRPr="002433F3">
        <w:rPr>
          <w:rFonts w:eastAsia="Times New Roman" w:cs="Times New Roman"/>
          <w:szCs w:val="20"/>
          <w:lang w:val="en-US" w:eastAsia="es-CL"/>
        </w:rPr>
        <w:t xml:space="preserve">implies understanding </w:t>
      </w:r>
      <w:r w:rsidR="005158EF" w:rsidRPr="002433F3">
        <w:rPr>
          <w:rFonts w:eastAsia="Times New Roman" w:cs="Times New Roman"/>
          <w:szCs w:val="20"/>
          <w:lang w:val="en-US" w:eastAsia="es-CL"/>
        </w:rPr>
        <w:t xml:space="preserve">its </w:t>
      </w:r>
      <w:r w:rsidR="007B0DE4" w:rsidRPr="002433F3">
        <w:rPr>
          <w:rFonts w:eastAsia="Times New Roman" w:cs="Times New Roman"/>
          <w:szCs w:val="20"/>
          <w:lang w:val="en-US" w:eastAsia="es-CL"/>
        </w:rPr>
        <w:t xml:space="preserve">provisions </w:t>
      </w:r>
      <w:r w:rsidR="00825FFF" w:rsidRPr="002433F3">
        <w:rPr>
          <w:rFonts w:eastAsia="Times New Roman" w:cs="Times New Roman"/>
          <w:szCs w:val="20"/>
          <w:lang w:val="en-US" w:eastAsia="es-CL"/>
        </w:rPr>
        <w:t xml:space="preserve">with a view to determining </w:t>
      </w:r>
      <w:r w:rsidR="007B4565" w:rsidRPr="002433F3">
        <w:rPr>
          <w:rFonts w:eastAsia="Times New Roman" w:cs="Times New Roman"/>
          <w:szCs w:val="20"/>
          <w:lang w:val="en-US" w:eastAsia="es-CL"/>
        </w:rPr>
        <w:t>the manner in which these new issues or problems should be addressed from a juridical standpoint</w:t>
      </w:r>
      <w:r w:rsidR="007B0DE4" w:rsidRPr="002433F3">
        <w:rPr>
          <w:rFonts w:eastAsia="Times New Roman" w:cs="Times New Roman"/>
          <w:szCs w:val="20"/>
          <w:lang w:val="en-US" w:eastAsia="es-CL"/>
        </w:rPr>
        <w:t xml:space="preserve">.       </w:t>
      </w:r>
    </w:p>
    <w:p w14:paraId="33892EE3" w14:textId="77777777" w:rsidR="007B0DE4" w:rsidRPr="002433F3" w:rsidRDefault="004111CC" w:rsidP="007B0DE4">
      <w:pPr>
        <w:spacing w:before="240" w:after="200"/>
        <w:rPr>
          <w:rFonts w:eastAsia="Times New Roman" w:cs="Times New Roman"/>
          <w:szCs w:val="20"/>
          <w:lang w:val="en-US" w:eastAsia="es-CL"/>
        </w:rPr>
      </w:pPr>
      <w:r>
        <w:rPr>
          <w:rFonts w:eastAsia="Times New Roman" w:cs="Times New Roman"/>
          <w:szCs w:val="20"/>
          <w:lang w:val="en-US" w:eastAsia="es-CL"/>
        </w:rPr>
        <w:t xml:space="preserve">On the other hand, </w:t>
      </w:r>
      <w:r w:rsidR="007B0DE4" w:rsidRPr="002433F3">
        <w:rPr>
          <w:rFonts w:eastAsia="Times New Roman" w:cs="Times New Roman"/>
          <w:szCs w:val="20"/>
          <w:lang w:val="en-US" w:eastAsia="es-CL"/>
        </w:rPr>
        <w:t xml:space="preserve">the Judgment </w:t>
      </w:r>
      <w:r w:rsidR="006479FC" w:rsidRPr="002433F3">
        <w:rPr>
          <w:rFonts w:eastAsia="Times New Roman" w:cs="Times New Roman"/>
          <w:szCs w:val="20"/>
          <w:lang w:val="en-US" w:eastAsia="es-CL"/>
        </w:rPr>
        <w:t xml:space="preserve">does not invoke </w:t>
      </w:r>
      <w:r w:rsidR="002674C0" w:rsidRPr="002433F3">
        <w:rPr>
          <w:rFonts w:eastAsia="Times New Roman" w:cs="Times New Roman"/>
          <w:i/>
          <w:szCs w:val="20"/>
          <w:lang w:val="en-US" w:eastAsia="es-CL"/>
        </w:rPr>
        <w:t>“</w:t>
      </w:r>
      <w:r w:rsidR="002674C0" w:rsidRPr="002433F3">
        <w:rPr>
          <w:i/>
          <w:lang w:val="en-US"/>
        </w:rPr>
        <w:t>any relevant rules of international law applicable in the relations between the parties</w:t>
      </w:r>
      <w:r w:rsidR="007B0DE4" w:rsidRPr="002433F3">
        <w:rPr>
          <w:rFonts w:eastAsia="Times New Roman" w:cs="Times New Roman"/>
          <w:i/>
          <w:szCs w:val="20"/>
          <w:lang w:val="en-US" w:eastAsia="es-CL"/>
        </w:rPr>
        <w:t>”</w:t>
      </w:r>
      <w:r w:rsidR="007B0DE4" w:rsidRPr="002433F3">
        <w:rPr>
          <w:rFonts w:eastAsia="Times New Roman" w:cs="Times New Roman"/>
          <w:i/>
          <w:szCs w:val="20"/>
          <w:vertAlign w:val="superscript"/>
          <w:lang w:val="en-US" w:eastAsia="es-CL"/>
        </w:rPr>
        <w:footnoteReference w:id="205"/>
      </w:r>
      <w:r w:rsidR="007B0DE4" w:rsidRPr="002433F3">
        <w:rPr>
          <w:rFonts w:eastAsia="Times New Roman" w:cs="Times New Roman"/>
          <w:szCs w:val="20"/>
          <w:lang w:val="en-US" w:eastAsia="es-CL"/>
        </w:rPr>
        <w:t xml:space="preserve"> t</w:t>
      </w:r>
      <w:r w:rsidR="00A001FB" w:rsidRPr="002433F3">
        <w:rPr>
          <w:rFonts w:eastAsia="Times New Roman" w:cs="Times New Roman"/>
          <w:szCs w:val="20"/>
          <w:lang w:val="en-US" w:eastAsia="es-CL"/>
        </w:rPr>
        <w:t xml:space="preserve">o substantiate </w:t>
      </w:r>
      <w:r w:rsidR="007B0DE4" w:rsidRPr="002433F3">
        <w:rPr>
          <w:rFonts w:eastAsia="Times New Roman" w:cs="Times New Roman"/>
          <w:szCs w:val="20"/>
          <w:lang w:val="en-US" w:eastAsia="es-CL"/>
        </w:rPr>
        <w:t>that such unions ar</w:t>
      </w:r>
      <w:r w:rsidR="00C12B7F" w:rsidRPr="002433F3">
        <w:rPr>
          <w:rFonts w:eastAsia="Times New Roman" w:cs="Times New Roman"/>
          <w:szCs w:val="20"/>
          <w:lang w:val="en-US" w:eastAsia="es-CL"/>
        </w:rPr>
        <w:t>e contemplated or regulated by international l</w:t>
      </w:r>
      <w:r w:rsidR="007B0DE4" w:rsidRPr="002433F3">
        <w:rPr>
          <w:rFonts w:eastAsia="Times New Roman" w:cs="Times New Roman"/>
          <w:szCs w:val="20"/>
          <w:lang w:val="en-US" w:eastAsia="es-CL"/>
        </w:rPr>
        <w:t>aw.</w:t>
      </w:r>
    </w:p>
    <w:p w14:paraId="30D882FF" w14:textId="77777777" w:rsidR="007B0DE4" w:rsidRPr="002433F3" w:rsidRDefault="007B0DE4" w:rsidP="007B0DE4">
      <w:pPr>
        <w:spacing w:before="240" w:after="200"/>
        <w:rPr>
          <w:rFonts w:eastAsia="Times New Roman" w:cs="Times New Roman"/>
          <w:szCs w:val="20"/>
          <w:lang w:val="en-US" w:eastAsia="es-CL"/>
        </w:rPr>
      </w:pPr>
      <w:r w:rsidRPr="002433F3">
        <w:rPr>
          <w:rFonts w:eastAsia="Times New Roman" w:cs="Times New Roman"/>
          <w:szCs w:val="20"/>
          <w:lang w:val="en-US" w:eastAsia="es-CL"/>
        </w:rPr>
        <w:t>For those reasons, it does not seem acceptable that the Judgment re</w:t>
      </w:r>
      <w:r w:rsidR="00CB42CF" w:rsidRPr="002433F3">
        <w:rPr>
          <w:rFonts w:eastAsia="Times New Roman" w:cs="Times New Roman"/>
          <w:szCs w:val="20"/>
          <w:lang w:val="en-US" w:eastAsia="es-CL"/>
        </w:rPr>
        <w:t xml:space="preserve">fers </w:t>
      </w:r>
      <w:r w:rsidRPr="002433F3">
        <w:rPr>
          <w:rFonts w:eastAsia="Times New Roman" w:cs="Times New Roman"/>
          <w:szCs w:val="20"/>
          <w:lang w:val="en-US" w:eastAsia="es-CL"/>
        </w:rPr>
        <w:t xml:space="preserve">to the domestic legislation of </w:t>
      </w:r>
      <w:r w:rsidR="002674C0" w:rsidRPr="002433F3">
        <w:rPr>
          <w:rFonts w:eastAsia="Times New Roman" w:cs="Times New Roman"/>
          <w:szCs w:val="20"/>
          <w:lang w:val="en-US" w:eastAsia="es-CL"/>
        </w:rPr>
        <w:t xml:space="preserve">some </w:t>
      </w:r>
      <w:r w:rsidRPr="002433F3">
        <w:rPr>
          <w:rFonts w:eastAsia="Times New Roman" w:cs="Times New Roman"/>
          <w:szCs w:val="20"/>
          <w:lang w:val="en-US" w:eastAsia="es-CL"/>
        </w:rPr>
        <w:t xml:space="preserve">States Parties to the Convention, as </w:t>
      </w:r>
      <w:r w:rsidR="00CB42CF" w:rsidRPr="002433F3">
        <w:rPr>
          <w:rFonts w:eastAsia="Times New Roman" w:cs="Times New Roman"/>
          <w:szCs w:val="20"/>
          <w:lang w:val="en-US" w:eastAsia="es-CL"/>
        </w:rPr>
        <w:t>it has done, to argue</w:t>
      </w:r>
      <w:r w:rsidR="003B67E9" w:rsidRPr="002433F3">
        <w:rPr>
          <w:rFonts w:eastAsia="Times New Roman" w:cs="Times New Roman"/>
          <w:szCs w:val="20"/>
          <w:lang w:val="en-US" w:eastAsia="es-CL"/>
        </w:rPr>
        <w:t xml:space="preserve"> </w:t>
      </w:r>
      <w:r w:rsidRPr="002433F3">
        <w:rPr>
          <w:rFonts w:eastAsia="Times New Roman" w:cs="Times New Roman"/>
          <w:szCs w:val="20"/>
          <w:lang w:val="en-US" w:eastAsia="es-CL"/>
        </w:rPr>
        <w:t xml:space="preserve">that </w:t>
      </w:r>
      <w:r w:rsidR="00CB42CF" w:rsidRPr="002433F3">
        <w:rPr>
          <w:rFonts w:eastAsia="Calibri" w:cs="Times New Roman"/>
          <w:i/>
          <w:szCs w:val="20"/>
          <w:lang w:val="en-US"/>
        </w:rPr>
        <w:t xml:space="preserve">“some </w:t>
      </w:r>
      <w:r w:rsidRPr="002433F3">
        <w:rPr>
          <w:rFonts w:eastAsia="Calibri" w:cs="Times New Roman"/>
          <w:i/>
          <w:szCs w:val="20"/>
          <w:lang w:val="en-US"/>
        </w:rPr>
        <w:t>countries</w:t>
      </w:r>
      <w:r w:rsidR="006479FC" w:rsidRPr="002433F3">
        <w:rPr>
          <w:rFonts w:eastAsia="Calibri" w:cs="Times New Roman"/>
          <w:i/>
          <w:szCs w:val="20"/>
          <w:lang w:val="en-US"/>
        </w:rPr>
        <w:t xml:space="preserve"> of the region […] have</w:t>
      </w:r>
      <w:r w:rsidRPr="002433F3">
        <w:rPr>
          <w:rFonts w:eastAsia="Calibri" w:cs="Times New Roman"/>
          <w:i/>
          <w:szCs w:val="20"/>
          <w:lang w:val="en-US"/>
        </w:rPr>
        <w:t xml:space="preserve"> recognized </w:t>
      </w:r>
      <w:r w:rsidR="003B67E9" w:rsidRPr="002433F3">
        <w:rPr>
          <w:rFonts w:eastAsia="Calibri" w:cs="Times New Roman"/>
          <w:i/>
          <w:szCs w:val="20"/>
          <w:lang w:val="en-US"/>
        </w:rPr>
        <w:t xml:space="preserve">the right of same-sex couples to </w:t>
      </w:r>
      <w:r w:rsidRPr="002433F3">
        <w:rPr>
          <w:rFonts w:eastAsia="Calibri" w:cs="Times New Roman"/>
          <w:i/>
          <w:szCs w:val="20"/>
          <w:lang w:val="en-US"/>
        </w:rPr>
        <w:t xml:space="preserve">access </w:t>
      </w:r>
      <w:r w:rsidR="003B67E9" w:rsidRPr="002433F3">
        <w:rPr>
          <w:rFonts w:eastAsia="Calibri" w:cs="Times New Roman"/>
          <w:i/>
          <w:szCs w:val="20"/>
          <w:lang w:val="en-US"/>
        </w:rPr>
        <w:t xml:space="preserve">a </w:t>
      </w:r>
      <w:r w:rsidRPr="002433F3">
        <w:rPr>
          <w:rFonts w:eastAsia="Calibri" w:cs="Times New Roman"/>
          <w:i/>
          <w:szCs w:val="20"/>
          <w:lang w:val="en-US"/>
        </w:rPr>
        <w:t>survivo</w:t>
      </w:r>
      <w:r w:rsidR="003B67E9" w:rsidRPr="002433F3">
        <w:rPr>
          <w:rFonts w:eastAsia="Calibri" w:cs="Times New Roman"/>
          <w:i/>
          <w:szCs w:val="20"/>
          <w:lang w:val="en-US"/>
        </w:rPr>
        <w:t>r’s pension</w:t>
      </w:r>
      <w:r w:rsidRPr="002433F3">
        <w:rPr>
          <w:rFonts w:eastAsia="Calibri" w:cs="Times New Roman"/>
          <w:i/>
          <w:szCs w:val="20"/>
          <w:lang w:val="en-US"/>
        </w:rPr>
        <w:t xml:space="preserve"> […]</w:t>
      </w:r>
      <w:r w:rsidR="006479FC" w:rsidRPr="002433F3">
        <w:rPr>
          <w:rFonts w:eastAsia="Calibri" w:cs="Times New Roman"/>
          <w:i/>
          <w:szCs w:val="20"/>
          <w:lang w:val="en-US"/>
        </w:rPr>
        <w:t>.</w:t>
      </w:r>
      <w:r w:rsidRPr="002433F3">
        <w:rPr>
          <w:rFonts w:eastAsia="Calibri" w:cs="Times New Roman"/>
          <w:szCs w:val="20"/>
          <w:lang w:val="en-US"/>
        </w:rPr>
        <w:t>”</w:t>
      </w:r>
      <w:r w:rsidRPr="002433F3">
        <w:rPr>
          <w:rFonts w:eastAsia="Calibri" w:cs="Times New Roman"/>
          <w:szCs w:val="20"/>
          <w:vertAlign w:val="superscript"/>
          <w:lang w:val="en-US"/>
        </w:rPr>
        <w:footnoteReference w:id="206"/>
      </w:r>
      <w:r w:rsidRPr="002433F3">
        <w:rPr>
          <w:rFonts w:eastAsia="Calibri" w:cs="Times New Roman"/>
          <w:szCs w:val="20"/>
          <w:lang w:val="en-US"/>
        </w:rPr>
        <w:t xml:space="preserve">  </w:t>
      </w:r>
      <w:r w:rsidR="002674C0" w:rsidRPr="002433F3">
        <w:rPr>
          <w:rFonts w:eastAsia="Calibri" w:cs="Times New Roman"/>
          <w:szCs w:val="20"/>
          <w:lang w:val="en-US"/>
        </w:rPr>
        <w:t xml:space="preserve">It would have been more </w:t>
      </w:r>
      <w:r w:rsidR="00B61C83" w:rsidRPr="002433F3">
        <w:rPr>
          <w:rFonts w:eastAsia="Calibri" w:cs="Times New Roman"/>
          <w:szCs w:val="20"/>
          <w:lang w:val="en-US"/>
        </w:rPr>
        <w:t>accurate</w:t>
      </w:r>
      <w:r w:rsidR="002674C0" w:rsidRPr="002433F3">
        <w:rPr>
          <w:rFonts w:eastAsia="Calibri" w:cs="Times New Roman"/>
          <w:szCs w:val="20"/>
          <w:lang w:val="en-US"/>
        </w:rPr>
        <w:t xml:space="preserve"> to point</w:t>
      </w:r>
      <w:r w:rsidR="00CB42CF" w:rsidRPr="002433F3">
        <w:rPr>
          <w:rFonts w:eastAsia="Calibri" w:cs="Times New Roman"/>
          <w:szCs w:val="20"/>
          <w:lang w:val="en-US"/>
        </w:rPr>
        <w:t xml:space="preserve"> out </w:t>
      </w:r>
      <w:r w:rsidRPr="002433F3">
        <w:rPr>
          <w:rFonts w:eastAsia="Calibri" w:cs="Times New Roman"/>
          <w:szCs w:val="20"/>
          <w:lang w:val="en-US"/>
        </w:rPr>
        <w:t xml:space="preserve">that, </w:t>
      </w:r>
      <w:r w:rsidR="002674C0" w:rsidRPr="002433F3">
        <w:rPr>
          <w:rFonts w:eastAsia="Calibri" w:cs="Times New Roman"/>
          <w:szCs w:val="20"/>
          <w:lang w:val="en-US"/>
        </w:rPr>
        <w:t xml:space="preserve">according to </w:t>
      </w:r>
      <w:r w:rsidR="009B652F" w:rsidRPr="002433F3">
        <w:rPr>
          <w:rFonts w:eastAsia="Calibri" w:cs="Times New Roman"/>
          <w:szCs w:val="20"/>
          <w:lang w:val="en-US"/>
        </w:rPr>
        <w:t xml:space="preserve">the </w:t>
      </w:r>
      <w:r w:rsidRPr="002433F3">
        <w:rPr>
          <w:rFonts w:eastAsia="Calibri" w:cs="Times New Roman"/>
          <w:szCs w:val="20"/>
          <w:lang w:val="en-US"/>
        </w:rPr>
        <w:t>information</w:t>
      </w:r>
      <w:r w:rsidR="002674C0" w:rsidRPr="002433F3">
        <w:rPr>
          <w:rFonts w:eastAsia="Calibri" w:cs="Times New Roman"/>
          <w:szCs w:val="20"/>
          <w:lang w:val="en-US"/>
        </w:rPr>
        <w:t xml:space="preserve"> mentioned previously</w:t>
      </w:r>
      <w:r w:rsidRPr="002433F3">
        <w:rPr>
          <w:rFonts w:eastAsia="Calibri" w:cs="Times New Roman"/>
          <w:szCs w:val="20"/>
          <w:lang w:val="en-US"/>
        </w:rPr>
        <w:t xml:space="preserve">, the </w:t>
      </w:r>
      <w:r w:rsidR="0059238D" w:rsidRPr="002433F3">
        <w:rPr>
          <w:rFonts w:eastAsia="Calibri" w:cs="Times New Roman"/>
          <w:szCs w:val="20"/>
          <w:lang w:val="en-US"/>
        </w:rPr>
        <w:t>great majority of the States Parties to</w:t>
      </w:r>
      <w:r w:rsidRPr="002433F3">
        <w:rPr>
          <w:rFonts w:eastAsia="Calibri" w:cs="Times New Roman"/>
          <w:szCs w:val="20"/>
          <w:lang w:val="en-US"/>
        </w:rPr>
        <w:t xml:space="preserve"> the Convention </w:t>
      </w:r>
      <w:r w:rsidR="002674C0" w:rsidRPr="002433F3">
        <w:rPr>
          <w:rFonts w:eastAsia="Calibri" w:cs="Times New Roman"/>
          <w:szCs w:val="20"/>
          <w:lang w:val="en-US"/>
        </w:rPr>
        <w:t xml:space="preserve">do not </w:t>
      </w:r>
      <w:r w:rsidR="002674C0" w:rsidRPr="002433F3">
        <w:rPr>
          <w:lang w:val="en-US"/>
        </w:rPr>
        <w:t>recognize</w:t>
      </w:r>
      <w:r w:rsidR="009B652F" w:rsidRPr="002433F3">
        <w:rPr>
          <w:lang w:val="en-US"/>
        </w:rPr>
        <w:t xml:space="preserve"> </w:t>
      </w:r>
      <w:r w:rsidR="009B652F" w:rsidRPr="002433F3">
        <w:rPr>
          <w:i/>
          <w:lang w:val="en-US"/>
        </w:rPr>
        <w:t>de facto</w:t>
      </w:r>
      <w:r w:rsidR="009B652F" w:rsidRPr="002433F3">
        <w:rPr>
          <w:lang w:val="en-US"/>
        </w:rPr>
        <w:t xml:space="preserve"> or civil union</w:t>
      </w:r>
      <w:r w:rsidR="002674C0" w:rsidRPr="002433F3">
        <w:rPr>
          <w:lang w:val="en-US"/>
        </w:rPr>
        <w:t>s</w:t>
      </w:r>
      <w:r w:rsidR="009B652F" w:rsidRPr="002433F3">
        <w:rPr>
          <w:lang w:val="en-US"/>
        </w:rPr>
        <w:t xml:space="preserve"> between people of the same sex</w:t>
      </w:r>
      <w:r w:rsidR="009B652F" w:rsidRPr="002433F3">
        <w:rPr>
          <w:rFonts w:eastAsia="Calibri" w:cs="Times New Roman"/>
          <w:szCs w:val="20"/>
          <w:lang w:val="en-US"/>
        </w:rPr>
        <w:t xml:space="preserve"> in </w:t>
      </w:r>
      <w:r w:rsidR="009B652F" w:rsidRPr="002433F3">
        <w:rPr>
          <w:lang w:val="en-US"/>
        </w:rPr>
        <w:t>their domestic or national legislation</w:t>
      </w:r>
      <w:r w:rsidRPr="002433F3">
        <w:rPr>
          <w:rFonts w:eastAsia="Calibri" w:cs="Times New Roman"/>
          <w:szCs w:val="20"/>
          <w:lang w:val="en-US"/>
        </w:rPr>
        <w:t>.</w:t>
      </w:r>
      <w:r w:rsidRPr="002433F3">
        <w:rPr>
          <w:rFonts w:eastAsia="Times New Roman" w:cs="Times New Roman"/>
          <w:szCs w:val="20"/>
          <w:lang w:val="en-US" w:eastAsia="es-CL"/>
        </w:rPr>
        <w:t xml:space="preserve"> </w:t>
      </w:r>
    </w:p>
    <w:p w14:paraId="7D2643E1" w14:textId="77777777" w:rsidR="007B0DE4" w:rsidRPr="002433F3" w:rsidRDefault="003B67E9" w:rsidP="007B0DE4">
      <w:pPr>
        <w:spacing w:before="240" w:after="200"/>
        <w:rPr>
          <w:rFonts w:eastAsia="Times New Roman" w:cs="Times New Roman"/>
          <w:szCs w:val="20"/>
          <w:lang w:val="en-US" w:eastAsia="es-CL"/>
        </w:rPr>
      </w:pPr>
      <w:r w:rsidRPr="002433F3">
        <w:rPr>
          <w:rFonts w:eastAsia="Times New Roman" w:cs="Times New Roman"/>
          <w:szCs w:val="20"/>
          <w:lang w:val="en-US" w:eastAsia="es-CL"/>
        </w:rPr>
        <w:t xml:space="preserve">Instead, </w:t>
      </w:r>
      <w:r w:rsidR="00D20F84" w:rsidRPr="002433F3">
        <w:rPr>
          <w:rFonts w:eastAsia="Times New Roman" w:cs="Times New Roman"/>
          <w:szCs w:val="20"/>
          <w:lang w:val="en-US" w:eastAsia="es-CL"/>
        </w:rPr>
        <w:t>the</w:t>
      </w:r>
      <w:r w:rsidR="00C43768" w:rsidRPr="002433F3">
        <w:rPr>
          <w:rFonts w:eastAsia="Times New Roman" w:cs="Times New Roman"/>
          <w:szCs w:val="20"/>
          <w:lang w:val="en-US" w:eastAsia="es-CL"/>
        </w:rPr>
        <w:t xml:space="preserve"> Judgment </w:t>
      </w:r>
      <w:r w:rsidR="002674C0" w:rsidRPr="002433F3">
        <w:rPr>
          <w:rFonts w:eastAsia="Times New Roman" w:cs="Times New Roman"/>
          <w:szCs w:val="20"/>
          <w:lang w:val="en-US" w:eastAsia="es-CL"/>
        </w:rPr>
        <w:t xml:space="preserve">refers to </w:t>
      </w:r>
      <w:r w:rsidR="00C43768" w:rsidRPr="002433F3">
        <w:rPr>
          <w:rFonts w:eastAsia="Times New Roman" w:cs="Times New Roman"/>
          <w:szCs w:val="20"/>
          <w:lang w:val="en-US" w:eastAsia="es-CL"/>
        </w:rPr>
        <w:t>act</w:t>
      </w:r>
      <w:r w:rsidR="007B0DE4" w:rsidRPr="002433F3">
        <w:rPr>
          <w:rFonts w:eastAsia="Times New Roman" w:cs="Times New Roman"/>
          <w:szCs w:val="20"/>
          <w:lang w:val="en-US" w:eastAsia="es-CL"/>
        </w:rPr>
        <w:t xml:space="preserve">s </w:t>
      </w:r>
      <w:r w:rsidR="000361F1" w:rsidRPr="002433F3">
        <w:rPr>
          <w:rFonts w:eastAsia="Times New Roman" w:cs="Times New Roman"/>
          <w:szCs w:val="20"/>
          <w:lang w:val="en-US" w:eastAsia="es-CL"/>
        </w:rPr>
        <w:t xml:space="preserve">– not by States – but </w:t>
      </w:r>
      <w:r w:rsidR="00D73143" w:rsidRPr="002433F3">
        <w:rPr>
          <w:rFonts w:eastAsia="Times New Roman" w:cs="Times New Roman"/>
          <w:szCs w:val="20"/>
          <w:lang w:val="en-US" w:eastAsia="es-CL"/>
        </w:rPr>
        <w:t xml:space="preserve">by </w:t>
      </w:r>
      <w:r w:rsidR="000361F1" w:rsidRPr="002433F3">
        <w:rPr>
          <w:rFonts w:eastAsia="Times New Roman" w:cs="Times New Roman"/>
          <w:szCs w:val="20"/>
          <w:lang w:val="en-US" w:eastAsia="es-CL"/>
        </w:rPr>
        <w:t xml:space="preserve">state entities, </w:t>
      </w:r>
      <w:r w:rsidR="009B652F" w:rsidRPr="002433F3">
        <w:rPr>
          <w:rFonts w:eastAsia="Times New Roman" w:cs="Times New Roman"/>
          <w:szCs w:val="20"/>
          <w:lang w:val="en-US" w:eastAsia="es-CL"/>
        </w:rPr>
        <w:t xml:space="preserve">such </w:t>
      </w:r>
      <w:r w:rsidR="007B0DE4" w:rsidRPr="002433F3">
        <w:rPr>
          <w:rFonts w:eastAsia="Times New Roman" w:cs="Times New Roman"/>
          <w:szCs w:val="20"/>
          <w:lang w:val="en-US" w:eastAsia="es-CL"/>
        </w:rPr>
        <w:t>as Mexico City</w:t>
      </w:r>
      <w:r w:rsidR="007B0DE4" w:rsidRPr="002433F3">
        <w:rPr>
          <w:rFonts w:eastAsia="Times New Roman" w:cs="Times New Roman"/>
          <w:szCs w:val="20"/>
          <w:vertAlign w:val="superscript"/>
          <w:lang w:val="en-US" w:eastAsia="es-CL"/>
        </w:rPr>
        <w:footnoteReference w:id="207"/>
      </w:r>
      <w:r w:rsidR="007B0DE4" w:rsidRPr="002433F3">
        <w:rPr>
          <w:rFonts w:eastAsia="Times New Roman" w:cs="Times New Roman"/>
          <w:szCs w:val="20"/>
          <w:lang w:val="en-US" w:eastAsia="es-CL"/>
        </w:rPr>
        <w:t xml:space="preserve"> and </w:t>
      </w:r>
      <w:r w:rsidR="009B652F" w:rsidRPr="002433F3">
        <w:rPr>
          <w:rFonts w:eastAsia="Times New Roman" w:cs="Times New Roman"/>
          <w:szCs w:val="20"/>
          <w:lang w:val="en-US" w:eastAsia="es-CL"/>
        </w:rPr>
        <w:t xml:space="preserve">the </w:t>
      </w:r>
      <w:r w:rsidR="007B0DE4" w:rsidRPr="002433F3">
        <w:rPr>
          <w:rFonts w:eastAsia="Times New Roman" w:cs="Times New Roman"/>
          <w:szCs w:val="20"/>
          <w:lang w:val="en-US" w:eastAsia="es-CL"/>
        </w:rPr>
        <w:t>Ci</w:t>
      </w:r>
      <w:r w:rsidR="00D20F84" w:rsidRPr="002433F3">
        <w:rPr>
          <w:rFonts w:eastAsia="Times New Roman" w:cs="Times New Roman"/>
          <w:szCs w:val="20"/>
          <w:lang w:val="en-US" w:eastAsia="es-CL"/>
        </w:rPr>
        <w:t xml:space="preserve">ty </w:t>
      </w:r>
      <w:r w:rsidR="007B0DE4" w:rsidRPr="002433F3">
        <w:rPr>
          <w:rFonts w:eastAsia="Times New Roman" w:cs="Times New Roman"/>
          <w:szCs w:val="20"/>
          <w:lang w:val="en-US" w:eastAsia="es-CL"/>
        </w:rPr>
        <w:t>of Buenos Aires</w:t>
      </w:r>
      <w:r w:rsidR="007B0DE4" w:rsidRPr="002433F3">
        <w:rPr>
          <w:rFonts w:eastAsia="Times New Roman" w:cs="Times New Roman"/>
          <w:szCs w:val="20"/>
          <w:vertAlign w:val="superscript"/>
          <w:lang w:val="en-US" w:eastAsia="es-CL"/>
        </w:rPr>
        <w:footnoteReference w:id="208"/>
      </w:r>
      <w:r w:rsidR="007B0DE4" w:rsidRPr="002433F3">
        <w:rPr>
          <w:rFonts w:eastAsia="Times New Roman" w:cs="Times New Roman"/>
          <w:szCs w:val="20"/>
          <w:lang w:val="en-US" w:eastAsia="es-CL"/>
        </w:rPr>
        <w:t xml:space="preserve"> </w:t>
      </w:r>
      <w:r w:rsidR="000361F1" w:rsidRPr="002433F3">
        <w:rPr>
          <w:rFonts w:eastAsia="Times New Roman" w:cs="Times New Roman"/>
          <w:szCs w:val="20"/>
          <w:lang w:val="en-US" w:eastAsia="es-CL"/>
        </w:rPr>
        <w:t xml:space="preserve">that are </w:t>
      </w:r>
      <w:r w:rsidR="007B0DE4" w:rsidRPr="002433F3">
        <w:rPr>
          <w:rFonts w:eastAsia="Times New Roman" w:cs="Times New Roman"/>
          <w:szCs w:val="20"/>
          <w:lang w:val="en-US" w:eastAsia="es-CL"/>
        </w:rPr>
        <w:t>no</w:t>
      </w:r>
      <w:r w:rsidR="00D20F84" w:rsidRPr="002433F3">
        <w:rPr>
          <w:rFonts w:eastAsia="Times New Roman" w:cs="Times New Roman"/>
          <w:szCs w:val="20"/>
          <w:lang w:val="en-US" w:eastAsia="es-CL"/>
        </w:rPr>
        <w:t>t</w:t>
      </w:r>
      <w:r w:rsidR="007B0DE4" w:rsidRPr="002433F3">
        <w:rPr>
          <w:rFonts w:eastAsia="Times New Roman" w:cs="Times New Roman"/>
          <w:szCs w:val="20"/>
          <w:lang w:val="en-US" w:eastAsia="es-CL"/>
        </w:rPr>
        <w:t xml:space="preserve"> su</w:t>
      </w:r>
      <w:r w:rsidR="00D20F84" w:rsidRPr="002433F3">
        <w:rPr>
          <w:rFonts w:eastAsia="Times New Roman" w:cs="Times New Roman"/>
          <w:szCs w:val="20"/>
          <w:lang w:val="en-US" w:eastAsia="es-CL"/>
        </w:rPr>
        <w:t>b</w:t>
      </w:r>
      <w:r w:rsidR="007B0DE4" w:rsidRPr="002433F3">
        <w:rPr>
          <w:rFonts w:eastAsia="Times New Roman" w:cs="Times New Roman"/>
          <w:szCs w:val="20"/>
          <w:lang w:val="en-US" w:eastAsia="es-CL"/>
        </w:rPr>
        <w:t>je</w:t>
      </w:r>
      <w:r w:rsidR="000361F1" w:rsidRPr="002433F3">
        <w:rPr>
          <w:rFonts w:eastAsia="Times New Roman" w:cs="Times New Roman"/>
          <w:szCs w:val="20"/>
          <w:lang w:val="en-US" w:eastAsia="es-CL"/>
        </w:rPr>
        <w:t xml:space="preserve">cts of </w:t>
      </w:r>
      <w:r w:rsidR="00D20F84" w:rsidRPr="002433F3">
        <w:rPr>
          <w:rFonts w:eastAsia="Times New Roman" w:cs="Times New Roman"/>
          <w:szCs w:val="20"/>
          <w:lang w:val="en-US" w:eastAsia="es-CL"/>
        </w:rPr>
        <w:t>international l</w:t>
      </w:r>
      <w:r w:rsidR="007B0DE4" w:rsidRPr="002433F3">
        <w:rPr>
          <w:rFonts w:eastAsia="Times New Roman" w:cs="Times New Roman"/>
          <w:szCs w:val="20"/>
          <w:lang w:val="en-US" w:eastAsia="es-CL"/>
        </w:rPr>
        <w:t xml:space="preserve">aw. </w:t>
      </w:r>
    </w:p>
    <w:p w14:paraId="40070760" w14:textId="77777777" w:rsidR="007B0DE4" w:rsidRPr="002433F3" w:rsidRDefault="009B652F" w:rsidP="007B0DE4">
      <w:pPr>
        <w:spacing w:before="240" w:after="200"/>
        <w:rPr>
          <w:rFonts w:eastAsia="Calibri" w:cs="TimesNewRoman"/>
          <w:szCs w:val="20"/>
          <w:lang w:val="en-US"/>
        </w:rPr>
      </w:pPr>
      <w:r w:rsidRPr="002433F3">
        <w:rPr>
          <w:rFonts w:eastAsia="Times New Roman" w:cs="Times New Roman"/>
          <w:szCs w:val="20"/>
          <w:lang w:val="en-US" w:eastAsia="es-CL"/>
        </w:rPr>
        <w:t>It a</w:t>
      </w:r>
      <w:r w:rsidR="000361F1" w:rsidRPr="002433F3">
        <w:rPr>
          <w:rFonts w:eastAsia="Times New Roman" w:cs="Times New Roman"/>
          <w:szCs w:val="20"/>
          <w:lang w:val="en-US" w:eastAsia="es-CL"/>
        </w:rPr>
        <w:t xml:space="preserve">lso mentions </w:t>
      </w:r>
      <w:r w:rsidR="008B395A" w:rsidRPr="002433F3">
        <w:rPr>
          <w:rFonts w:eastAsia="Times New Roman" w:cs="Times New Roman"/>
          <w:szCs w:val="20"/>
          <w:lang w:val="en-US" w:eastAsia="es-CL"/>
        </w:rPr>
        <w:t xml:space="preserve">certain </w:t>
      </w:r>
      <w:r w:rsidR="007B0DE4" w:rsidRPr="002433F3">
        <w:rPr>
          <w:rFonts w:eastAsia="Times New Roman" w:cs="Times New Roman"/>
          <w:szCs w:val="20"/>
          <w:lang w:val="en-US" w:eastAsia="es-CL"/>
        </w:rPr>
        <w:t xml:space="preserve">resolutions of the United Nations </w:t>
      </w:r>
      <w:r w:rsidR="007B0DE4" w:rsidRPr="002433F3">
        <w:rPr>
          <w:rFonts w:eastAsia="Calibri" w:cs="TimesNewRoman"/>
          <w:szCs w:val="20"/>
          <w:lang w:val="en-US"/>
        </w:rPr>
        <w:t>Committee on Economic, Social and Cultu</w:t>
      </w:r>
      <w:r w:rsidR="00ED78BD" w:rsidRPr="002433F3">
        <w:rPr>
          <w:rFonts w:eastAsia="Calibri" w:cs="TimesNewRoman"/>
          <w:szCs w:val="20"/>
          <w:lang w:val="en-US"/>
        </w:rPr>
        <w:t>ral Rights</w:t>
      </w:r>
      <w:r w:rsidR="006775E9">
        <w:rPr>
          <w:rFonts w:eastAsia="Calibri" w:cs="TimesNewRoman"/>
          <w:szCs w:val="20"/>
          <w:lang w:val="en-US"/>
        </w:rPr>
        <w:t xml:space="preserve">, </w:t>
      </w:r>
      <w:r w:rsidR="000361F1" w:rsidRPr="002433F3">
        <w:rPr>
          <w:rFonts w:eastAsia="Calibri" w:cs="TimesNewRoman"/>
          <w:szCs w:val="20"/>
          <w:lang w:val="en-US"/>
        </w:rPr>
        <w:t>also subsequent to the</w:t>
      </w:r>
      <w:r w:rsidR="00ED78BD" w:rsidRPr="002433F3">
        <w:rPr>
          <w:rFonts w:eastAsia="Calibri" w:cs="TimesNewRoman"/>
          <w:szCs w:val="20"/>
          <w:lang w:val="en-US"/>
        </w:rPr>
        <w:t xml:space="preserve"> </w:t>
      </w:r>
      <w:r w:rsidR="007B0DE4" w:rsidRPr="002433F3">
        <w:rPr>
          <w:rFonts w:eastAsia="Calibri" w:cs="TimesNewRoman"/>
          <w:szCs w:val="20"/>
          <w:lang w:val="en-US"/>
        </w:rPr>
        <w:t>petition</w:t>
      </w:r>
      <w:r w:rsidR="006775E9">
        <w:rPr>
          <w:rFonts w:eastAsia="Calibri" w:cs="TimesNewRoman"/>
          <w:szCs w:val="20"/>
          <w:lang w:val="en-US"/>
        </w:rPr>
        <w:t xml:space="preserve"> which</w:t>
      </w:r>
      <w:r w:rsidR="000361F1" w:rsidRPr="002433F3">
        <w:rPr>
          <w:rFonts w:eastAsia="Calibri" w:cs="TimesNewRoman"/>
          <w:szCs w:val="20"/>
          <w:lang w:val="en-US"/>
        </w:rPr>
        <w:t>, rather than</w:t>
      </w:r>
      <w:r w:rsidR="006E2A90" w:rsidRPr="002433F3">
        <w:rPr>
          <w:rFonts w:eastAsia="Calibri" w:cs="TimesNewRoman"/>
          <w:szCs w:val="20"/>
          <w:lang w:val="en-US"/>
        </w:rPr>
        <w:t xml:space="preserve"> interpreting</w:t>
      </w:r>
      <w:r w:rsidR="007B0DE4" w:rsidRPr="002433F3">
        <w:rPr>
          <w:rFonts w:eastAsia="Calibri" w:cs="TimesNewRoman"/>
          <w:szCs w:val="20"/>
          <w:lang w:val="en-US"/>
        </w:rPr>
        <w:t xml:space="preserve"> a </w:t>
      </w:r>
      <w:r w:rsidR="00C43768" w:rsidRPr="002433F3">
        <w:rPr>
          <w:rFonts w:eastAsia="Calibri" w:cs="TimesNewRoman"/>
          <w:szCs w:val="20"/>
          <w:lang w:val="en-US"/>
        </w:rPr>
        <w:t xml:space="preserve">rule </w:t>
      </w:r>
      <w:r w:rsidR="00D20F84" w:rsidRPr="002433F3">
        <w:rPr>
          <w:rFonts w:eastAsia="Calibri" w:cs="TimesNewRoman"/>
          <w:szCs w:val="20"/>
          <w:lang w:val="en-US"/>
        </w:rPr>
        <w:t>of the Convention, formulate</w:t>
      </w:r>
      <w:r w:rsidR="007B0DE4" w:rsidRPr="002433F3">
        <w:rPr>
          <w:rFonts w:eastAsia="Calibri" w:cs="TimesNewRoman"/>
          <w:szCs w:val="20"/>
          <w:lang w:val="en-US"/>
        </w:rPr>
        <w:t xml:space="preserve"> aspirations </w:t>
      </w:r>
      <w:r w:rsidR="000361F1" w:rsidRPr="002433F3">
        <w:rPr>
          <w:rFonts w:eastAsia="Calibri" w:cs="TimesNewRoman"/>
          <w:szCs w:val="20"/>
          <w:lang w:val="en-US"/>
        </w:rPr>
        <w:t xml:space="preserve">in relation to </w:t>
      </w:r>
      <w:r w:rsidR="007B0DE4" w:rsidRPr="002433F3">
        <w:rPr>
          <w:rFonts w:eastAsia="Calibri" w:cs="TimesNewRoman"/>
          <w:szCs w:val="20"/>
          <w:lang w:val="en-US"/>
        </w:rPr>
        <w:t xml:space="preserve">the International Covenant </w:t>
      </w:r>
      <w:r w:rsidR="007B0DE4" w:rsidRPr="002433F3">
        <w:rPr>
          <w:rFonts w:eastAsia="Calibri" w:cs="TimesNewRoman"/>
          <w:szCs w:val="20"/>
          <w:lang w:val="en-US"/>
        </w:rPr>
        <w:lastRenderedPageBreak/>
        <w:t>on Economic, Social and Cultural Rights</w:t>
      </w:r>
      <w:r w:rsidR="007B0DE4" w:rsidRPr="002433F3">
        <w:rPr>
          <w:rFonts w:eastAsia="Calibri" w:cs="TimesNewRoman"/>
          <w:szCs w:val="20"/>
          <w:vertAlign w:val="superscript"/>
          <w:lang w:val="en-US"/>
        </w:rPr>
        <w:footnoteReference w:id="209"/>
      </w:r>
      <w:r w:rsidR="007B0DE4" w:rsidRPr="002433F3">
        <w:rPr>
          <w:rFonts w:eastAsia="Calibri" w:cs="TimesNewRoman"/>
          <w:szCs w:val="20"/>
          <w:lang w:val="en-US"/>
        </w:rPr>
        <w:t xml:space="preserve"> </w:t>
      </w:r>
      <w:r w:rsidR="006775E9">
        <w:rPr>
          <w:rFonts w:eastAsia="Calibri" w:cs="TimesNewRoman"/>
          <w:szCs w:val="20"/>
          <w:lang w:val="en-US"/>
        </w:rPr>
        <w:t>that</w:t>
      </w:r>
      <w:r w:rsidRPr="002433F3">
        <w:rPr>
          <w:rFonts w:eastAsia="Calibri" w:cs="TimesNewRoman"/>
          <w:szCs w:val="20"/>
          <w:lang w:val="en-US"/>
        </w:rPr>
        <w:t xml:space="preserve">, </w:t>
      </w:r>
      <w:r w:rsidR="006775E9">
        <w:rPr>
          <w:rFonts w:eastAsia="Calibri" w:cs="TimesNewRoman"/>
          <w:szCs w:val="20"/>
          <w:lang w:val="en-US"/>
        </w:rPr>
        <w:t xml:space="preserve">pursuant </w:t>
      </w:r>
      <w:r w:rsidR="007B0DE4" w:rsidRPr="002433F3">
        <w:rPr>
          <w:rFonts w:eastAsia="Calibri" w:cs="TimesNewRoman"/>
          <w:szCs w:val="20"/>
          <w:lang w:val="en-US"/>
        </w:rPr>
        <w:t>to Article 26 of the Convention,</w:t>
      </w:r>
      <w:r w:rsidR="007B0DE4" w:rsidRPr="002433F3">
        <w:rPr>
          <w:rFonts w:eastAsia="Calibri" w:cs="TimesNewRoman"/>
          <w:szCs w:val="20"/>
          <w:vertAlign w:val="superscript"/>
          <w:lang w:val="en-US"/>
        </w:rPr>
        <w:footnoteReference w:id="210"/>
      </w:r>
      <w:r w:rsidR="007B0DE4" w:rsidRPr="002433F3">
        <w:rPr>
          <w:rFonts w:eastAsia="Calibri" w:cs="TimesNewRoman"/>
          <w:szCs w:val="20"/>
          <w:lang w:val="en-US"/>
        </w:rPr>
        <w:t xml:space="preserve"> are not among those enshrined </w:t>
      </w:r>
      <w:r w:rsidR="006E2A90" w:rsidRPr="002433F3">
        <w:rPr>
          <w:rFonts w:eastAsia="Calibri" w:cs="TimesNewRoman"/>
          <w:szCs w:val="20"/>
          <w:lang w:val="en-US"/>
        </w:rPr>
        <w:t>therein</w:t>
      </w:r>
      <w:r w:rsidR="007B0DE4" w:rsidRPr="002433F3">
        <w:rPr>
          <w:rFonts w:eastAsia="Calibri" w:cs="TimesNewRoman"/>
          <w:szCs w:val="20"/>
          <w:lang w:val="en-US"/>
        </w:rPr>
        <w:t>.</w:t>
      </w:r>
      <w:r w:rsidR="007B0DE4" w:rsidRPr="002433F3">
        <w:rPr>
          <w:rFonts w:eastAsia="Calibri" w:cs="TimesNewRoman"/>
          <w:szCs w:val="20"/>
          <w:vertAlign w:val="superscript"/>
          <w:lang w:val="en-US"/>
        </w:rPr>
        <w:footnoteReference w:id="211"/>
      </w:r>
    </w:p>
    <w:p w14:paraId="68B2B26F" w14:textId="77777777" w:rsidR="007B0DE4" w:rsidRPr="002433F3" w:rsidRDefault="008B395A" w:rsidP="007B0DE4">
      <w:pPr>
        <w:spacing w:before="240" w:after="200"/>
        <w:rPr>
          <w:rFonts w:eastAsia="Calibri" w:cs="TimesNewRoman"/>
          <w:szCs w:val="20"/>
          <w:lang w:val="en-US"/>
        </w:rPr>
      </w:pPr>
      <w:r w:rsidRPr="002433F3">
        <w:rPr>
          <w:rFonts w:eastAsia="Calibri" w:cs="TimesNewRoman"/>
          <w:szCs w:val="20"/>
          <w:lang w:val="en-US"/>
        </w:rPr>
        <w:t>Furthermore</w:t>
      </w:r>
      <w:r w:rsidR="00D20F84" w:rsidRPr="002433F3">
        <w:rPr>
          <w:rFonts w:eastAsia="Calibri" w:cs="TimesNewRoman"/>
          <w:szCs w:val="20"/>
          <w:lang w:val="en-US"/>
        </w:rPr>
        <w:t xml:space="preserve">, </w:t>
      </w:r>
      <w:r w:rsidRPr="002433F3">
        <w:rPr>
          <w:rFonts w:eastAsia="Calibri" w:cs="TimesNewRoman"/>
          <w:szCs w:val="20"/>
          <w:lang w:val="en-US"/>
        </w:rPr>
        <w:t xml:space="preserve">in order </w:t>
      </w:r>
      <w:r w:rsidR="00D20F84" w:rsidRPr="002433F3">
        <w:rPr>
          <w:rFonts w:eastAsia="Calibri" w:cs="TimesNewRoman"/>
          <w:szCs w:val="20"/>
          <w:lang w:val="en-US"/>
        </w:rPr>
        <w:t xml:space="preserve">to support its decision, the </w:t>
      </w:r>
      <w:r w:rsidR="007B0DE4" w:rsidRPr="002433F3">
        <w:rPr>
          <w:rFonts w:eastAsia="Calibri" w:cs="TimesNewRoman"/>
          <w:szCs w:val="20"/>
          <w:lang w:val="en-US"/>
        </w:rPr>
        <w:t xml:space="preserve">Judgment </w:t>
      </w:r>
      <w:r w:rsidR="000F6842" w:rsidRPr="002433F3">
        <w:rPr>
          <w:rFonts w:eastAsia="Calibri" w:cs="TimesNewRoman"/>
          <w:szCs w:val="20"/>
          <w:lang w:val="en-US"/>
        </w:rPr>
        <w:t xml:space="preserve">refers to </w:t>
      </w:r>
      <w:r w:rsidR="007B0DE4" w:rsidRPr="002433F3">
        <w:rPr>
          <w:rFonts w:eastAsia="Calibri" w:cs="TimesNewRoman"/>
          <w:szCs w:val="20"/>
          <w:lang w:val="en-US"/>
        </w:rPr>
        <w:t>the legislation of the United Stat</w:t>
      </w:r>
      <w:r w:rsidR="00D20F84" w:rsidRPr="002433F3">
        <w:rPr>
          <w:rFonts w:eastAsia="Calibri" w:cs="TimesNewRoman"/>
          <w:szCs w:val="20"/>
          <w:lang w:val="en-US"/>
        </w:rPr>
        <w:t xml:space="preserve">es of America, </w:t>
      </w:r>
      <w:r w:rsidR="000F6842" w:rsidRPr="002433F3">
        <w:rPr>
          <w:rFonts w:eastAsia="Calibri" w:cs="TimesNewRoman"/>
          <w:szCs w:val="20"/>
          <w:lang w:val="en-US"/>
        </w:rPr>
        <w:t xml:space="preserve">a State that is not a </w:t>
      </w:r>
      <w:r w:rsidR="007B0DE4" w:rsidRPr="002433F3">
        <w:rPr>
          <w:rFonts w:eastAsia="Calibri" w:cs="TimesNewRoman"/>
          <w:szCs w:val="20"/>
          <w:lang w:val="en-US"/>
        </w:rPr>
        <w:t>party to the Convention.</w:t>
      </w:r>
      <w:r w:rsidR="007B0DE4" w:rsidRPr="002433F3">
        <w:rPr>
          <w:rFonts w:eastAsia="Calibri" w:cs="TimesNewRoman"/>
          <w:szCs w:val="20"/>
          <w:vertAlign w:val="superscript"/>
          <w:lang w:val="en-US"/>
        </w:rPr>
        <w:footnoteReference w:id="212"/>
      </w:r>
    </w:p>
    <w:p w14:paraId="2A742DE2" w14:textId="77777777" w:rsidR="007B0DE4" w:rsidRPr="002433F3" w:rsidRDefault="007B0DE4" w:rsidP="007B0DE4">
      <w:pPr>
        <w:spacing w:before="240" w:after="200"/>
        <w:rPr>
          <w:rFonts w:eastAsia="Calibri" w:cs="Times New Roman"/>
          <w:szCs w:val="20"/>
          <w:lang w:val="en-US"/>
        </w:rPr>
      </w:pPr>
      <w:r w:rsidRPr="002433F3">
        <w:rPr>
          <w:rFonts w:eastAsia="Calibri" w:cs="TimesNewRoman"/>
          <w:szCs w:val="20"/>
          <w:lang w:val="en-US"/>
        </w:rPr>
        <w:t xml:space="preserve">The Judgment even </w:t>
      </w:r>
      <w:r w:rsidR="006775E9">
        <w:rPr>
          <w:rFonts w:eastAsia="Calibri" w:cs="TimesNewRoman"/>
          <w:szCs w:val="20"/>
          <w:lang w:val="en-US"/>
        </w:rPr>
        <w:t xml:space="preserve">cites </w:t>
      </w:r>
      <w:r w:rsidRPr="002433F3">
        <w:rPr>
          <w:rFonts w:eastAsia="Calibri" w:cs="TimesNewRoman"/>
          <w:szCs w:val="20"/>
          <w:lang w:val="en-US"/>
        </w:rPr>
        <w:t xml:space="preserve">the </w:t>
      </w:r>
      <w:r w:rsidR="00753C9C" w:rsidRPr="002433F3">
        <w:rPr>
          <w:rFonts w:eastAsia="Calibri" w:cs="TimesNewRoman"/>
          <w:szCs w:val="20"/>
          <w:lang w:val="en-US"/>
        </w:rPr>
        <w:t>Y</w:t>
      </w:r>
      <w:r w:rsidR="007E58B7" w:rsidRPr="002433F3">
        <w:rPr>
          <w:rFonts w:eastAsia="Calibri" w:cs="TimesNewRoman"/>
          <w:szCs w:val="20"/>
          <w:lang w:val="en-US"/>
        </w:rPr>
        <w:t>ogy</w:t>
      </w:r>
      <w:r w:rsidRPr="002433F3">
        <w:rPr>
          <w:rFonts w:eastAsia="Calibri" w:cs="TimesNewRoman"/>
          <w:szCs w:val="20"/>
          <w:lang w:val="en-US"/>
        </w:rPr>
        <w:t xml:space="preserve">akarta </w:t>
      </w:r>
      <w:r w:rsidRPr="002433F3">
        <w:rPr>
          <w:rFonts w:eastAsia="Calibri" w:cs="Times New Roman"/>
          <w:szCs w:val="20"/>
          <w:lang w:val="en-US"/>
        </w:rPr>
        <w:t>Principles, which w</w:t>
      </w:r>
      <w:r w:rsidR="00E078B9" w:rsidRPr="002433F3">
        <w:rPr>
          <w:rFonts w:eastAsia="Calibri" w:cs="Times New Roman"/>
          <w:szCs w:val="20"/>
          <w:lang w:val="en-US"/>
        </w:rPr>
        <w:t>ere not only adopted after th</w:t>
      </w:r>
      <w:r w:rsidR="008B395A" w:rsidRPr="002433F3">
        <w:rPr>
          <w:rFonts w:eastAsia="Calibri" w:cs="Times New Roman"/>
          <w:szCs w:val="20"/>
          <w:lang w:val="en-US"/>
        </w:rPr>
        <w:t>is case was submitted</w:t>
      </w:r>
      <w:r w:rsidRPr="002433F3">
        <w:rPr>
          <w:rFonts w:eastAsia="Calibri" w:cs="Times New Roman"/>
          <w:szCs w:val="20"/>
          <w:lang w:val="en-US"/>
        </w:rPr>
        <w:t xml:space="preserve">, </w:t>
      </w:r>
      <w:r w:rsidR="00D20F84" w:rsidRPr="002433F3">
        <w:rPr>
          <w:rFonts w:eastAsia="Calibri" w:cs="Times New Roman"/>
          <w:szCs w:val="20"/>
          <w:lang w:val="en-US"/>
        </w:rPr>
        <w:t xml:space="preserve">but </w:t>
      </w:r>
      <w:r w:rsidR="00E078B9" w:rsidRPr="002433F3">
        <w:rPr>
          <w:rFonts w:eastAsia="Calibri" w:cs="Times New Roman"/>
          <w:szCs w:val="20"/>
          <w:lang w:val="en-US"/>
        </w:rPr>
        <w:t>were a</w:t>
      </w:r>
      <w:r w:rsidR="006775E9">
        <w:rPr>
          <w:rFonts w:eastAsia="Calibri" w:cs="Times New Roman"/>
          <w:szCs w:val="20"/>
          <w:lang w:val="en-US"/>
        </w:rPr>
        <w:t xml:space="preserve">pproved </w:t>
      </w:r>
      <w:r w:rsidRPr="002433F3">
        <w:rPr>
          <w:rFonts w:eastAsia="Calibri" w:cs="Times New Roman"/>
          <w:szCs w:val="20"/>
          <w:lang w:val="en-US"/>
        </w:rPr>
        <w:t>by a gr</w:t>
      </w:r>
      <w:r w:rsidR="006E2A90" w:rsidRPr="002433F3">
        <w:rPr>
          <w:rFonts w:eastAsia="Calibri" w:cs="Times New Roman"/>
          <w:szCs w:val="20"/>
          <w:lang w:val="en-US"/>
        </w:rPr>
        <w:t>oup</w:t>
      </w:r>
      <w:r w:rsidRPr="002433F3">
        <w:rPr>
          <w:rFonts w:eastAsia="Calibri" w:cs="Times New Roman"/>
          <w:szCs w:val="20"/>
          <w:lang w:val="en-US"/>
        </w:rPr>
        <w:t xml:space="preserve"> </w:t>
      </w:r>
      <w:r w:rsidR="00E078B9" w:rsidRPr="002433F3">
        <w:rPr>
          <w:rFonts w:eastAsia="Calibri" w:cs="Times New Roman"/>
          <w:szCs w:val="20"/>
          <w:lang w:val="en-US"/>
        </w:rPr>
        <w:t xml:space="preserve">of </w:t>
      </w:r>
      <w:r w:rsidRPr="002433F3">
        <w:rPr>
          <w:rFonts w:eastAsia="Calibri" w:cs="Times New Roman"/>
          <w:szCs w:val="20"/>
          <w:lang w:val="en-US"/>
        </w:rPr>
        <w:t xml:space="preserve">29 </w:t>
      </w:r>
      <w:r w:rsidR="007E58B7" w:rsidRPr="002433F3">
        <w:rPr>
          <w:rFonts w:eastAsia="Calibri" w:cs="Times New Roman"/>
          <w:szCs w:val="20"/>
          <w:lang w:val="en-US"/>
        </w:rPr>
        <w:t>experts</w:t>
      </w:r>
      <w:r w:rsidRPr="002433F3">
        <w:rPr>
          <w:rFonts w:eastAsia="Calibri" w:cs="Times New Roman"/>
          <w:szCs w:val="20"/>
          <w:lang w:val="en-US"/>
        </w:rPr>
        <w:t xml:space="preserve">. </w:t>
      </w:r>
      <w:r w:rsidR="008B395A" w:rsidRPr="002433F3">
        <w:rPr>
          <w:rFonts w:eastAsia="Calibri" w:cs="Times New Roman"/>
          <w:szCs w:val="20"/>
          <w:lang w:val="en-US"/>
        </w:rPr>
        <w:t xml:space="preserve">Therefore, </w:t>
      </w:r>
      <w:r w:rsidR="006E2A90" w:rsidRPr="002433F3">
        <w:rPr>
          <w:rFonts w:eastAsia="Calibri" w:cs="Times New Roman"/>
          <w:szCs w:val="20"/>
          <w:lang w:val="en-US"/>
        </w:rPr>
        <w:t>at most</w:t>
      </w:r>
      <w:r w:rsidR="003629FB" w:rsidRPr="002433F3">
        <w:rPr>
          <w:rFonts w:eastAsia="Calibri" w:cs="Times New Roman"/>
          <w:szCs w:val="20"/>
          <w:lang w:val="en-US"/>
        </w:rPr>
        <w:t>,</w:t>
      </w:r>
      <w:r w:rsidR="006E2A90" w:rsidRPr="002433F3">
        <w:rPr>
          <w:rFonts w:eastAsia="Calibri" w:cs="Times New Roman"/>
          <w:szCs w:val="20"/>
          <w:lang w:val="en-US"/>
        </w:rPr>
        <w:t xml:space="preserve"> this </w:t>
      </w:r>
      <w:r w:rsidRPr="002433F3">
        <w:rPr>
          <w:rFonts w:eastAsia="Calibri" w:cs="Times New Roman"/>
          <w:szCs w:val="20"/>
          <w:lang w:val="en-US"/>
        </w:rPr>
        <w:t xml:space="preserve">document could be </w:t>
      </w:r>
      <w:r w:rsidR="005B18C4" w:rsidRPr="002433F3">
        <w:rPr>
          <w:rFonts w:eastAsia="Calibri" w:cs="Times New Roman"/>
          <w:szCs w:val="20"/>
          <w:lang w:val="en-US"/>
        </w:rPr>
        <w:t xml:space="preserve">regarded </w:t>
      </w:r>
      <w:r w:rsidRPr="002433F3">
        <w:rPr>
          <w:rFonts w:eastAsia="Calibri" w:cs="Times New Roman"/>
          <w:szCs w:val="20"/>
          <w:lang w:val="en-US"/>
        </w:rPr>
        <w:t xml:space="preserve">as </w:t>
      </w:r>
      <w:r w:rsidR="003629FB" w:rsidRPr="002433F3">
        <w:rPr>
          <w:rFonts w:eastAsia="Calibri" w:cs="Times New Roman"/>
          <w:szCs w:val="20"/>
          <w:lang w:val="en-US"/>
        </w:rPr>
        <w:t>an</w:t>
      </w:r>
      <w:r w:rsidRPr="002433F3">
        <w:rPr>
          <w:rFonts w:eastAsia="Calibri" w:cs="Times New Roman"/>
          <w:szCs w:val="20"/>
          <w:lang w:val="en-US"/>
        </w:rPr>
        <w:t xml:space="preserve"> </w:t>
      </w:r>
      <w:r w:rsidR="003629FB" w:rsidRPr="002433F3">
        <w:rPr>
          <w:rFonts w:eastAsia="Calibri" w:cs="Times New Roman"/>
          <w:szCs w:val="20"/>
          <w:lang w:val="en-US"/>
        </w:rPr>
        <w:t>expression (</w:t>
      </w:r>
      <w:r w:rsidRPr="002433F3">
        <w:rPr>
          <w:rFonts w:eastAsia="Calibri" w:cs="Times New Roman"/>
          <w:szCs w:val="20"/>
          <w:lang w:val="en-US"/>
        </w:rPr>
        <w:t>no</w:t>
      </w:r>
      <w:r w:rsidR="00D20F84" w:rsidRPr="002433F3">
        <w:rPr>
          <w:rFonts w:eastAsia="Calibri" w:cs="Times New Roman"/>
          <w:szCs w:val="20"/>
          <w:lang w:val="en-US"/>
        </w:rPr>
        <w:t>t</w:t>
      </w:r>
      <w:r w:rsidR="008B395A" w:rsidRPr="002433F3">
        <w:rPr>
          <w:rFonts w:eastAsia="Calibri" w:cs="Times New Roman"/>
          <w:szCs w:val="20"/>
          <w:lang w:val="en-US"/>
        </w:rPr>
        <w:t xml:space="preserve"> the only </w:t>
      </w:r>
      <w:r w:rsidR="003629FB" w:rsidRPr="002433F3">
        <w:rPr>
          <w:rFonts w:eastAsia="Calibri" w:cs="Times New Roman"/>
          <w:szCs w:val="20"/>
          <w:lang w:val="en-US"/>
        </w:rPr>
        <w:t xml:space="preserve">one, </w:t>
      </w:r>
      <w:r w:rsidR="008B395A" w:rsidRPr="002433F3">
        <w:rPr>
          <w:rFonts w:eastAsia="Calibri" w:cs="Times New Roman"/>
          <w:szCs w:val="20"/>
          <w:lang w:val="en-US"/>
        </w:rPr>
        <w:t>or th</w:t>
      </w:r>
      <w:r w:rsidR="003629FB" w:rsidRPr="002433F3">
        <w:rPr>
          <w:rFonts w:eastAsia="Calibri" w:cs="Times New Roman"/>
          <w:szCs w:val="20"/>
          <w:lang w:val="en-US"/>
        </w:rPr>
        <w:t>e most relevant)</w:t>
      </w:r>
      <w:r w:rsidR="008B395A" w:rsidRPr="002433F3">
        <w:rPr>
          <w:rFonts w:eastAsia="Calibri" w:cs="Times New Roman"/>
          <w:szCs w:val="20"/>
          <w:lang w:val="en-US"/>
        </w:rPr>
        <w:t xml:space="preserve"> </w:t>
      </w:r>
      <w:r w:rsidR="00087352" w:rsidRPr="002433F3">
        <w:rPr>
          <w:rFonts w:eastAsia="Calibri" w:cs="Times New Roman"/>
          <w:szCs w:val="20"/>
          <w:lang w:val="en-US"/>
        </w:rPr>
        <w:t>of a</w:t>
      </w:r>
      <w:r w:rsidR="00D20F84" w:rsidRPr="002433F3">
        <w:rPr>
          <w:rFonts w:eastAsia="Calibri" w:cs="Times New Roman"/>
          <w:szCs w:val="20"/>
          <w:lang w:val="en-US"/>
        </w:rPr>
        <w:t xml:space="preserve"> doctrine</w:t>
      </w:r>
      <w:r w:rsidR="003629FB" w:rsidRPr="002433F3">
        <w:rPr>
          <w:rFonts w:eastAsia="Calibri" w:cs="Times New Roman"/>
          <w:szCs w:val="20"/>
          <w:lang w:val="en-US"/>
        </w:rPr>
        <w:t xml:space="preserve">, either in the form of </w:t>
      </w:r>
      <w:r w:rsidRPr="002433F3">
        <w:rPr>
          <w:rFonts w:eastAsia="Calibri" w:cs="Times New Roman"/>
          <w:szCs w:val="20"/>
          <w:lang w:val="en-US"/>
        </w:rPr>
        <w:t xml:space="preserve">a </w:t>
      </w:r>
      <w:r w:rsidR="00E078B9" w:rsidRPr="002433F3">
        <w:rPr>
          <w:rFonts w:eastAsia="Calibri" w:cs="Times New Roman"/>
          <w:szCs w:val="20"/>
          <w:lang w:val="en-US"/>
        </w:rPr>
        <w:t xml:space="preserve">claim, a </w:t>
      </w:r>
      <w:r w:rsidRPr="002433F3">
        <w:rPr>
          <w:rFonts w:eastAsia="Calibri" w:cs="Times New Roman"/>
          <w:szCs w:val="20"/>
          <w:lang w:val="en-US"/>
        </w:rPr>
        <w:t>propos</w:t>
      </w:r>
      <w:r w:rsidR="00E078B9" w:rsidRPr="002433F3">
        <w:rPr>
          <w:rFonts w:eastAsia="Calibri" w:cs="Times New Roman"/>
          <w:szCs w:val="20"/>
          <w:lang w:val="en-US"/>
        </w:rPr>
        <w:t xml:space="preserve">al </w:t>
      </w:r>
      <w:r w:rsidRPr="002433F3">
        <w:rPr>
          <w:rFonts w:eastAsia="Calibri" w:cs="Times New Roman"/>
          <w:szCs w:val="20"/>
          <w:lang w:val="en-US"/>
        </w:rPr>
        <w:t xml:space="preserve">or </w:t>
      </w:r>
      <w:r w:rsidR="00E078B9" w:rsidRPr="002433F3">
        <w:rPr>
          <w:rFonts w:eastAsia="Calibri" w:cs="Times New Roman"/>
          <w:szCs w:val="20"/>
          <w:lang w:val="en-US"/>
        </w:rPr>
        <w:t xml:space="preserve">a </w:t>
      </w:r>
      <w:r w:rsidR="00D20F84" w:rsidRPr="002433F3">
        <w:rPr>
          <w:rFonts w:eastAsia="Calibri" w:cs="Times New Roman"/>
          <w:szCs w:val="20"/>
          <w:lang w:val="en-US"/>
        </w:rPr>
        <w:t xml:space="preserve">suggestion </w:t>
      </w:r>
      <w:r w:rsidRPr="002433F3">
        <w:rPr>
          <w:rFonts w:eastAsia="Calibri" w:cs="Times New Roman"/>
          <w:szCs w:val="20"/>
          <w:lang w:val="en-US"/>
        </w:rPr>
        <w:t>an</w:t>
      </w:r>
      <w:r w:rsidR="003629FB" w:rsidRPr="002433F3">
        <w:rPr>
          <w:rFonts w:eastAsia="Calibri" w:cs="Times New Roman"/>
          <w:szCs w:val="20"/>
          <w:lang w:val="en-US"/>
        </w:rPr>
        <w:t>d, therefore, not as a rule of international l</w:t>
      </w:r>
      <w:r w:rsidRPr="002433F3">
        <w:rPr>
          <w:rFonts w:eastAsia="Calibri" w:cs="Times New Roman"/>
          <w:szCs w:val="20"/>
          <w:lang w:val="en-US"/>
        </w:rPr>
        <w:t xml:space="preserve">aw </w:t>
      </w:r>
      <w:r w:rsidR="003629FB" w:rsidRPr="002433F3">
        <w:rPr>
          <w:rFonts w:eastAsia="Calibri" w:cs="Times New Roman"/>
          <w:szCs w:val="20"/>
          <w:lang w:val="en-US"/>
        </w:rPr>
        <w:t xml:space="preserve">or </w:t>
      </w:r>
      <w:r w:rsidRPr="002433F3">
        <w:rPr>
          <w:rFonts w:eastAsia="Calibri" w:cs="Times New Roman"/>
          <w:szCs w:val="20"/>
          <w:lang w:val="en-US"/>
        </w:rPr>
        <w:t xml:space="preserve">even as </w:t>
      </w:r>
      <w:r w:rsidR="003629FB" w:rsidRPr="002433F3">
        <w:rPr>
          <w:rFonts w:eastAsia="Calibri" w:cs="Times New Roman"/>
          <w:szCs w:val="20"/>
          <w:lang w:val="en-US"/>
        </w:rPr>
        <w:t xml:space="preserve">an </w:t>
      </w:r>
      <w:r w:rsidRPr="002433F3">
        <w:rPr>
          <w:rFonts w:eastAsia="Calibri" w:cs="Times New Roman"/>
          <w:szCs w:val="20"/>
          <w:lang w:val="en-US"/>
        </w:rPr>
        <w:t>interpretati</w:t>
      </w:r>
      <w:r w:rsidR="003629FB" w:rsidRPr="002433F3">
        <w:rPr>
          <w:rFonts w:eastAsia="Calibri" w:cs="Times New Roman"/>
          <w:szCs w:val="20"/>
          <w:lang w:val="en-US"/>
        </w:rPr>
        <w:t xml:space="preserve">on </w:t>
      </w:r>
      <w:r w:rsidRPr="002433F3">
        <w:rPr>
          <w:rFonts w:eastAsia="Calibri" w:cs="Times New Roman"/>
          <w:szCs w:val="20"/>
          <w:lang w:val="en-US"/>
        </w:rPr>
        <w:t>of the Convention.</w:t>
      </w:r>
      <w:r w:rsidRPr="002433F3">
        <w:rPr>
          <w:rFonts w:eastAsia="Calibri" w:cs="Times New Roman"/>
          <w:szCs w:val="20"/>
          <w:vertAlign w:val="superscript"/>
          <w:lang w:val="en-US"/>
        </w:rPr>
        <w:footnoteReference w:id="213"/>
      </w:r>
    </w:p>
    <w:p w14:paraId="4610FD9C" w14:textId="77777777" w:rsidR="007B0DE4" w:rsidRPr="002433F3" w:rsidRDefault="00D20F84" w:rsidP="007B0DE4">
      <w:pPr>
        <w:spacing w:before="240" w:after="200"/>
        <w:rPr>
          <w:rFonts w:eastAsia="Calibri" w:cs="Times New Roman"/>
          <w:szCs w:val="20"/>
          <w:lang w:val="en-US"/>
        </w:rPr>
      </w:pPr>
      <w:r w:rsidRPr="002433F3">
        <w:rPr>
          <w:rFonts w:eastAsia="Calibri" w:cs="Times New Roman"/>
          <w:szCs w:val="20"/>
          <w:lang w:val="en-US"/>
        </w:rPr>
        <w:t>A</w:t>
      </w:r>
      <w:r w:rsidR="008B395A" w:rsidRPr="002433F3">
        <w:rPr>
          <w:rFonts w:eastAsia="Calibri" w:cs="Times New Roman"/>
          <w:szCs w:val="20"/>
          <w:lang w:val="en-US"/>
        </w:rPr>
        <w:t xml:space="preserve">lso, </w:t>
      </w:r>
      <w:r w:rsidR="007B0DE4" w:rsidRPr="002433F3">
        <w:rPr>
          <w:rFonts w:eastAsia="Calibri" w:cs="Times New Roman"/>
          <w:szCs w:val="20"/>
          <w:lang w:val="en-US"/>
        </w:rPr>
        <w:t xml:space="preserve">when </w:t>
      </w:r>
      <w:r w:rsidR="001016D5">
        <w:rPr>
          <w:rFonts w:eastAsia="Calibri" w:cs="Times New Roman"/>
          <w:szCs w:val="20"/>
          <w:lang w:val="en-US"/>
        </w:rPr>
        <w:t>it alludes</w:t>
      </w:r>
      <w:r w:rsidR="00347398" w:rsidRPr="002433F3">
        <w:rPr>
          <w:rFonts w:eastAsia="Calibri" w:cs="Times New Roman"/>
          <w:szCs w:val="20"/>
          <w:lang w:val="en-US"/>
        </w:rPr>
        <w:t xml:space="preserve"> </w:t>
      </w:r>
      <w:r w:rsidR="00CA4419" w:rsidRPr="002433F3">
        <w:rPr>
          <w:rFonts w:eastAsia="Calibri" w:cs="Times New Roman"/>
          <w:szCs w:val="20"/>
          <w:lang w:val="en-US"/>
        </w:rPr>
        <w:t>to the situation in</w:t>
      </w:r>
      <w:r w:rsidR="007B0DE4" w:rsidRPr="002433F3">
        <w:rPr>
          <w:rFonts w:eastAsia="Calibri" w:cs="Times New Roman"/>
          <w:szCs w:val="20"/>
          <w:lang w:val="en-US"/>
        </w:rPr>
        <w:t xml:space="preserve"> States Parties </w:t>
      </w:r>
      <w:r w:rsidR="00753C9C" w:rsidRPr="002433F3">
        <w:rPr>
          <w:rFonts w:eastAsia="Calibri" w:cs="Times New Roman"/>
          <w:szCs w:val="20"/>
          <w:lang w:val="en-US"/>
        </w:rPr>
        <w:t xml:space="preserve">to </w:t>
      </w:r>
      <w:r w:rsidR="007B0DE4" w:rsidRPr="002433F3">
        <w:rPr>
          <w:rFonts w:eastAsia="Calibri" w:cs="Times New Roman"/>
          <w:szCs w:val="20"/>
          <w:lang w:val="en-US"/>
        </w:rPr>
        <w:t>the Convention, such as Uruguay</w:t>
      </w:r>
      <w:r w:rsidR="005B18C4" w:rsidRPr="002433F3">
        <w:rPr>
          <w:rFonts w:eastAsia="Calibri" w:cs="Times New Roman"/>
          <w:szCs w:val="20"/>
          <w:lang w:val="en-US"/>
        </w:rPr>
        <w:t>,</w:t>
      </w:r>
      <w:r w:rsidR="007B0DE4" w:rsidRPr="002433F3">
        <w:rPr>
          <w:rFonts w:eastAsia="Calibri" w:cs="Times New Roman"/>
          <w:szCs w:val="20"/>
          <w:vertAlign w:val="superscript"/>
          <w:lang w:val="en-US"/>
        </w:rPr>
        <w:footnoteReference w:id="214"/>
      </w:r>
      <w:r w:rsidR="007B0DE4" w:rsidRPr="002433F3">
        <w:rPr>
          <w:rFonts w:eastAsia="Calibri" w:cs="Times New Roman"/>
          <w:szCs w:val="20"/>
          <w:lang w:val="en-US"/>
        </w:rPr>
        <w:t xml:space="preserve"> Argentina</w:t>
      </w:r>
      <w:r w:rsidR="007B0DE4" w:rsidRPr="002433F3">
        <w:rPr>
          <w:rFonts w:eastAsia="Calibri" w:cs="Times New Roman"/>
          <w:szCs w:val="20"/>
          <w:vertAlign w:val="superscript"/>
          <w:lang w:val="en-US"/>
        </w:rPr>
        <w:footnoteReference w:id="215"/>
      </w:r>
      <w:r w:rsidR="007B0DE4" w:rsidRPr="002433F3">
        <w:rPr>
          <w:rFonts w:eastAsia="Calibri" w:cs="Times New Roman"/>
          <w:szCs w:val="20"/>
          <w:lang w:val="en-US"/>
        </w:rPr>
        <w:t xml:space="preserve"> and Brazil</w:t>
      </w:r>
      <w:r w:rsidR="007B0DE4" w:rsidRPr="002433F3">
        <w:rPr>
          <w:rFonts w:eastAsia="Calibri" w:cs="Times New Roman"/>
          <w:szCs w:val="20"/>
          <w:vertAlign w:val="superscript"/>
          <w:lang w:val="en-US"/>
        </w:rPr>
        <w:footnoteReference w:id="216"/>
      </w:r>
      <w:r w:rsidR="007B0DE4" w:rsidRPr="002433F3">
        <w:rPr>
          <w:rFonts w:eastAsia="Calibri" w:cs="Times New Roman"/>
          <w:szCs w:val="20"/>
          <w:lang w:val="en-US"/>
        </w:rPr>
        <w:t xml:space="preserve">, </w:t>
      </w:r>
      <w:r w:rsidR="00347398" w:rsidRPr="002433F3">
        <w:rPr>
          <w:rFonts w:eastAsia="Calibri" w:cs="Times New Roman"/>
          <w:szCs w:val="20"/>
          <w:lang w:val="en-US"/>
        </w:rPr>
        <w:t xml:space="preserve">the Judgment </w:t>
      </w:r>
      <w:r w:rsidR="00B2081D" w:rsidRPr="002433F3">
        <w:rPr>
          <w:rFonts w:eastAsia="Calibri" w:cs="Times New Roman"/>
          <w:szCs w:val="20"/>
          <w:lang w:val="en-US"/>
        </w:rPr>
        <w:t xml:space="preserve">appears to </w:t>
      </w:r>
      <w:r w:rsidR="00CA4419" w:rsidRPr="002433F3">
        <w:rPr>
          <w:rFonts w:eastAsia="Calibri" w:cs="Times New Roman"/>
          <w:szCs w:val="20"/>
          <w:lang w:val="en-US"/>
        </w:rPr>
        <w:t xml:space="preserve">equate </w:t>
      </w:r>
      <w:r w:rsidR="007B0DE4" w:rsidRPr="002433F3">
        <w:rPr>
          <w:rFonts w:eastAsia="Calibri" w:cs="Times New Roman"/>
          <w:szCs w:val="20"/>
          <w:lang w:val="en-US"/>
        </w:rPr>
        <w:t xml:space="preserve">civil or </w:t>
      </w:r>
      <w:r w:rsidR="007B0DE4" w:rsidRPr="002433F3">
        <w:rPr>
          <w:rFonts w:eastAsia="Calibri" w:cs="Times New Roman"/>
          <w:i/>
          <w:szCs w:val="20"/>
          <w:lang w:val="en-US"/>
        </w:rPr>
        <w:t>de facto</w:t>
      </w:r>
      <w:r w:rsidR="007B0DE4" w:rsidRPr="002433F3">
        <w:rPr>
          <w:rFonts w:eastAsia="Calibri" w:cs="Times New Roman"/>
          <w:szCs w:val="20"/>
          <w:lang w:val="en-US"/>
        </w:rPr>
        <w:t xml:space="preserve"> unions between persons of the same sex with marriage</w:t>
      </w:r>
      <w:r w:rsidR="00347398" w:rsidRPr="002433F3">
        <w:rPr>
          <w:rFonts w:eastAsia="Calibri" w:cs="Times New Roman"/>
          <w:szCs w:val="20"/>
          <w:lang w:val="en-US"/>
        </w:rPr>
        <w:t xml:space="preserve"> between such couples</w:t>
      </w:r>
      <w:r w:rsidR="00BE60C1" w:rsidRPr="002433F3">
        <w:rPr>
          <w:rFonts w:eastAsia="Calibri" w:cs="Times New Roman"/>
          <w:szCs w:val="20"/>
          <w:lang w:val="en-US"/>
        </w:rPr>
        <w:t>,</w:t>
      </w:r>
      <w:r w:rsidR="007B0DE4" w:rsidRPr="002433F3">
        <w:rPr>
          <w:rFonts w:eastAsia="Calibri" w:cs="Times New Roman"/>
          <w:szCs w:val="20"/>
          <w:lang w:val="en-US"/>
        </w:rPr>
        <w:t xml:space="preserve"> </w:t>
      </w:r>
      <w:r w:rsidR="00347398" w:rsidRPr="002433F3">
        <w:rPr>
          <w:rFonts w:eastAsia="Calibri" w:cs="Times New Roman"/>
          <w:szCs w:val="20"/>
          <w:lang w:val="en-US"/>
        </w:rPr>
        <w:t xml:space="preserve">whereas these </w:t>
      </w:r>
      <w:r w:rsidR="007B0DE4" w:rsidRPr="002433F3">
        <w:rPr>
          <w:rFonts w:eastAsia="Calibri" w:cs="Times New Roman"/>
          <w:szCs w:val="20"/>
          <w:lang w:val="en-US"/>
        </w:rPr>
        <w:t xml:space="preserve">are two different institutions and </w:t>
      </w:r>
      <w:r w:rsidR="00347398" w:rsidRPr="002433F3">
        <w:rPr>
          <w:rFonts w:eastAsia="Calibri" w:cs="Times New Roman"/>
          <w:szCs w:val="20"/>
          <w:lang w:val="en-US"/>
        </w:rPr>
        <w:t xml:space="preserve">are </w:t>
      </w:r>
      <w:r w:rsidR="007B0DE4" w:rsidRPr="002433F3">
        <w:rPr>
          <w:rFonts w:eastAsia="Calibri" w:cs="Times New Roman"/>
          <w:szCs w:val="20"/>
          <w:lang w:val="en-US"/>
        </w:rPr>
        <w:t xml:space="preserve">considered </w:t>
      </w:r>
      <w:r w:rsidR="00BE60C1" w:rsidRPr="002433F3">
        <w:rPr>
          <w:rFonts w:eastAsia="Calibri" w:cs="Times New Roman"/>
          <w:szCs w:val="20"/>
          <w:lang w:val="en-US"/>
        </w:rPr>
        <w:t xml:space="preserve">as such </w:t>
      </w:r>
      <w:r w:rsidR="007B0DE4" w:rsidRPr="002433F3">
        <w:rPr>
          <w:rFonts w:eastAsia="Calibri" w:cs="Times New Roman"/>
          <w:szCs w:val="20"/>
          <w:lang w:val="en-US"/>
        </w:rPr>
        <w:t>by the legislation of the States Parties to the Convention.</w:t>
      </w:r>
    </w:p>
    <w:p w14:paraId="14DE2097" w14:textId="77777777" w:rsidR="007B0DE4" w:rsidRPr="002433F3" w:rsidRDefault="00C43768" w:rsidP="007B0DE4">
      <w:pPr>
        <w:spacing w:before="240" w:after="200"/>
        <w:rPr>
          <w:rFonts w:eastAsia="Calibri" w:cs="Tahoma"/>
          <w:szCs w:val="20"/>
          <w:lang w:val="en-US"/>
        </w:rPr>
      </w:pPr>
      <w:r w:rsidRPr="002433F3">
        <w:rPr>
          <w:rFonts w:eastAsia="Calibri" w:cs="Tahoma"/>
          <w:szCs w:val="20"/>
          <w:lang w:val="en-US"/>
        </w:rPr>
        <w:t xml:space="preserve">The foregoing </w:t>
      </w:r>
      <w:r w:rsidR="00905CEB">
        <w:rPr>
          <w:rFonts w:eastAsia="Calibri" w:cs="Tahoma"/>
          <w:szCs w:val="20"/>
          <w:lang w:val="en-US"/>
        </w:rPr>
        <w:t xml:space="preserve">also </w:t>
      </w:r>
      <w:r w:rsidR="007B0DE4" w:rsidRPr="002433F3">
        <w:rPr>
          <w:rFonts w:eastAsia="Calibri" w:cs="Tahoma"/>
          <w:szCs w:val="20"/>
          <w:lang w:val="en-US"/>
        </w:rPr>
        <w:t xml:space="preserve">takes </w:t>
      </w:r>
      <w:r w:rsidR="007B0DE4" w:rsidRPr="001016D5">
        <w:rPr>
          <w:rFonts w:eastAsia="Calibri" w:cs="Tahoma"/>
          <w:szCs w:val="20"/>
          <w:lang w:val="en-US"/>
        </w:rPr>
        <w:t xml:space="preserve">account </w:t>
      </w:r>
      <w:r w:rsidR="001016D5" w:rsidRPr="001016D5">
        <w:rPr>
          <w:rFonts w:eastAsia="Calibri" w:cs="Tahoma"/>
          <w:szCs w:val="20"/>
          <w:lang w:val="en-US"/>
        </w:rPr>
        <w:t xml:space="preserve">of the fact </w:t>
      </w:r>
      <w:r w:rsidR="007B0DE4" w:rsidRPr="001016D5">
        <w:rPr>
          <w:rFonts w:eastAsia="Calibri" w:cs="Tahoma"/>
          <w:szCs w:val="20"/>
          <w:lang w:val="en-US"/>
        </w:rPr>
        <w:t xml:space="preserve">that the State’s </w:t>
      </w:r>
      <w:r w:rsidR="00347398" w:rsidRPr="001016D5">
        <w:rPr>
          <w:rFonts w:eastAsia="Calibri" w:cs="Tahoma"/>
          <w:szCs w:val="20"/>
          <w:lang w:val="en-US"/>
        </w:rPr>
        <w:t>recognition that the legislation in force in 2002 constituted an internationally</w:t>
      </w:r>
      <w:r w:rsidR="00347398" w:rsidRPr="002433F3">
        <w:rPr>
          <w:rFonts w:eastAsia="Calibri" w:cs="Tahoma"/>
          <w:szCs w:val="20"/>
          <w:lang w:val="en-US"/>
        </w:rPr>
        <w:t xml:space="preserve"> wrongful </w:t>
      </w:r>
      <w:r w:rsidR="00D73143" w:rsidRPr="002433F3">
        <w:rPr>
          <w:rFonts w:eastAsia="Calibri" w:cs="Tahoma"/>
          <w:szCs w:val="20"/>
          <w:lang w:val="en-US"/>
        </w:rPr>
        <w:t>act</w:t>
      </w:r>
      <w:r w:rsidR="00347398" w:rsidRPr="002433F3">
        <w:rPr>
          <w:rFonts w:eastAsia="Calibri" w:cs="Tahoma"/>
          <w:szCs w:val="20"/>
          <w:lang w:val="en-US"/>
        </w:rPr>
        <w:t>,</w:t>
      </w:r>
      <w:r w:rsidR="00D73143" w:rsidRPr="002433F3">
        <w:rPr>
          <w:rFonts w:eastAsia="Calibri" w:cs="Tahoma"/>
          <w:szCs w:val="20"/>
          <w:lang w:val="en-US"/>
        </w:rPr>
        <w:t xml:space="preserve"> </w:t>
      </w:r>
      <w:r w:rsidR="00905CEB">
        <w:rPr>
          <w:rFonts w:eastAsia="Calibri" w:cs="Tahoma"/>
          <w:szCs w:val="20"/>
          <w:lang w:val="en-US"/>
        </w:rPr>
        <w:t xml:space="preserve">on the one hand, </w:t>
      </w:r>
      <w:r w:rsidR="00347398" w:rsidRPr="002433F3">
        <w:rPr>
          <w:rFonts w:eastAsia="Calibri" w:cs="Tahoma"/>
          <w:szCs w:val="20"/>
          <w:lang w:val="en-US"/>
        </w:rPr>
        <w:t>is</w:t>
      </w:r>
      <w:r w:rsidR="007B0DE4" w:rsidRPr="002433F3">
        <w:rPr>
          <w:rFonts w:eastAsia="Calibri" w:cs="Tahoma"/>
          <w:szCs w:val="20"/>
          <w:lang w:val="en-US"/>
        </w:rPr>
        <w:t xml:space="preserve"> not binding for the Court</w:t>
      </w:r>
      <w:r w:rsidR="007B0DE4" w:rsidRPr="002433F3">
        <w:rPr>
          <w:rFonts w:eastAsia="Calibri" w:cs="Tahoma"/>
          <w:szCs w:val="20"/>
          <w:vertAlign w:val="superscript"/>
          <w:lang w:val="en-US"/>
        </w:rPr>
        <w:footnoteReference w:id="217"/>
      </w:r>
      <w:r w:rsidR="007B0DE4" w:rsidRPr="002433F3">
        <w:rPr>
          <w:rFonts w:eastAsia="Calibri" w:cs="Tahoma"/>
          <w:szCs w:val="20"/>
          <w:lang w:val="en-US"/>
        </w:rPr>
        <w:t xml:space="preserve"> and</w:t>
      </w:r>
      <w:r w:rsidR="00905CEB">
        <w:rPr>
          <w:rFonts w:eastAsia="Calibri" w:cs="Tahoma"/>
          <w:szCs w:val="20"/>
          <w:lang w:val="en-US"/>
        </w:rPr>
        <w:t>,</w:t>
      </w:r>
      <w:r w:rsidR="00347398" w:rsidRPr="002433F3">
        <w:rPr>
          <w:rFonts w:eastAsia="Calibri" w:cs="Tahoma"/>
          <w:szCs w:val="20"/>
          <w:lang w:val="en-US"/>
        </w:rPr>
        <w:t xml:space="preserve"> </w:t>
      </w:r>
      <w:r w:rsidR="00905CEB">
        <w:rPr>
          <w:rFonts w:eastAsia="Calibri" w:cs="Tahoma"/>
          <w:szCs w:val="20"/>
          <w:lang w:val="en-US"/>
        </w:rPr>
        <w:t xml:space="preserve">on the other </w:t>
      </w:r>
      <w:r w:rsidR="007B0DE4" w:rsidRPr="002433F3">
        <w:rPr>
          <w:rFonts w:eastAsia="Calibri" w:cs="Tahoma"/>
          <w:szCs w:val="20"/>
          <w:lang w:val="en-US"/>
        </w:rPr>
        <w:t xml:space="preserve">that </w:t>
      </w:r>
      <w:r w:rsidR="00347398" w:rsidRPr="002433F3">
        <w:rPr>
          <w:rFonts w:eastAsia="Calibri" w:cs="Tahoma"/>
          <w:szCs w:val="20"/>
          <w:lang w:val="en-US"/>
        </w:rPr>
        <w:t xml:space="preserve">it </w:t>
      </w:r>
      <w:r w:rsidR="007B0DE4" w:rsidRPr="002433F3">
        <w:rPr>
          <w:rFonts w:eastAsia="Calibri" w:cs="Tahoma"/>
          <w:szCs w:val="20"/>
          <w:lang w:val="en-US"/>
        </w:rPr>
        <w:t>was p</w:t>
      </w:r>
      <w:r w:rsidR="00347398" w:rsidRPr="002433F3">
        <w:rPr>
          <w:rFonts w:eastAsia="Calibri" w:cs="Tahoma"/>
          <w:szCs w:val="20"/>
          <w:lang w:val="en-US"/>
        </w:rPr>
        <w:t xml:space="preserve">resented with a view to arguing </w:t>
      </w:r>
      <w:r w:rsidR="007B0DE4" w:rsidRPr="002433F3">
        <w:rPr>
          <w:rFonts w:eastAsia="Calibri" w:cs="Tahoma"/>
          <w:szCs w:val="20"/>
          <w:lang w:val="en-US"/>
        </w:rPr>
        <w:t xml:space="preserve">that </w:t>
      </w:r>
      <w:r w:rsidR="00E12E61" w:rsidRPr="002433F3">
        <w:rPr>
          <w:rFonts w:eastAsia="Calibri" w:cs="Tahoma"/>
          <w:szCs w:val="20"/>
          <w:lang w:val="en-US"/>
        </w:rPr>
        <w:t xml:space="preserve">the </w:t>
      </w:r>
      <w:r w:rsidR="007B0DE4" w:rsidRPr="002433F3">
        <w:rPr>
          <w:rFonts w:eastAsia="Calibri" w:cs="Tahoma"/>
          <w:szCs w:val="20"/>
          <w:lang w:val="en-US"/>
        </w:rPr>
        <w:t>internationally wrongful act</w:t>
      </w:r>
      <w:r w:rsidR="00E12E61" w:rsidRPr="002433F3">
        <w:rPr>
          <w:rFonts w:eastAsia="Calibri" w:cs="Tahoma"/>
          <w:szCs w:val="20"/>
          <w:lang w:val="en-US"/>
        </w:rPr>
        <w:t xml:space="preserve"> had already ceased</w:t>
      </w:r>
      <w:r w:rsidR="007B0DE4" w:rsidRPr="002433F3">
        <w:rPr>
          <w:rFonts w:eastAsia="Calibri" w:cs="Tahoma"/>
          <w:szCs w:val="20"/>
          <w:lang w:val="en-US"/>
        </w:rPr>
        <w:t>.</w:t>
      </w:r>
      <w:r w:rsidR="007B0DE4" w:rsidRPr="002433F3">
        <w:rPr>
          <w:rFonts w:eastAsia="Calibri" w:cs="Tahoma"/>
          <w:szCs w:val="20"/>
          <w:vertAlign w:val="superscript"/>
          <w:lang w:val="en-US"/>
        </w:rPr>
        <w:footnoteReference w:id="218"/>
      </w:r>
      <w:r w:rsidR="007B0DE4" w:rsidRPr="002433F3">
        <w:rPr>
          <w:rFonts w:eastAsia="Calibri" w:cs="Tahoma"/>
          <w:szCs w:val="20"/>
          <w:lang w:val="en-US"/>
        </w:rPr>
        <w:t xml:space="preserve"> </w:t>
      </w:r>
    </w:p>
    <w:p w14:paraId="28950F4F" w14:textId="77777777" w:rsidR="007B0DE4" w:rsidRPr="002433F3" w:rsidRDefault="00D80057" w:rsidP="007B0DE4">
      <w:pPr>
        <w:spacing w:before="240" w:after="200"/>
        <w:rPr>
          <w:rFonts w:eastAsia="Times New Roman" w:cs="Tahoma"/>
          <w:szCs w:val="20"/>
          <w:lang w:val="en-US" w:eastAsia="es-CL"/>
        </w:rPr>
      </w:pPr>
      <w:r w:rsidRPr="002433F3">
        <w:rPr>
          <w:rFonts w:eastAsia="Times New Roman" w:cs="Times New Roman"/>
          <w:szCs w:val="20"/>
          <w:lang w:val="en-US" w:eastAsia="es-CL"/>
        </w:rPr>
        <w:t xml:space="preserve">It is clear, then, that at </w:t>
      </w:r>
      <w:r w:rsidR="007B0DE4" w:rsidRPr="002433F3">
        <w:rPr>
          <w:rFonts w:eastAsia="Times New Roman" w:cs="Times New Roman"/>
          <w:szCs w:val="20"/>
          <w:lang w:val="en-US" w:eastAsia="es-CL"/>
        </w:rPr>
        <w:t>the time of the fact</w:t>
      </w:r>
      <w:r w:rsidRPr="002433F3">
        <w:rPr>
          <w:rFonts w:eastAsia="Times New Roman" w:cs="Times New Roman"/>
          <w:szCs w:val="20"/>
          <w:lang w:val="en-US" w:eastAsia="es-CL"/>
        </w:rPr>
        <w:t>s</w:t>
      </w:r>
      <w:r w:rsidR="007B0DE4" w:rsidRPr="002433F3">
        <w:rPr>
          <w:rFonts w:eastAsia="Times New Roman" w:cs="Times New Roman"/>
          <w:szCs w:val="20"/>
          <w:lang w:val="en-US" w:eastAsia="es-CL"/>
        </w:rPr>
        <w:t xml:space="preserve"> that </w:t>
      </w:r>
      <w:r w:rsidR="001F0AF8" w:rsidRPr="002433F3">
        <w:rPr>
          <w:rFonts w:eastAsia="Times New Roman" w:cs="Times New Roman"/>
          <w:szCs w:val="20"/>
          <w:lang w:val="en-US" w:eastAsia="es-CL"/>
        </w:rPr>
        <w:t xml:space="preserve">would have </w:t>
      </w:r>
      <w:r w:rsidR="007B0DE4" w:rsidRPr="002433F3">
        <w:rPr>
          <w:rFonts w:eastAsia="Times New Roman" w:cs="Times New Roman"/>
          <w:szCs w:val="20"/>
          <w:lang w:val="en-US" w:eastAsia="es-CL"/>
        </w:rPr>
        <w:t>genera</w:t>
      </w:r>
      <w:r w:rsidR="008B3EA1" w:rsidRPr="002433F3">
        <w:rPr>
          <w:rFonts w:eastAsia="Times New Roman" w:cs="Times New Roman"/>
          <w:szCs w:val="20"/>
          <w:lang w:val="en-US" w:eastAsia="es-CL"/>
        </w:rPr>
        <w:t xml:space="preserve">ted </w:t>
      </w:r>
      <w:r w:rsidRPr="002433F3">
        <w:rPr>
          <w:rFonts w:eastAsia="Times New Roman" w:cs="Times New Roman"/>
          <w:szCs w:val="20"/>
          <w:lang w:val="en-US" w:eastAsia="es-CL"/>
        </w:rPr>
        <w:t xml:space="preserve">the State’s </w:t>
      </w:r>
      <w:r w:rsidR="007B0DE4" w:rsidRPr="002433F3">
        <w:rPr>
          <w:rFonts w:eastAsia="Times New Roman" w:cs="Times New Roman"/>
          <w:szCs w:val="20"/>
          <w:lang w:val="en-US" w:eastAsia="es-CL"/>
        </w:rPr>
        <w:t>international responsibility</w:t>
      </w:r>
      <w:r w:rsidRPr="002433F3">
        <w:rPr>
          <w:rFonts w:eastAsia="Times New Roman" w:cs="Times New Roman"/>
          <w:szCs w:val="20"/>
          <w:lang w:val="en-US" w:eastAsia="es-CL"/>
        </w:rPr>
        <w:t>,</w:t>
      </w:r>
      <w:r w:rsidR="007B0DE4" w:rsidRPr="002433F3">
        <w:rPr>
          <w:rFonts w:eastAsia="Times New Roman" w:cs="Times New Roman"/>
          <w:szCs w:val="20"/>
          <w:lang w:val="en-US" w:eastAsia="es-CL"/>
        </w:rPr>
        <w:t xml:space="preserve"> </w:t>
      </w:r>
      <w:r w:rsidRPr="002433F3">
        <w:rPr>
          <w:rFonts w:eastAsia="Times New Roman" w:cs="Times New Roman"/>
          <w:szCs w:val="20"/>
          <w:lang w:val="en-US" w:eastAsia="es-CL"/>
        </w:rPr>
        <w:t xml:space="preserve">the concept </w:t>
      </w:r>
      <w:r w:rsidR="007B0DE4" w:rsidRPr="002433F3">
        <w:rPr>
          <w:rFonts w:eastAsia="Times New Roman" w:cs="Times New Roman"/>
          <w:szCs w:val="20"/>
          <w:lang w:val="en-US" w:eastAsia="es-CL"/>
        </w:rPr>
        <w:t xml:space="preserve">of </w:t>
      </w:r>
      <w:r w:rsidR="007B0DE4" w:rsidRPr="002433F3">
        <w:rPr>
          <w:rFonts w:eastAsia="Times New Roman" w:cs="Times New Roman"/>
          <w:i/>
          <w:szCs w:val="20"/>
          <w:lang w:val="en-US" w:eastAsia="es-CL"/>
        </w:rPr>
        <w:t>de facto</w:t>
      </w:r>
      <w:r w:rsidR="007B0DE4" w:rsidRPr="002433F3">
        <w:rPr>
          <w:rFonts w:eastAsia="Times New Roman" w:cs="Times New Roman"/>
          <w:szCs w:val="20"/>
          <w:lang w:val="en-US" w:eastAsia="es-CL"/>
        </w:rPr>
        <w:t xml:space="preserve"> or civil union and </w:t>
      </w:r>
      <w:r w:rsidR="001F0AF8" w:rsidRPr="002433F3">
        <w:rPr>
          <w:rFonts w:eastAsia="Times New Roman" w:cs="Times New Roman"/>
          <w:szCs w:val="20"/>
          <w:lang w:val="en-US" w:eastAsia="es-CL"/>
        </w:rPr>
        <w:t xml:space="preserve">its </w:t>
      </w:r>
      <w:r w:rsidR="007B0DE4" w:rsidRPr="002433F3">
        <w:rPr>
          <w:rFonts w:eastAsia="Times New Roman" w:cs="Times New Roman"/>
          <w:szCs w:val="20"/>
          <w:lang w:val="en-US" w:eastAsia="es-CL"/>
        </w:rPr>
        <w:t xml:space="preserve">consequences, </w:t>
      </w:r>
      <w:r w:rsidRPr="002433F3">
        <w:rPr>
          <w:rFonts w:eastAsia="Times New Roman" w:cs="Times New Roman"/>
          <w:szCs w:val="20"/>
          <w:lang w:val="en-US" w:eastAsia="es-CL"/>
        </w:rPr>
        <w:t xml:space="preserve">including issues </w:t>
      </w:r>
      <w:r w:rsidR="001F0AF8" w:rsidRPr="002433F3">
        <w:rPr>
          <w:rFonts w:eastAsia="Times New Roman" w:cs="Times New Roman"/>
          <w:szCs w:val="20"/>
          <w:lang w:val="en-US" w:eastAsia="es-CL"/>
        </w:rPr>
        <w:t xml:space="preserve">pertaining to </w:t>
      </w:r>
      <w:r w:rsidRPr="002433F3">
        <w:rPr>
          <w:rFonts w:eastAsia="Times New Roman" w:cs="Times New Roman"/>
          <w:szCs w:val="20"/>
          <w:lang w:val="en-US" w:eastAsia="es-CL"/>
        </w:rPr>
        <w:t xml:space="preserve">the </w:t>
      </w:r>
      <w:r w:rsidR="007B0DE4" w:rsidRPr="002433F3">
        <w:rPr>
          <w:rFonts w:eastAsia="Times New Roman" w:cs="Times New Roman"/>
          <w:szCs w:val="20"/>
          <w:lang w:val="en-US" w:eastAsia="es-CL"/>
        </w:rPr>
        <w:t>survivor’s pension, was not a matter regulated by international law</w:t>
      </w:r>
      <w:r w:rsidR="001F0AF8" w:rsidRPr="002433F3">
        <w:rPr>
          <w:rFonts w:eastAsia="Times New Roman" w:cs="Times New Roman"/>
          <w:szCs w:val="20"/>
          <w:lang w:val="en-US" w:eastAsia="es-CL"/>
        </w:rPr>
        <w:t xml:space="preserve">, </w:t>
      </w:r>
      <w:r w:rsidR="001D6C19" w:rsidRPr="002433F3">
        <w:rPr>
          <w:rFonts w:eastAsia="Times New Roman" w:cs="Times New Roman"/>
          <w:szCs w:val="20"/>
          <w:lang w:val="en-US" w:eastAsia="es-CL"/>
        </w:rPr>
        <w:t xml:space="preserve">or </w:t>
      </w:r>
      <w:r w:rsidR="001F0AF8" w:rsidRPr="002433F3">
        <w:rPr>
          <w:rFonts w:eastAsia="Times New Roman" w:cs="Times New Roman"/>
          <w:szCs w:val="20"/>
          <w:lang w:val="en-US" w:eastAsia="es-CL"/>
        </w:rPr>
        <w:t>by the Convention,</w:t>
      </w:r>
      <w:r w:rsidR="007B0DE4" w:rsidRPr="002433F3">
        <w:rPr>
          <w:rFonts w:eastAsia="Times New Roman" w:cs="Times New Roman"/>
          <w:szCs w:val="20"/>
          <w:lang w:val="en-US" w:eastAsia="es-CL"/>
        </w:rPr>
        <w:t xml:space="preserve"> </w:t>
      </w:r>
      <w:r w:rsidR="001F0AF8" w:rsidRPr="002433F3">
        <w:rPr>
          <w:rFonts w:eastAsia="Times New Roman" w:cs="Times New Roman"/>
          <w:szCs w:val="20"/>
          <w:lang w:val="en-US" w:eastAsia="es-CL"/>
        </w:rPr>
        <w:t xml:space="preserve">and applicable to the </w:t>
      </w:r>
      <w:r w:rsidR="001D6C19" w:rsidRPr="002433F3">
        <w:rPr>
          <w:rFonts w:eastAsia="Times New Roman" w:cs="Times New Roman"/>
          <w:szCs w:val="20"/>
          <w:lang w:val="en-US" w:eastAsia="es-CL"/>
        </w:rPr>
        <w:t xml:space="preserve">instant </w:t>
      </w:r>
      <w:r w:rsidR="001F0AF8" w:rsidRPr="002433F3">
        <w:rPr>
          <w:rFonts w:eastAsia="Times New Roman" w:cs="Times New Roman"/>
          <w:szCs w:val="20"/>
          <w:lang w:val="en-US" w:eastAsia="es-CL"/>
        </w:rPr>
        <w:t>case.</w:t>
      </w:r>
      <w:r w:rsidR="007B0DE4" w:rsidRPr="002433F3">
        <w:rPr>
          <w:rFonts w:eastAsia="Times New Roman" w:cs="Times New Roman"/>
          <w:szCs w:val="20"/>
          <w:lang w:val="en-US" w:eastAsia="es-CL"/>
        </w:rPr>
        <w:t xml:space="preserve"> </w:t>
      </w:r>
      <w:r w:rsidR="001F0AF8" w:rsidRPr="002433F3">
        <w:rPr>
          <w:rFonts w:eastAsia="Times New Roman" w:cs="Times New Roman"/>
          <w:szCs w:val="20"/>
          <w:lang w:val="en-US" w:eastAsia="es-CL"/>
        </w:rPr>
        <w:t>R</w:t>
      </w:r>
      <w:r w:rsidR="00537FF5" w:rsidRPr="002433F3">
        <w:rPr>
          <w:rFonts w:eastAsia="Times New Roman" w:cs="Times New Roman"/>
          <w:szCs w:val="20"/>
          <w:lang w:val="en-US" w:eastAsia="es-CL"/>
        </w:rPr>
        <w:t>ather</w:t>
      </w:r>
      <w:r w:rsidR="001F0AF8" w:rsidRPr="002433F3">
        <w:rPr>
          <w:rFonts w:eastAsia="Times New Roman" w:cs="Times New Roman"/>
          <w:szCs w:val="20"/>
          <w:lang w:val="en-US" w:eastAsia="es-CL"/>
        </w:rPr>
        <w:t>, it</w:t>
      </w:r>
      <w:r w:rsidR="00537FF5" w:rsidRPr="002433F3">
        <w:rPr>
          <w:rFonts w:eastAsia="Times New Roman" w:cs="Times New Roman"/>
          <w:szCs w:val="20"/>
          <w:lang w:val="en-US" w:eastAsia="es-CL"/>
        </w:rPr>
        <w:t xml:space="preserve"> </w:t>
      </w:r>
      <w:r w:rsidR="00537FF5" w:rsidRPr="002433F3">
        <w:rPr>
          <w:rFonts w:eastAsia="Times New Roman" w:cs="Times New Roman"/>
          <w:szCs w:val="20"/>
          <w:lang w:val="en-US" w:eastAsia="es-CL"/>
        </w:rPr>
        <w:lastRenderedPageBreak/>
        <w:t>was a matter for the States</w:t>
      </w:r>
      <w:r w:rsidR="00537FF5" w:rsidRPr="002433F3">
        <w:rPr>
          <w:rFonts w:eastAsia="Times New Roman" w:cs="Times New Roman"/>
          <w:szCs w:val="20"/>
          <w:lang w:val="en-GB" w:eastAsia="es-CL"/>
        </w:rPr>
        <w:t>’</w:t>
      </w:r>
      <w:r w:rsidR="00537FF5" w:rsidRPr="002433F3">
        <w:rPr>
          <w:rFonts w:eastAsia="Times New Roman" w:cs="Times New Roman"/>
          <w:szCs w:val="20"/>
          <w:lang w:val="en-US" w:eastAsia="es-CL"/>
        </w:rPr>
        <w:t xml:space="preserve"> </w:t>
      </w:r>
      <w:r w:rsidR="00D20F84" w:rsidRPr="00905CEB">
        <w:rPr>
          <w:rFonts w:eastAsia="Times New Roman" w:cs="Times New Roman"/>
          <w:szCs w:val="20"/>
          <w:lang w:val="en-US" w:eastAsia="es-CL"/>
        </w:rPr>
        <w:t xml:space="preserve">domestic, national or exclusive </w:t>
      </w:r>
      <w:r w:rsidR="007B0DE4" w:rsidRPr="00905CEB">
        <w:rPr>
          <w:rFonts w:eastAsia="Times New Roman" w:cs="Times New Roman"/>
          <w:szCs w:val="20"/>
          <w:lang w:val="en-US" w:eastAsia="es-CL"/>
        </w:rPr>
        <w:t xml:space="preserve">jurisdiction or, </w:t>
      </w:r>
      <w:r w:rsidR="00D20F84" w:rsidRPr="00905CEB">
        <w:rPr>
          <w:rFonts w:eastAsia="Times New Roman" w:cs="Times New Roman"/>
          <w:szCs w:val="20"/>
          <w:lang w:val="en-US" w:eastAsia="es-CL"/>
        </w:rPr>
        <w:t>if preferred</w:t>
      </w:r>
      <w:r w:rsidR="007B0DE4" w:rsidRPr="00905CEB">
        <w:rPr>
          <w:rFonts w:eastAsia="Times New Roman" w:cs="Times New Roman"/>
          <w:szCs w:val="20"/>
          <w:lang w:val="en-US" w:eastAsia="es-CL"/>
        </w:rPr>
        <w:t xml:space="preserve">, </w:t>
      </w:r>
      <w:r w:rsidR="001D6C19" w:rsidRPr="00905CEB">
        <w:rPr>
          <w:rFonts w:eastAsia="Times New Roman" w:cs="Times New Roman"/>
          <w:szCs w:val="20"/>
          <w:lang w:val="en-US" w:eastAsia="es-CL"/>
        </w:rPr>
        <w:t xml:space="preserve">a </w:t>
      </w:r>
      <w:r w:rsidR="007B0DE4" w:rsidRPr="00905CEB">
        <w:rPr>
          <w:rFonts w:eastAsia="Times New Roman" w:cs="Times New Roman"/>
          <w:szCs w:val="20"/>
          <w:lang w:val="en-US" w:eastAsia="es-CL"/>
        </w:rPr>
        <w:t xml:space="preserve">matter </w:t>
      </w:r>
      <w:r w:rsidR="001D6C19" w:rsidRPr="00905CEB">
        <w:rPr>
          <w:rFonts w:eastAsia="Times New Roman" w:cs="Times New Roman"/>
          <w:szCs w:val="20"/>
          <w:lang w:val="en-US" w:eastAsia="es-CL"/>
        </w:rPr>
        <w:t xml:space="preserve">that falls </w:t>
      </w:r>
      <w:r w:rsidR="00BA42B8" w:rsidRPr="00905CEB">
        <w:rPr>
          <w:rFonts w:eastAsia="Times New Roman" w:cs="Times New Roman"/>
          <w:szCs w:val="20"/>
          <w:lang w:val="en-US" w:eastAsia="es-CL"/>
        </w:rPr>
        <w:t xml:space="preserve">within </w:t>
      </w:r>
      <w:r w:rsidR="007B0DE4" w:rsidRPr="00905CEB">
        <w:rPr>
          <w:rFonts w:eastAsia="Times New Roman" w:cs="Times New Roman"/>
          <w:szCs w:val="20"/>
          <w:lang w:val="en-US" w:eastAsia="es-CL"/>
        </w:rPr>
        <w:t>the margin of appreciation</w:t>
      </w:r>
      <w:r w:rsidR="007B0DE4" w:rsidRPr="002433F3">
        <w:rPr>
          <w:rFonts w:eastAsia="Times New Roman" w:cs="Times New Roman"/>
          <w:szCs w:val="20"/>
          <w:lang w:val="en-US" w:eastAsia="es-CL"/>
        </w:rPr>
        <w:t xml:space="preserve"> enjoyed by the States </w:t>
      </w:r>
      <w:r w:rsidR="001D6C19" w:rsidRPr="002433F3">
        <w:rPr>
          <w:rFonts w:eastAsia="Times New Roman" w:cs="Times New Roman"/>
          <w:szCs w:val="20"/>
          <w:lang w:val="en-US" w:eastAsia="es-CL"/>
        </w:rPr>
        <w:t xml:space="preserve">when applying </w:t>
      </w:r>
      <w:r w:rsidR="007B0DE4" w:rsidRPr="002433F3">
        <w:rPr>
          <w:rFonts w:eastAsia="Times New Roman" w:cs="Times New Roman"/>
          <w:szCs w:val="20"/>
          <w:lang w:val="en-US" w:eastAsia="es-CL"/>
        </w:rPr>
        <w:t>international</w:t>
      </w:r>
      <w:r w:rsidR="00D73143" w:rsidRPr="002433F3">
        <w:rPr>
          <w:rFonts w:eastAsia="Times New Roman" w:cs="Times New Roman"/>
          <w:szCs w:val="20"/>
          <w:lang w:val="en-US" w:eastAsia="es-CL"/>
        </w:rPr>
        <w:t xml:space="preserve"> conventional norms</w:t>
      </w:r>
      <w:r w:rsidR="007B0DE4" w:rsidRPr="002433F3">
        <w:rPr>
          <w:rFonts w:eastAsia="Times New Roman" w:cs="Times New Roman"/>
          <w:szCs w:val="20"/>
          <w:lang w:val="en-US" w:eastAsia="es-CL"/>
        </w:rPr>
        <w:t>.</w:t>
      </w:r>
      <w:r w:rsidR="007B0DE4" w:rsidRPr="002433F3">
        <w:rPr>
          <w:rFonts w:eastAsia="Times New Roman" w:cs="Times New Roman"/>
          <w:szCs w:val="20"/>
          <w:vertAlign w:val="superscript"/>
          <w:lang w:val="en-US" w:eastAsia="es-CL"/>
        </w:rPr>
        <w:footnoteReference w:id="219"/>
      </w:r>
      <w:r w:rsidR="007B0DE4" w:rsidRPr="002433F3">
        <w:rPr>
          <w:rFonts w:eastAsia="Times New Roman" w:cs="Times New Roman"/>
          <w:szCs w:val="20"/>
          <w:lang w:val="en-US" w:eastAsia="es-CL"/>
        </w:rPr>
        <w:t xml:space="preserve"> </w:t>
      </w:r>
      <w:r w:rsidR="00E12E61" w:rsidRPr="002433F3">
        <w:rPr>
          <w:rFonts w:eastAsia="Times New Roman" w:cs="Times New Roman"/>
          <w:szCs w:val="20"/>
          <w:lang w:val="en-US" w:eastAsia="es-CL"/>
        </w:rPr>
        <w:t xml:space="preserve">In this regard, </w:t>
      </w:r>
      <w:r w:rsidR="001D6C19" w:rsidRPr="002433F3">
        <w:rPr>
          <w:rFonts w:eastAsia="Times New Roman" w:cs="Times New Roman"/>
          <w:szCs w:val="20"/>
          <w:lang w:val="en-US" w:eastAsia="es-CL"/>
        </w:rPr>
        <w:t xml:space="preserve">we should </w:t>
      </w:r>
      <w:r w:rsidR="00E12E61" w:rsidRPr="002433F3">
        <w:rPr>
          <w:rFonts w:eastAsia="Times New Roman" w:cs="Times New Roman"/>
          <w:szCs w:val="20"/>
          <w:lang w:val="en-US" w:eastAsia="es-CL"/>
        </w:rPr>
        <w:t xml:space="preserve">bear in mind </w:t>
      </w:r>
      <w:r w:rsidR="007B0DE4" w:rsidRPr="002433F3">
        <w:rPr>
          <w:rFonts w:eastAsia="Times New Roman" w:cs="Times New Roman"/>
          <w:szCs w:val="20"/>
          <w:lang w:val="en-US" w:eastAsia="es-CL"/>
        </w:rPr>
        <w:t xml:space="preserve">that </w:t>
      </w:r>
      <w:r w:rsidR="00905CEB">
        <w:rPr>
          <w:rFonts w:eastAsia="Times New Roman" w:cs="Times New Roman"/>
          <w:szCs w:val="20"/>
          <w:lang w:val="en-US" w:eastAsia="es-CL"/>
        </w:rPr>
        <w:t xml:space="preserve">a </w:t>
      </w:r>
      <w:r w:rsidR="00FB619F" w:rsidRPr="002433F3">
        <w:rPr>
          <w:rFonts w:eastAsia="Times New Roman" w:cs="Times New Roman"/>
          <w:szCs w:val="20"/>
          <w:lang w:val="en-US" w:eastAsia="es-CL"/>
        </w:rPr>
        <w:t xml:space="preserve">State’s </w:t>
      </w:r>
      <w:r w:rsidR="007B0DE4" w:rsidRPr="002433F3">
        <w:rPr>
          <w:rFonts w:eastAsia="Times New Roman" w:cs="Times New Roman"/>
          <w:szCs w:val="20"/>
          <w:lang w:val="en-US" w:eastAsia="es-CL"/>
        </w:rPr>
        <w:t>domestic, national or ex</w:t>
      </w:r>
      <w:r w:rsidR="00D73143" w:rsidRPr="002433F3">
        <w:rPr>
          <w:rFonts w:eastAsia="Times New Roman" w:cs="Times New Roman"/>
          <w:szCs w:val="20"/>
          <w:lang w:val="en-US" w:eastAsia="es-CL"/>
        </w:rPr>
        <w:t>c</w:t>
      </w:r>
      <w:r w:rsidR="007B0DE4" w:rsidRPr="002433F3">
        <w:rPr>
          <w:rFonts w:eastAsia="Times New Roman" w:cs="Times New Roman"/>
          <w:szCs w:val="20"/>
          <w:lang w:val="en-US" w:eastAsia="es-CL"/>
        </w:rPr>
        <w:t xml:space="preserve">lusive jurisdiction </w:t>
      </w:r>
      <w:r w:rsidR="00D20F84" w:rsidRPr="002433F3">
        <w:rPr>
          <w:rFonts w:eastAsia="Times New Roman" w:cs="Times New Roman"/>
          <w:szCs w:val="20"/>
          <w:lang w:val="en-US" w:eastAsia="es-CL"/>
        </w:rPr>
        <w:t xml:space="preserve">is </w:t>
      </w:r>
      <w:r w:rsidR="00FB619F" w:rsidRPr="002433F3">
        <w:rPr>
          <w:rFonts w:eastAsia="Times New Roman" w:cs="Times New Roman"/>
          <w:szCs w:val="20"/>
          <w:lang w:val="en-US" w:eastAsia="es-CL"/>
        </w:rPr>
        <w:t xml:space="preserve">comprised of </w:t>
      </w:r>
      <w:r w:rsidR="007B0DE4" w:rsidRPr="002433F3">
        <w:rPr>
          <w:rFonts w:eastAsia="Times New Roman" w:cs="Times New Roman"/>
          <w:szCs w:val="20"/>
          <w:lang w:val="en-US" w:eastAsia="es-CL"/>
        </w:rPr>
        <w:t>all mat</w:t>
      </w:r>
      <w:r w:rsidR="00BA42B8" w:rsidRPr="002433F3">
        <w:rPr>
          <w:rFonts w:eastAsia="Times New Roman" w:cs="Times New Roman"/>
          <w:szCs w:val="20"/>
          <w:lang w:val="en-US" w:eastAsia="es-CL"/>
        </w:rPr>
        <w:t>ter</w:t>
      </w:r>
      <w:r w:rsidR="00FB619F" w:rsidRPr="002433F3">
        <w:rPr>
          <w:rFonts w:eastAsia="Times New Roman" w:cs="Times New Roman"/>
          <w:szCs w:val="20"/>
          <w:lang w:val="en-US" w:eastAsia="es-CL"/>
        </w:rPr>
        <w:t xml:space="preserve">s or facets thereof that are </w:t>
      </w:r>
      <w:r w:rsidR="007B0DE4" w:rsidRPr="002433F3">
        <w:rPr>
          <w:rFonts w:eastAsia="Times New Roman" w:cs="Times New Roman"/>
          <w:szCs w:val="20"/>
          <w:lang w:val="en-US" w:eastAsia="es-CL"/>
        </w:rPr>
        <w:t>not regulated by in</w:t>
      </w:r>
      <w:r w:rsidR="00FB619F" w:rsidRPr="002433F3">
        <w:rPr>
          <w:rFonts w:eastAsia="Times New Roman" w:cs="Times New Roman"/>
          <w:szCs w:val="20"/>
          <w:lang w:val="en-US" w:eastAsia="es-CL"/>
        </w:rPr>
        <w:t>ternational law. This means</w:t>
      </w:r>
      <w:r w:rsidR="000E7FC1" w:rsidRPr="002433F3">
        <w:rPr>
          <w:rFonts w:eastAsia="Times New Roman" w:cs="Times New Roman"/>
          <w:szCs w:val="20"/>
          <w:lang w:val="en-US" w:eastAsia="es-CL"/>
        </w:rPr>
        <w:t xml:space="preserve"> </w:t>
      </w:r>
      <w:r w:rsidR="00FB619F" w:rsidRPr="002433F3">
        <w:rPr>
          <w:rFonts w:eastAsia="Times New Roman" w:cs="Times New Roman"/>
          <w:szCs w:val="20"/>
          <w:lang w:val="en-US" w:eastAsia="es-CL"/>
        </w:rPr>
        <w:t xml:space="preserve">that any matter not contemplated </w:t>
      </w:r>
      <w:r w:rsidR="007B0DE4" w:rsidRPr="002433F3">
        <w:rPr>
          <w:rFonts w:eastAsia="Times New Roman" w:cs="Times New Roman"/>
          <w:szCs w:val="20"/>
          <w:lang w:val="en-US" w:eastAsia="es-CL"/>
        </w:rPr>
        <w:t>by th</w:t>
      </w:r>
      <w:r w:rsidR="00D20F84" w:rsidRPr="002433F3">
        <w:rPr>
          <w:rFonts w:eastAsia="Times New Roman" w:cs="Times New Roman"/>
          <w:szCs w:val="20"/>
          <w:lang w:val="en-US" w:eastAsia="es-CL"/>
        </w:rPr>
        <w:t>e latter</w:t>
      </w:r>
      <w:r w:rsidR="007B0DE4" w:rsidRPr="002433F3">
        <w:rPr>
          <w:rFonts w:eastAsia="Times New Roman" w:cs="Times New Roman"/>
          <w:szCs w:val="20"/>
          <w:lang w:val="en-US" w:eastAsia="es-CL"/>
        </w:rPr>
        <w:t xml:space="preserve">, </w:t>
      </w:r>
      <w:r w:rsidR="00123AEE" w:rsidRPr="002433F3">
        <w:rPr>
          <w:rFonts w:eastAsia="Times New Roman" w:cs="Times New Roman"/>
          <w:szCs w:val="20"/>
          <w:lang w:val="en-US" w:eastAsia="es-CL"/>
        </w:rPr>
        <w:t>is no longer</w:t>
      </w:r>
      <w:r w:rsidR="007B0DE4" w:rsidRPr="002433F3">
        <w:rPr>
          <w:rFonts w:eastAsia="Times New Roman" w:cs="Times New Roman"/>
          <w:szCs w:val="20"/>
          <w:lang w:val="en-US" w:eastAsia="es-CL"/>
        </w:rPr>
        <w:t xml:space="preserve"> </w:t>
      </w:r>
      <w:r w:rsidR="00FB619F" w:rsidRPr="002433F3">
        <w:rPr>
          <w:rFonts w:eastAsia="Times New Roman" w:cs="Times New Roman"/>
          <w:szCs w:val="20"/>
          <w:lang w:val="en-US" w:eastAsia="es-CL"/>
        </w:rPr>
        <w:t>a matter that concerns it</w:t>
      </w:r>
      <w:r w:rsidR="007B0DE4" w:rsidRPr="002433F3">
        <w:rPr>
          <w:rFonts w:eastAsia="Times New Roman" w:cs="Times New Roman"/>
          <w:szCs w:val="20"/>
          <w:lang w:val="en-US" w:eastAsia="es-CL"/>
        </w:rPr>
        <w:t xml:space="preserve">. </w:t>
      </w:r>
      <w:r w:rsidR="00FB619F" w:rsidRPr="002433F3">
        <w:rPr>
          <w:rFonts w:eastAsia="Times New Roman" w:cs="Times New Roman"/>
          <w:szCs w:val="20"/>
          <w:lang w:val="en-US" w:eastAsia="es-CL"/>
        </w:rPr>
        <w:t xml:space="preserve">Therefore, it follows that </w:t>
      </w:r>
      <w:r w:rsidR="00D20F84" w:rsidRPr="002433F3">
        <w:rPr>
          <w:rFonts w:eastAsia="Times New Roman" w:cs="Times New Roman"/>
          <w:szCs w:val="20"/>
          <w:lang w:val="en-US" w:eastAsia="es-CL"/>
        </w:rPr>
        <w:t>international l</w:t>
      </w:r>
      <w:r w:rsidR="007B0DE4" w:rsidRPr="002433F3">
        <w:rPr>
          <w:rFonts w:eastAsia="Times New Roman" w:cs="Times New Roman"/>
          <w:szCs w:val="20"/>
          <w:lang w:val="en-US" w:eastAsia="es-CL"/>
        </w:rPr>
        <w:t xml:space="preserve">aw </w:t>
      </w:r>
      <w:r w:rsidR="00F3282E" w:rsidRPr="002433F3">
        <w:rPr>
          <w:rFonts w:eastAsia="Times New Roman" w:cs="Times New Roman"/>
          <w:szCs w:val="20"/>
          <w:lang w:val="en-US" w:eastAsia="es-CL"/>
        </w:rPr>
        <w:t xml:space="preserve">does not encompass </w:t>
      </w:r>
      <w:r w:rsidR="007B0DE4" w:rsidRPr="002433F3">
        <w:rPr>
          <w:rFonts w:eastAsia="Times New Roman" w:cs="Times New Roman"/>
          <w:szCs w:val="20"/>
          <w:lang w:val="en-US" w:eastAsia="es-CL"/>
        </w:rPr>
        <w:t xml:space="preserve">all human activities, </w:t>
      </w:r>
      <w:r w:rsidR="00FB619F" w:rsidRPr="002433F3">
        <w:rPr>
          <w:rFonts w:eastAsia="Times New Roman" w:cs="Times New Roman"/>
          <w:szCs w:val="20"/>
          <w:lang w:val="en-US" w:eastAsia="es-CL"/>
        </w:rPr>
        <w:t xml:space="preserve">leaving </w:t>
      </w:r>
      <w:r w:rsidR="007B0DE4" w:rsidRPr="002433F3">
        <w:rPr>
          <w:rFonts w:eastAsia="Times New Roman" w:cs="Times New Roman"/>
          <w:szCs w:val="20"/>
          <w:lang w:val="en-US" w:eastAsia="es-CL"/>
        </w:rPr>
        <w:t>th</w:t>
      </w:r>
      <w:r w:rsidR="00FB619F" w:rsidRPr="002433F3">
        <w:rPr>
          <w:rFonts w:eastAsia="Times New Roman" w:cs="Times New Roman"/>
          <w:szCs w:val="20"/>
          <w:lang w:val="en-US" w:eastAsia="es-CL"/>
        </w:rPr>
        <w:t>os</w:t>
      </w:r>
      <w:r w:rsidR="007B0DE4" w:rsidRPr="002433F3">
        <w:rPr>
          <w:rFonts w:eastAsia="Times New Roman" w:cs="Times New Roman"/>
          <w:szCs w:val="20"/>
          <w:lang w:val="en-US" w:eastAsia="es-CL"/>
        </w:rPr>
        <w:t xml:space="preserve">e </w:t>
      </w:r>
      <w:r w:rsidR="00FB619F" w:rsidRPr="002433F3">
        <w:rPr>
          <w:rFonts w:eastAsia="Times New Roman" w:cs="Times New Roman"/>
          <w:szCs w:val="20"/>
          <w:lang w:val="en-US" w:eastAsia="es-CL"/>
        </w:rPr>
        <w:t xml:space="preserve">matters that it does not regulate under the </w:t>
      </w:r>
      <w:r w:rsidR="007B0DE4" w:rsidRPr="002433F3">
        <w:rPr>
          <w:rFonts w:eastAsia="Times New Roman" w:cs="Times New Roman"/>
          <w:szCs w:val="20"/>
          <w:lang w:val="en-US" w:eastAsia="es-CL"/>
        </w:rPr>
        <w:t>ae</w:t>
      </w:r>
      <w:r w:rsidR="00BB4B51" w:rsidRPr="002433F3">
        <w:rPr>
          <w:rFonts w:eastAsia="Times New Roman" w:cs="Times New Roman"/>
          <w:szCs w:val="20"/>
          <w:lang w:val="en-US" w:eastAsia="es-CL"/>
        </w:rPr>
        <w:t>gis of national or domestic law.</w:t>
      </w:r>
    </w:p>
    <w:p w14:paraId="797903FE" w14:textId="77777777" w:rsidR="007B0DE4" w:rsidRPr="002433F3" w:rsidRDefault="00C47EDE" w:rsidP="007B0DE4">
      <w:pPr>
        <w:spacing w:before="240" w:after="200"/>
        <w:rPr>
          <w:rFonts w:eastAsia="Calibri" w:cs="Times New Roman"/>
          <w:szCs w:val="20"/>
          <w:lang w:val="en-US"/>
        </w:rPr>
      </w:pPr>
      <w:r>
        <w:rPr>
          <w:rFonts w:eastAsia="Calibri" w:cs="Times New Roman"/>
          <w:szCs w:val="20"/>
          <w:lang w:val="en-US"/>
        </w:rPr>
        <w:t>However, t</w:t>
      </w:r>
      <w:r w:rsidR="00E12E61" w:rsidRPr="002433F3">
        <w:rPr>
          <w:rFonts w:eastAsia="Calibri" w:cs="Times New Roman"/>
          <w:szCs w:val="20"/>
          <w:lang w:val="en-US"/>
        </w:rPr>
        <w:t xml:space="preserve">he above comments do not imply </w:t>
      </w:r>
      <w:r w:rsidR="007B0DE4" w:rsidRPr="002433F3">
        <w:rPr>
          <w:rFonts w:eastAsia="Calibri" w:cs="Times New Roman"/>
          <w:szCs w:val="20"/>
          <w:lang w:val="en-US"/>
        </w:rPr>
        <w:t>that the</w:t>
      </w:r>
      <w:r w:rsidR="00D20F84" w:rsidRPr="002433F3">
        <w:rPr>
          <w:rFonts w:eastAsia="Calibri" w:cs="Times New Roman"/>
          <w:szCs w:val="20"/>
          <w:lang w:val="en-US"/>
        </w:rPr>
        <w:t>se</w:t>
      </w:r>
      <w:r w:rsidR="007B0DE4" w:rsidRPr="002433F3">
        <w:rPr>
          <w:rFonts w:eastAsia="Calibri" w:cs="Times New Roman"/>
          <w:szCs w:val="20"/>
          <w:lang w:val="en-US"/>
        </w:rPr>
        <w:t xml:space="preserve"> unions cannot or should not be addressed </w:t>
      </w:r>
      <w:r w:rsidR="00D20F84" w:rsidRPr="002433F3">
        <w:rPr>
          <w:rFonts w:eastAsia="Calibri" w:cs="Times New Roman"/>
          <w:szCs w:val="20"/>
          <w:lang w:val="en-US"/>
        </w:rPr>
        <w:t>i</w:t>
      </w:r>
      <w:r w:rsidR="00A82EFA" w:rsidRPr="002433F3">
        <w:rPr>
          <w:rFonts w:eastAsia="Calibri" w:cs="Times New Roman"/>
          <w:szCs w:val="20"/>
          <w:lang w:val="en-US"/>
        </w:rPr>
        <w:t xml:space="preserve">n </w:t>
      </w:r>
      <w:r w:rsidR="00E12E61" w:rsidRPr="002433F3">
        <w:rPr>
          <w:rFonts w:eastAsia="Calibri" w:cs="Times New Roman"/>
          <w:szCs w:val="20"/>
          <w:lang w:val="en-US"/>
        </w:rPr>
        <w:t>future by international l</w:t>
      </w:r>
      <w:r w:rsidR="007B0DE4" w:rsidRPr="002433F3">
        <w:rPr>
          <w:rFonts w:eastAsia="Calibri" w:cs="Times New Roman"/>
          <w:szCs w:val="20"/>
          <w:lang w:val="en-US"/>
        </w:rPr>
        <w:t xml:space="preserve">aw. </w:t>
      </w:r>
      <w:r w:rsidR="00A82EFA" w:rsidRPr="002433F3">
        <w:rPr>
          <w:rFonts w:eastAsia="Calibri" w:cs="Times New Roman"/>
          <w:szCs w:val="20"/>
          <w:lang w:val="en-US"/>
        </w:rPr>
        <w:t xml:space="preserve">My argument is that in order for these to be the subject of </w:t>
      </w:r>
      <w:r w:rsidR="00F3282E" w:rsidRPr="002433F3">
        <w:rPr>
          <w:rFonts w:eastAsia="Calibri" w:cs="Times New Roman"/>
          <w:szCs w:val="20"/>
          <w:lang w:val="en-US"/>
        </w:rPr>
        <w:t>international l</w:t>
      </w:r>
      <w:r w:rsidR="007B0DE4" w:rsidRPr="002433F3">
        <w:rPr>
          <w:rFonts w:eastAsia="Calibri" w:cs="Times New Roman"/>
          <w:szCs w:val="20"/>
          <w:lang w:val="en-US"/>
        </w:rPr>
        <w:t xml:space="preserve">aw, </w:t>
      </w:r>
      <w:r w:rsidR="00A82EFA" w:rsidRPr="002433F3">
        <w:rPr>
          <w:rFonts w:eastAsia="Calibri" w:cs="Times New Roman"/>
          <w:szCs w:val="20"/>
          <w:lang w:val="en-US"/>
        </w:rPr>
        <w:t xml:space="preserve">they must be embodied in a </w:t>
      </w:r>
      <w:r w:rsidR="00E12E61" w:rsidRPr="002433F3">
        <w:rPr>
          <w:rFonts w:eastAsia="Calibri" w:cs="Times New Roman"/>
          <w:szCs w:val="20"/>
          <w:lang w:val="en-US"/>
        </w:rPr>
        <w:t>source of international l</w:t>
      </w:r>
      <w:r w:rsidR="003149FF" w:rsidRPr="002433F3">
        <w:rPr>
          <w:rFonts w:eastAsia="Calibri" w:cs="Times New Roman"/>
          <w:szCs w:val="20"/>
          <w:lang w:val="en-US"/>
        </w:rPr>
        <w:t xml:space="preserve">aw. In other words, they must be embodied </w:t>
      </w:r>
      <w:r w:rsidR="00A82EFA" w:rsidRPr="002433F3">
        <w:rPr>
          <w:rFonts w:eastAsia="Calibri" w:cs="Times New Roman"/>
          <w:szCs w:val="20"/>
          <w:lang w:val="en-US"/>
        </w:rPr>
        <w:t xml:space="preserve">in </w:t>
      </w:r>
      <w:r w:rsidR="007B0DE4" w:rsidRPr="002433F3">
        <w:rPr>
          <w:rFonts w:eastAsia="Calibri" w:cs="Times New Roman"/>
          <w:szCs w:val="20"/>
          <w:lang w:val="en-US"/>
        </w:rPr>
        <w:t xml:space="preserve">a treaty, a custom or </w:t>
      </w:r>
      <w:r w:rsidR="00A82EFA" w:rsidRPr="002433F3">
        <w:rPr>
          <w:rFonts w:eastAsia="Calibri" w:cs="Times New Roman"/>
          <w:szCs w:val="20"/>
          <w:lang w:val="en-US"/>
        </w:rPr>
        <w:t xml:space="preserve">in </w:t>
      </w:r>
      <w:r w:rsidR="007B0DE4" w:rsidRPr="002433F3">
        <w:rPr>
          <w:rFonts w:eastAsia="Calibri" w:cs="Times New Roman"/>
          <w:szCs w:val="20"/>
          <w:lang w:val="en-US"/>
        </w:rPr>
        <w:t>the general princ</w:t>
      </w:r>
      <w:r w:rsidR="0031054B" w:rsidRPr="002433F3">
        <w:rPr>
          <w:rFonts w:eastAsia="Calibri" w:cs="Times New Roman"/>
          <w:szCs w:val="20"/>
          <w:lang w:val="en-US"/>
        </w:rPr>
        <w:t xml:space="preserve">iples of law applicable to </w:t>
      </w:r>
      <w:r w:rsidR="007B0DE4" w:rsidRPr="002433F3">
        <w:rPr>
          <w:rFonts w:eastAsia="Calibri" w:cs="Times New Roman"/>
          <w:szCs w:val="20"/>
          <w:lang w:val="en-US"/>
        </w:rPr>
        <w:t>St</w:t>
      </w:r>
      <w:r w:rsidR="00E12E61" w:rsidRPr="002433F3">
        <w:rPr>
          <w:rFonts w:eastAsia="Calibri" w:cs="Times New Roman"/>
          <w:szCs w:val="20"/>
          <w:lang w:val="en-US"/>
        </w:rPr>
        <w:t>ates Parties to the Convention</w:t>
      </w:r>
      <w:r w:rsidR="00FB619F" w:rsidRPr="002433F3">
        <w:rPr>
          <w:rFonts w:eastAsia="Calibri" w:cs="Times New Roman"/>
          <w:szCs w:val="20"/>
          <w:lang w:val="en-US"/>
        </w:rPr>
        <w:t xml:space="preserve"> a</w:t>
      </w:r>
      <w:r w:rsidR="00E12E61" w:rsidRPr="002433F3">
        <w:rPr>
          <w:rFonts w:eastAsia="Calibri" w:cs="Times New Roman"/>
          <w:szCs w:val="20"/>
          <w:lang w:val="en-US"/>
        </w:rPr>
        <w:t>nd</w:t>
      </w:r>
      <w:r w:rsidR="00BA42B8" w:rsidRPr="002433F3">
        <w:rPr>
          <w:rFonts w:eastAsia="Calibri" w:cs="Times New Roman"/>
          <w:szCs w:val="20"/>
          <w:lang w:val="en-US"/>
        </w:rPr>
        <w:t xml:space="preserve">, </w:t>
      </w:r>
      <w:r w:rsidR="00A82EFA" w:rsidRPr="002433F3">
        <w:rPr>
          <w:rFonts w:eastAsia="Calibri" w:cs="Times New Roman"/>
          <w:szCs w:val="20"/>
          <w:lang w:val="en-US"/>
        </w:rPr>
        <w:t>ultimately</w:t>
      </w:r>
      <w:r w:rsidR="00BA42B8" w:rsidRPr="002433F3">
        <w:rPr>
          <w:rFonts w:eastAsia="Calibri" w:cs="Times New Roman"/>
          <w:szCs w:val="20"/>
          <w:lang w:val="en-US"/>
        </w:rPr>
        <w:t xml:space="preserve">, </w:t>
      </w:r>
      <w:r>
        <w:rPr>
          <w:rFonts w:eastAsia="Calibri" w:cs="Times New Roman"/>
          <w:szCs w:val="20"/>
          <w:lang w:val="en-US"/>
        </w:rPr>
        <w:t xml:space="preserve">as regards </w:t>
      </w:r>
      <w:r w:rsidR="00BA42B8" w:rsidRPr="002433F3">
        <w:rPr>
          <w:rFonts w:eastAsia="Calibri" w:cs="Times New Roman"/>
          <w:szCs w:val="20"/>
          <w:lang w:val="en-US"/>
        </w:rPr>
        <w:t xml:space="preserve">the </w:t>
      </w:r>
      <w:r w:rsidR="007B0DE4" w:rsidRPr="002433F3">
        <w:rPr>
          <w:rFonts w:eastAsia="Calibri" w:cs="Times New Roman"/>
          <w:szCs w:val="20"/>
          <w:lang w:val="en-US"/>
        </w:rPr>
        <w:t xml:space="preserve">State </w:t>
      </w:r>
      <w:r w:rsidR="0031054B" w:rsidRPr="002433F3">
        <w:rPr>
          <w:rFonts w:eastAsia="Calibri" w:cs="Times New Roman"/>
          <w:szCs w:val="20"/>
          <w:lang w:val="en-US"/>
        </w:rPr>
        <w:t>concerned</w:t>
      </w:r>
      <w:r w:rsidR="007B0DE4" w:rsidRPr="002433F3">
        <w:rPr>
          <w:rFonts w:eastAsia="Calibri" w:cs="Times New Roman"/>
          <w:szCs w:val="20"/>
          <w:lang w:val="en-US"/>
        </w:rPr>
        <w:t xml:space="preserve">, by a unilateral </w:t>
      </w:r>
      <w:r w:rsidR="00E12E61" w:rsidRPr="002433F3">
        <w:rPr>
          <w:rFonts w:eastAsia="Calibri" w:cs="Times New Roman"/>
          <w:szCs w:val="20"/>
          <w:lang w:val="en-US"/>
        </w:rPr>
        <w:t>juridical act</w:t>
      </w:r>
      <w:r w:rsidR="00FB619F" w:rsidRPr="002433F3">
        <w:rPr>
          <w:rFonts w:eastAsia="Calibri" w:cs="Times New Roman"/>
          <w:szCs w:val="20"/>
          <w:lang w:val="en-US"/>
        </w:rPr>
        <w:t>,</w:t>
      </w:r>
      <w:r w:rsidR="00E12E61" w:rsidRPr="002433F3">
        <w:rPr>
          <w:rFonts w:eastAsia="Calibri" w:cs="Times New Roman"/>
          <w:szCs w:val="20"/>
          <w:lang w:val="en-US"/>
        </w:rPr>
        <w:t xml:space="preserve"> </w:t>
      </w:r>
      <w:r w:rsidR="00FB619F" w:rsidRPr="002433F3">
        <w:rPr>
          <w:rFonts w:eastAsia="Calibri" w:cs="Times New Roman"/>
          <w:szCs w:val="20"/>
          <w:lang w:val="en-US"/>
        </w:rPr>
        <w:t xml:space="preserve">none </w:t>
      </w:r>
      <w:r w:rsidR="00E12E61" w:rsidRPr="002433F3">
        <w:rPr>
          <w:rFonts w:eastAsia="Calibri" w:cs="Times New Roman"/>
          <w:szCs w:val="20"/>
          <w:lang w:val="en-US"/>
        </w:rPr>
        <w:t xml:space="preserve">of </w:t>
      </w:r>
      <w:r w:rsidR="007B0DE4" w:rsidRPr="002433F3">
        <w:rPr>
          <w:rFonts w:eastAsia="Calibri" w:cs="Times New Roman"/>
          <w:szCs w:val="20"/>
          <w:lang w:val="en-US"/>
        </w:rPr>
        <w:t xml:space="preserve">which </w:t>
      </w:r>
      <w:r w:rsidR="00E12E61" w:rsidRPr="002433F3">
        <w:rPr>
          <w:rFonts w:eastAsia="Calibri" w:cs="Times New Roman"/>
          <w:szCs w:val="20"/>
          <w:lang w:val="en-US"/>
        </w:rPr>
        <w:t>occu</w:t>
      </w:r>
      <w:r w:rsidR="00FB619F" w:rsidRPr="002433F3">
        <w:rPr>
          <w:rFonts w:eastAsia="Calibri" w:cs="Times New Roman"/>
          <w:szCs w:val="20"/>
          <w:lang w:val="en-US"/>
        </w:rPr>
        <w:t>r</w:t>
      </w:r>
      <w:r w:rsidR="00E12E61" w:rsidRPr="002433F3">
        <w:rPr>
          <w:rFonts w:eastAsia="Calibri" w:cs="Times New Roman"/>
          <w:szCs w:val="20"/>
          <w:lang w:val="en-US"/>
        </w:rPr>
        <w:t>r</w:t>
      </w:r>
      <w:r w:rsidR="00FB619F" w:rsidRPr="002433F3">
        <w:rPr>
          <w:rFonts w:eastAsia="Calibri" w:cs="Times New Roman"/>
          <w:szCs w:val="20"/>
          <w:lang w:val="en-US"/>
        </w:rPr>
        <w:t>ed</w:t>
      </w:r>
      <w:r w:rsidR="00E12E61" w:rsidRPr="002433F3">
        <w:rPr>
          <w:rFonts w:eastAsia="Calibri" w:cs="Times New Roman"/>
          <w:szCs w:val="20"/>
          <w:lang w:val="en-US"/>
        </w:rPr>
        <w:t xml:space="preserve"> </w:t>
      </w:r>
      <w:r w:rsidR="007B0DE4" w:rsidRPr="002433F3">
        <w:rPr>
          <w:rFonts w:eastAsia="Calibri" w:cs="Times New Roman"/>
          <w:szCs w:val="20"/>
          <w:lang w:val="en-US"/>
        </w:rPr>
        <w:t xml:space="preserve">in the </w:t>
      </w:r>
      <w:r w:rsidR="00FB619F" w:rsidRPr="002433F3">
        <w:rPr>
          <w:rFonts w:eastAsia="Calibri" w:cs="Times New Roman"/>
          <w:szCs w:val="20"/>
          <w:lang w:val="en-US"/>
        </w:rPr>
        <w:t xml:space="preserve">instant </w:t>
      </w:r>
      <w:r w:rsidR="007B0DE4" w:rsidRPr="002433F3">
        <w:rPr>
          <w:rFonts w:eastAsia="Calibri" w:cs="Times New Roman"/>
          <w:szCs w:val="20"/>
          <w:lang w:val="en-US"/>
        </w:rPr>
        <w:t xml:space="preserve">case </w:t>
      </w:r>
      <w:r w:rsidR="00E12E61" w:rsidRPr="002433F3">
        <w:rPr>
          <w:rFonts w:eastAsia="Calibri" w:cs="Times New Roman"/>
          <w:szCs w:val="20"/>
          <w:lang w:val="en-US"/>
        </w:rPr>
        <w:t xml:space="preserve">during the </w:t>
      </w:r>
      <w:r w:rsidR="007B0DE4" w:rsidRPr="002433F3">
        <w:rPr>
          <w:rFonts w:eastAsia="Calibri" w:cs="Times New Roman"/>
          <w:szCs w:val="20"/>
          <w:lang w:val="en-US"/>
        </w:rPr>
        <w:t xml:space="preserve">period 2002 to 2007 and/or 2009. </w:t>
      </w:r>
    </w:p>
    <w:p w14:paraId="329B0D41" w14:textId="77777777" w:rsidR="007B0DE4" w:rsidRPr="002433F3" w:rsidRDefault="00BB4B51" w:rsidP="007B0DE4">
      <w:pPr>
        <w:spacing w:before="240" w:after="200"/>
        <w:rPr>
          <w:rFonts w:eastAsia="Times New Roman" w:cs="Tahoma"/>
          <w:szCs w:val="20"/>
          <w:lang w:val="en-US" w:eastAsia="es-CL"/>
        </w:rPr>
      </w:pPr>
      <w:r w:rsidRPr="002433F3">
        <w:rPr>
          <w:rFonts w:eastAsia="Times New Roman" w:cs="Tahoma"/>
          <w:szCs w:val="20"/>
          <w:lang w:val="en-US" w:eastAsia="es-CL"/>
        </w:rPr>
        <w:t>Moreover</w:t>
      </w:r>
      <w:r w:rsidR="007B0DE4" w:rsidRPr="002433F3">
        <w:rPr>
          <w:rFonts w:eastAsia="Times New Roman" w:cs="Tahoma"/>
          <w:szCs w:val="20"/>
          <w:lang w:val="en-US" w:eastAsia="es-CL"/>
        </w:rPr>
        <w:t xml:space="preserve">, it should be recalled that the </w:t>
      </w:r>
      <w:r w:rsidR="003149FF" w:rsidRPr="002433F3">
        <w:rPr>
          <w:rFonts w:eastAsia="Times New Roman" w:cs="Tahoma"/>
          <w:szCs w:val="20"/>
          <w:lang w:val="en-US" w:eastAsia="es-CL"/>
        </w:rPr>
        <w:t xml:space="preserve">American </w:t>
      </w:r>
      <w:r w:rsidR="007B0DE4" w:rsidRPr="002433F3">
        <w:rPr>
          <w:rFonts w:eastAsia="Times New Roman" w:cs="Tahoma"/>
          <w:szCs w:val="20"/>
          <w:lang w:val="en-US" w:eastAsia="es-CL"/>
        </w:rPr>
        <w:t xml:space="preserve">Convention </w:t>
      </w:r>
      <w:r w:rsidR="00EB7C4E" w:rsidRPr="002433F3">
        <w:rPr>
          <w:rFonts w:eastAsia="Times New Roman" w:cs="Tahoma"/>
          <w:szCs w:val="20"/>
          <w:lang w:val="en-US" w:eastAsia="es-CL"/>
        </w:rPr>
        <w:t>only contemplates</w:t>
      </w:r>
      <w:r w:rsidR="00F3282E" w:rsidRPr="002433F3">
        <w:rPr>
          <w:rFonts w:eastAsia="Times New Roman" w:cs="Tahoma"/>
          <w:szCs w:val="20"/>
          <w:lang w:val="en-US" w:eastAsia="es-CL"/>
        </w:rPr>
        <w:t xml:space="preserve"> </w:t>
      </w:r>
      <w:r w:rsidR="00327EF1" w:rsidRPr="002433F3">
        <w:rPr>
          <w:rFonts w:eastAsia="Times New Roman" w:cs="Tahoma"/>
          <w:szCs w:val="20"/>
          <w:lang w:val="en-US" w:eastAsia="es-CL"/>
        </w:rPr>
        <w:t xml:space="preserve">some </w:t>
      </w:r>
      <w:r w:rsidR="007B0DE4" w:rsidRPr="002433F3">
        <w:rPr>
          <w:rFonts w:eastAsia="Times New Roman" w:cs="Tahoma"/>
          <w:szCs w:val="20"/>
          <w:lang w:val="en-US" w:eastAsia="es-CL"/>
        </w:rPr>
        <w:t xml:space="preserve">human rights, </w:t>
      </w:r>
      <w:r w:rsidR="0065418C" w:rsidRPr="002433F3">
        <w:rPr>
          <w:rFonts w:eastAsia="Times New Roman" w:cs="Tahoma"/>
          <w:szCs w:val="20"/>
          <w:lang w:val="en-US" w:eastAsia="es-CL"/>
        </w:rPr>
        <w:t xml:space="preserve">establishing </w:t>
      </w:r>
      <w:r w:rsidR="00C47EDE">
        <w:rPr>
          <w:rFonts w:eastAsia="Times New Roman" w:cs="Tahoma"/>
          <w:szCs w:val="20"/>
          <w:lang w:val="en-US" w:eastAsia="es-CL"/>
        </w:rPr>
        <w:t>in Article 31 entitled</w:t>
      </w:r>
      <w:r w:rsidR="00F3282E" w:rsidRPr="002433F3">
        <w:rPr>
          <w:rFonts w:eastAsia="Times New Roman" w:cs="Tahoma"/>
          <w:szCs w:val="20"/>
          <w:lang w:val="en-US" w:eastAsia="es-CL"/>
        </w:rPr>
        <w:t xml:space="preserve"> </w:t>
      </w:r>
      <w:r w:rsidR="007B0DE4" w:rsidRPr="002433F3">
        <w:rPr>
          <w:rFonts w:eastAsia="Times New Roman" w:cs="Tahoma"/>
          <w:szCs w:val="20"/>
          <w:lang w:val="en-US" w:eastAsia="es-CL"/>
        </w:rPr>
        <w:t>“</w:t>
      </w:r>
      <w:r w:rsidR="007B0DE4" w:rsidRPr="002433F3">
        <w:rPr>
          <w:rFonts w:eastAsia="Times New Roman" w:cs="Tahoma"/>
          <w:i/>
          <w:szCs w:val="20"/>
          <w:lang w:val="en-US" w:eastAsia="es-CL"/>
        </w:rPr>
        <w:t>Recognition of Other Rights</w:t>
      </w:r>
      <w:r w:rsidR="00F3282E" w:rsidRPr="002433F3">
        <w:rPr>
          <w:rFonts w:eastAsia="Times New Roman" w:cs="Tahoma"/>
          <w:i/>
          <w:szCs w:val="20"/>
          <w:lang w:val="en-US" w:eastAsia="es-CL"/>
        </w:rPr>
        <w:t>,”</w:t>
      </w:r>
      <w:r w:rsidR="007B0DE4" w:rsidRPr="002433F3">
        <w:rPr>
          <w:rFonts w:eastAsia="Times New Roman" w:cs="Tahoma"/>
          <w:i/>
          <w:szCs w:val="20"/>
          <w:lang w:val="en-US" w:eastAsia="es-CL"/>
        </w:rPr>
        <w:t xml:space="preserve"> </w:t>
      </w:r>
      <w:r w:rsidR="007B0DE4" w:rsidRPr="002433F3">
        <w:rPr>
          <w:rFonts w:eastAsia="Times New Roman" w:cs="Tahoma"/>
          <w:szCs w:val="20"/>
          <w:lang w:val="en-US" w:eastAsia="es-CL"/>
        </w:rPr>
        <w:t>that</w:t>
      </w:r>
      <w:r w:rsidR="007B0DE4" w:rsidRPr="002433F3">
        <w:rPr>
          <w:rFonts w:eastAsia="Times New Roman" w:cs="Tahoma"/>
          <w:i/>
          <w:szCs w:val="20"/>
          <w:lang w:val="en-US" w:eastAsia="es-CL"/>
        </w:rPr>
        <w:t xml:space="preserve"> “</w:t>
      </w:r>
      <w:r w:rsidR="00F3282E" w:rsidRPr="002433F3">
        <w:rPr>
          <w:color w:val="000000"/>
          <w:lang w:val="en-US"/>
        </w:rPr>
        <w:t>[</w:t>
      </w:r>
      <w:r w:rsidR="00F3282E" w:rsidRPr="00C47EDE">
        <w:rPr>
          <w:i/>
          <w:color w:val="000000"/>
          <w:lang w:val="en-US"/>
        </w:rPr>
        <w:t>o</w:t>
      </w:r>
      <w:r w:rsidR="00F3282E" w:rsidRPr="002433F3">
        <w:rPr>
          <w:i/>
          <w:color w:val="000000"/>
          <w:lang w:val="en-US"/>
        </w:rPr>
        <w:t>]ther rights and freedoms recognized in accordance with the procedures established in Articles</w:t>
      </w:r>
      <w:r w:rsidR="00F3282E" w:rsidRPr="002433F3">
        <w:rPr>
          <w:rFonts w:eastAsia="Times New Roman" w:cs="Tahoma"/>
          <w:i/>
          <w:szCs w:val="20"/>
          <w:lang w:val="en-US" w:eastAsia="es-CL"/>
        </w:rPr>
        <w:t xml:space="preserve"> </w:t>
      </w:r>
      <w:r w:rsidR="007B0DE4" w:rsidRPr="002433F3">
        <w:rPr>
          <w:rFonts w:eastAsia="Times New Roman" w:cs="Tahoma"/>
          <w:i/>
          <w:szCs w:val="20"/>
          <w:lang w:val="en-US" w:eastAsia="es-CL"/>
        </w:rPr>
        <w:t>76</w:t>
      </w:r>
      <w:r w:rsidR="007B0DE4" w:rsidRPr="002433F3">
        <w:rPr>
          <w:rFonts w:eastAsia="Times New Roman" w:cs="Tahoma"/>
          <w:i/>
          <w:szCs w:val="20"/>
          <w:vertAlign w:val="superscript"/>
          <w:lang w:val="en-US" w:eastAsia="es-CL"/>
        </w:rPr>
        <w:footnoteReference w:id="220"/>
      </w:r>
      <w:r w:rsidR="00F3282E" w:rsidRPr="002433F3">
        <w:rPr>
          <w:rFonts w:eastAsia="Times New Roman" w:cs="Tahoma"/>
          <w:i/>
          <w:szCs w:val="20"/>
          <w:lang w:val="en-US" w:eastAsia="es-CL"/>
        </w:rPr>
        <w:t xml:space="preserve"> and 77</w:t>
      </w:r>
      <w:r w:rsidR="007B0DE4" w:rsidRPr="002433F3">
        <w:rPr>
          <w:rFonts w:eastAsia="Times New Roman" w:cs="Tahoma"/>
          <w:i/>
          <w:szCs w:val="20"/>
          <w:vertAlign w:val="superscript"/>
          <w:lang w:val="en-US" w:eastAsia="es-CL"/>
        </w:rPr>
        <w:footnoteReference w:id="221"/>
      </w:r>
      <w:r w:rsidR="00F3282E" w:rsidRPr="002433F3">
        <w:rPr>
          <w:i/>
          <w:color w:val="000000"/>
          <w:lang w:val="en-US"/>
        </w:rPr>
        <w:t xml:space="preserve"> may be included in the system of protection of this</w:t>
      </w:r>
      <w:r w:rsidR="00F3282E" w:rsidRPr="002433F3">
        <w:rPr>
          <w:color w:val="000000"/>
          <w:lang w:val="en-US"/>
        </w:rPr>
        <w:t xml:space="preserve"> </w:t>
      </w:r>
      <w:r w:rsidR="00F3282E" w:rsidRPr="002433F3">
        <w:rPr>
          <w:i/>
          <w:color w:val="000000"/>
          <w:lang w:val="en-US"/>
        </w:rPr>
        <w:t>Convention</w:t>
      </w:r>
      <w:r w:rsidR="00F3282E" w:rsidRPr="002433F3">
        <w:rPr>
          <w:color w:val="000000"/>
          <w:lang w:val="en-US"/>
        </w:rPr>
        <w:t>.”</w:t>
      </w:r>
      <w:r w:rsidR="007B0DE4" w:rsidRPr="002433F3">
        <w:rPr>
          <w:rFonts w:eastAsia="Times New Roman" w:cs="Tahoma"/>
          <w:szCs w:val="20"/>
          <w:lang w:val="en-US" w:eastAsia="es-CL"/>
        </w:rPr>
        <w:t xml:space="preserve"> And i</w:t>
      </w:r>
      <w:r w:rsidR="0065418C" w:rsidRPr="002433F3">
        <w:rPr>
          <w:rFonts w:eastAsia="Times New Roman" w:cs="Tahoma"/>
          <w:szCs w:val="20"/>
          <w:lang w:val="en-US" w:eastAsia="es-CL"/>
        </w:rPr>
        <w:t>t i</w:t>
      </w:r>
      <w:r w:rsidR="007B0DE4" w:rsidRPr="002433F3">
        <w:rPr>
          <w:rFonts w:eastAsia="Times New Roman" w:cs="Tahoma"/>
          <w:szCs w:val="20"/>
          <w:lang w:val="en-US" w:eastAsia="es-CL"/>
        </w:rPr>
        <w:t xml:space="preserve">s </w:t>
      </w:r>
      <w:r w:rsidR="00327EF1" w:rsidRPr="002433F3">
        <w:rPr>
          <w:rFonts w:eastAsia="Times New Roman" w:cs="Tahoma"/>
          <w:szCs w:val="20"/>
          <w:lang w:val="en-US" w:eastAsia="es-CL"/>
        </w:rPr>
        <w:t xml:space="preserve">clear </w:t>
      </w:r>
      <w:r w:rsidR="007B0DE4" w:rsidRPr="002433F3">
        <w:rPr>
          <w:rFonts w:eastAsia="Times New Roman" w:cs="Tahoma"/>
          <w:szCs w:val="20"/>
          <w:lang w:val="en-US" w:eastAsia="es-CL"/>
        </w:rPr>
        <w:t xml:space="preserve">that the right to </w:t>
      </w:r>
      <w:r w:rsidRPr="002433F3">
        <w:rPr>
          <w:rFonts w:eastAsia="Times New Roman" w:cs="Tahoma"/>
          <w:szCs w:val="20"/>
          <w:lang w:val="en-US" w:eastAsia="es-CL"/>
        </w:rPr>
        <w:t xml:space="preserve">enter into a </w:t>
      </w:r>
      <w:r w:rsidR="007B0DE4" w:rsidRPr="002433F3">
        <w:rPr>
          <w:rFonts w:eastAsia="Times New Roman" w:cs="Tahoma"/>
          <w:i/>
          <w:szCs w:val="20"/>
          <w:lang w:val="en-US" w:eastAsia="es-CL"/>
        </w:rPr>
        <w:t>de facto</w:t>
      </w:r>
      <w:r w:rsidR="007B0DE4" w:rsidRPr="002433F3">
        <w:rPr>
          <w:rFonts w:eastAsia="Times New Roman" w:cs="Tahoma"/>
          <w:szCs w:val="20"/>
          <w:lang w:val="en-US" w:eastAsia="es-CL"/>
        </w:rPr>
        <w:t xml:space="preserve"> or civil union </w:t>
      </w:r>
      <w:r w:rsidR="00327EF1" w:rsidRPr="002433F3">
        <w:rPr>
          <w:rFonts w:eastAsia="Times New Roman" w:cs="Tahoma"/>
          <w:szCs w:val="20"/>
          <w:lang w:val="en-US" w:eastAsia="es-CL"/>
        </w:rPr>
        <w:t>between persons of the same sex</w:t>
      </w:r>
      <w:r w:rsidR="007B0DE4" w:rsidRPr="002433F3">
        <w:rPr>
          <w:rFonts w:eastAsia="Times New Roman" w:cs="Tahoma"/>
          <w:szCs w:val="20"/>
          <w:lang w:val="en-US" w:eastAsia="es-CL"/>
        </w:rPr>
        <w:t xml:space="preserve"> was not </w:t>
      </w:r>
      <w:r w:rsidR="00327EF1" w:rsidRPr="002433F3">
        <w:rPr>
          <w:rFonts w:eastAsia="Times New Roman" w:cs="Tahoma"/>
          <w:szCs w:val="20"/>
          <w:lang w:val="en-US" w:eastAsia="es-CL"/>
        </w:rPr>
        <w:t xml:space="preserve">envisaged </w:t>
      </w:r>
      <w:r w:rsidR="007B0DE4" w:rsidRPr="002433F3">
        <w:rPr>
          <w:rFonts w:eastAsia="Times New Roman" w:cs="Tahoma"/>
          <w:szCs w:val="20"/>
          <w:lang w:val="en-US" w:eastAsia="es-CL"/>
        </w:rPr>
        <w:t xml:space="preserve">in the Convention or in any provision of international law </w:t>
      </w:r>
      <w:r w:rsidR="00327EF1" w:rsidRPr="002433F3">
        <w:rPr>
          <w:rFonts w:eastAsia="Times New Roman" w:cs="Tahoma"/>
          <w:szCs w:val="20"/>
          <w:lang w:val="en-US" w:eastAsia="es-CL"/>
        </w:rPr>
        <w:t xml:space="preserve">in force </w:t>
      </w:r>
      <w:r w:rsidR="007B0DE4" w:rsidRPr="002433F3">
        <w:rPr>
          <w:rFonts w:eastAsia="Times New Roman" w:cs="Tahoma"/>
          <w:szCs w:val="20"/>
          <w:lang w:val="en-US" w:eastAsia="es-CL"/>
        </w:rPr>
        <w:t>at the time of the fact</w:t>
      </w:r>
      <w:r w:rsidR="00EB7C4E" w:rsidRPr="002433F3">
        <w:rPr>
          <w:rFonts w:eastAsia="Times New Roman" w:cs="Tahoma"/>
          <w:szCs w:val="20"/>
          <w:lang w:val="en-US" w:eastAsia="es-CL"/>
        </w:rPr>
        <w:t>s</w:t>
      </w:r>
      <w:r w:rsidR="007B0DE4" w:rsidRPr="002433F3">
        <w:rPr>
          <w:rFonts w:eastAsia="Times New Roman" w:cs="Tahoma"/>
          <w:szCs w:val="20"/>
          <w:lang w:val="en-US" w:eastAsia="es-CL"/>
        </w:rPr>
        <w:t xml:space="preserve"> that gave rise to the </w:t>
      </w:r>
      <w:r w:rsidR="00327EF1" w:rsidRPr="002433F3">
        <w:rPr>
          <w:rFonts w:eastAsia="Times New Roman" w:cs="Tahoma"/>
          <w:szCs w:val="20"/>
          <w:lang w:val="en-US" w:eastAsia="es-CL"/>
        </w:rPr>
        <w:t xml:space="preserve">State’s alleged </w:t>
      </w:r>
      <w:r w:rsidR="007B0DE4" w:rsidRPr="002433F3">
        <w:rPr>
          <w:rFonts w:eastAsia="Times New Roman" w:cs="Tahoma"/>
          <w:szCs w:val="20"/>
          <w:lang w:val="en-US" w:eastAsia="es-CL"/>
        </w:rPr>
        <w:t>international responsibility.</w:t>
      </w:r>
    </w:p>
    <w:p w14:paraId="01583256" w14:textId="77777777" w:rsidR="007B0DE4" w:rsidRPr="002433F3" w:rsidRDefault="00EB7C4E" w:rsidP="007B0DE4">
      <w:pPr>
        <w:spacing w:before="240" w:after="200"/>
        <w:rPr>
          <w:rFonts w:eastAsia="Calibri" w:cs="Times New Roman"/>
          <w:szCs w:val="20"/>
          <w:lang w:val="en-US"/>
        </w:rPr>
      </w:pPr>
      <w:r w:rsidRPr="002433F3">
        <w:rPr>
          <w:rFonts w:eastAsia="Calibri" w:cs="Times New Roman"/>
          <w:szCs w:val="20"/>
          <w:lang w:val="en-US"/>
        </w:rPr>
        <w:t>I</w:t>
      </w:r>
      <w:r w:rsidR="007B0DE4" w:rsidRPr="002433F3">
        <w:rPr>
          <w:rFonts w:eastAsia="Calibri" w:cs="Times New Roman"/>
          <w:szCs w:val="20"/>
          <w:lang w:val="en-US"/>
        </w:rPr>
        <w:t xml:space="preserve">n this </w:t>
      </w:r>
      <w:r w:rsidRPr="002433F3">
        <w:rPr>
          <w:rFonts w:eastAsia="Calibri" w:cs="Times New Roman"/>
          <w:szCs w:val="20"/>
          <w:lang w:val="en-US"/>
        </w:rPr>
        <w:t xml:space="preserve">regard, </w:t>
      </w:r>
      <w:r w:rsidR="00A91FCA" w:rsidRPr="002433F3">
        <w:rPr>
          <w:rFonts w:eastAsia="Calibri" w:cs="Times New Roman"/>
          <w:szCs w:val="20"/>
          <w:lang w:val="en-US"/>
        </w:rPr>
        <w:t xml:space="preserve">it </w:t>
      </w:r>
      <w:r w:rsidR="00E110CB" w:rsidRPr="002433F3">
        <w:rPr>
          <w:rFonts w:eastAsia="Calibri" w:cs="Times New Roman"/>
          <w:szCs w:val="20"/>
          <w:lang w:val="en-US"/>
        </w:rPr>
        <w:t xml:space="preserve">should </w:t>
      </w:r>
      <w:r w:rsidR="00A91FCA" w:rsidRPr="002433F3">
        <w:rPr>
          <w:rFonts w:eastAsia="Calibri" w:cs="Times New Roman"/>
          <w:szCs w:val="20"/>
          <w:lang w:val="en-US"/>
        </w:rPr>
        <w:t xml:space="preserve">be </w:t>
      </w:r>
      <w:r w:rsidR="00E110CB" w:rsidRPr="002433F3">
        <w:rPr>
          <w:rFonts w:eastAsia="Calibri" w:cs="Times New Roman"/>
          <w:szCs w:val="20"/>
          <w:lang w:val="en-US"/>
        </w:rPr>
        <w:t xml:space="preserve">noted </w:t>
      </w:r>
      <w:r w:rsidR="007B0DE4" w:rsidRPr="002433F3">
        <w:rPr>
          <w:rFonts w:eastAsia="Calibri" w:cs="Times New Roman"/>
          <w:szCs w:val="20"/>
          <w:lang w:val="en-US"/>
        </w:rPr>
        <w:t xml:space="preserve">that the Convention and its evolution </w:t>
      </w:r>
      <w:r w:rsidR="00B21D49" w:rsidRPr="002433F3">
        <w:rPr>
          <w:rFonts w:eastAsia="Calibri" w:cs="Times New Roman"/>
          <w:szCs w:val="20"/>
          <w:lang w:val="en-US"/>
        </w:rPr>
        <w:t xml:space="preserve">obviously </w:t>
      </w:r>
      <w:r w:rsidR="00C47EDE">
        <w:rPr>
          <w:rFonts w:eastAsia="Calibri" w:cs="Times New Roman"/>
          <w:szCs w:val="20"/>
          <w:lang w:val="en-US"/>
        </w:rPr>
        <w:t>reflect</w:t>
      </w:r>
      <w:r w:rsidR="007B0DE4" w:rsidRPr="002433F3">
        <w:rPr>
          <w:rFonts w:eastAsia="Calibri" w:cs="Times New Roman"/>
          <w:szCs w:val="20"/>
          <w:lang w:val="en-US"/>
        </w:rPr>
        <w:t xml:space="preserve"> the cultural consensus </w:t>
      </w:r>
      <w:r w:rsidR="00E110CB" w:rsidRPr="002433F3">
        <w:rPr>
          <w:rFonts w:eastAsia="Calibri" w:cs="Times New Roman"/>
          <w:szCs w:val="20"/>
          <w:lang w:val="en-US"/>
        </w:rPr>
        <w:t>that existed</w:t>
      </w:r>
      <w:r w:rsidR="007B0DE4" w:rsidRPr="002433F3">
        <w:rPr>
          <w:rFonts w:eastAsia="Calibri" w:cs="Times New Roman"/>
          <w:szCs w:val="20"/>
          <w:lang w:val="en-US"/>
        </w:rPr>
        <w:t xml:space="preserve"> at tha</w:t>
      </w:r>
      <w:r w:rsidR="00E110CB" w:rsidRPr="002433F3">
        <w:rPr>
          <w:rFonts w:eastAsia="Calibri" w:cs="Times New Roman"/>
          <w:szCs w:val="20"/>
          <w:lang w:val="en-US"/>
        </w:rPr>
        <w:t>t time among the</w:t>
      </w:r>
      <w:r w:rsidR="00A91FCA" w:rsidRPr="002433F3">
        <w:rPr>
          <w:rFonts w:eastAsia="Calibri" w:cs="Times New Roman"/>
          <w:szCs w:val="20"/>
          <w:lang w:val="en-US"/>
        </w:rPr>
        <w:t xml:space="preserve"> States Parties. Therefore, its provisions do not include </w:t>
      </w:r>
      <w:r w:rsidR="007B0DE4" w:rsidRPr="002433F3">
        <w:rPr>
          <w:rFonts w:eastAsia="Calibri" w:cs="Times New Roman"/>
          <w:szCs w:val="20"/>
          <w:lang w:val="en-US"/>
        </w:rPr>
        <w:t>institutions that, although considered legitimate in other cultures, were not accept</w:t>
      </w:r>
      <w:r w:rsidR="00A91FCA" w:rsidRPr="002433F3">
        <w:rPr>
          <w:rFonts w:eastAsia="Calibri" w:cs="Times New Roman"/>
          <w:szCs w:val="20"/>
          <w:lang w:val="en-US"/>
        </w:rPr>
        <w:t xml:space="preserve">able to </w:t>
      </w:r>
      <w:r w:rsidR="007B0DE4" w:rsidRPr="002433F3">
        <w:rPr>
          <w:rFonts w:eastAsia="Calibri" w:cs="Times New Roman"/>
          <w:szCs w:val="20"/>
          <w:lang w:val="en-US"/>
        </w:rPr>
        <w:t xml:space="preserve">inter-American society. </w:t>
      </w:r>
      <w:r w:rsidR="00A91FCA" w:rsidRPr="002433F3">
        <w:rPr>
          <w:rFonts w:eastAsia="Calibri" w:cs="Times New Roman"/>
          <w:szCs w:val="20"/>
          <w:lang w:val="en-US"/>
        </w:rPr>
        <w:t xml:space="preserve">This is the case </w:t>
      </w:r>
      <w:r w:rsidR="007B0DE4" w:rsidRPr="002433F3">
        <w:rPr>
          <w:rFonts w:eastAsia="Calibri" w:cs="Times New Roman"/>
          <w:szCs w:val="20"/>
          <w:lang w:val="en-US"/>
        </w:rPr>
        <w:t xml:space="preserve">with civil or </w:t>
      </w:r>
      <w:r w:rsidR="007B0DE4" w:rsidRPr="002433F3">
        <w:rPr>
          <w:rFonts w:eastAsia="Calibri" w:cs="Times New Roman"/>
          <w:i/>
          <w:szCs w:val="20"/>
          <w:lang w:val="en-US"/>
        </w:rPr>
        <w:t>de facto</w:t>
      </w:r>
      <w:r w:rsidR="007B0DE4" w:rsidRPr="002433F3">
        <w:rPr>
          <w:rFonts w:eastAsia="Calibri" w:cs="Times New Roman"/>
          <w:szCs w:val="20"/>
          <w:lang w:val="en-US"/>
        </w:rPr>
        <w:t xml:space="preserve"> unions between persons of the same sex. In 1969, there was no consensus </w:t>
      </w:r>
      <w:r w:rsidR="00A91FCA" w:rsidRPr="002433F3">
        <w:rPr>
          <w:rFonts w:eastAsia="Calibri" w:cs="Times New Roman"/>
          <w:szCs w:val="20"/>
          <w:lang w:val="en-US"/>
        </w:rPr>
        <w:t xml:space="preserve">regarding </w:t>
      </w:r>
      <w:r w:rsidR="007B0DE4" w:rsidRPr="002433F3">
        <w:rPr>
          <w:rFonts w:eastAsia="Calibri" w:cs="Times New Roman"/>
          <w:szCs w:val="20"/>
          <w:lang w:val="en-US"/>
        </w:rPr>
        <w:t>the acceptance of that institution</w:t>
      </w:r>
      <w:r w:rsidR="00A91FCA" w:rsidRPr="002433F3">
        <w:rPr>
          <w:rFonts w:eastAsia="Calibri" w:cs="Times New Roman"/>
          <w:szCs w:val="20"/>
          <w:lang w:val="en-US"/>
        </w:rPr>
        <w:t>,</w:t>
      </w:r>
      <w:r w:rsidR="007B0DE4" w:rsidRPr="002433F3">
        <w:rPr>
          <w:rFonts w:eastAsia="Calibri" w:cs="Times New Roman"/>
          <w:szCs w:val="20"/>
          <w:lang w:val="en-US"/>
        </w:rPr>
        <w:t xml:space="preserve"> nor did </w:t>
      </w:r>
      <w:r w:rsidR="00A91FCA" w:rsidRPr="002433F3">
        <w:rPr>
          <w:rFonts w:eastAsia="Calibri" w:cs="Times New Roman"/>
          <w:szCs w:val="20"/>
          <w:lang w:val="en-US"/>
        </w:rPr>
        <w:t xml:space="preserve">such acceptance </w:t>
      </w:r>
      <w:r w:rsidR="007B0DE4" w:rsidRPr="002433F3">
        <w:rPr>
          <w:rFonts w:eastAsia="Calibri" w:cs="Times New Roman"/>
          <w:szCs w:val="20"/>
          <w:lang w:val="en-US"/>
        </w:rPr>
        <w:t xml:space="preserve">exist at the time when the facts of this case occurred. At most, </w:t>
      </w:r>
      <w:r w:rsidR="00E110CB" w:rsidRPr="002433F3">
        <w:rPr>
          <w:rFonts w:eastAsia="Calibri" w:cs="Times New Roman"/>
          <w:szCs w:val="20"/>
          <w:lang w:val="en-US"/>
        </w:rPr>
        <w:t xml:space="preserve">said </w:t>
      </w:r>
      <w:r w:rsidR="00A91FCA" w:rsidRPr="002433F3">
        <w:rPr>
          <w:rFonts w:eastAsia="Calibri" w:cs="Times New Roman"/>
          <w:szCs w:val="20"/>
          <w:lang w:val="en-US"/>
        </w:rPr>
        <w:t>acceptance was no</w:t>
      </w:r>
      <w:r w:rsidR="007B0DE4" w:rsidRPr="002433F3">
        <w:rPr>
          <w:rFonts w:eastAsia="Calibri" w:cs="Times New Roman"/>
          <w:szCs w:val="20"/>
          <w:lang w:val="en-US"/>
        </w:rPr>
        <w:t xml:space="preserve"> more than an aspiration.</w:t>
      </w:r>
      <w:r w:rsidR="007B0DE4" w:rsidRPr="002433F3">
        <w:rPr>
          <w:rFonts w:eastAsia="Calibri" w:cs="Tahoma"/>
          <w:szCs w:val="20"/>
          <w:lang w:val="en-US"/>
        </w:rPr>
        <w:t xml:space="preserve"> </w:t>
      </w:r>
    </w:p>
    <w:p w14:paraId="2F8FB7CE" w14:textId="77777777" w:rsidR="007B0DE4" w:rsidRPr="002433F3" w:rsidRDefault="007B0DE4" w:rsidP="007B0DE4">
      <w:pPr>
        <w:spacing w:before="240" w:after="200"/>
        <w:rPr>
          <w:rFonts w:eastAsia="Calibri" w:cs="Times New Roman"/>
          <w:szCs w:val="20"/>
          <w:lang w:val="en-US"/>
        </w:rPr>
      </w:pPr>
      <w:r w:rsidRPr="002433F3">
        <w:rPr>
          <w:rFonts w:eastAsia="Calibri" w:cs="Tahoma"/>
          <w:szCs w:val="20"/>
          <w:lang w:val="en-US"/>
        </w:rPr>
        <w:t xml:space="preserve">Therefore, the </w:t>
      </w:r>
      <w:r w:rsidR="00E110CB" w:rsidRPr="002433F3">
        <w:rPr>
          <w:rFonts w:eastAsia="Calibri" w:cs="Tahoma"/>
          <w:szCs w:val="20"/>
          <w:lang w:val="en-US"/>
        </w:rPr>
        <w:t>potential conventionality control that</w:t>
      </w:r>
      <w:r w:rsidRPr="002433F3">
        <w:rPr>
          <w:rFonts w:eastAsia="Calibri" w:cs="Tahoma"/>
          <w:szCs w:val="20"/>
          <w:lang w:val="en-US"/>
        </w:rPr>
        <w:t xml:space="preserve"> </w:t>
      </w:r>
      <w:r w:rsidR="00BF2BE6" w:rsidRPr="002433F3">
        <w:rPr>
          <w:rFonts w:eastAsia="Calibri" w:cs="Tahoma"/>
          <w:szCs w:val="20"/>
          <w:lang w:val="en-US"/>
        </w:rPr>
        <w:t xml:space="preserve">the </w:t>
      </w:r>
      <w:r w:rsidR="00E110CB" w:rsidRPr="002433F3">
        <w:rPr>
          <w:rFonts w:eastAsia="Calibri" w:cs="Tahoma"/>
          <w:szCs w:val="20"/>
          <w:lang w:val="en-US"/>
        </w:rPr>
        <w:t xml:space="preserve">State’s </w:t>
      </w:r>
      <w:r w:rsidR="00BF2BE6" w:rsidRPr="002433F3">
        <w:rPr>
          <w:rFonts w:eastAsia="Calibri" w:cs="Tahoma"/>
          <w:szCs w:val="20"/>
          <w:lang w:val="en-US"/>
        </w:rPr>
        <w:t xml:space="preserve">domestic organs </w:t>
      </w:r>
      <w:r w:rsidR="00D73143" w:rsidRPr="002433F3">
        <w:rPr>
          <w:rFonts w:eastAsia="Calibri" w:cs="Tahoma"/>
          <w:szCs w:val="20"/>
          <w:lang w:val="en-US"/>
        </w:rPr>
        <w:t xml:space="preserve">could </w:t>
      </w:r>
      <w:r w:rsidRPr="002433F3">
        <w:rPr>
          <w:rFonts w:eastAsia="Calibri" w:cs="Tahoma"/>
          <w:szCs w:val="20"/>
          <w:lang w:val="en-US"/>
        </w:rPr>
        <w:t xml:space="preserve">have </w:t>
      </w:r>
      <w:r w:rsidR="00BF2BE6" w:rsidRPr="002433F3">
        <w:rPr>
          <w:rFonts w:eastAsia="Calibri" w:cs="Tahoma"/>
          <w:szCs w:val="20"/>
          <w:lang w:val="en-US"/>
        </w:rPr>
        <w:t xml:space="preserve">performed </w:t>
      </w:r>
      <w:r w:rsidR="00E110CB" w:rsidRPr="002433F3">
        <w:rPr>
          <w:rFonts w:eastAsia="Calibri" w:cs="Tahoma"/>
          <w:szCs w:val="20"/>
          <w:lang w:val="en-US"/>
        </w:rPr>
        <w:t xml:space="preserve">in this case, with respect to </w:t>
      </w:r>
      <w:r w:rsidRPr="002433F3">
        <w:rPr>
          <w:rFonts w:eastAsia="Calibri" w:cs="Tahoma"/>
          <w:szCs w:val="20"/>
          <w:lang w:val="en-US"/>
        </w:rPr>
        <w:t xml:space="preserve">laws that did not </w:t>
      </w:r>
      <w:r w:rsidR="00E110CB" w:rsidRPr="002433F3">
        <w:rPr>
          <w:rFonts w:eastAsia="Calibri" w:cs="Tahoma"/>
          <w:szCs w:val="20"/>
          <w:lang w:val="en-US"/>
        </w:rPr>
        <w:t xml:space="preserve">permit the </w:t>
      </w:r>
      <w:r w:rsidR="00BB4B51" w:rsidRPr="002433F3">
        <w:rPr>
          <w:rFonts w:eastAsia="Calibri" w:cs="Tahoma"/>
          <w:szCs w:val="20"/>
          <w:lang w:val="en-US"/>
        </w:rPr>
        <w:t>grant</w:t>
      </w:r>
      <w:r w:rsidR="00E110CB" w:rsidRPr="002433F3">
        <w:rPr>
          <w:rFonts w:eastAsia="Calibri" w:cs="Tahoma"/>
          <w:szCs w:val="20"/>
          <w:lang w:val="en-US"/>
        </w:rPr>
        <w:t>ing of</w:t>
      </w:r>
      <w:r w:rsidR="00BB4B51" w:rsidRPr="002433F3">
        <w:rPr>
          <w:rFonts w:eastAsia="Calibri" w:cs="Tahoma"/>
          <w:szCs w:val="20"/>
          <w:lang w:val="en-US"/>
        </w:rPr>
        <w:t xml:space="preserve"> </w:t>
      </w:r>
      <w:r w:rsidRPr="002433F3">
        <w:rPr>
          <w:rFonts w:eastAsia="Calibri" w:cs="Tahoma"/>
          <w:szCs w:val="20"/>
          <w:lang w:val="en-US"/>
        </w:rPr>
        <w:t xml:space="preserve">a </w:t>
      </w:r>
      <w:r w:rsidRPr="002433F3">
        <w:rPr>
          <w:rFonts w:eastAsia="Calibri" w:cs="Tahoma"/>
          <w:szCs w:val="20"/>
          <w:lang w:val="en-US"/>
        </w:rPr>
        <w:lastRenderedPageBreak/>
        <w:t xml:space="preserve">pension to the surviving </w:t>
      </w:r>
      <w:r w:rsidR="00E110CB" w:rsidRPr="002433F3">
        <w:rPr>
          <w:rFonts w:eastAsia="Calibri" w:cs="Tahoma"/>
          <w:szCs w:val="20"/>
          <w:lang w:val="en-US"/>
        </w:rPr>
        <w:t xml:space="preserve">same-sex partner </w:t>
      </w:r>
      <w:r w:rsidRPr="002433F3">
        <w:rPr>
          <w:rFonts w:eastAsia="Calibri" w:cs="Tahoma"/>
          <w:szCs w:val="20"/>
          <w:lang w:val="en-US"/>
        </w:rPr>
        <w:t xml:space="preserve">of the deceased person, </w:t>
      </w:r>
      <w:r w:rsidR="00BB4B51" w:rsidRPr="002433F3">
        <w:rPr>
          <w:rFonts w:eastAsia="Calibri" w:cs="Tahoma"/>
          <w:szCs w:val="20"/>
          <w:lang w:val="en-US"/>
        </w:rPr>
        <w:t xml:space="preserve">could </w:t>
      </w:r>
      <w:r w:rsidR="008D1BDA" w:rsidRPr="002433F3">
        <w:rPr>
          <w:rFonts w:eastAsia="Calibri" w:cs="Tahoma"/>
          <w:szCs w:val="20"/>
          <w:lang w:val="en-US"/>
        </w:rPr>
        <w:t>only have determined that their provisions did</w:t>
      </w:r>
      <w:r w:rsidR="00B21D49" w:rsidRPr="002433F3">
        <w:rPr>
          <w:rFonts w:eastAsia="Calibri" w:cs="Tahoma"/>
          <w:szCs w:val="20"/>
          <w:lang w:val="en-US"/>
        </w:rPr>
        <w:t xml:space="preserve"> </w:t>
      </w:r>
      <w:r w:rsidRPr="002433F3">
        <w:rPr>
          <w:rFonts w:eastAsia="Calibri" w:cs="Tahoma"/>
          <w:szCs w:val="20"/>
          <w:lang w:val="en-US"/>
        </w:rPr>
        <w:t>no</w:t>
      </w:r>
      <w:r w:rsidR="00BB4B51" w:rsidRPr="002433F3">
        <w:rPr>
          <w:rFonts w:eastAsia="Calibri" w:cs="Tahoma"/>
          <w:szCs w:val="20"/>
          <w:lang w:val="en-US"/>
        </w:rPr>
        <w:t>t</w:t>
      </w:r>
      <w:r w:rsidRPr="002433F3">
        <w:rPr>
          <w:rFonts w:eastAsia="Calibri" w:cs="Tahoma"/>
          <w:szCs w:val="20"/>
          <w:lang w:val="en-US"/>
        </w:rPr>
        <w:t xml:space="preserve"> </w:t>
      </w:r>
      <w:r w:rsidR="0034030B" w:rsidRPr="002433F3">
        <w:rPr>
          <w:rFonts w:eastAsia="Calibri" w:cs="Tahoma"/>
          <w:szCs w:val="20"/>
          <w:lang w:val="en-US"/>
        </w:rPr>
        <w:t xml:space="preserve">entail </w:t>
      </w:r>
      <w:r w:rsidRPr="002433F3">
        <w:rPr>
          <w:rFonts w:eastAsia="Calibri" w:cs="Tahoma"/>
          <w:szCs w:val="20"/>
          <w:lang w:val="en-US"/>
        </w:rPr>
        <w:t>international responsibility</w:t>
      </w:r>
      <w:r w:rsidR="0034030B" w:rsidRPr="002433F3">
        <w:rPr>
          <w:rFonts w:eastAsia="Calibri" w:cs="Tahoma"/>
          <w:szCs w:val="20"/>
          <w:lang w:val="en-US"/>
        </w:rPr>
        <w:t xml:space="preserve"> on the part of the State</w:t>
      </w:r>
      <w:r w:rsidRPr="002433F3">
        <w:rPr>
          <w:rFonts w:eastAsia="Calibri" w:cs="Tahoma"/>
          <w:szCs w:val="20"/>
          <w:lang w:val="en-US"/>
        </w:rPr>
        <w:t>.</w:t>
      </w:r>
    </w:p>
    <w:p w14:paraId="378B13E8" w14:textId="77777777" w:rsidR="007B0DE4" w:rsidRPr="002433F3" w:rsidRDefault="004A0C5A" w:rsidP="007B0DE4">
      <w:pPr>
        <w:spacing w:before="240" w:after="200"/>
        <w:rPr>
          <w:rFonts w:eastAsia="Calibri" w:cs="Times New Roman"/>
          <w:szCs w:val="20"/>
          <w:lang w:val="en-US"/>
        </w:rPr>
      </w:pPr>
      <w:r w:rsidRPr="002433F3">
        <w:rPr>
          <w:rFonts w:eastAsia="Calibri" w:cs="Times New Roman"/>
          <w:szCs w:val="20"/>
          <w:lang w:val="en-US"/>
        </w:rPr>
        <w:t xml:space="preserve">In other words, this </w:t>
      </w:r>
      <w:r w:rsidR="007B0DE4" w:rsidRPr="002433F3">
        <w:rPr>
          <w:rFonts w:eastAsia="Calibri" w:cs="Times New Roman"/>
          <w:szCs w:val="20"/>
          <w:lang w:val="en-US"/>
        </w:rPr>
        <w:t xml:space="preserve">opinion is based on the assumption that </w:t>
      </w:r>
      <w:r w:rsidR="008E2BFF" w:rsidRPr="002433F3">
        <w:rPr>
          <w:rFonts w:eastAsia="Calibri" w:cs="Times New Roman"/>
          <w:szCs w:val="20"/>
          <w:lang w:val="en-US"/>
        </w:rPr>
        <w:t xml:space="preserve">it is </w:t>
      </w:r>
      <w:r w:rsidR="0034030B" w:rsidRPr="002433F3">
        <w:rPr>
          <w:rFonts w:eastAsia="Calibri" w:cs="Times New Roman"/>
          <w:szCs w:val="20"/>
          <w:lang w:val="en-US"/>
        </w:rPr>
        <w:t xml:space="preserve">for </w:t>
      </w:r>
      <w:r w:rsidR="008E2BFF" w:rsidRPr="002433F3">
        <w:rPr>
          <w:rFonts w:eastAsia="Calibri" w:cs="Times New Roman"/>
          <w:szCs w:val="20"/>
          <w:lang w:val="en-US"/>
        </w:rPr>
        <w:t>the States Parties</w:t>
      </w:r>
      <w:r w:rsidR="007B0DE4" w:rsidRPr="002433F3">
        <w:rPr>
          <w:rFonts w:eastAsia="Calibri" w:cs="Times New Roman"/>
          <w:szCs w:val="20"/>
          <w:lang w:val="en-US"/>
        </w:rPr>
        <w:t>,</w:t>
      </w:r>
      <w:r w:rsidR="007B0DE4" w:rsidRPr="002433F3">
        <w:rPr>
          <w:rFonts w:eastAsia="Calibri" w:cs="Times New Roman"/>
          <w:szCs w:val="20"/>
          <w:vertAlign w:val="superscript"/>
          <w:lang w:val="en-US"/>
        </w:rPr>
        <w:footnoteReference w:id="222"/>
      </w:r>
      <w:r w:rsidR="007B0DE4" w:rsidRPr="002433F3">
        <w:rPr>
          <w:rFonts w:eastAsia="Calibri" w:cs="Times New Roman"/>
          <w:szCs w:val="20"/>
          <w:lang w:val="en-US"/>
        </w:rPr>
        <w:t xml:space="preserve"> and no</w:t>
      </w:r>
      <w:r w:rsidR="00B63050" w:rsidRPr="002433F3">
        <w:rPr>
          <w:rFonts w:eastAsia="Calibri" w:cs="Times New Roman"/>
          <w:szCs w:val="20"/>
          <w:lang w:val="en-US"/>
        </w:rPr>
        <w:t>t</w:t>
      </w:r>
      <w:r w:rsidR="008E2BFF" w:rsidRPr="002433F3">
        <w:rPr>
          <w:rFonts w:eastAsia="Calibri" w:cs="Times New Roman"/>
          <w:szCs w:val="20"/>
          <w:lang w:val="en-US"/>
        </w:rPr>
        <w:t xml:space="preserve"> </w:t>
      </w:r>
      <w:r w:rsidR="007B0DE4" w:rsidRPr="002433F3">
        <w:rPr>
          <w:rFonts w:eastAsia="Calibri" w:cs="Times New Roman"/>
          <w:szCs w:val="20"/>
          <w:lang w:val="en-US"/>
        </w:rPr>
        <w:t xml:space="preserve">the Court, </w:t>
      </w:r>
      <w:r w:rsidR="008E2BFF" w:rsidRPr="002433F3">
        <w:rPr>
          <w:rFonts w:eastAsia="Calibri" w:cs="Times New Roman"/>
          <w:szCs w:val="20"/>
          <w:lang w:val="en-US"/>
        </w:rPr>
        <w:t>t</w:t>
      </w:r>
      <w:r w:rsidR="0034030B" w:rsidRPr="002433F3">
        <w:rPr>
          <w:rFonts w:eastAsia="Calibri" w:cs="Times New Roman"/>
          <w:szCs w:val="20"/>
          <w:lang w:val="en-US"/>
        </w:rPr>
        <w:t xml:space="preserve">o </w:t>
      </w:r>
      <w:r w:rsidR="008E2BFF" w:rsidRPr="002433F3">
        <w:rPr>
          <w:rFonts w:eastAsia="Calibri" w:cs="Times New Roman"/>
          <w:szCs w:val="20"/>
          <w:lang w:val="en-US"/>
        </w:rPr>
        <w:t xml:space="preserve">exercise the regulatory function in </w:t>
      </w:r>
      <w:r w:rsidR="0034030B" w:rsidRPr="002433F3">
        <w:rPr>
          <w:rFonts w:eastAsia="Calibri" w:cs="Times New Roman"/>
          <w:szCs w:val="20"/>
          <w:lang w:val="en-US"/>
        </w:rPr>
        <w:t xml:space="preserve">matters related </w:t>
      </w:r>
      <w:r w:rsidR="008E2BFF" w:rsidRPr="002433F3">
        <w:rPr>
          <w:rFonts w:eastAsia="Calibri" w:cs="Times New Roman"/>
          <w:szCs w:val="20"/>
          <w:lang w:val="en-US"/>
        </w:rPr>
        <w:t xml:space="preserve">to the Convention, especially </w:t>
      </w:r>
      <w:r w:rsidR="0034030B" w:rsidRPr="002433F3">
        <w:rPr>
          <w:rFonts w:eastAsia="Calibri" w:cs="Times New Roman"/>
          <w:szCs w:val="20"/>
          <w:lang w:val="en-US"/>
        </w:rPr>
        <w:t xml:space="preserve">those </w:t>
      </w:r>
      <w:r w:rsidR="008E2BFF" w:rsidRPr="002433F3">
        <w:rPr>
          <w:rFonts w:eastAsia="Calibri" w:cs="Times New Roman"/>
          <w:szCs w:val="20"/>
          <w:lang w:val="en-US"/>
        </w:rPr>
        <w:t xml:space="preserve">of high ethical and moral content that are considered to form the basis of society, and which, therefore, involve legitimate ideological, moral, religious and even ethical conceptions. </w:t>
      </w:r>
      <w:r w:rsidR="0034030B" w:rsidRPr="002433F3">
        <w:rPr>
          <w:rFonts w:eastAsia="Calibri" w:cs="Times New Roman"/>
          <w:szCs w:val="20"/>
          <w:lang w:val="en-US"/>
        </w:rPr>
        <w:t xml:space="preserve">Furthermore, in </w:t>
      </w:r>
      <w:r w:rsidR="007B0DE4" w:rsidRPr="002433F3">
        <w:rPr>
          <w:rFonts w:eastAsia="Calibri" w:cs="Times New Roman"/>
          <w:szCs w:val="20"/>
          <w:lang w:val="en-US"/>
        </w:rPr>
        <w:t xml:space="preserve">the current inter-American institutional scenario, </w:t>
      </w:r>
      <w:r w:rsidR="0034030B" w:rsidRPr="002433F3">
        <w:rPr>
          <w:rFonts w:eastAsia="Calibri" w:cs="Times New Roman"/>
          <w:szCs w:val="20"/>
          <w:lang w:val="en-US"/>
        </w:rPr>
        <w:t>such an exercise, if it were to occur</w:t>
      </w:r>
      <w:r w:rsidR="007B0DE4" w:rsidRPr="002433F3">
        <w:rPr>
          <w:rFonts w:eastAsia="Calibri" w:cs="Times New Roman"/>
          <w:szCs w:val="20"/>
          <w:lang w:val="en-US"/>
        </w:rPr>
        <w:t>, would be more democratic and would confer g</w:t>
      </w:r>
      <w:r w:rsidR="0034030B" w:rsidRPr="002433F3">
        <w:rPr>
          <w:rFonts w:eastAsia="Calibri" w:cs="Times New Roman"/>
          <w:szCs w:val="20"/>
          <w:lang w:val="en-US"/>
        </w:rPr>
        <w:t xml:space="preserve">reater legitimacy </w:t>
      </w:r>
      <w:r w:rsidR="004F7794">
        <w:rPr>
          <w:rFonts w:eastAsia="Calibri" w:cs="Times New Roman"/>
          <w:szCs w:val="20"/>
          <w:lang w:val="en-US"/>
        </w:rPr>
        <w:t xml:space="preserve">upon </w:t>
      </w:r>
      <w:r w:rsidR="0034030B" w:rsidRPr="002433F3">
        <w:rPr>
          <w:rFonts w:eastAsia="Calibri" w:cs="Times New Roman"/>
          <w:szCs w:val="20"/>
          <w:lang w:val="en-US"/>
        </w:rPr>
        <w:t>any</w:t>
      </w:r>
      <w:r w:rsidR="007B0DE4" w:rsidRPr="002433F3">
        <w:rPr>
          <w:rFonts w:eastAsia="Calibri" w:cs="Times New Roman"/>
          <w:szCs w:val="20"/>
          <w:lang w:val="en-US"/>
        </w:rPr>
        <w:t xml:space="preserve"> </w:t>
      </w:r>
      <w:r w:rsidR="0034030B" w:rsidRPr="002433F3">
        <w:rPr>
          <w:rFonts w:eastAsia="Calibri" w:cs="Times New Roman"/>
          <w:szCs w:val="20"/>
          <w:lang w:val="en-US"/>
        </w:rPr>
        <w:t xml:space="preserve">norm </w:t>
      </w:r>
      <w:r w:rsidR="007B0DE4" w:rsidRPr="002433F3">
        <w:rPr>
          <w:rFonts w:eastAsia="Calibri" w:cs="Times New Roman"/>
          <w:szCs w:val="20"/>
          <w:lang w:val="en-US"/>
        </w:rPr>
        <w:t xml:space="preserve">that </w:t>
      </w:r>
      <w:r w:rsidR="008B3EA1" w:rsidRPr="002433F3">
        <w:rPr>
          <w:rFonts w:eastAsia="Calibri" w:cs="Times New Roman"/>
          <w:szCs w:val="20"/>
          <w:lang w:val="en-US"/>
        </w:rPr>
        <w:t xml:space="preserve">is eventually </w:t>
      </w:r>
      <w:r w:rsidR="007B0DE4" w:rsidRPr="002433F3">
        <w:rPr>
          <w:rFonts w:eastAsia="Calibri" w:cs="Times New Roman"/>
          <w:szCs w:val="20"/>
          <w:lang w:val="en-US"/>
        </w:rPr>
        <w:t>adopte</w:t>
      </w:r>
      <w:r w:rsidR="008B3EA1" w:rsidRPr="002433F3">
        <w:rPr>
          <w:rFonts w:eastAsia="Calibri" w:cs="Times New Roman"/>
          <w:szCs w:val="20"/>
          <w:lang w:val="en-US"/>
        </w:rPr>
        <w:t>d</w:t>
      </w:r>
      <w:r w:rsidR="007B0DE4" w:rsidRPr="002433F3">
        <w:rPr>
          <w:rFonts w:eastAsia="Calibri" w:cs="Times New Roman"/>
          <w:szCs w:val="20"/>
          <w:lang w:val="en-US"/>
        </w:rPr>
        <w:t>.</w:t>
      </w:r>
    </w:p>
    <w:p w14:paraId="6D8787DA" w14:textId="77777777" w:rsidR="007B0DE4" w:rsidRPr="002433F3" w:rsidRDefault="004F7794" w:rsidP="007B0DE4">
      <w:pPr>
        <w:spacing w:before="240" w:after="200"/>
        <w:rPr>
          <w:rFonts w:eastAsia="Calibri" w:cs="Tahoma"/>
          <w:szCs w:val="20"/>
          <w:lang w:val="en-US"/>
        </w:rPr>
      </w:pPr>
      <w:r>
        <w:rPr>
          <w:rFonts w:eastAsia="Times New Roman" w:cs="Times New Roman"/>
          <w:szCs w:val="20"/>
          <w:lang w:val="en-US" w:eastAsia="es-CL"/>
        </w:rPr>
        <w:t xml:space="preserve">Considering </w:t>
      </w:r>
      <w:r w:rsidR="004A0C5A" w:rsidRPr="002433F3">
        <w:rPr>
          <w:rFonts w:eastAsia="Times New Roman" w:cs="Times New Roman"/>
          <w:szCs w:val="20"/>
          <w:lang w:val="en-US" w:eastAsia="es-CL"/>
        </w:rPr>
        <w:t xml:space="preserve">all the foregoing points </w:t>
      </w:r>
      <w:r w:rsidR="007B0DE4" w:rsidRPr="002433F3">
        <w:rPr>
          <w:rFonts w:eastAsia="Times New Roman" w:cs="Times New Roman"/>
          <w:szCs w:val="20"/>
          <w:lang w:val="en-US" w:eastAsia="es-CL"/>
        </w:rPr>
        <w:t xml:space="preserve">we </w:t>
      </w:r>
      <w:r w:rsidR="004A0C5A" w:rsidRPr="002433F3">
        <w:rPr>
          <w:rFonts w:eastAsia="Times New Roman" w:cs="Times New Roman"/>
          <w:szCs w:val="20"/>
          <w:lang w:val="en-US" w:eastAsia="es-CL"/>
        </w:rPr>
        <w:t xml:space="preserve">may </w:t>
      </w:r>
      <w:r w:rsidR="007B0DE4" w:rsidRPr="002433F3">
        <w:rPr>
          <w:rFonts w:eastAsia="Times New Roman" w:cs="Times New Roman"/>
          <w:szCs w:val="20"/>
          <w:lang w:val="en-US" w:eastAsia="es-CL"/>
        </w:rPr>
        <w:t xml:space="preserve">conclude that, at the time when the initial petition was </w:t>
      </w:r>
      <w:r w:rsidR="004A0C5A" w:rsidRPr="002433F3">
        <w:rPr>
          <w:rFonts w:eastAsia="Times New Roman" w:cs="Times New Roman"/>
          <w:szCs w:val="20"/>
          <w:lang w:val="en-US" w:eastAsia="es-CL"/>
        </w:rPr>
        <w:t>filed in this case</w:t>
      </w:r>
      <w:r w:rsidR="007B0DE4" w:rsidRPr="002433F3">
        <w:rPr>
          <w:rFonts w:eastAsia="Times New Roman" w:cs="Times New Roman"/>
          <w:szCs w:val="20"/>
          <w:lang w:val="en-US" w:eastAsia="es-CL"/>
        </w:rPr>
        <w:t xml:space="preserve">, there </w:t>
      </w:r>
      <w:r w:rsidR="004A0C5A" w:rsidRPr="002433F3">
        <w:rPr>
          <w:rFonts w:eastAsia="Times New Roman" w:cs="Times New Roman"/>
          <w:szCs w:val="20"/>
          <w:lang w:val="en-US" w:eastAsia="es-CL"/>
        </w:rPr>
        <w:t xml:space="preserve">was no </w:t>
      </w:r>
      <w:r w:rsidR="007B0DE4" w:rsidRPr="002433F3">
        <w:rPr>
          <w:rFonts w:eastAsia="Times New Roman" w:cs="Times New Roman"/>
          <w:szCs w:val="20"/>
          <w:lang w:val="en-US" w:eastAsia="es-CL"/>
        </w:rPr>
        <w:t xml:space="preserve">international obligation to recognize the civil or </w:t>
      </w:r>
      <w:r w:rsidR="007B0DE4" w:rsidRPr="002433F3">
        <w:rPr>
          <w:rFonts w:eastAsia="Times New Roman" w:cs="Times New Roman"/>
          <w:i/>
          <w:szCs w:val="20"/>
          <w:lang w:val="en-US" w:eastAsia="es-CL"/>
        </w:rPr>
        <w:t>de facto</w:t>
      </w:r>
      <w:r w:rsidR="007B0DE4" w:rsidRPr="002433F3">
        <w:rPr>
          <w:rFonts w:eastAsia="Times New Roman" w:cs="Times New Roman"/>
          <w:szCs w:val="20"/>
          <w:lang w:val="en-US" w:eastAsia="es-CL"/>
        </w:rPr>
        <w:t xml:space="preserve"> union </w:t>
      </w:r>
      <w:r>
        <w:rPr>
          <w:rFonts w:eastAsia="Times New Roman" w:cs="Times New Roman"/>
          <w:szCs w:val="20"/>
          <w:lang w:val="en-US" w:eastAsia="es-CL"/>
        </w:rPr>
        <w:t>between persons of the same sex;</w:t>
      </w:r>
      <w:r w:rsidR="007B0DE4" w:rsidRPr="002433F3">
        <w:rPr>
          <w:rFonts w:eastAsia="Times New Roman" w:cs="Times New Roman"/>
          <w:szCs w:val="20"/>
          <w:lang w:val="en-US" w:eastAsia="es-CL"/>
        </w:rPr>
        <w:t xml:space="preserve"> </w:t>
      </w:r>
      <w:r>
        <w:rPr>
          <w:rFonts w:eastAsia="Times New Roman" w:cs="Times New Roman"/>
          <w:szCs w:val="20"/>
          <w:lang w:val="en-US" w:eastAsia="es-CL"/>
        </w:rPr>
        <w:t xml:space="preserve">therefore, </w:t>
      </w:r>
      <w:r w:rsidR="00D73143" w:rsidRPr="002433F3">
        <w:rPr>
          <w:rFonts w:eastAsia="Times New Roman" w:cs="Times New Roman"/>
          <w:szCs w:val="20"/>
          <w:lang w:val="en-US" w:eastAsia="es-CL"/>
        </w:rPr>
        <w:t>the State</w:t>
      </w:r>
      <w:r>
        <w:rPr>
          <w:rFonts w:eastAsia="Times New Roman" w:cs="Times New Roman"/>
          <w:szCs w:val="20"/>
          <w:lang w:val="en-US" w:eastAsia="es-CL"/>
        </w:rPr>
        <w:t>’s</w:t>
      </w:r>
      <w:r w:rsidR="004A0C5A" w:rsidRPr="002433F3">
        <w:rPr>
          <w:rFonts w:eastAsia="Times New Roman" w:cs="Times New Roman"/>
          <w:szCs w:val="20"/>
          <w:lang w:val="en-US" w:eastAsia="es-CL"/>
        </w:rPr>
        <w:t xml:space="preserve"> </w:t>
      </w:r>
      <w:r>
        <w:rPr>
          <w:rFonts w:eastAsia="Times New Roman" w:cs="Times New Roman"/>
          <w:szCs w:val="20"/>
          <w:lang w:val="en-US" w:eastAsia="es-CL"/>
        </w:rPr>
        <w:t>dismissal of</w:t>
      </w:r>
      <w:r w:rsidR="004A0C5A" w:rsidRPr="002433F3">
        <w:rPr>
          <w:rFonts w:eastAsia="Times New Roman" w:cs="Times New Roman"/>
          <w:szCs w:val="20"/>
          <w:lang w:val="en-US" w:eastAsia="es-CL"/>
        </w:rPr>
        <w:t xml:space="preserve"> the alleged victim’</w:t>
      </w:r>
      <w:r w:rsidR="007B0DE4" w:rsidRPr="002433F3">
        <w:rPr>
          <w:rFonts w:eastAsia="Times New Roman" w:cs="Times New Roman"/>
          <w:szCs w:val="20"/>
          <w:lang w:val="en-US" w:eastAsia="es-CL"/>
        </w:rPr>
        <w:t xml:space="preserve">s </w:t>
      </w:r>
      <w:r w:rsidR="004A0C5A" w:rsidRPr="002433F3">
        <w:rPr>
          <w:rFonts w:eastAsia="Times New Roman" w:cs="Times New Roman"/>
          <w:szCs w:val="20"/>
          <w:lang w:val="en-US" w:eastAsia="es-CL"/>
        </w:rPr>
        <w:t xml:space="preserve">claim to obtain </w:t>
      </w:r>
      <w:r w:rsidR="004A0C5A" w:rsidRPr="002433F3">
        <w:rPr>
          <w:szCs w:val="20"/>
          <w:lang w:val="en-US"/>
        </w:rPr>
        <w:t>a survivor’s pension due to the death of his same-sex partner, did not constitute an international wrongful act</w:t>
      </w:r>
      <w:r w:rsidR="004A0C5A" w:rsidRPr="002433F3">
        <w:rPr>
          <w:sz w:val="23"/>
          <w:szCs w:val="23"/>
          <w:lang w:val="en-US"/>
        </w:rPr>
        <w:t>.</w:t>
      </w:r>
      <w:r w:rsidR="007B0DE4" w:rsidRPr="002433F3">
        <w:rPr>
          <w:rFonts w:eastAsia="Calibri" w:cs="Tahoma"/>
          <w:szCs w:val="20"/>
          <w:lang w:val="en-US"/>
        </w:rPr>
        <w:t xml:space="preserve"> </w:t>
      </w:r>
    </w:p>
    <w:p w14:paraId="0373B32E" w14:textId="77777777" w:rsidR="007B0DE4" w:rsidRPr="002433F3" w:rsidRDefault="007B0DE4" w:rsidP="007B0DE4">
      <w:pPr>
        <w:spacing w:before="240" w:after="200"/>
        <w:rPr>
          <w:rFonts w:eastAsia="Times New Roman" w:cs="Times New Roman"/>
          <w:szCs w:val="20"/>
          <w:lang w:val="en-US" w:eastAsia="es-CL"/>
        </w:rPr>
      </w:pPr>
      <w:r w:rsidRPr="002433F3">
        <w:rPr>
          <w:rFonts w:eastAsia="Calibri" w:cs="Tahoma"/>
          <w:szCs w:val="20"/>
          <w:lang w:val="en-US"/>
        </w:rPr>
        <w:t xml:space="preserve">In sum, </w:t>
      </w:r>
      <w:r w:rsidR="004A0C5A" w:rsidRPr="002433F3">
        <w:rPr>
          <w:rFonts w:eastAsia="Calibri" w:cs="Tahoma"/>
          <w:szCs w:val="20"/>
          <w:lang w:val="en-US"/>
        </w:rPr>
        <w:t xml:space="preserve">there was no </w:t>
      </w:r>
      <w:r w:rsidRPr="002433F3">
        <w:rPr>
          <w:rFonts w:eastAsia="Calibri" w:cs="Tahoma"/>
          <w:i/>
          <w:szCs w:val="20"/>
          <w:lang w:val="en-US"/>
        </w:rPr>
        <w:t>causa petendi</w:t>
      </w:r>
      <w:r w:rsidR="004A0C5A" w:rsidRPr="002433F3">
        <w:rPr>
          <w:rFonts w:eastAsia="Calibri" w:cs="Tahoma"/>
          <w:szCs w:val="20"/>
          <w:lang w:val="en-US"/>
        </w:rPr>
        <w:t xml:space="preserve"> in this case.</w:t>
      </w:r>
    </w:p>
    <w:p w14:paraId="08AD9E4B" w14:textId="77777777" w:rsidR="007B0DE4" w:rsidRPr="002433F3" w:rsidRDefault="004F7794" w:rsidP="007B0DE4">
      <w:pPr>
        <w:numPr>
          <w:ilvl w:val="0"/>
          <w:numId w:val="15"/>
        </w:numPr>
        <w:spacing w:before="240" w:after="200" w:line="276" w:lineRule="auto"/>
        <w:contextualSpacing/>
        <w:jc w:val="left"/>
        <w:rPr>
          <w:rFonts w:eastAsia="Verdana" w:cs="Verdana"/>
          <w:spacing w:val="3"/>
          <w:szCs w:val="20"/>
          <w:lang w:val="en-US"/>
        </w:rPr>
      </w:pPr>
      <w:r>
        <w:rPr>
          <w:rFonts w:eastAsia="Verdana" w:cs="Verdana"/>
          <w:spacing w:val="3"/>
          <w:szCs w:val="20"/>
          <w:lang w:val="en-US"/>
        </w:rPr>
        <w:t>Absence of discrimination</w:t>
      </w:r>
    </w:p>
    <w:p w14:paraId="079E47AA" w14:textId="77777777" w:rsidR="007B0DE4" w:rsidRPr="002433F3" w:rsidRDefault="007B0DE4" w:rsidP="007B0DE4">
      <w:pPr>
        <w:spacing w:before="240" w:after="200"/>
        <w:rPr>
          <w:rFonts w:eastAsia="Verdana" w:cs="Verdana"/>
          <w:i/>
          <w:spacing w:val="3"/>
          <w:szCs w:val="20"/>
          <w:lang w:val="en-US"/>
        </w:rPr>
      </w:pPr>
      <w:r w:rsidRPr="002433F3">
        <w:rPr>
          <w:rFonts w:eastAsia="Times New Roman" w:cs="Times New Roman"/>
          <w:szCs w:val="20"/>
          <w:lang w:val="en-US" w:eastAsia="es-CL"/>
        </w:rPr>
        <w:t xml:space="preserve">As </w:t>
      </w:r>
      <w:r w:rsidR="004A0C5A" w:rsidRPr="002433F3">
        <w:rPr>
          <w:rFonts w:eastAsia="Times New Roman" w:cs="Times New Roman"/>
          <w:szCs w:val="20"/>
          <w:lang w:val="en-US" w:eastAsia="es-CL"/>
        </w:rPr>
        <w:t xml:space="preserve">I have </w:t>
      </w:r>
      <w:r w:rsidRPr="002433F3">
        <w:rPr>
          <w:rFonts w:eastAsia="Times New Roman" w:cs="Times New Roman"/>
          <w:szCs w:val="20"/>
          <w:lang w:val="en-US" w:eastAsia="es-CL"/>
        </w:rPr>
        <w:t xml:space="preserve">already pointed out, the Judgment indicates that the provisions of </w:t>
      </w:r>
      <w:r w:rsidR="004A0C5A" w:rsidRPr="002433F3">
        <w:rPr>
          <w:rFonts w:eastAsia="Verdana" w:cs="Verdana"/>
          <w:spacing w:val="3"/>
          <w:szCs w:val="20"/>
          <w:lang w:val="en-US"/>
        </w:rPr>
        <w:t>Law 54 of 1990 and of Decree 1889</w:t>
      </w:r>
      <w:r w:rsidRPr="002433F3">
        <w:rPr>
          <w:rFonts w:eastAsia="Verdana" w:cs="Verdana"/>
          <w:spacing w:val="3"/>
          <w:szCs w:val="20"/>
          <w:lang w:val="en-US"/>
        </w:rPr>
        <w:t xml:space="preserve"> of 1994, </w:t>
      </w:r>
      <w:r w:rsidR="0096748C" w:rsidRPr="002433F3">
        <w:rPr>
          <w:rFonts w:eastAsia="Verdana" w:cs="Verdana"/>
          <w:spacing w:val="3"/>
          <w:szCs w:val="20"/>
          <w:lang w:val="en-US"/>
        </w:rPr>
        <w:t xml:space="preserve">which </w:t>
      </w:r>
      <w:r w:rsidRPr="002433F3">
        <w:rPr>
          <w:rFonts w:eastAsia="Verdana" w:cs="Verdana"/>
          <w:spacing w:val="3"/>
          <w:szCs w:val="20"/>
          <w:lang w:val="en-US"/>
        </w:rPr>
        <w:t xml:space="preserve">only recognized </w:t>
      </w:r>
      <w:r w:rsidRPr="002433F3">
        <w:rPr>
          <w:rFonts w:eastAsia="Verdana" w:cs="Verdana"/>
          <w:i/>
          <w:spacing w:val="3"/>
          <w:szCs w:val="20"/>
          <w:lang w:val="en-US"/>
        </w:rPr>
        <w:t xml:space="preserve">partnerships </w:t>
      </w:r>
      <w:r w:rsidRPr="002433F3">
        <w:rPr>
          <w:rFonts w:eastAsia="Verdana" w:cs="Verdana"/>
          <w:spacing w:val="3"/>
          <w:szCs w:val="20"/>
          <w:lang w:val="en-US"/>
        </w:rPr>
        <w:t>between persons of a different sex and, therefore,</w:t>
      </w:r>
      <w:r w:rsidRPr="002433F3">
        <w:rPr>
          <w:rFonts w:eastAsia="Calibri" w:cs="Times New Roman"/>
          <w:szCs w:val="20"/>
          <w:lang w:val="en-US"/>
        </w:rPr>
        <w:t xml:space="preserve"> </w:t>
      </w:r>
      <w:r w:rsidRPr="002433F3">
        <w:rPr>
          <w:rFonts w:eastAsia="Calibri" w:cs="Times New Roman"/>
          <w:i/>
          <w:szCs w:val="20"/>
          <w:lang w:val="en-US"/>
        </w:rPr>
        <w:t>“</w:t>
      </w:r>
      <w:r w:rsidR="0096748C" w:rsidRPr="002433F3">
        <w:rPr>
          <w:i/>
          <w:lang w:val="en-US"/>
        </w:rPr>
        <w:t xml:space="preserve">did not permit the payment of pensions to same-sex couples, amounted to a difference of treatment </w:t>
      </w:r>
      <w:r w:rsidRPr="002433F3">
        <w:rPr>
          <w:rFonts w:eastAsia="Calibri" w:cs="Times New Roman"/>
          <w:i/>
          <w:szCs w:val="20"/>
          <w:lang w:val="en-US"/>
        </w:rPr>
        <w:t>that violated the right to equality and non-discrimination</w:t>
      </w:r>
      <w:r w:rsidR="004A0C5A" w:rsidRPr="002433F3">
        <w:rPr>
          <w:rFonts w:eastAsia="Calibri" w:cs="Times New Roman"/>
          <w:i/>
          <w:szCs w:val="20"/>
          <w:lang w:val="en-US"/>
        </w:rPr>
        <w:t>.</w:t>
      </w:r>
      <w:r w:rsidRPr="002433F3">
        <w:rPr>
          <w:rFonts w:eastAsia="Calibri" w:cs="Times New Roman"/>
          <w:i/>
          <w:szCs w:val="20"/>
          <w:lang w:val="en-US"/>
        </w:rPr>
        <w:t>”</w:t>
      </w:r>
      <w:r w:rsidR="004A0C5A" w:rsidRPr="002433F3">
        <w:rPr>
          <w:rFonts w:eastAsia="Verdana" w:cs="Verdana"/>
          <w:i/>
          <w:spacing w:val="3"/>
          <w:szCs w:val="20"/>
          <w:lang w:val="en-US"/>
        </w:rPr>
        <w:t xml:space="preserve"> </w:t>
      </w:r>
      <w:r w:rsidRPr="002433F3">
        <w:rPr>
          <w:rFonts w:eastAsia="Verdana" w:cs="Verdana"/>
          <w:i/>
          <w:spacing w:val="3"/>
          <w:szCs w:val="20"/>
          <w:vertAlign w:val="superscript"/>
          <w:lang w:val="en-US"/>
        </w:rPr>
        <w:footnoteReference w:id="223"/>
      </w:r>
    </w:p>
    <w:p w14:paraId="5E3002DF" w14:textId="77777777" w:rsidR="007B0DE4" w:rsidRPr="002433F3" w:rsidRDefault="0096748C" w:rsidP="007B0DE4">
      <w:pPr>
        <w:spacing w:before="240" w:after="200"/>
        <w:rPr>
          <w:rFonts w:eastAsia="Times New Roman" w:cs="Times New Roman"/>
          <w:szCs w:val="20"/>
          <w:lang w:val="en-US" w:eastAsia="es-CL"/>
        </w:rPr>
      </w:pPr>
      <w:r w:rsidRPr="002433F3">
        <w:rPr>
          <w:rFonts w:eastAsia="Times New Roman" w:cs="Times New Roman"/>
          <w:szCs w:val="20"/>
          <w:lang w:val="en-US" w:eastAsia="es-CL"/>
        </w:rPr>
        <w:t xml:space="preserve">However, </w:t>
      </w:r>
      <w:r w:rsidR="008B1F4E" w:rsidRPr="002433F3">
        <w:rPr>
          <w:rFonts w:eastAsia="Times New Roman" w:cs="Times New Roman"/>
          <w:szCs w:val="20"/>
          <w:lang w:val="en-US" w:eastAsia="es-CL"/>
        </w:rPr>
        <w:t xml:space="preserve">given that </w:t>
      </w:r>
      <w:r w:rsidR="007B0DE4" w:rsidRPr="002433F3">
        <w:rPr>
          <w:rFonts w:eastAsia="Times New Roman" w:cs="Times New Roman"/>
          <w:szCs w:val="20"/>
          <w:lang w:val="en-US" w:eastAsia="es-CL"/>
        </w:rPr>
        <w:t xml:space="preserve">no internationally wrongful act </w:t>
      </w:r>
      <w:r w:rsidR="00D73143" w:rsidRPr="002433F3">
        <w:rPr>
          <w:rFonts w:eastAsia="Times New Roman" w:cs="Times New Roman"/>
          <w:szCs w:val="20"/>
          <w:lang w:val="en-US" w:eastAsia="es-CL"/>
        </w:rPr>
        <w:t xml:space="preserve">existed </w:t>
      </w:r>
      <w:r w:rsidR="007B0DE4" w:rsidRPr="002433F3">
        <w:rPr>
          <w:rFonts w:eastAsia="Times New Roman" w:cs="Times New Roman"/>
          <w:szCs w:val="20"/>
          <w:lang w:val="en-US" w:eastAsia="es-CL"/>
        </w:rPr>
        <w:t xml:space="preserve">at the time when the victim was denied the </w:t>
      </w:r>
      <w:r w:rsidR="008B1F4E" w:rsidRPr="002433F3">
        <w:rPr>
          <w:rFonts w:eastAsia="Times New Roman" w:cs="Times New Roman"/>
          <w:szCs w:val="20"/>
          <w:lang w:val="en-US" w:eastAsia="es-CL"/>
        </w:rPr>
        <w:t xml:space="preserve">possibility of applying </w:t>
      </w:r>
      <w:r w:rsidR="007B0DE4" w:rsidRPr="002433F3">
        <w:rPr>
          <w:rFonts w:eastAsia="Times New Roman" w:cs="Times New Roman"/>
          <w:szCs w:val="20"/>
          <w:lang w:val="en-US" w:eastAsia="es-CL"/>
        </w:rPr>
        <w:t xml:space="preserve">for the survivor’s pension, obviously there could not have been </w:t>
      </w:r>
      <w:r w:rsidR="00D73143" w:rsidRPr="002433F3">
        <w:rPr>
          <w:rFonts w:eastAsia="Times New Roman" w:cs="Times New Roman"/>
          <w:szCs w:val="20"/>
          <w:lang w:val="en-US" w:eastAsia="es-CL"/>
        </w:rPr>
        <w:t xml:space="preserve">any </w:t>
      </w:r>
      <w:r w:rsidR="007B0DE4" w:rsidRPr="002433F3">
        <w:rPr>
          <w:rFonts w:eastAsia="Times New Roman" w:cs="Times New Roman"/>
          <w:szCs w:val="20"/>
          <w:lang w:val="en-US" w:eastAsia="es-CL"/>
        </w:rPr>
        <w:t>discrimination</w:t>
      </w:r>
      <w:r w:rsidR="00D73143" w:rsidRPr="002433F3">
        <w:rPr>
          <w:rFonts w:eastAsia="Times New Roman" w:cs="Times New Roman"/>
          <w:szCs w:val="20"/>
          <w:lang w:val="en-US" w:eastAsia="es-CL"/>
        </w:rPr>
        <w:t xml:space="preserve"> either</w:t>
      </w:r>
      <w:r w:rsidR="007B0DE4" w:rsidRPr="002433F3">
        <w:rPr>
          <w:rFonts w:eastAsia="Times New Roman" w:cs="Times New Roman"/>
          <w:szCs w:val="20"/>
          <w:lang w:val="en-US" w:eastAsia="es-CL"/>
        </w:rPr>
        <w:t>.</w:t>
      </w:r>
    </w:p>
    <w:p w14:paraId="72EB151A" w14:textId="77777777" w:rsidR="007B0DE4" w:rsidRPr="002433F3" w:rsidRDefault="007B0DE4" w:rsidP="007B0DE4">
      <w:pPr>
        <w:spacing w:before="240" w:after="200"/>
        <w:rPr>
          <w:rFonts w:eastAsia="Verdana" w:cs="Verdana"/>
          <w:spacing w:val="3"/>
          <w:szCs w:val="20"/>
          <w:lang w:val="en-US"/>
        </w:rPr>
      </w:pPr>
      <w:r w:rsidRPr="002433F3">
        <w:rPr>
          <w:rFonts w:eastAsia="Verdana" w:cs="Verdana"/>
          <w:spacing w:val="3"/>
          <w:szCs w:val="20"/>
          <w:lang w:val="en-US"/>
        </w:rPr>
        <w:t xml:space="preserve">But, </w:t>
      </w:r>
      <w:r w:rsidR="0096748C" w:rsidRPr="002433F3">
        <w:rPr>
          <w:rFonts w:eastAsia="Verdana" w:cs="Verdana"/>
          <w:spacing w:val="3"/>
          <w:szCs w:val="20"/>
          <w:lang w:val="en-US"/>
        </w:rPr>
        <w:t xml:space="preserve">in addition, </w:t>
      </w:r>
      <w:r w:rsidR="00BF2BE6" w:rsidRPr="002433F3">
        <w:rPr>
          <w:rFonts w:eastAsia="Verdana" w:cs="Verdana"/>
          <w:spacing w:val="3"/>
          <w:szCs w:val="20"/>
          <w:lang w:val="en-US"/>
        </w:rPr>
        <w:t xml:space="preserve">we must </w:t>
      </w:r>
      <w:r w:rsidR="0096748C" w:rsidRPr="002433F3">
        <w:rPr>
          <w:rFonts w:eastAsia="Verdana" w:cs="Verdana"/>
          <w:spacing w:val="3"/>
          <w:szCs w:val="20"/>
          <w:lang w:val="en-US"/>
        </w:rPr>
        <w:t xml:space="preserve">also </w:t>
      </w:r>
      <w:r w:rsidR="00BF2BE6" w:rsidRPr="002433F3">
        <w:rPr>
          <w:rFonts w:eastAsia="Verdana" w:cs="Verdana"/>
          <w:spacing w:val="3"/>
          <w:szCs w:val="20"/>
          <w:lang w:val="en-US"/>
        </w:rPr>
        <w:t xml:space="preserve">be mindful </w:t>
      </w:r>
      <w:r w:rsidRPr="002433F3">
        <w:rPr>
          <w:rFonts w:eastAsia="Verdana" w:cs="Verdana"/>
          <w:spacing w:val="3"/>
          <w:szCs w:val="20"/>
          <w:lang w:val="en-US"/>
        </w:rPr>
        <w:t>that not all distinction is discrimination.</w:t>
      </w:r>
    </w:p>
    <w:p w14:paraId="3F957C75" w14:textId="77777777" w:rsidR="007B0DE4" w:rsidRPr="002433F3" w:rsidRDefault="007B0DE4" w:rsidP="007B0DE4">
      <w:pPr>
        <w:spacing w:before="240" w:after="200"/>
        <w:rPr>
          <w:rFonts w:eastAsia="Calibri" w:cs="Times New Roman"/>
          <w:szCs w:val="20"/>
          <w:lang w:val="en-US"/>
        </w:rPr>
      </w:pPr>
      <w:r w:rsidRPr="002433F3">
        <w:rPr>
          <w:rFonts w:eastAsia="Verdana" w:cs="Verdana"/>
          <w:spacing w:val="3"/>
          <w:szCs w:val="20"/>
          <w:lang w:val="en-US"/>
        </w:rPr>
        <w:t>Ind</w:t>
      </w:r>
      <w:r w:rsidR="00B63050" w:rsidRPr="002433F3">
        <w:rPr>
          <w:rFonts w:eastAsia="Verdana" w:cs="Verdana"/>
          <w:spacing w:val="3"/>
          <w:szCs w:val="20"/>
          <w:lang w:val="en-US"/>
        </w:rPr>
        <w:t xml:space="preserve">eed, even the concept of discrimination </w:t>
      </w:r>
      <w:r w:rsidR="002133D1" w:rsidRPr="002433F3">
        <w:rPr>
          <w:rFonts w:eastAsia="Verdana" w:cs="Verdana"/>
          <w:spacing w:val="3"/>
          <w:szCs w:val="20"/>
          <w:lang w:val="en-US"/>
        </w:rPr>
        <w:t xml:space="preserve">as defined </w:t>
      </w:r>
      <w:r w:rsidR="00B63050" w:rsidRPr="002433F3">
        <w:rPr>
          <w:rFonts w:eastAsia="Verdana" w:cs="Verdana"/>
          <w:spacing w:val="3"/>
          <w:szCs w:val="20"/>
          <w:lang w:val="en-US"/>
        </w:rPr>
        <w:t xml:space="preserve">by the </w:t>
      </w:r>
      <w:r w:rsidRPr="002433F3">
        <w:rPr>
          <w:rFonts w:eastAsia="Calibri" w:cs="Times New Roman"/>
          <w:szCs w:val="20"/>
          <w:lang w:val="en-US"/>
        </w:rPr>
        <w:t xml:space="preserve">Human Rights </w:t>
      </w:r>
      <w:r w:rsidR="0096748C" w:rsidRPr="002433F3">
        <w:rPr>
          <w:rFonts w:eastAsia="Calibri" w:cs="Times New Roman"/>
          <w:szCs w:val="20"/>
          <w:lang w:val="en-US"/>
        </w:rPr>
        <w:t>Committee of</w:t>
      </w:r>
      <w:r w:rsidRPr="002433F3">
        <w:rPr>
          <w:rFonts w:eastAsia="Calibri" w:cs="Times New Roman"/>
          <w:szCs w:val="20"/>
          <w:lang w:val="en-US"/>
        </w:rPr>
        <w:t xml:space="preserve"> the International Covena</w:t>
      </w:r>
      <w:r w:rsidR="00B63050" w:rsidRPr="002433F3">
        <w:rPr>
          <w:rFonts w:eastAsia="Calibri" w:cs="Times New Roman"/>
          <w:szCs w:val="20"/>
          <w:lang w:val="en-US"/>
        </w:rPr>
        <w:t>nt on</w:t>
      </w:r>
      <w:r w:rsidRPr="002433F3">
        <w:rPr>
          <w:rFonts w:eastAsia="Calibri" w:cs="Times New Roman"/>
          <w:szCs w:val="20"/>
          <w:lang w:val="en-US"/>
        </w:rPr>
        <w:t xml:space="preserve"> Civil and Political Rights</w:t>
      </w:r>
      <w:r w:rsidR="00B63050" w:rsidRPr="002433F3">
        <w:rPr>
          <w:rFonts w:eastAsia="Calibri" w:cs="Times New Roman"/>
          <w:szCs w:val="20"/>
          <w:lang w:val="en-US"/>
        </w:rPr>
        <w:t xml:space="preserve">, </w:t>
      </w:r>
      <w:r w:rsidR="002133D1" w:rsidRPr="002433F3">
        <w:rPr>
          <w:rFonts w:eastAsia="Calibri" w:cs="Times New Roman"/>
          <w:szCs w:val="20"/>
          <w:lang w:val="en-US"/>
        </w:rPr>
        <w:t xml:space="preserve">and </w:t>
      </w:r>
      <w:r w:rsidR="002674C0" w:rsidRPr="002433F3">
        <w:rPr>
          <w:rFonts w:eastAsia="Calibri" w:cs="Times New Roman"/>
          <w:szCs w:val="20"/>
          <w:lang w:val="en-US"/>
        </w:rPr>
        <w:t xml:space="preserve">adopted by </w:t>
      </w:r>
      <w:r w:rsidRPr="002433F3">
        <w:rPr>
          <w:rFonts w:eastAsia="Calibri" w:cs="Times New Roman"/>
          <w:szCs w:val="20"/>
          <w:lang w:val="en-US"/>
        </w:rPr>
        <w:t xml:space="preserve">the Court, </w:t>
      </w:r>
      <w:r w:rsidRPr="002433F3">
        <w:rPr>
          <w:rFonts w:eastAsia="Calibri" w:cs="Times New Roman"/>
          <w:szCs w:val="20"/>
          <w:vertAlign w:val="superscript"/>
          <w:lang w:val="en-US"/>
        </w:rPr>
        <w:footnoteReference w:id="224"/>
      </w:r>
      <w:r w:rsidRPr="002433F3">
        <w:rPr>
          <w:rFonts w:eastAsia="Calibri" w:cs="Times New Roman"/>
          <w:szCs w:val="20"/>
          <w:lang w:val="en-US"/>
        </w:rPr>
        <w:t xml:space="preserve"> leads to that conclusion. </w:t>
      </w:r>
      <w:r w:rsidR="003569AD" w:rsidRPr="002433F3">
        <w:rPr>
          <w:rFonts w:eastAsia="Calibri" w:cs="Times New Roman"/>
          <w:szCs w:val="20"/>
          <w:lang w:val="en-US"/>
        </w:rPr>
        <w:t xml:space="preserve">According to that </w:t>
      </w:r>
      <w:r w:rsidRPr="002433F3">
        <w:rPr>
          <w:rFonts w:eastAsia="Calibri" w:cs="Times New Roman"/>
          <w:szCs w:val="20"/>
          <w:lang w:val="en-US"/>
        </w:rPr>
        <w:t>concept, a</w:t>
      </w:r>
      <w:r w:rsidR="007B4565" w:rsidRPr="002433F3">
        <w:rPr>
          <w:rFonts w:eastAsia="Calibri" w:cs="Times New Roman"/>
          <w:szCs w:val="20"/>
          <w:lang w:val="en-US"/>
        </w:rPr>
        <w:t>ny</w:t>
      </w:r>
      <w:r w:rsidRPr="002433F3">
        <w:rPr>
          <w:rFonts w:eastAsia="Calibri" w:cs="Times New Roman"/>
          <w:szCs w:val="20"/>
          <w:lang w:val="en-US"/>
        </w:rPr>
        <w:t xml:space="preserve"> distinction, exclusion, restriction, preference or difference of treatment </w:t>
      </w:r>
      <w:r w:rsidR="003629FB" w:rsidRPr="002433F3">
        <w:rPr>
          <w:rFonts w:eastAsia="Calibri" w:cs="Times New Roman"/>
          <w:szCs w:val="20"/>
          <w:lang w:val="en-US"/>
        </w:rPr>
        <w:t xml:space="preserve">established </w:t>
      </w:r>
      <w:r w:rsidR="002674C0" w:rsidRPr="002433F3">
        <w:rPr>
          <w:rFonts w:eastAsia="Calibri" w:cs="Times New Roman"/>
          <w:szCs w:val="20"/>
          <w:lang w:val="en-US"/>
        </w:rPr>
        <w:t xml:space="preserve">will </w:t>
      </w:r>
      <w:r w:rsidR="003629FB" w:rsidRPr="002433F3">
        <w:rPr>
          <w:rFonts w:eastAsia="Calibri" w:cs="Times New Roman"/>
          <w:szCs w:val="20"/>
          <w:lang w:val="en-US"/>
        </w:rPr>
        <w:t xml:space="preserve">constitute </w:t>
      </w:r>
      <w:r w:rsidRPr="002433F3">
        <w:rPr>
          <w:rFonts w:eastAsia="Calibri" w:cs="Times New Roman"/>
          <w:szCs w:val="20"/>
          <w:lang w:val="en-US"/>
        </w:rPr>
        <w:t xml:space="preserve">discrimination </w:t>
      </w:r>
      <w:r w:rsidR="002674C0" w:rsidRPr="002433F3">
        <w:rPr>
          <w:rFonts w:eastAsia="Calibri" w:cs="Times New Roman"/>
          <w:szCs w:val="20"/>
          <w:lang w:val="en-US"/>
        </w:rPr>
        <w:t xml:space="preserve">if </w:t>
      </w:r>
      <w:r w:rsidR="003569AD" w:rsidRPr="002433F3">
        <w:rPr>
          <w:rFonts w:eastAsia="Calibri" w:cs="Times New Roman"/>
          <w:szCs w:val="20"/>
          <w:lang w:val="en-US"/>
        </w:rPr>
        <w:t xml:space="preserve">it has </w:t>
      </w:r>
      <w:r w:rsidRPr="002433F3">
        <w:rPr>
          <w:rFonts w:eastAsia="Calibri" w:cs="Times New Roman"/>
          <w:szCs w:val="20"/>
          <w:lang w:val="en-US"/>
        </w:rPr>
        <w:t>“</w:t>
      </w:r>
      <w:r w:rsidR="003569AD" w:rsidRPr="002433F3">
        <w:rPr>
          <w:i/>
          <w:spacing w:val="-3"/>
          <w:szCs w:val="20"/>
          <w:lang w:val="en-US"/>
        </w:rPr>
        <w:t xml:space="preserve">the </w:t>
      </w:r>
      <w:r w:rsidR="002133D1" w:rsidRPr="002433F3">
        <w:rPr>
          <w:i/>
          <w:spacing w:val="-3"/>
          <w:szCs w:val="20"/>
          <w:lang w:val="en-US"/>
        </w:rPr>
        <w:t xml:space="preserve">purpose or effect </w:t>
      </w:r>
      <w:r w:rsidR="003569AD" w:rsidRPr="002433F3">
        <w:rPr>
          <w:i/>
          <w:spacing w:val="-3"/>
          <w:szCs w:val="20"/>
          <w:lang w:val="en-US"/>
        </w:rPr>
        <w:t xml:space="preserve">of </w:t>
      </w:r>
      <w:r w:rsidR="00942A9E" w:rsidRPr="002433F3">
        <w:rPr>
          <w:i/>
          <w:spacing w:val="-3"/>
          <w:szCs w:val="20"/>
          <w:lang w:val="en-US"/>
        </w:rPr>
        <w:t>nullifying or impairing the recognition, enjoyment or exercise, by all persons, on an equal footing</w:t>
      </w:r>
      <w:r w:rsidR="00942A9E" w:rsidRPr="002433F3">
        <w:rPr>
          <w:rFonts w:ascii="Arial" w:hAnsi="Arial" w:cs="Arial"/>
          <w:i/>
          <w:color w:val="3C3C3C"/>
          <w:sz w:val="18"/>
          <w:szCs w:val="18"/>
          <w:shd w:val="clear" w:color="auto" w:fill="FFFFFF"/>
        </w:rPr>
        <w:t>,</w:t>
      </w:r>
      <w:r w:rsidR="00942A9E" w:rsidRPr="002433F3">
        <w:rPr>
          <w:rFonts w:ascii="Arial" w:hAnsi="Arial" w:cs="Arial"/>
          <w:color w:val="3C3C3C"/>
          <w:sz w:val="18"/>
          <w:szCs w:val="18"/>
          <w:shd w:val="clear" w:color="auto" w:fill="FFFFFF"/>
        </w:rPr>
        <w:t xml:space="preserve"> </w:t>
      </w:r>
      <w:r w:rsidR="00942A9E" w:rsidRPr="002433F3">
        <w:rPr>
          <w:rFonts w:eastAsia="Calibri" w:cs="Times New Roman"/>
          <w:i/>
          <w:szCs w:val="20"/>
          <w:lang w:val="en-US"/>
        </w:rPr>
        <w:t>of human rights and fundamental freedoms.”</w:t>
      </w:r>
      <w:r w:rsidRPr="002433F3">
        <w:rPr>
          <w:rFonts w:eastAsia="Calibri" w:cs="Times New Roman"/>
          <w:szCs w:val="20"/>
          <w:lang w:val="en-US"/>
        </w:rPr>
        <w:t xml:space="preserve"> </w:t>
      </w:r>
      <w:r w:rsidRPr="002433F3">
        <w:rPr>
          <w:rFonts w:eastAsia="Calibri" w:cs="Times New Roman"/>
          <w:i/>
          <w:szCs w:val="20"/>
          <w:lang w:val="en-US"/>
        </w:rPr>
        <w:t>Ergo</w:t>
      </w:r>
      <w:r w:rsidR="003569AD" w:rsidRPr="002433F3">
        <w:rPr>
          <w:rFonts w:eastAsia="Calibri" w:cs="Times New Roman"/>
          <w:szCs w:val="20"/>
          <w:lang w:val="en-US"/>
        </w:rPr>
        <w:t>, if</w:t>
      </w:r>
      <w:r w:rsidRPr="002433F3">
        <w:rPr>
          <w:rFonts w:eastAsia="Calibri" w:cs="Times New Roman"/>
          <w:szCs w:val="20"/>
          <w:lang w:val="en-US"/>
        </w:rPr>
        <w:t xml:space="preserve"> </w:t>
      </w:r>
      <w:r w:rsidR="00505616" w:rsidRPr="002433F3">
        <w:rPr>
          <w:rFonts w:eastAsia="Calibri" w:cs="Times New Roman"/>
          <w:szCs w:val="20"/>
          <w:lang w:val="en-US"/>
        </w:rPr>
        <w:t xml:space="preserve">it </w:t>
      </w:r>
      <w:r w:rsidR="000039F2" w:rsidRPr="002433F3">
        <w:rPr>
          <w:rFonts w:eastAsia="Calibri" w:cs="Times New Roman"/>
          <w:szCs w:val="20"/>
          <w:lang w:val="en-US"/>
        </w:rPr>
        <w:t xml:space="preserve">does not have that </w:t>
      </w:r>
      <w:r w:rsidR="00505616" w:rsidRPr="002433F3">
        <w:rPr>
          <w:rFonts w:eastAsia="Calibri" w:cs="Times New Roman"/>
          <w:szCs w:val="20"/>
          <w:lang w:val="en-US"/>
        </w:rPr>
        <w:t>purpose or effect</w:t>
      </w:r>
      <w:r w:rsidRPr="002433F3">
        <w:rPr>
          <w:rFonts w:eastAsia="Calibri" w:cs="Times New Roman"/>
          <w:szCs w:val="20"/>
          <w:lang w:val="en-US"/>
        </w:rPr>
        <w:t xml:space="preserve">, </w:t>
      </w:r>
      <w:r w:rsidR="0096748C" w:rsidRPr="002433F3">
        <w:rPr>
          <w:rFonts w:eastAsia="Calibri" w:cs="Times New Roman"/>
          <w:szCs w:val="20"/>
          <w:lang w:val="en-US"/>
        </w:rPr>
        <w:t>it</w:t>
      </w:r>
      <w:r w:rsidR="0096748C" w:rsidRPr="002433F3">
        <w:rPr>
          <w:rFonts w:eastAsia="Calibri" w:cs="Times New Roman"/>
          <w:i/>
          <w:szCs w:val="20"/>
          <w:lang w:val="en-US"/>
        </w:rPr>
        <w:t xml:space="preserve"> </w:t>
      </w:r>
      <w:r w:rsidR="00B10603" w:rsidRPr="002433F3">
        <w:rPr>
          <w:rFonts w:eastAsia="Calibri" w:cs="Times New Roman"/>
          <w:szCs w:val="20"/>
          <w:lang w:val="en-US"/>
        </w:rPr>
        <w:t>will n</w:t>
      </w:r>
      <w:r w:rsidRPr="002433F3">
        <w:rPr>
          <w:rFonts w:eastAsia="Calibri" w:cs="Times New Roman"/>
          <w:szCs w:val="20"/>
          <w:lang w:val="en-US"/>
        </w:rPr>
        <w:t>o</w:t>
      </w:r>
      <w:r w:rsidR="00B10603" w:rsidRPr="002433F3">
        <w:rPr>
          <w:rFonts w:eastAsia="Calibri" w:cs="Times New Roman"/>
          <w:szCs w:val="20"/>
          <w:lang w:val="en-US"/>
        </w:rPr>
        <w:t>t</w:t>
      </w:r>
      <w:r w:rsidRPr="002433F3">
        <w:rPr>
          <w:rFonts w:eastAsia="Calibri" w:cs="Times New Roman"/>
          <w:szCs w:val="20"/>
          <w:lang w:val="en-US"/>
        </w:rPr>
        <w:t xml:space="preserve"> constitu</w:t>
      </w:r>
      <w:r w:rsidR="00B10603" w:rsidRPr="002433F3">
        <w:rPr>
          <w:rFonts w:eastAsia="Calibri" w:cs="Times New Roman"/>
          <w:szCs w:val="20"/>
          <w:lang w:val="en-US"/>
        </w:rPr>
        <w:t xml:space="preserve">te </w:t>
      </w:r>
      <w:r w:rsidRPr="002433F3">
        <w:rPr>
          <w:rFonts w:eastAsia="Calibri" w:cs="Times New Roman"/>
          <w:szCs w:val="20"/>
          <w:lang w:val="en-US"/>
        </w:rPr>
        <w:t xml:space="preserve">discrimination and </w:t>
      </w:r>
      <w:r w:rsidR="0092104F" w:rsidRPr="002433F3">
        <w:rPr>
          <w:rFonts w:eastAsia="Calibri" w:cs="Times New Roman"/>
          <w:szCs w:val="20"/>
          <w:lang w:val="en-US"/>
        </w:rPr>
        <w:t>will be</w:t>
      </w:r>
      <w:r w:rsidRPr="002433F3">
        <w:rPr>
          <w:rFonts w:eastAsia="Calibri" w:cs="Times New Roman"/>
          <w:szCs w:val="20"/>
          <w:lang w:val="en-US"/>
        </w:rPr>
        <w:t>, therefore, permi</w:t>
      </w:r>
      <w:r w:rsidR="0096748C" w:rsidRPr="002433F3">
        <w:rPr>
          <w:rFonts w:eastAsia="Calibri" w:cs="Times New Roman"/>
          <w:szCs w:val="20"/>
          <w:lang w:val="en-US"/>
        </w:rPr>
        <w:t>tted. Thus, the Court</w:t>
      </w:r>
      <w:r w:rsidR="0092104F" w:rsidRPr="002433F3">
        <w:rPr>
          <w:rFonts w:eastAsia="Calibri" w:cs="Times New Roman"/>
          <w:szCs w:val="20"/>
          <w:lang w:val="en-US"/>
        </w:rPr>
        <w:t xml:space="preserve"> admits th</w:t>
      </w:r>
      <w:r w:rsidR="0096748C" w:rsidRPr="002433F3">
        <w:rPr>
          <w:rFonts w:eastAsia="Calibri" w:cs="Times New Roman"/>
          <w:szCs w:val="20"/>
          <w:lang w:val="en-US"/>
        </w:rPr>
        <w:t>at th</w:t>
      </w:r>
      <w:r w:rsidR="0092104F" w:rsidRPr="002433F3">
        <w:rPr>
          <w:rFonts w:eastAsia="Calibri" w:cs="Times New Roman"/>
          <w:szCs w:val="20"/>
          <w:lang w:val="en-US"/>
        </w:rPr>
        <w:t xml:space="preserve">ere is a </w:t>
      </w:r>
      <w:r w:rsidRPr="002433F3">
        <w:rPr>
          <w:rFonts w:eastAsia="Calibri" w:cs="Times New Roman"/>
          <w:szCs w:val="20"/>
          <w:lang w:val="en-US"/>
        </w:rPr>
        <w:t>difference between discrimination and distinction.</w:t>
      </w:r>
    </w:p>
    <w:p w14:paraId="64D471A3" w14:textId="77777777" w:rsidR="007B0DE4" w:rsidRPr="002433F3" w:rsidRDefault="004725DD" w:rsidP="007B0DE4">
      <w:pPr>
        <w:spacing w:before="240" w:after="200"/>
        <w:rPr>
          <w:rFonts w:eastAsia="Calibri" w:cs="Times New Roman"/>
          <w:szCs w:val="20"/>
          <w:lang w:val="en-US"/>
        </w:rPr>
      </w:pPr>
      <w:r w:rsidRPr="002433F3">
        <w:rPr>
          <w:rFonts w:eastAsia="Calibri" w:cs="Times New Roman"/>
          <w:szCs w:val="20"/>
          <w:lang w:val="en-US"/>
        </w:rPr>
        <w:lastRenderedPageBreak/>
        <w:t>In t</w:t>
      </w:r>
      <w:r w:rsidR="004253AB" w:rsidRPr="002433F3">
        <w:rPr>
          <w:rFonts w:eastAsia="Calibri" w:cs="Times New Roman"/>
          <w:szCs w:val="20"/>
          <w:lang w:val="en-US"/>
        </w:rPr>
        <w:t>h</w:t>
      </w:r>
      <w:r w:rsidRPr="002433F3">
        <w:rPr>
          <w:rFonts w:eastAsia="Calibri" w:cs="Times New Roman"/>
          <w:szCs w:val="20"/>
          <w:lang w:val="en-US"/>
        </w:rPr>
        <w:t xml:space="preserve">is regard, it should be emphasized </w:t>
      </w:r>
      <w:r w:rsidR="00E33FB8">
        <w:rPr>
          <w:rFonts w:eastAsia="Calibri" w:cs="Times New Roman"/>
          <w:szCs w:val="20"/>
          <w:lang w:val="en-US"/>
        </w:rPr>
        <w:t>that this</w:t>
      </w:r>
      <w:r w:rsidR="007B0DE4" w:rsidRPr="002433F3">
        <w:rPr>
          <w:rFonts w:eastAsia="Calibri" w:cs="Times New Roman"/>
          <w:szCs w:val="20"/>
          <w:lang w:val="en-US"/>
        </w:rPr>
        <w:t xml:space="preserve"> concept of discriminat</w:t>
      </w:r>
      <w:r w:rsidR="0092104F" w:rsidRPr="002433F3">
        <w:rPr>
          <w:rFonts w:eastAsia="Calibri" w:cs="Times New Roman"/>
          <w:szCs w:val="20"/>
          <w:lang w:val="en-US"/>
        </w:rPr>
        <w:t xml:space="preserve">ion </w:t>
      </w:r>
      <w:r w:rsidR="00505616" w:rsidRPr="002433F3">
        <w:rPr>
          <w:rFonts w:eastAsia="Calibri" w:cs="Times New Roman"/>
          <w:szCs w:val="20"/>
          <w:lang w:val="en-US"/>
        </w:rPr>
        <w:t>aligns with</w:t>
      </w:r>
      <w:r w:rsidR="0092104F" w:rsidRPr="002433F3">
        <w:rPr>
          <w:rFonts w:eastAsia="Calibri" w:cs="Times New Roman"/>
          <w:szCs w:val="20"/>
          <w:lang w:val="en-US"/>
        </w:rPr>
        <w:t xml:space="preserve"> </w:t>
      </w:r>
      <w:r w:rsidR="0061741D" w:rsidRPr="002433F3">
        <w:rPr>
          <w:rFonts w:eastAsia="Calibri" w:cs="Times New Roman"/>
          <w:szCs w:val="20"/>
          <w:lang w:val="en-US"/>
        </w:rPr>
        <w:t xml:space="preserve">the definition </w:t>
      </w:r>
      <w:r w:rsidR="00505616" w:rsidRPr="002433F3">
        <w:rPr>
          <w:rFonts w:eastAsia="Calibri" w:cs="Times New Roman"/>
          <w:szCs w:val="20"/>
          <w:lang w:val="en-US"/>
        </w:rPr>
        <w:t xml:space="preserve">given </w:t>
      </w:r>
      <w:r w:rsidR="0092104F" w:rsidRPr="002433F3">
        <w:rPr>
          <w:rFonts w:eastAsia="Calibri" w:cs="Times New Roman"/>
          <w:szCs w:val="20"/>
          <w:lang w:val="en-US"/>
        </w:rPr>
        <w:t xml:space="preserve">in the </w:t>
      </w:r>
      <w:r w:rsidR="0061741D" w:rsidRPr="002433F3">
        <w:rPr>
          <w:rFonts w:eastAsia="Calibri" w:cs="Times New Roman"/>
          <w:i/>
          <w:szCs w:val="20"/>
          <w:lang w:val="en-US"/>
        </w:rPr>
        <w:t>Diccionario de</w:t>
      </w:r>
      <w:r w:rsidR="007B0DE4" w:rsidRPr="002433F3">
        <w:rPr>
          <w:rFonts w:eastAsia="Calibri" w:cs="Times New Roman"/>
          <w:i/>
          <w:szCs w:val="20"/>
          <w:lang w:val="en-US"/>
        </w:rPr>
        <w:t xml:space="preserve"> </w:t>
      </w:r>
      <w:r w:rsidR="0061741D" w:rsidRPr="002433F3">
        <w:rPr>
          <w:rFonts w:eastAsia="Calibri" w:cs="Times New Roman"/>
          <w:i/>
          <w:szCs w:val="20"/>
          <w:lang w:val="en-US"/>
        </w:rPr>
        <w:t xml:space="preserve">la </w:t>
      </w:r>
      <w:r w:rsidR="007B0DE4" w:rsidRPr="002433F3">
        <w:rPr>
          <w:rFonts w:eastAsia="Calibri" w:cs="Times New Roman"/>
          <w:i/>
          <w:szCs w:val="20"/>
          <w:lang w:val="en-US"/>
        </w:rPr>
        <w:t>Real Academia Española</w:t>
      </w:r>
      <w:r w:rsidR="007B0DE4" w:rsidRPr="002433F3">
        <w:rPr>
          <w:rFonts w:eastAsia="Calibri" w:cs="Times New Roman"/>
          <w:szCs w:val="20"/>
          <w:lang w:val="en-US"/>
        </w:rPr>
        <w:t xml:space="preserve">, </w:t>
      </w:r>
      <w:r w:rsidR="00E33FB8">
        <w:rPr>
          <w:rFonts w:eastAsia="Calibri" w:cs="Times New Roman"/>
          <w:szCs w:val="20"/>
          <w:lang w:val="en-US"/>
        </w:rPr>
        <w:t xml:space="preserve">that is, </w:t>
      </w:r>
      <w:r w:rsidR="007B0DE4" w:rsidRPr="002433F3">
        <w:rPr>
          <w:rFonts w:eastAsia="Calibri" w:cs="Times New Roman"/>
          <w:szCs w:val="20"/>
          <w:lang w:val="en-US"/>
        </w:rPr>
        <w:t>“</w:t>
      </w:r>
      <w:r w:rsidR="00505616" w:rsidRPr="002433F3">
        <w:rPr>
          <w:rFonts w:eastAsia="Calibri" w:cs="Times New Roman"/>
          <w:i/>
          <w:szCs w:val="20"/>
          <w:lang w:val="en-US"/>
        </w:rPr>
        <w:t>to s</w:t>
      </w:r>
      <w:r w:rsidR="007B0DE4" w:rsidRPr="002433F3">
        <w:rPr>
          <w:rFonts w:eastAsia="Calibri" w:cs="Times New Roman"/>
          <w:i/>
          <w:szCs w:val="20"/>
          <w:lang w:val="en-US"/>
        </w:rPr>
        <w:t>elec</w:t>
      </w:r>
      <w:r w:rsidR="007B4565" w:rsidRPr="002433F3">
        <w:rPr>
          <w:rFonts w:eastAsia="Calibri" w:cs="Times New Roman"/>
          <w:i/>
          <w:szCs w:val="20"/>
          <w:lang w:val="en-US"/>
        </w:rPr>
        <w:t xml:space="preserve">t </w:t>
      </w:r>
      <w:r w:rsidR="007B0DE4" w:rsidRPr="002433F3">
        <w:rPr>
          <w:rFonts w:eastAsia="Calibri" w:cs="Times New Roman"/>
          <w:i/>
          <w:szCs w:val="20"/>
          <w:lang w:val="en-US"/>
        </w:rPr>
        <w:t>excluding</w:t>
      </w:r>
      <w:r w:rsidR="007B0DE4" w:rsidRPr="002433F3">
        <w:rPr>
          <w:rFonts w:eastAsia="Calibri" w:cs="Times New Roman"/>
          <w:szCs w:val="20"/>
          <w:lang w:val="en-US"/>
        </w:rPr>
        <w:t>” and “</w:t>
      </w:r>
      <w:r w:rsidR="00505616" w:rsidRPr="002433F3">
        <w:rPr>
          <w:rFonts w:eastAsia="Calibri" w:cs="Times New Roman"/>
          <w:i/>
          <w:szCs w:val="20"/>
          <w:lang w:val="en-US"/>
        </w:rPr>
        <w:t>to g</w:t>
      </w:r>
      <w:r w:rsidR="0092104F" w:rsidRPr="002433F3">
        <w:rPr>
          <w:rFonts w:eastAsia="Calibri" w:cs="Times New Roman"/>
          <w:i/>
          <w:szCs w:val="20"/>
          <w:lang w:val="en-US"/>
        </w:rPr>
        <w:t xml:space="preserve">ive </w:t>
      </w:r>
      <w:r w:rsidRPr="002433F3">
        <w:rPr>
          <w:rFonts w:eastAsia="Calibri" w:cs="Times New Roman"/>
          <w:i/>
          <w:szCs w:val="20"/>
          <w:lang w:val="en-US"/>
        </w:rPr>
        <w:t xml:space="preserve">unequal </w:t>
      </w:r>
      <w:r w:rsidR="007B0DE4" w:rsidRPr="002433F3">
        <w:rPr>
          <w:rFonts w:eastAsia="Calibri" w:cs="Times New Roman"/>
          <w:i/>
          <w:szCs w:val="20"/>
          <w:lang w:val="en-US"/>
        </w:rPr>
        <w:t>treatment to a person or group for reasons of race, religion, political views, sex, etc</w:t>
      </w:r>
      <w:r w:rsidR="007B0DE4" w:rsidRPr="002433F3">
        <w:rPr>
          <w:rFonts w:eastAsia="Calibri" w:cs="Times New Roman"/>
          <w:szCs w:val="20"/>
          <w:lang w:val="en-US"/>
        </w:rPr>
        <w:t xml:space="preserve">.” </w:t>
      </w:r>
      <w:r w:rsidR="0096748C" w:rsidRPr="002433F3">
        <w:rPr>
          <w:rFonts w:eastAsia="Calibri" w:cs="Times New Roman"/>
          <w:szCs w:val="20"/>
          <w:lang w:val="en-US"/>
        </w:rPr>
        <w:t xml:space="preserve">Ultimately, </w:t>
      </w:r>
      <w:r w:rsidR="00ED7BEF" w:rsidRPr="002433F3">
        <w:rPr>
          <w:rFonts w:eastAsia="Calibri" w:cs="Times New Roman"/>
          <w:szCs w:val="20"/>
          <w:lang w:val="en-US"/>
        </w:rPr>
        <w:t xml:space="preserve">unequal </w:t>
      </w:r>
      <w:r w:rsidR="007B0DE4" w:rsidRPr="002433F3">
        <w:rPr>
          <w:rFonts w:eastAsia="Calibri" w:cs="Times New Roman"/>
          <w:szCs w:val="20"/>
          <w:lang w:val="en-US"/>
        </w:rPr>
        <w:t xml:space="preserve">treatment for the </w:t>
      </w:r>
      <w:r w:rsidR="00ED7BEF" w:rsidRPr="002433F3">
        <w:rPr>
          <w:rFonts w:eastAsia="Calibri" w:cs="Times New Roman"/>
          <w:szCs w:val="20"/>
          <w:lang w:val="en-US"/>
        </w:rPr>
        <w:t xml:space="preserve">aforementioned reasons </w:t>
      </w:r>
      <w:r w:rsidR="0096748C" w:rsidRPr="002433F3">
        <w:rPr>
          <w:rFonts w:eastAsia="Calibri" w:cs="Times New Roman"/>
          <w:szCs w:val="20"/>
          <w:lang w:val="en-US"/>
        </w:rPr>
        <w:t xml:space="preserve">is </w:t>
      </w:r>
      <w:r w:rsidR="007B0DE4" w:rsidRPr="002433F3">
        <w:rPr>
          <w:rFonts w:eastAsia="Calibri" w:cs="Times New Roman"/>
          <w:szCs w:val="20"/>
          <w:lang w:val="en-US"/>
        </w:rPr>
        <w:t xml:space="preserve">what </w:t>
      </w:r>
      <w:r w:rsidR="00B63050" w:rsidRPr="002433F3">
        <w:rPr>
          <w:rFonts w:eastAsia="Calibri" w:cs="Times New Roman"/>
          <w:szCs w:val="20"/>
          <w:lang w:val="en-US"/>
        </w:rPr>
        <w:t xml:space="preserve">characterizes </w:t>
      </w:r>
      <w:r w:rsidR="007B0DE4" w:rsidRPr="002433F3">
        <w:rPr>
          <w:rFonts w:eastAsia="Calibri" w:cs="Times New Roman"/>
          <w:szCs w:val="20"/>
          <w:lang w:val="en-US"/>
        </w:rPr>
        <w:t>discrimination.</w:t>
      </w:r>
    </w:p>
    <w:p w14:paraId="451871F3" w14:textId="77777777" w:rsidR="007B0DE4" w:rsidRPr="002433F3" w:rsidRDefault="008B3EA1" w:rsidP="007B0DE4">
      <w:pPr>
        <w:spacing w:before="240" w:after="200"/>
        <w:rPr>
          <w:rFonts w:eastAsia="Calibri" w:cs="Times New Roman"/>
          <w:szCs w:val="20"/>
          <w:lang w:val="en-US"/>
        </w:rPr>
      </w:pPr>
      <w:r w:rsidRPr="002433F3">
        <w:rPr>
          <w:rFonts w:eastAsia="Calibri" w:cs="Times New Roman"/>
          <w:szCs w:val="20"/>
          <w:lang w:val="en-US"/>
        </w:rPr>
        <w:t>That said</w:t>
      </w:r>
      <w:r w:rsidR="007B0DE4" w:rsidRPr="002433F3">
        <w:rPr>
          <w:rFonts w:eastAsia="Calibri" w:cs="Times New Roman"/>
          <w:szCs w:val="20"/>
          <w:lang w:val="en-US"/>
        </w:rPr>
        <w:t xml:space="preserve">, discrimination </w:t>
      </w:r>
      <w:r w:rsidR="00ED7BEF" w:rsidRPr="002433F3">
        <w:rPr>
          <w:rFonts w:eastAsia="Calibri" w:cs="Times New Roman"/>
          <w:szCs w:val="20"/>
          <w:lang w:val="en-US"/>
        </w:rPr>
        <w:t xml:space="preserve">does </w:t>
      </w:r>
      <w:r w:rsidR="0064164E" w:rsidRPr="002433F3">
        <w:rPr>
          <w:rFonts w:eastAsia="Calibri" w:cs="Times New Roman"/>
          <w:szCs w:val="20"/>
          <w:lang w:val="en-US"/>
        </w:rPr>
        <w:t xml:space="preserve">indeed </w:t>
      </w:r>
      <w:r w:rsidR="00ED7BEF" w:rsidRPr="002433F3">
        <w:rPr>
          <w:rFonts w:eastAsia="Calibri" w:cs="Times New Roman"/>
          <w:szCs w:val="20"/>
          <w:lang w:val="en-US"/>
        </w:rPr>
        <w:t>occur</w:t>
      </w:r>
      <w:r w:rsidR="0064164E" w:rsidRPr="002433F3">
        <w:rPr>
          <w:rFonts w:eastAsia="Calibri" w:cs="Times New Roman"/>
          <w:szCs w:val="20"/>
          <w:lang w:val="en-US"/>
        </w:rPr>
        <w:t xml:space="preserve"> in cases</w:t>
      </w:r>
      <w:r w:rsidR="007B0DE4" w:rsidRPr="002433F3">
        <w:rPr>
          <w:rFonts w:eastAsia="Calibri" w:cs="Times New Roman"/>
          <w:szCs w:val="20"/>
          <w:lang w:val="en-US"/>
        </w:rPr>
        <w:t xml:space="preserve"> such as the one at hand, in which equals are considered in a different manner.</w:t>
      </w:r>
    </w:p>
    <w:p w14:paraId="55D85B28" w14:textId="77777777" w:rsidR="007B0DE4" w:rsidRPr="002433F3" w:rsidRDefault="00D825E5" w:rsidP="007B0DE4">
      <w:pPr>
        <w:spacing w:before="240" w:after="200"/>
        <w:rPr>
          <w:rFonts w:eastAsia="Calibri" w:cs="Times New Roman"/>
          <w:szCs w:val="20"/>
          <w:lang w:val="en-US"/>
        </w:rPr>
      </w:pPr>
      <w:r>
        <w:rPr>
          <w:rFonts w:eastAsia="Calibri" w:cs="Times New Roman"/>
          <w:szCs w:val="20"/>
          <w:lang w:val="en-US"/>
        </w:rPr>
        <w:t>Hence</w:t>
      </w:r>
      <w:r w:rsidR="007B0DE4" w:rsidRPr="002433F3">
        <w:rPr>
          <w:rFonts w:eastAsia="Calibri" w:cs="Times New Roman"/>
          <w:szCs w:val="20"/>
          <w:lang w:val="en-US"/>
        </w:rPr>
        <w:t xml:space="preserve">, discrimination </w:t>
      </w:r>
      <w:r w:rsidR="00A16E47" w:rsidRPr="002433F3">
        <w:rPr>
          <w:rFonts w:eastAsia="Calibri" w:cs="Times New Roman"/>
          <w:szCs w:val="20"/>
          <w:lang w:val="en-US"/>
        </w:rPr>
        <w:t xml:space="preserve">only </w:t>
      </w:r>
      <w:r w:rsidR="007A30A5" w:rsidRPr="002433F3">
        <w:rPr>
          <w:rFonts w:eastAsia="Calibri" w:cs="Times New Roman"/>
          <w:szCs w:val="20"/>
          <w:lang w:val="en-US"/>
        </w:rPr>
        <w:t xml:space="preserve">arises </w:t>
      </w:r>
      <w:r w:rsidR="00A16E47" w:rsidRPr="002433F3">
        <w:rPr>
          <w:rFonts w:eastAsia="Calibri" w:cs="Times New Roman"/>
          <w:szCs w:val="20"/>
          <w:lang w:val="en-US"/>
        </w:rPr>
        <w:t xml:space="preserve">if persons who </w:t>
      </w:r>
      <w:r w:rsidR="007A30A5" w:rsidRPr="002433F3">
        <w:rPr>
          <w:rFonts w:eastAsia="Calibri" w:cs="Times New Roman"/>
          <w:szCs w:val="20"/>
          <w:lang w:val="en-US"/>
        </w:rPr>
        <w:t xml:space="preserve">hold the same or equal legal status or </w:t>
      </w:r>
      <w:r w:rsidR="007B0DE4" w:rsidRPr="002433F3">
        <w:rPr>
          <w:rFonts w:eastAsia="Calibri" w:cs="Times New Roman"/>
          <w:szCs w:val="20"/>
          <w:lang w:val="en-US"/>
        </w:rPr>
        <w:t>situation, are treated in a different manner, thereby affecting the</w:t>
      </w:r>
      <w:r w:rsidR="007A30A5" w:rsidRPr="002433F3">
        <w:rPr>
          <w:rFonts w:eastAsia="Calibri" w:cs="Times New Roman"/>
          <w:szCs w:val="20"/>
          <w:lang w:val="en-US"/>
        </w:rPr>
        <w:t>ir</w:t>
      </w:r>
      <w:r w:rsidR="007B0DE4" w:rsidRPr="002433F3">
        <w:rPr>
          <w:rFonts w:eastAsia="Calibri" w:cs="Times New Roman"/>
          <w:szCs w:val="20"/>
          <w:lang w:val="en-US"/>
        </w:rPr>
        <w:t xml:space="preserve"> exercise or </w:t>
      </w:r>
      <w:r w:rsidR="00B63050" w:rsidRPr="002433F3">
        <w:rPr>
          <w:rFonts w:eastAsia="Calibri" w:cs="Times New Roman"/>
          <w:szCs w:val="20"/>
          <w:lang w:val="en-US"/>
        </w:rPr>
        <w:t xml:space="preserve">enjoyment </w:t>
      </w:r>
      <w:r w:rsidR="007B0DE4" w:rsidRPr="002433F3">
        <w:rPr>
          <w:rFonts w:eastAsia="Calibri" w:cs="Times New Roman"/>
          <w:szCs w:val="20"/>
          <w:lang w:val="en-US"/>
        </w:rPr>
        <w:t xml:space="preserve">of human rights. In that order of ideas we could say, for example, that if children or women were </w:t>
      </w:r>
      <w:r w:rsidR="007A30A5" w:rsidRPr="002433F3">
        <w:rPr>
          <w:rFonts w:eastAsia="Calibri" w:cs="Times New Roman"/>
          <w:szCs w:val="20"/>
          <w:lang w:val="en-US"/>
        </w:rPr>
        <w:t xml:space="preserve">to be </w:t>
      </w:r>
      <w:r w:rsidR="007B0DE4" w:rsidRPr="002433F3">
        <w:rPr>
          <w:rFonts w:eastAsia="Calibri" w:cs="Times New Roman"/>
          <w:szCs w:val="20"/>
          <w:lang w:val="en-US"/>
        </w:rPr>
        <w:t xml:space="preserve">given a </w:t>
      </w:r>
      <w:r w:rsidR="00335403" w:rsidRPr="002433F3">
        <w:rPr>
          <w:rFonts w:eastAsia="Calibri" w:cs="Times New Roman"/>
          <w:szCs w:val="20"/>
          <w:lang w:val="en-US"/>
        </w:rPr>
        <w:t>treatment</w:t>
      </w:r>
      <w:r w:rsidR="007B0DE4" w:rsidRPr="002433F3">
        <w:rPr>
          <w:rFonts w:eastAsia="Calibri" w:cs="Times New Roman"/>
          <w:szCs w:val="20"/>
          <w:lang w:val="en-US"/>
        </w:rPr>
        <w:t xml:space="preserve"> </w:t>
      </w:r>
      <w:r w:rsidR="007A30A5" w:rsidRPr="002433F3">
        <w:rPr>
          <w:rFonts w:eastAsia="Calibri" w:cs="Times New Roman"/>
          <w:szCs w:val="20"/>
          <w:lang w:val="en-US"/>
        </w:rPr>
        <w:t>different to that received</w:t>
      </w:r>
      <w:r w:rsidR="007B0DE4" w:rsidRPr="002433F3">
        <w:rPr>
          <w:rFonts w:eastAsia="Calibri" w:cs="Times New Roman"/>
          <w:szCs w:val="20"/>
          <w:lang w:val="en-US"/>
        </w:rPr>
        <w:t xml:space="preserve"> by other children</w:t>
      </w:r>
      <w:r w:rsidR="007B0DE4" w:rsidRPr="002433F3">
        <w:rPr>
          <w:rFonts w:eastAsia="Calibri" w:cs="Times New Roman"/>
          <w:szCs w:val="20"/>
          <w:vertAlign w:val="superscript"/>
          <w:lang w:val="en-US"/>
        </w:rPr>
        <w:footnoteReference w:id="225"/>
      </w:r>
      <w:r w:rsidR="007B0DE4" w:rsidRPr="002433F3">
        <w:rPr>
          <w:rFonts w:eastAsia="Calibri" w:cs="Times New Roman"/>
          <w:szCs w:val="20"/>
          <w:lang w:val="en-US"/>
        </w:rPr>
        <w:t xml:space="preserve"> or other women</w:t>
      </w:r>
      <w:r w:rsidR="00087352" w:rsidRPr="002433F3">
        <w:rPr>
          <w:rFonts w:eastAsia="Calibri" w:cs="Times New Roman"/>
          <w:szCs w:val="20"/>
          <w:lang w:val="en-US"/>
        </w:rPr>
        <w:t>,</w:t>
      </w:r>
      <w:r w:rsidR="007B0DE4" w:rsidRPr="002433F3">
        <w:rPr>
          <w:rFonts w:eastAsia="Calibri" w:cs="Times New Roman"/>
          <w:szCs w:val="20"/>
          <w:vertAlign w:val="superscript"/>
          <w:lang w:val="en-US"/>
        </w:rPr>
        <w:footnoteReference w:id="226"/>
      </w:r>
      <w:r w:rsidR="00087352" w:rsidRPr="002433F3">
        <w:rPr>
          <w:rFonts w:eastAsia="Calibri" w:cs="Times New Roman"/>
          <w:szCs w:val="20"/>
          <w:lang w:val="en-US"/>
        </w:rPr>
        <w:t xml:space="preserve"> </w:t>
      </w:r>
      <w:r w:rsidR="007A30A5" w:rsidRPr="002433F3">
        <w:rPr>
          <w:rFonts w:eastAsia="Calibri" w:cs="Times New Roman"/>
          <w:szCs w:val="20"/>
          <w:lang w:val="en-US"/>
        </w:rPr>
        <w:t xml:space="preserve">respectively, </w:t>
      </w:r>
      <w:r w:rsidR="00087352" w:rsidRPr="002433F3">
        <w:rPr>
          <w:rFonts w:eastAsia="Calibri" w:cs="Times New Roman"/>
          <w:szCs w:val="20"/>
          <w:lang w:val="en-US"/>
        </w:rPr>
        <w:t xml:space="preserve">affecting the </w:t>
      </w:r>
      <w:r w:rsidR="007B0DE4" w:rsidRPr="002433F3">
        <w:rPr>
          <w:rFonts w:eastAsia="Calibri" w:cs="Times New Roman"/>
          <w:szCs w:val="20"/>
          <w:lang w:val="en-US"/>
        </w:rPr>
        <w:t xml:space="preserve">recognition or enjoyment of their human rights, </w:t>
      </w:r>
      <w:r w:rsidR="00B63050" w:rsidRPr="002433F3">
        <w:rPr>
          <w:rFonts w:eastAsia="Calibri" w:cs="Times New Roman"/>
          <w:szCs w:val="20"/>
          <w:lang w:val="en-US"/>
        </w:rPr>
        <w:t xml:space="preserve">there would be </w:t>
      </w:r>
      <w:r w:rsidR="007B0DE4" w:rsidRPr="002433F3">
        <w:rPr>
          <w:rFonts w:eastAsia="Calibri" w:cs="Times New Roman"/>
          <w:szCs w:val="20"/>
          <w:lang w:val="en-US"/>
        </w:rPr>
        <w:t>discrimination.</w:t>
      </w:r>
    </w:p>
    <w:p w14:paraId="682DEC3D" w14:textId="77777777" w:rsidR="007B0DE4" w:rsidRPr="002433F3" w:rsidRDefault="007A30A5" w:rsidP="007B0DE4">
      <w:pPr>
        <w:spacing w:before="240" w:after="200"/>
        <w:rPr>
          <w:rFonts w:eastAsia="Calibri" w:cs="Times New Roman"/>
          <w:szCs w:val="20"/>
          <w:lang w:val="en-US"/>
        </w:rPr>
      </w:pPr>
      <w:r w:rsidRPr="002433F3">
        <w:rPr>
          <w:rFonts w:eastAsia="Calibri" w:cs="Times New Roman"/>
          <w:szCs w:val="20"/>
          <w:lang w:val="en-US"/>
        </w:rPr>
        <w:t>T</w:t>
      </w:r>
      <w:r w:rsidR="007B0DE4" w:rsidRPr="002433F3">
        <w:rPr>
          <w:rFonts w:eastAsia="Calibri" w:cs="Times New Roman"/>
          <w:szCs w:val="20"/>
          <w:lang w:val="en-US"/>
        </w:rPr>
        <w:t>h</w:t>
      </w:r>
      <w:r w:rsidRPr="002433F3">
        <w:rPr>
          <w:rFonts w:eastAsia="Calibri" w:cs="Times New Roman"/>
          <w:szCs w:val="20"/>
          <w:lang w:val="en-US"/>
        </w:rPr>
        <w:t>is implies, then,</w:t>
      </w:r>
      <w:r w:rsidR="007B0DE4" w:rsidRPr="002433F3">
        <w:rPr>
          <w:rFonts w:eastAsia="Calibri" w:cs="Times New Roman"/>
          <w:szCs w:val="20"/>
          <w:lang w:val="en-US"/>
        </w:rPr>
        <w:t xml:space="preserve"> that </w:t>
      </w:r>
      <w:r w:rsidRPr="002433F3">
        <w:rPr>
          <w:rFonts w:eastAsia="Calibri" w:cs="Times New Roman"/>
          <w:szCs w:val="20"/>
          <w:lang w:val="en-US"/>
        </w:rPr>
        <w:t xml:space="preserve">there may be </w:t>
      </w:r>
      <w:r w:rsidR="007B0DE4" w:rsidRPr="002433F3">
        <w:rPr>
          <w:rFonts w:eastAsia="Calibri" w:cs="Times New Roman"/>
          <w:szCs w:val="20"/>
          <w:lang w:val="en-US"/>
        </w:rPr>
        <w:t xml:space="preserve">differences in the situation of persons in relation to their human rights. </w:t>
      </w:r>
    </w:p>
    <w:p w14:paraId="44CCD0C7" w14:textId="77777777" w:rsidR="007B0DE4" w:rsidRPr="002433F3" w:rsidRDefault="007B0DE4" w:rsidP="007B0DE4">
      <w:pPr>
        <w:spacing w:after="200"/>
        <w:rPr>
          <w:rFonts w:eastAsia="Calibri" w:cs="Times New Roman"/>
          <w:i/>
          <w:szCs w:val="20"/>
          <w:lang w:val="en-US"/>
        </w:rPr>
      </w:pPr>
      <w:r w:rsidRPr="002433F3">
        <w:rPr>
          <w:rFonts w:eastAsia="Calibri" w:cs="Times New Roman"/>
          <w:szCs w:val="20"/>
          <w:lang w:val="en-US"/>
        </w:rPr>
        <w:t>The Court’s jurisprudence ha</w:t>
      </w:r>
      <w:r w:rsidR="00432906">
        <w:rPr>
          <w:rFonts w:eastAsia="Calibri" w:cs="Times New Roman"/>
          <w:szCs w:val="20"/>
          <w:lang w:val="en-US"/>
        </w:rPr>
        <w:t>s inclined toward this</w:t>
      </w:r>
      <w:r w:rsidR="00944384" w:rsidRPr="002433F3">
        <w:rPr>
          <w:rFonts w:eastAsia="Calibri" w:cs="Times New Roman"/>
          <w:szCs w:val="20"/>
          <w:lang w:val="en-US"/>
        </w:rPr>
        <w:t xml:space="preserve"> same view by affirming</w:t>
      </w:r>
      <w:r w:rsidRPr="002433F3">
        <w:rPr>
          <w:rFonts w:eastAsia="Calibri" w:cs="Times New Roman"/>
          <w:szCs w:val="20"/>
          <w:lang w:val="en-US"/>
        </w:rPr>
        <w:t xml:space="preserve"> that</w:t>
      </w:r>
      <w:r w:rsidRPr="002433F3">
        <w:rPr>
          <w:rFonts w:eastAsia="Calibri" w:cs="Times New Roman"/>
          <w:i/>
          <w:szCs w:val="20"/>
          <w:lang w:val="en-US"/>
        </w:rPr>
        <w:t xml:space="preserve"> “</w:t>
      </w:r>
      <w:r w:rsidR="00944384" w:rsidRPr="002433F3">
        <w:rPr>
          <w:lang w:val="en-US"/>
        </w:rPr>
        <w:t>not all differences in legal treatment are discriminatory as such, for not all differences in treatment are in themselves offensive to human dignity</w:t>
      </w:r>
      <w:r w:rsidR="00B63050" w:rsidRPr="002433F3">
        <w:rPr>
          <w:rFonts w:eastAsia="Calibri" w:cs="Times New Roman"/>
          <w:i/>
          <w:szCs w:val="20"/>
          <w:lang w:val="en-US"/>
        </w:rPr>
        <w:t>,</w:t>
      </w:r>
      <w:r w:rsidRPr="002433F3">
        <w:rPr>
          <w:rFonts w:eastAsia="Calibri" w:cs="Times New Roman"/>
          <w:i/>
          <w:szCs w:val="20"/>
          <w:lang w:val="en-US"/>
        </w:rPr>
        <w:t>”</w:t>
      </w:r>
      <w:r w:rsidRPr="002433F3">
        <w:rPr>
          <w:rFonts w:eastAsia="Calibri" w:cs="Times New Roman"/>
          <w:i/>
          <w:szCs w:val="20"/>
          <w:vertAlign w:val="superscript"/>
          <w:lang w:val="en-US"/>
        </w:rPr>
        <w:footnoteReference w:id="227"/>
      </w:r>
      <w:r w:rsidRPr="002433F3">
        <w:rPr>
          <w:rFonts w:eastAsia="Calibri" w:cs="Times New Roman"/>
          <w:b/>
          <w:szCs w:val="20"/>
          <w:lang w:val="en-US"/>
        </w:rPr>
        <w:t xml:space="preserve"> </w:t>
      </w:r>
      <w:r w:rsidR="0025010E" w:rsidRPr="002433F3">
        <w:rPr>
          <w:rFonts w:eastAsia="Calibri" w:cs="Times New Roman"/>
          <w:szCs w:val="20"/>
          <w:lang w:val="en-US"/>
        </w:rPr>
        <w:t>and that</w:t>
      </w:r>
      <w:r w:rsidR="0025010E" w:rsidRPr="002433F3">
        <w:rPr>
          <w:rFonts w:eastAsia="Calibri" w:cs="Times New Roman"/>
          <w:b/>
          <w:szCs w:val="20"/>
          <w:lang w:val="en-US"/>
        </w:rPr>
        <w:t xml:space="preserve"> </w:t>
      </w:r>
      <w:r w:rsidRPr="002433F3">
        <w:rPr>
          <w:rFonts w:eastAsia="Calibri" w:cs="Times New Roman"/>
          <w:i/>
          <w:szCs w:val="20"/>
          <w:lang w:val="en-US"/>
        </w:rPr>
        <w:t>“</w:t>
      </w:r>
      <w:r w:rsidR="0025010E" w:rsidRPr="002433F3">
        <w:rPr>
          <w:i/>
          <w:lang w:val="en-US"/>
        </w:rPr>
        <w:t>there would be no discrimination in differences in</w:t>
      </w:r>
      <w:r w:rsidR="00944384" w:rsidRPr="002433F3">
        <w:rPr>
          <w:i/>
          <w:lang w:val="en-US"/>
        </w:rPr>
        <w:t xml:space="preserve"> treatment of individuals by a S</w:t>
      </w:r>
      <w:r w:rsidR="0025010E" w:rsidRPr="002433F3">
        <w:rPr>
          <w:i/>
          <w:lang w:val="en-US"/>
        </w:rPr>
        <w:t>tate when the classifications selected are based on substantial factual differences and there exists a reasonable relationship of proportionality between these differences and the aims of the legal rule under review. These aims may not be unjust or unreasonable, that is, they may not be arbitrary, capricious, despotic or in conflict with the essential oneness and dignity of humankind</w:t>
      </w:r>
      <w:r w:rsidRPr="002433F3">
        <w:rPr>
          <w:rFonts w:eastAsia="Calibri" w:cs="Times New Roman"/>
          <w:i/>
          <w:szCs w:val="20"/>
          <w:lang w:val="en-US"/>
        </w:rPr>
        <w:t>.”</w:t>
      </w:r>
      <w:r w:rsidRPr="002433F3">
        <w:rPr>
          <w:rFonts w:eastAsia="Calibri" w:cs="Times New Roman"/>
          <w:i/>
          <w:szCs w:val="20"/>
          <w:vertAlign w:val="superscript"/>
          <w:lang w:val="en-US"/>
        </w:rPr>
        <w:footnoteReference w:id="228"/>
      </w:r>
    </w:p>
    <w:p w14:paraId="00723C5C" w14:textId="77777777" w:rsidR="007B0DE4" w:rsidRPr="002433F3" w:rsidRDefault="007B0DE4" w:rsidP="007B0DE4">
      <w:pPr>
        <w:spacing w:before="240" w:after="200"/>
        <w:rPr>
          <w:rFonts w:eastAsia="Calibri" w:cs="Times New Roman"/>
          <w:szCs w:val="20"/>
          <w:lang w:val="en-US"/>
        </w:rPr>
      </w:pPr>
      <w:r w:rsidRPr="002433F3">
        <w:rPr>
          <w:rFonts w:eastAsia="Calibri" w:cs="Times New Roman"/>
          <w:szCs w:val="20"/>
          <w:lang w:val="en-US"/>
        </w:rPr>
        <w:t>That said,</w:t>
      </w:r>
      <w:r w:rsidRPr="002433F3">
        <w:rPr>
          <w:rFonts w:eastAsia="Calibri" w:cs="Arial"/>
          <w:szCs w:val="20"/>
          <w:lang w:val="en-US"/>
        </w:rPr>
        <w:t xml:space="preserve"> </w:t>
      </w:r>
      <w:r w:rsidR="008B3EA1" w:rsidRPr="002433F3">
        <w:rPr>
          <w:rFonts w:eastAsia="Calibri" w:cs="Times New Roman"/>
          <w:szCs w:val="20"/>
          <w:lang w:val="en-US"/>
        </w:rPr>
        <w:t xml:space="preserve">based </w:t>
      </w:r>
      <w:r w:rsidRPr="002433F3">
        <w:rPr>
          <w:rFonts w:eastAsia="Calibri" w:cs="Times New Roman"/>
          <w:szCs w:val="20"/>
          <w:lang w:val="en-US"/>
        </w:rPr>
        <w:t xml:space="preserve">on </w:t>
      </w:r>
      <w:r w:rsidR="00944384" w:rsidRPr="002433F3">
        <w:rPr>
          <w:rFonts w:eastAsia="Calibri" w:cs="Times New Roman"/>
          <w:szCs w:val="20"/>
          <w:lang w:val="en-US"/>
        </w:rPr>
        <w:t xml:space="preserve">the position </w:t>
      </w:r>
      <w:r w:rsidRPr="002433F3">
        <w:rPr>
          <w:rFonts w:eastAsia="Calibri" w:cs="Times New Roman"/>
          <w:szCs w:val="20"/>
          <w:lang w:val="en-US"/>
        </w:rPr>
        <w:t>expres</w:t>
      </w:r>
      <w:r w:rsidR="00A16E47" w:rsidRPr="002433F3">
        <w:rPr>
          <w:rFonts w:eastAsia="Calibri" w:cs="Times New Roman"/>
          <w:szCs w:val="20"/>
          <w:lang w:val="en-US"/>
        </w:rPr>
        <w:t xml:space="preserve">sed </w:t>
      </w:r>
      <w:r w:rsidRPr="002433F3">
        <w:rPr>
          <w:rFonts w:eastAsia="Calibri" w:cs="Times New Roman"/>
          <w:szCs w:val="20"/>
          <w:lang w:val="en-US"/>
        </w:rPr>
        <w:t xml:space="preserve">by the Constitutional Court of Colombia, </w:t>
      </w:r>
      <w:r w:rsidR="00944384" w:rsidRPr="002433F3">
        <w:rPr>
          <w:rFonts w:eastAsia="Calibri" w:cs="Arial"/>
          <w:szCs w:val="20"/>
          <w:lang w:val="en-US"/>
        </w:rPr>
        <w:t xml:space="preserve">the </w:t>
      </w:r>
      <w:r w:rsidR="00944384" w:rsidRPr="002433F3">
        <w:rPr>
          <w:rFonts w:eastAsia="Calibri" w:cs="Times New Roman"/>
          <w:szCs w:val="20"/>
          <w:lang w:val="en-US"/>
        </w:rPr>
        <w:t xml:space="preserve">Judgment </w:t>
      </w:r>
      <w:r w:rsidRPr="002433F3">
        <w:rPr>
          <w:rFonts w:eastAsia="Calibri" w:cs="Times New Roman"/>
          <w:szCs w:val="20"/>
          <w:lang w:val="en-US"/>
        </w:rPr>
        <w:t>affirms that “</w:t>
      </w:r>
      <w:r w:rsidRPr="002433F3">
        <w:rPr>
          <w:rFonts w:eastAsia="Calibri" w:cs="Times New Roman"/>
          <w:i/>
          <w:szCs w:val="20"/>
          <w:lang w:val="en-US"/>
        </w:rPr>
        <w:t>it is</w:t>
      </w:r>
      <w:r w:rsidRPr="002433F3">
        <w:rPr>
          <w:rFonts w:eastAsia="Calibri" w:cs="Times New Roman"/>
          <w:szCs w:val="20"/>
          <w:lang w:val="en-US"/>
        </w:rPr>
        <w:t xml:space="preserve"> </w:t>
      </w:r>
      <w:r w:rsidRPr="002433F3">
        <w:rPr>
          <w:rFonts w:eastAsia="Calibri" w:cs="Times New Roman"/>
          <w:i/>
          <w:szCs w:val="20"/>
          <w:lang w:val="en-US"/>
        </w:rPr>
        <w:t xml:space="preserve">possible </w:t>
      </w:r>
      <w:r w:rsidR="006D029F" w:rsidRPr="002433F3">
        <w:rPr>
          <w:rFonts w:eastAsia="Calibri" w:cs="Times New Roman"/>
          <w:i/>
          <w:szCs w:val="20"/>
          <w:lang w:val="en-US"/>
        </w:rPr>
        <w:t xml:space="preserve">to </w:t>
      </w:r>
      <w:r w:rsidRPr="002433F3">
        <w:rPr>
          <w:rFonts w:eastAsia="Calibri" w:cs="Times New Roman"/>
          <w:i/>
          <w:szCs w:val="20"/>
          <w:lang w:val="en-US"/>
        </w:rPr>
        <w:t xml:space="preserve">conclude that </w:t>
      </w:r>
      <w:r w:rsidRPr="002433F3">
        <w:rPr>
          <w:rFonts w:eastAsia="Calibri" w:cs="Times New Roman"/>
          <w:szCs w:val="20"/>
          <w:lang w:val="en-US"/>
        </w:rPr>
        <w:t>the</w:t>
      </w:r>
      <w:r w:rsidRPr="002433F3">
        <w:rPr>
          <w:rFonts w:eastAsia="Calibri" w:cs="Times New Roman"/>
          <w:i/>
          <w:szCs w:val="20"/>
          <w:lang w:val="en-US"/>
        </w:rPr>
        <w:t xml:space="preserve"> social purpose of Law 54 of 1990 </w:t>
      </w:r>
      <w:r w:rsidR="0061741D" w:rsidRPr="002433F3">
        <w:rPr>
          <w:rFonts w:eastAsia="Calibri" w:cs="Times New Roman"/>
          <w:i/>
          <w:szCs w:val="20"/>
          <w:lang w:val="en-US"/>
        </w:rPr>
        <w:t xml:space="preserve">was </w:t>
      </w:r>
      <w:r w:rsidRPr="002433F3">
        <w:rPr>
          <w:rFonts w:eastAsia="Calibri" w:cs="Times New Roman"/>
          <w:i/>
          <w:szCs w:val="20"/>
          <w:lang w:val="en-US"/>
        </w:rPr>
        <w:t>t</w:t>
      </w:r>
      <w:r w:rsidR="006D029F" w:rsidRPr="002433F3">
        <w:rPr>
          <w:rFonts w:eastAsia="Calibri" w:cs="Times New Roman"/>
          <w:i/>
          <w:szCs w:val="20"/>
          <w:lang w:val="en-US"/>
        </w:rPr>
        <w:t xml:space="preserve">o protect the woman and </w:t>
      </w:r>
      <w:r w:rsidRPr="002433F3">
        <w:rPr>
          <w:rFonts w:eastAsia="Calibri" w:cs="Times New Roman"/>
          <w:i/>
          <w:szCs w:val="20"/>
          <w:lang w:val="en-US"/>
        </w:rPr>
        <w:t xml:space="preserve">the family” </w:t>
      </w:r>
      <w:r w:rsidRPr="002433F3">
        <w:rPr>
          <w:rFonts w:eastAsia="Calibri" w:cs="Times New Roman"/>
          <w:szCs w:val="20"/>
          <w:lang w:val="en-US"/>
        </w:rPr>
        <w:t xml:space="preserve">and that </w:t>
      </w:r>
      <w:r w:rsidR="004725DD" w:rsidRPr="002433F3">
        <w:rPr>
          <w:rFonts w:eastAsia="Calibri" w:cs="Times New Roman"/>
          <w:szCs w:val="20"/>
          <w:lang w:val="en-US"/>
        </w:rPr>
        <w:t>although</w:t>
      </w:r>
      <w:r w:rsidR="004725DD" w:rsidRPr="002433F3">
        <w:rPr>
          <w:rFonts w:eastAsia="Calibri" w:cs="Times New Roman"/>
          <w:i/>
          <w:szCs w:val="20"/>
          <w:lang w:val="en-US"/>
        </w:rPr>
        <w:t xml:space="preserve"> </w:t>
      </w:r>
      <w:r w:rsidR="006D029F" w:rsidRPr="002433F3">
        <w:rPr>
          <w:rFonts w:eastAsia="Calibri" w:cs="Times New Roman"/>
          <w:i/>
          <w:szCs w:val="20"/>
          <w:lang w:val="en-US"/>
        </w:rPr>
        <w:t>“</w:t>
      </w:r>
      <w:r w:rsidRPr="002433F3">
        <w:rPr>
          <w:rFonts w:eastAsia="Calibri" w:cs="Times New Roman"/>
          <w:i/>
          <w:szCs w:val="20"/>
          <w:lang w:val="en-US"/>
        </w:rPr>
        <w:t xml:space="preserve">the </w:t>
      </w:r>
      <w:r w:rsidR="0061741D" w:rsidRPr="002433F3">
        <w:rPr>
          <w:rFonts w:eastAsia="Calibri" w:cs="Times New Roman"/>
          <w:i/>
          <w:szCs w:val="20"/>
          <w:lang w:val="en-US"/>
        </w:rPr>
        <w:t>purposes</w:t>
      </w:r>
      <w:r w:rsidRPr="002433F3">
        <w:rPr>
          <w:rFonts w:eastAsia="Calibri" w:cs="Times New Roman"/>
          <w:i/>
          <w:szCs w:val="20"/>
          <w:lang w:val="en-US"/>
        </w:rPr>
        <w:t xml:space="preserve"> of </w:t>
      </w:r>
      <w:r w:rsidR="006D029F" w:rsidRPr="002433F3">
        <w:rPr>
          <w:rFonts w:eastAsia="Calibri" w:cs="Times New Roman"/>
          <w:i/>
          <w:szCs w:val="20"/>
          <w:lang w:val="en-US"/>
        </w:rPr>
        <w:t>the l</w:t>
      </w:r>
      <w:r w:rsidRPr="002433F3">
        <w:rPr>
          <w:rFonts w:eastAsia="Calibri" w:cs="Times New Roman"/>
          <w:i/>
          <w:szCs w:val="20"/>
          <w:lang w:val="en-US"/>
        </w:rPr>
        <w:t xml:space="preserve">aw </w:t>
      </w:r>
      <w:r w:rsidR="002D1097" w:rsidRPr="002433F3">
        <w:rPr>
          <w:rFonts w:eastAsia="Calibri" w:cs="Times New Roman"/>
          <w:i/>
          <w:szCs w:val="20"/>
          <w:lang w:val="en-US"/>
        </w:rPr>
        <w:t xml:space="preserve">could be </w:t>
      </w:r>
      <w:r w:rsidRPr="002433F3">
        <w:rPr>
          <w:rFonts w:eastAsia="Calibri" w:cs="Times New Roman"/>
          <w:i/>
          <w:szCs w:val="20"/>
          <w:lang w:val="en-US"/>
        </w:rPr>
        <w:t>consider</w:t>
      </w:r>
      <w:r w:rsidR="004725DD" w:rsidRPr="002433F3">
        <w:rPr>
          <w:rFonts w:eastAsia="Calibri" w:cs="Times New Roman"/>
          <w:i/>
          <w:szCs w:val="20"/>
          <w:lang w:val="en-US"/>
        </w:rPr>
        <w:t>ed legitimate,</w:t>
      </w:r>
      <w:r w:rsidRPr="002433F3">
        <w:rPr>
          <w:rFonts w:eastAsia="Calibri" w:cs="Times New Roman"/>
          <w:i/>
          <w:szCs w:val="20"/>
          <w:lang w:val="en-US"/>
        </w:rPr>
        <w:t>”</w:t>
      </w:r>
      <w:r w:rsidRPr="002433F3">
        <w:rPr>
          <w:rFonts w:eastAsia="Calibri" w:cs="Times New Roman"/>
          <w:i/>
          <w:szCs w:val="20"/>
          <w:vertAlign w:val="superscript"/>
          <w:lang w:val="en-US"/>
        </w:rPr>
        <w:footnoteReference w:id="229"/>
      </w:r>
      <w:r w:rsidRPr="002433F3">
        <w:rPr>
          <w:rFonts w:eastAsia="Calibri" w:cs="Times New Roman"/>
          <w:i/>
          <w:szCs w:val="20"/>
          <w:lang w:val="en-US"/>
        </w:rPr>
        <w:t xml:space="preserve"> </w:t>
      </w:r>
      <w:r w:rsidR="00630DAB" w:rsidRPr="002433F3">
        <w:rPr>
          <w:rFonts w:eastAsia="Calibri" w:cs="Times New Roman"/>
          <w:szCs w:val="20"/>
          <w:lang w:val="en-US"/>
        </w:rPr>
        <w:t xml:space="preserve">there is no </w:t>
      </w:r>
      <w:r w:rsidRPr="002433F3">
        <w:rPr>
          <w:rFonts w:eastAsia="Calibri" w:cs="Times New Roman"/>
          <w:i/>
          <w:szCs w:val="20"/>
          <w:lang w:val="en-US"/>
        </w:rPr>
        <w:t>“</w:t>
      </w:r>
      <w:r w:rsidR="006D029F" w:rsidRPr="002433F3">
        <w:rPr>
          <w:i/>
          <w:lang w:val="en-US"/>
        </w:rPr>
        <w:t xml:space="preserve">objective and reasonable </w:t>
      </w:r>
      <w:r w:rsidR="006D029F" w:rsidRPr="002433F3">
        <w:rPr>
          <w:rFonts w:eastAsia="Calibri"/>
          <w:i/>
          <w:lang w:val="en-US"/>
        </w:rPr>
        <w:t>justification for restricting access to a survivor’s pension on the basis of sexual orientation</w:t>
      </w:r>
      <w:r w:rsidR="00C56AEF" w:rsidRPr="002433F3">
        <w:rPr>
          <w:rFonts w:eastAsia="Calibri"/>
          <w:i/>
          <w:lang w:val="en-US"/>
        </w:rPr>
        <w:t>”</w:t>
      </w:r>
      <w:r w:rsidR="006D029F" w:rsidRPr="002433F3">
        <w:rPr>
          <w:rFonts w:eastAsia="Calibri"/>
          <w:lang w:val="en-US"/>
        </w:rPr>
        <w:t xml:space="preserve"> </w:t>
      </w:r>
      <w:r w:rsidR="00C56AEF" w:rsidRPr="002433F3">
        <w:rPr>
          <w:rFonts w:eastAsia="Calibri"/>
          <w:lang w:val="en-US"/>
        </w:rPr>
        <w:t xml:space="preserve">for the purpose of </w:t>
      </w:r>
      <w:r w:rsidRPr="002433F3">
        <w:rPr>
          <w:rFonts w:eastAsia="Calibri" w:cs="Times New Roman"/>
          <w:szCs w:val="20"/>
          <w:lang w:val="en-US"/>
        </w:rPr>
        <w:t>protecti</w:t>
      </w:r>
      <w:r w:rsidR="00C56AEF" w:rsidRPr="002433F3">
        <w:rPr>
          <w:rFonts w:eastAsia="Calibri" w:cs="Times New Roman"/>
          <w:szCs w:val="20"/>
          <w:lang w:val="en-US"/>
        </w:rPr>
        <w:t xml:space="preserve">ng </w:t>
      </w:r>
      <w:r w:rsidRPr="002433F3">
        <w:rPr>
          <w:rFonts w:eastAsia="Calibri" w:cs="Times New Roman"/>
          <w:szCs w:val="20"/>
          <w:lang w:val="en-US"/>
        </w:rPr>
        <w:t>the family</w:t>
      </w:r>
      <w:r w:rsidRPr="002433F3">
        <w:rPr>
          <w:rFonts w:eastAsia="Calibri" w:cs="Times New Roman"/>
          <w:i/>
          <w:szCs w:val="20"/>
          <w:lang w:val="en-US"/>
        </w:rPr>
        <w:t>.</w:t>
      </w:r>
      <w:r w:rsidRPr="002433F3">
        <w:rPr>
          <w:rFonts w:eastAsia="Calibri" w:cs="Times New Roman"/>
          <w:szCs w:val="20"/>
          <w:vertAlign w:val="superscript"/>
          <w:lang w:val="en-US"/>
        </w:rPr>
        <w:footnoteReference w:id="230"/>
      </w:r>
      <w:r w:rsidRPr="002433F3">
        <w:rPr>
          <w:rFonts w:eastAsia="Calibri" w:cs="Times New Roman"/>
          <w:szCs w:val="20"/>
          <w:lang w:val="en-US"/>
        </w:rPr>
        <w:t xml:space="preserve"> </w:t>
      </w:r>
    </w:p>
    <w:p w14:paraId="398255A3" w14:textId="77777777" w:rsidR="007B0DE4" w:rsidRPr="002433F3" w:rsidRDefault="0061741D" w:rsidP="007B0DE4">
      <w:pPr>
        <w:spacing w:before="240" w:after="200"/>
        <w:rPr>
          <w:rFonts w:eastAsia="Calibri" w:cs="Times New Roman"/>
          <w:szCs w:val="20"/>
          <w:lang w:val="en-US"/>
        </w:rPr>
      </w:pPr>
      <w:r w:rsidRPr="002433F3">
        <w:rPr>
          <w:rFonts w:eastAsia="Calibri" w:cs="Times New Roman"/>
          <w:szCs w:val="20"/>
          <w:lang w:val="en-US"/>
        </w:rPr>
        <w:t xml:space="preserve">However, the </w:t>
      </w:r>
      <w:r w:rsidR="00432906">
        <w:rPr>
          <w:rFonts w:eastAsia="Calibri" w:cs="Times New Roman"/>
          <w:szCs w:val="20"/>
          <w:lang w:val="en-US"/>
        </w:rPr>
        <w:t>Judgment</w:t>
      </w:r>
      <w:r w:rsidR="007B0DE4" w:rsidRPr="002433F3">
        <w:rPr>
          <w:rFonts w:eastAsia="Calibri" w:cs="Times New Roman"/>
          <w:szCs w:val="20"/>
          <w:lang w:val="en-US"/>
        </w:rPr>
        <w:t xml:space="preserve"> not only </w:t>
      </w:r>
      <w:r w:rsidRPr="002433F3">
        <w:rPr>
          <w:rFonts w:eastAsia="Calibri" w:cs="Times New Roman"/>
          <w:szCs w:val="20"/>
          <w:lang w:val="en-US"/>
        </w:rPr>
        <w:t xml:space="preserve">appears </w:t>
      </w:r>
      <w:r w:rsidR="007B0DE4" w:rsidRPr="002433F3">
        <w:rPr>
          <w:rFonts w:eastAsia="Calibri" w:cs="Times New Roman"/>
          <w:szCs w:val="20"/>
          <w:lang w:val="en-US"/>
        </w:rPr>
        <w:t>to forget its rec</w:t>
      </w:r>
      <w:r w:rsidR="002D1097" w:rsidRPr="002433F3">
        <w:rPr>
          <w:rFonts w:eastAsia="Calibri" w:cs="Times New Roman"/>
          <w:szCs w:val="20"/>
          <w:lang w:val="en-US"/>
        </w:rPr>
        <w:t xml:space="preserve">ently </w:t>
      </w:r>
      <w:r w:rsidR="007B0DE4" w:rsidRPr="002433F3">
        <w:rPr>
          <w:rFonts w:eastAsia="Calibri" w:cs="Times New Roman"/>
          <w:szCs w:val="20"/>
          <w:lang w:val="en-US"/>
        </w:rPr>
        <w:t xml:space="preserve">cited case law and </w:t>
      </w:r>
      <w:r w:rsidR="002D1097" w:rsidRPr="002433F3">
        <w:rPr>
          <w:rFonts w:eastAsia="Calibri" w:cs="Times New Roman"/>
          <w:szCs w:val="20"/>
          <w:lang w:val="en-US"/>
        </w:rPr>
        <w:t xml:space="preserve">the </w:t>
      </w:r>
      <w:r w:rsidR="00BA3B6C" w:rsidRPr="002433F3">
        <w:rPr>
          <w:rFonts w:eastAsia="Calibri" w:cs="Times New Roman"/>
          <w:szCs w:val="20"/>
          <w:lang w:val="en-US"/>
        </w:rPr>
        <w:t xml:space="preserve">provisions of </w:t>
      </w:r>
      <w:r w:rsidR="002674C0" w:rsidRPr="002433F3">
        <w:rPr>
          <w:rFonts w:eastAsia="Calibri" w:cs="Times New Roman"/>
          <w:szCs w:val="20"/>
          <w:lang w:val="en-US"/>
        </w:rPr>
        <w:t>Article 17(</w:t>
      </w:r>
      <w:r w:rsidR="007B0DE4" w:rsidRPr="002433F3">
        <w:rPr>
          <w:rFonts w:eastAsia="Calibri" w:cs="Times New Roman"/>
          <w:szCs w:val="20"/>
          <w:lang w:val="en-US"/>
        </w:rPr>
        <w:t>1</w:t>
      </w:r>
      <w:r w:rsidR="002674C0" w:rsidRPr="002433F3">
        <w:rPr>
          <w:rFonts w:eastAsia="Calibri" w:cs="Times New Roman"/>
          <w:szCs w:val="20"/>
          <w:lang w:val="en-US"/>
        </w:rPr>
        <w:t>)</w:t>
      </w:r>
      <w:r w:rsidR="007B0DE4" w:rsidRPr="002433F3">
        <w:rPr>
          <w:rFonts w:eastAsia="Calibri" w:cs="Times New Roman"/>
          <w:szCs w:val="20"/>
          <w:lang w:val="en-US"/>
        </w:rPr>
        <w:t xml:space="preserve"> of the Convention, that “</w:t>
      </w:r>
      <w:r w:rsidR="007B0DE4" w:rsidRPr="002433F3">
        <w:rPr>
          <w:rFonts w:eastAsia="Calibri" w:cs="Times New Roman"/>
          <w:i/>
          <w:szCs w:val="20"/>
          <w:lang w:val="en-US"/>
        </w:rPr>
        <w:t>the family is the natural and fundamental element of society and must be protected by society and the State</w:t>
      </w:r>
      <w:r w:rsidR="002D1097" w:rsidRPr="002433F3">
        <w:rPr>
          <w:rFonts w:eastAsia="Calibri" w:cs="Times New Roman"/>
          <w:i/>
          <w:szCs w:val="20"/>
          <w:lang w:val="en-US"/>
        </w:rPr>
        <w:t>.</w:t>
      </w:r>
      <w:r w:rsidR="002D1097" w:rsidRPr="002433F3">
        <w:rPr>
          <w:rFonts w:eastAsia="Calibri" w:cs="Times New Roman"/>
          <w:szCs w:val="20"/>
          <w:lang w:val="en-US"/>
        </w:rPr>
        <w:t>”</w:t>
      </w:r>
      <w:r w:rsidR="007B0DE4" w:rsidRPr="002433F3">
        <w:rPr>
          <w:rFonts w:eastAsia="Calibri" w:cs="Times New Roman"/>
          <w:szCs w:val="20"/>
          <w:lang w:val="en-US"/>
        </w:rPr>
        <w:t xml:space="preserve"> </w:t>
      </w:r>
      <w:r w:rsidR="002D1097" w:rsidRPr="002433F3">
        <w:rPr>
          <w:rFonts w:eastAsia="Calibri" w:cs="Times New Roman"/>
          <w:szCs w:val="20"/>
          <w:lang w:val="en-US"/>
        </w:rPr>
        <w:t xml:space="preserve"> </w:t>
      </w:r>
      <w:r w:rsidR="00F40E63" w:rsidRPr="002433F3">
        <w:rPr>
          <w:rFonts w:eastAsia="Calibri" w:cs="Times New Roman"/>
          <w:szCs w:val="20"/>
          <w:lang w:val="en-US"/>
        </w:rPr>
        <w:t xml:space="preserve">It also appears to associate or </w:t>
      </w:r>
      <w:r w:rsidR="00C56AEF" w:rsidRPr="002433F3">
        <w:rPr>
          <w:rFonts w:eastAsia="Calibri" w:cs="Times New Roman"/>
          <w:szCs w:val="20"/>
          <w:lang w:val="en-US"/>
        </w:rPr>
        <w:t>equate</w:t>
      </w:r>
      <w:r w:rsidR="00F40E63" w:rsidRPr="002433F3">
        <w:rPr>
          <w:rFonts w:eastAsia="Calibri" w:cs="Times New Roman"/>
          <w:szCs w:val="20"/>
          <w:lang w:val="en-US"/>
        </w:rPr>
        <w:t>, in legal terms,</w:t>
      </w:r>
      <w:r w:rsidR="00C56AEF" w:rsidRPr="002433F3">
        <w:rPr>
          <w:rFonts w:eastAsia="Calibri" w:cs="Times New Roman"/>
          <w:szCs w:val="20"/>
          <w:lang w:val="en-US"/>
        </w:rPr>
        <w:t xml:space="preserve"> </w:t>
      </w:r>
      <w:r w:rsidR="007B0DE4" w:rsidRPr="002433F3">
        <w:rPr>
          <w:rFonts w:eastAsia="Calibri" w:cs="Times New Roman"/>
          <w:szCs w:val="20"/>
          <w:lang w:val="en-US"/>
        </w:rPr>
        <w:t>the s</w:t>
      </w:r>
      <w:r w:rsidR="00211F2F" w:rsidRPr="002433F3">
        <w:rPr>
          <w:rFonts w:eastAsia="Calibri" w:cs="Times New Roman"/>
          <w:szCs w:val="20"/>
          <w:lang w:val="en-US"/>
        </w:rPr>
        <w:t xml:space="preserve">ituation </w:t>
      </w:r>
      <w:r w:rsidR="007B0DE4" w:rsidRPr="002433F3">
        <w:rPr>
          <w:rFonts w:eastAsia="Calibri" w:cs="Times New Roman"/>
          <w:szCs w:val="20"/>
          <w:lang w:val="en-US"/>
        </w:rPr>
        <w:t xml:space="preserve">of </w:t>
      </w:r>
      <w:r w:rsidR="00F40E63" w:rsidRPr="002433F3">
        <w:rPr>
          <w:rFonts w:eastAsia="Calibri" w:cs="Times New Roman"/>
          <w:szCs w:val="20"/>
          <w:lang w:val="en-US"/>
        </w:rPr>
        <w:t xml:space="preserve">a </w:t>
      </w:r>
      <w:r w:rsidR="007B0DE4" w:rsidRPr="002433F3">
        <w:rPr>
          <w:rFonts w:eastAsia="Calibri" w:cs="Times New Roman"/>
          <w:i/>
          <w:szCs w:val="20"/>
          <w:lang w:val="en-US"/>
        </w:rPr>
        <w:t>de facto</w:t>
      </w:r>
      <w:r w:rsidR="007B0DE4" w:rsidRPr="002433F3">
        <w:rPr>
          <w:rFonts w:eastAsia="Calibri" w:cs="Times New Roman"/>
          <w:szCs w:val="20"/>
          <w:lang w:val="en-US"/>
        </w:rPr>
        <w:t xml:space="preserve"> or civil union between persons of the same sex with th</w:t>
      </w:r>
      <w:r w:rsidR="002D1097" w:rsidRPr="002433F3">
        <w:rPr>
          <w:rFonts w:eastAsia="Calibri" w:cs="Times New Roman"/>
          <w:szCs w:val="20"/>
          <w:lang w:val="en-US"/>
        </w:rPr>
        <w:t xml:space="preserve">at </w:t>
      </w:r>
      <w:r w:rsidR="007B0DE4" w:rsidRPr="002433F3">
        <w:rPr>
          <w:rFonts w:eastAsia="Calibri" w:cs="Times New Roman"/>
          <w:szCs w:val="20"/>
          <w:lang w:val="en-US"/>
        </w:rPr>
        <w:t xml:space="preserve">of marriage, which, certainly, does not </w:t>
      </w:r>
      <w:r w:rsidR="00F40E63" w:rsidRPr="002433F3">
        <w:rPr>
          <w:rFonts w:eastAsia="Calibri" w:cs="Times New Roman"/>
          <w:szCs w:val="20"/>
          <w:lang w:val="en-US"/>
        </w:rPr>
        <w:t xml:space="preserve">reflect </w:t>
      </w:r>
      <w:r w:rsidR="007B0DE4" w:rsidRPr="002433F3">
        <w:rPr>
          <w:rFonts w:eastAsia="Calibri" w:cs="Times New Roman"/>
          <w:szCs w:val="20"/>
          <w:lang w:val="en-US"/>
        </w:rPr>
        <w:lastRenderedPageBreak/>
        <w:t>the current status of the</w:t>
      </w:r>
      <w:r w:rsidR="00432906">
        <w:rPr>
          <w:rFonts w:eastAsia="Calibri" w:cs="Times New Roman"/>
          <w:szCs w:val="20"/>
          <w:lang w:val="en-US"/>
        </w:rPr>
        <w:t xml:space="preserve"> inter-American legal system or </w:t>
      </w:r>
      <w:r w:rsidR="00211F2F" w:rsidRPr="002433F3">
        <w:rPr>
          <w:rFonts w:eastAsia="Calibri" w:cs="Times New Roman"/>
          <w:szCs w:val="20"/>
          <w:lang w:val="en-US"/>
        </w:rPr>
        <w:t xml:space="preserve">a </w:t>
      </w:r>
      <w:r w:rsidR="007B0DE4" w:rsidRPr="002433F3">
        <w:rPr>
          <w:rFonts w:eastAsia="Calibri" w:cs="Times New Roman"/>
          <w:szCs w:val="20"/>
          <w:lang w:val="en-US"/>
        </w:rPr>
        <w:t>correct interpretation of the Convention.</w:t>
      </w:r>
    </w:p>
    <w:p w14:paraId="581C1B3E" w14:textId="77777777" w:rsidR="007B0DE4" w:rsidRPr="002433F3" w:rsidRDefault="007B0DE4" w:rsidP="007B0DE4">
      <w:pPr>
        <w:spacing w:before="240" w:after="200"/>
        <w:rPr>
          <w:rFonts w:eastAsia="Calibri" w:cs="Times New Roman"/>
          <w:szCs w:val="20"/>
          <w:lang w:val="en-US"/>
        </w:rPr>
      </w:pPr>
      <w:r w:rsidRPr="002433F3">
        <w:rPr>
          <w:rFonts w:eastAsia="Calibri" w:cs="Times New Roman"/>
          <w:szCs w:val="20"/>
          <w:lang w:val="en-US"/>
        </w:rPr>
        <w:t>In</w:t>
      </w:r>
      <w:r w:rsidR="00432906">
        <w:rPr>
          <w:rFonts w:eastAsia="Calibri" w:cs="Times New Roman"/>
          <w:szCs w:val="20"/>
          <w:lang w:val="en-US"/>
        </w:rPr>
        <w:t>deed</w:t>
      </w:r>
      <w:r w:rsidRPr="002433F3">
        <w:rPr>
          <w:rFonts w:eastAsia="Calibri" w:cs="Times New Roman"/>
          <w:szCs w:val="20"/>
          <w:lang w:val="en-US"/>
        </w:rPr>
        <w:t xml:space="preserve">, it is </w:t>
      </w:r>
      <w:r w:rsidR="00211F2F" w:rsidRPr="002433F3">
        <w:rPr>
          <w:rFonts w:eastAsia="Calibri" w:cs="Times New Roman"/>
          <w:szCs w:val="20"/>
          <w:lang w:val="en-US"/>
        </w:rPr>
        <w:t>undeniable</w:t>
      </w:r>
      <w:r w:rsidRPr="002433F3">
        <w:rPr>
          <w:rFonts w:eastAsia="Calibri" w:cs="Times New Roman"/>
          <w:szCs w:val="20"/>
          <w:lang w:val="en-US"/>
        </w:rPr>
        <w:t xml:space="preserve"> that marriage and </w:t>
      </w:r>
      <w:r w:rsidR="00211F2F" w:rsidRPr="002433F3">
        <w:rPr>
          <w:rFonts w:eastAsia="Calibri" w:cs="Times New Roman"/>
          <w:szCs w:val="20"/>
          <w:lang w:val="en-US"/>
        </w:rPr>
        <w:t xml:space="preserve">a </w:t>
      </w:r>
      <w:r w:rsidRPr="002433F3">
        <w:rPr>
          <w:rFonts w:eastAsia="Calibri" w:cs="Times New Roman"/>
          <w:szCs w:val="20"/>
          <w:lang w:val="en-US"/>
        </w:rPr>
        <w:t xml:space="preserve">civil or </w:t>
      </w:r>
      <w:r w:rsidRPr="002433F3">
        <w:rPr>
          <w:rFonts w:eastAsia="Calibri" w:cs="Times New Roman"/>
          <w:i/>
          <w:szCs w:val="20"/>
          <w:lang w:val="en-US"/>
        </w:rPr>
        <w:t>de facto</w:t>
      </w:r>
      <w:r w:rsidRPr="002433F3">
        <w:rPr>
          <w:rFonts w:eastAsia="Calibri" w:cs="Times New Roman"/>
          <w:szCs w:val="20"/>
          <w:lang w:val="en-US"/>
        </w:rPr>
        <w:t xml:space="preserve"> union are </w:t>
      </w:r>
      <w:r w:rsidR="00BC7895">
        <w:rPr>
          <w:rFonts w:eastAsia="Calibri" w:cs="Times New Roman"/>
          <w:szCs w:val="20"/>
          <w:lang w:val="en-US"/>
        </w:rPr>
        <w:t xml:space="preserve">clearly </w:t>
      </w:r>
      <w:r w:rsidRPr="002433F3">
        <w:rPr>
          <w:rFonts w:eastAsia="Calibri" w:cs="Times New Roman"/>
          <w:szCs w:val="20"/>
          <w:lang w:val="en-US"/>
        </w:rPr>
        <w:t>two different realities, with differentiated characteristics and di</w:t>
      </w:r>
      <w:r w:rsidR="00447A78" w:rsidRPr="002433F3">
        <w:rPr>
          <w:rFonts w:eastAsia="Calibri" w:cs="Times New Roman"/>
          <w:szCs w:val="20"/>
          <w:lang w:val="en-US"/>
        </w:rPr>
        <w:t xml:space="preserve">verse </w:t>
      </w:r>
      <w:r w:rsidRPr="002433F3">
        <w:rPr>
          <w:rFonts w:eastAsia="Calibri" w:cs="Times New Roman"/>
          <w:szCs w:val="20"/>
          <w:lang w:val="en-US"/>
        </w:rPr>
        <w:t xml:space="preserve">national regulations in the States. </w:t>
      </w:r>
      <w:r w:rsidR="00432906">
        <w:rPr>
          <w:rFonts w:eastAsia="Calibri" w:cs="Times New Roman"/>
          <w:szCs w:val="20"/>
          <w:lang w:val="en-US"/>
        </w:rPr>
        <w:t xml:space="preserve">So much so that, </w:t>
      </w:r>
      <w:r w:rsidR="00447A78" w:rsidRPr="002433F3">
        <w:rPr>
          <w:rFonts w:eastAsia="Calibri" w:cs="Times New Roman"/>
          <w:szCs w:val="20"/>
          <w:lang w:val="en-US"/>
        </w:rPr>
        <w:t xml:space="preserve">as </w:t>
      </w:r>
      <w:r w:rsidRPr="002433F3">
        <w:rPr>
          <w:rFonts w:eastAsia="Calibri" w:cs="Times New Roman"/>
          <w:szCs w:val="20"/>
          <w:lang w:val="en-US"/>
        </w:rPr>
        <w:t>indicated</w:t>
      </w:r>
      <w:r w:rsidR="00447A78" w:rsidRPr="002433F3">
        <w:rPr>
          <w:rFonts w:eastAsia="Calibri" w:cs="Times New Roman"/>
          <w:szCs w:val="20"/>
          <w:lang w:val="en-US"/>
        </w:rPr>
        <w:t xml:space="preserve"> previously</w:t>
      </w:r>
      <w:r w:rsidRPr="002433F3">
        <w:rPr>
          <w:rFonts w:eastAsia="Calibri" w:cs="Times New Roman"/>
          <w:szCs w:val="20"/>
          <w:lang w:val="en-US"/>
        </w:rPr>
        <w:t xml:space="preserve">, in some States Parties to the Convention the institution of civil or </w:t>
      </w:r>
      <w:r w:rsidRPr="002433F3">
        <w:rPr>
          <w:rFonts w:eastAsia="Calibri" w:cs="Times New Roman"/>
          <w:i/>
          <w:szCs w:val="20"/>
          <w:lang w:val="en-US"/>
        </w:rPr>
        <w:t>de facto</w:t>
      </w:r>
      <w:r w:rsidR="00447A78" w:rsidRPr="002433F3">
        <w:rPr>
          <w:rFonts w:eastAsia="Calibri" w:cs="Times New Roman"/>
          <w:szCs w:val="20"/>
          <w:lang w:val="en-US"/>
        </w:rPr>
        <w:t xml:space="preserve"> union has been legally recognized and coexists with marriage. I</w:t>
      </w:r>
      <w:r w:rsidRPr="002433F3">
        <w:rPr>
          <w:rFonts w:eastAsia="Calibri" w:cs="Times New Roman"/>
          <w:szCs w:val="20"/>
          <w:lang w:val="en-US"/>
        </w:rPr>
        <w:t>n some of those States,</w:t>
      </w:r>
      <w:r w:rsidR="00447A78" w:rsidRPr="002433F3">
        <w:rPr>
          <w:rFonts w:eastAsia="Calibri" w:cs="Times New Roman"/>
          <w:szCs w:val="20"/>
          <w:lang w:val="en-US"/>
        </w:rPr>
        <w:t xml:space="preserve"> </w:t>
      </w:r>
      <w:r w:rsidRPr="002433F3">
        <w:rPr>
          <w:rFonts w:eastAsia="Calibri" w:cs="Times New Roman"/>
          <w:szCs w:val="20"/>
          <w:lang w:val="en-US"/>
        </w:rPr>
        <w:t xml:space="preserve">marriage is </w:t>
      </w:r>
      <w:r w:rsidR="00447A78" w:rsidRPr="002433F3">
        <w:rPr>
          <w:rFonts w:eastAsia="Calibri" w:cs="Times New Roman"/>
          <w:szCs w:val="20"/>
          <w:lang w:val="en-US"/>
        </w:rPr>
        <w:t xml:space="preserve">also permitted </w:t>
      </w:r>
      <w:r w:rsidRPr="002433F3">
        <w:rPr>
          <w:rFonts w:eastAsia="Calibri" w:cs="Times New Roman"/>
          <w:szCs w:val="20"/>
          <w:lang w:val="en-US"/>
        </w:rPr>
        <w:t>betwee</w:t>
      </w:r>
      <w:r w:rsidR="00CB6569" w:rsidRPr="002433F3">
        <w:rPr>
          <w:rFonts w:eastAsia="Calibri" w:cs="Times New Roman"/>
          <w:szCs w:val="20"/>
          <w:lang w:val="en-US"/>
        </w:rPr>
        <w:t xml:space="preserve">n persons of the same sex, </w:t>
      </w:r>
      <w:r w:rsidR="00447A78" w:rsidRPr="002433F3">
        <w:rPr>
          <w:rFonts w:eastAsia="Calibri" w:cs="Times New Roman"/>
          <w:szCs w:val="20"/>
          <w:lang w:val="en-US"/>
        </w:rPr>
        <w:t xml:space="preserve">while </w:t>
      </w:r>
      <w:r w:rsidRPr="002433F3">
        <w:rPr>
          <w:rFonts w:eastAsia="Calibri" w:cs="Times New Roman"/>
          <w:szCs w:val="20"/>
          <w:lang w:val="en-US"/>
        </w:rPr>
        <w:t xml:space="preserve">civil or </w:t>
      </w:r>
      <w:r w:rsidRPr="002433F3">
        <w:rPr>
          <w:rFonts w:eastAsia="Calibri" w:cs="Times New Roman"/>
          <w:i/>
          <w:szCs w:val="20"/>
          <w:lang w:val="en-US"/>
        </w:rPr>
        <w:t>de facto</w:t>
      </w:r>
      <w:r w:rsidRPr="002433F3">
        <w:rPr>
          <w:rFonts w:eastAsia="Calibri" w:cs="Times New Roman"/>
          <w:szCs w:val="20"/>
          <w:lang w:val="en-US"/>
        </w:rPr>
        <w:t xml:space="preserve"> union </w:t>
      </w:r>
      <w:r w:rsidR="00447A78" w:rsidRPr="002433F3">
        <w:rPr>
          <w:rFonts w:eastAsia="Calibri" w:cs="Times New Roman"/>
          <w:szCs w:val="20"/>
          <w:lang w:val="en-US"/>
        </w:rPr>
        <w:t xml:space="preserve">is also recognized </w:t>
      </w:r>
      <w:r w:rsidRPr="002433F3">
        <w:rPr>
          <w:rFonts w:eastAsia="Calibri" w:cs="Times New Roman"/>
          <w:szCs w:val="20"/>
          <w:lang w:val="en-US"/>
        </w:rPr>
        <w:t xml:space="preserve">between persons of </w:t>
      </w:r>
      <w:r w:rsidR="00447A78" w:rsidRPr="002433F3">
        <w:rPr>
          <w:rFonts w:eastAsia="Calibri" w:cs="Times New Roman"/>
          <w:szCs w:val="20"/>
          <w:lang w:val="en-US"/>
        </w:rPr>
        <w:t>the opposite sex</w:t>
      </w:r>
      <w:r w:rsidRPr="002433F3">
        <w:rPr>
          <w:rFonts w:eastAsia="Calibri" w:cs="Times New Roman"/>
          <w:szCs w:val="20"/>
          <w:lang w:val="en-US"/>
        </w:rPr>
        <w:t>.</w:t>
      </w:r>
    </w:p>
    <w:p w14:paraId="494DF456" w14:textId="77777777" w:rsidR="007B0DE4" w:rsidRPr="002433F3" w:rsidRDefault="007B0DE4" w:rsidP="007B0DE4">
      <w:pPr>
        <w:spacing w:before="240" w:after="200"/>
        <w:rPr>
          <w:rFonts w:eastAsia="Calibri" w:cs="Times New Roman"/>
          <w:szCs w:val="20"/>
          <w:lang w:val="en-US"/>
        </w:rPr>
      </w:pPr>
      <w:r w:rsidRPr="002433F3">
        <w:rPr>
          <w:rFonts w:eastAsia="Calibri" w:cs="Times New Roman"/>
          <w:szCs w:val="20"/>
          <w:lang w:val="en-US"/>
        </w:rPr>
        <w:t xml:space="preserve">In synthesis, </w:t>
      </w:r>
      <w:r w:rsidR="00447A78" w:rsidRPr="002433F3">
        <w:rPr>
          <w:rFonts w:eastAsia="Calibri" w:cs="Times New Roman"/>
          <w:szCs w:val="20"/>
          <w:lang w:val="en-US"/>
        </w:rPr>
        <w:t xml:space="preserve">given that </w:t>
      </w:r>
      <w:r w:rsidRPr="002433F3">
        <w:rPr>
          <w:rFonts w:eastAsia="Calibri" w:cs="Times New Roman"/>
          <w:szCs w:val="20"/>
          <w:lang w:val="en-US"/>
        </w:rPr>
        <w:t>marriage and civil union are two different institutions and, furthermore, that o</w:t>
      </w:r>
      <w:r w:rsidR="00447A78" w:rsidRPr="002433F3">
        <w:rPr>
          <w:rFonts w:eastAsia="Calibri" w:cs="Times New Roman"/>
          <w:szCs w:val="20"/>
          <w:lang w:val="en-US"/>
        </w:rPr>
        <w:t>nly the former is contemplated in</w:t>
      </w:r>
      <w:r w:rsidRPr="002433F3">
        <w:rPr>
          <w:rFonts w:eastAsia="Calibri" w:cs="Times New Roman"/>
          <w:szCs w:val="20"/>
          <w:lang w:val="en-US"/>
        </w:rPr>
        <w:t xml:space="preserve"> the Convention, it is not appropriate to invoke</w:t>
      </w:r>
      <w:r w:rsidR="00447A78" w:rsidRPr="002433F3">
        <w:rPr>
          <w:rFonts w:eastAsia="Calibri" w:cs="Times New Roman"/>
          <w:szCs w:val="20"/>
          <w:lang w:val="en-US"/>
        </w:rPr>
        <w:t xml:space="preserve"> discrimination</w:t>
      </w:r>
      <w:r w:rsidRPr="002433F3">
        <w:rPr>
          <w:rFonts w:eastAsia="Calibri" w:cs="Times New Roman"/>
          <w:szCs w:val="20"/>
          <w:lang w:val="en-US"/>
        </w:rPr>
        <w:t xml:space="preserve"> in the </w:t>
      </w:r>
      <w:r w:rsidR="00447A78" w:rsidRPr="002433F3">
        <w:rPr>
          <w:rFonts w:eastAsia="Calibri" w:cs="Times New Roman"/>
          <w:szCs w:val="20"/>
          <w:lang w:val="en-US"/>
        </w:rPr>
        <w:t xml:space="preserve">instant </w:t>
      </w:r>
      <w:r w:rsidRPr="002433F3">
        <w:rPr>
          <w:rFonts w:eastAsia="Calibri" w:cs="Times New Roman"/>
          <w:szCs w:val="20"/>
          <w:lang w:val="en-US"/>
        </w:rPr>
        <w:t xml:space="preserve">case, </w:t>
      </w:r>
      <w:r w:rsidR="008E7496" w:rsidRPr="002433F3">
        <w:rPr>
          <w:rFonts w:eastAsia="Calibri" w:cs="Times New Roman"/>
          <w:szCs w:val="20"/>
          <w:lang w:val="en-US"/>
        </w:rPr>
        <w:t xml:space="preserve">since the victim’s </w:t>
      </w:r>
      <w:r w:rsidRPr="002433F3">
        <w:rPr>
          <w:rFonts w:eastAsia="Calibri" w:cs="Times New Roman"/>
          <w:szCs w:val="20"/>
          <w:lang w:val="en-US"/>
        </w:rPr>
        <w:t>legal s</w:t>
      </w:r>
      <w:r w:rsidR="008E7496" w:rsidRPr="002433F3">
        <w:rPr>
          <w:rFonts w:eastAsia="Calibri" w:cs="Times New Roman"/>
          <w:szCs w:val="20"/>
          <w:lang w:val="en-US"/>
        </w:rPr>
        <w:t xml:space="preserve">tatus </w:t>
      </w:r>
      <w:r w:rsidRPr="002433F3">
        <w:rPr>
          <w:rFonts w:eastAsia="Calibri" w:cs="Times New Roman"/>
          <w:szCs w:val="20"/>
          <w:lang w:val="en-US"/>
        </w:rPr>
        <w:t>was not the same</w:t>
      </w:r>
      <w:r w:rsidR="008E7496" w:rsidRPr="002433F3">
        <w:rPr>
          <w:rFonts w:eastAsia="Calibri" w:cs="Times New Roman"/>
          <w:szCs w:val="20"/>
          <w:lang w:val="en-US"/>
        </w:rPr>
        <w:t xml:space="preserve"> as that </w:t>
      </w:r>
      <w:r w:rsidRPr="002433F3">
        <w:rPr>
          <w:rFonts w:eastAsia="Calibri" w:cs="Times New Roman"/>
          <w:szCs w:val="20"/>
          <w:lang w:val="en-US"/>
        </w:rPr>
        <w:t xml:space="preserve">of </w:t>
      </w:r>
      <w:r w:rsidR="008E7496" w:rsidRPr="002433F3">
        <w:rPr>
          <w:rFonts w:eastAsia="Calibri" w:cs="Times New Roman"/>
          <w:szCs w:val="20"/>
          <w:lang w:val="en-US"/>
        </w:rPr>
        <w:t>a spouse in a</w:t>
      </w:r>
      <w:r w:rsidRPr="002433F3">
        <w:rPr>
          <w:rFonts w:eastAsia="Calibri" w:cs="Times New Roman"/>
          <w:szCs w:val="20"/>
          <w:lang w:val="en-US"/>
        </w:rPr>
        <w:t xml:space="preserve"> marriage. </w:t>
      </w:r>
    </w:p>
    <w:p w14:paraId="4EA366C6" w14:textId="77777777" w:rsidR="007B0DE4" w:rsidRPr="002433F3" w:rsidRDefault="00F3765A" w:rsidP="007B0DE4">
      <w:pPr>
        <w:spacing w:before="240" w:after="200"/>
        <w:rPr>
          <w:rFonts w:eastAsia="Calibri" w:cs="Times New Roman"/>
          <w:szCs w:val="20"/>
          <w:lang w:val="en-US"/>
        </w:rPr>
      </w:pPr>
      <w:r w:rsidRPr="002433F3">
        <w:rPr>
          <w:rFonts w:eastAsia="Calibri" w:cs="Times New Roman"/>
          <w:szCs w:val="20"/>
          <w:lang w:val="en-US"/>
        </w:rPr>
        <w:t>For this reason</w:t>
      </w:r>
      <w:r w:rsidR="002D1097" w:rsidRPr="002433F3">
        <w:rPr>
          <w:rFonts w:eastAsia="Calibri" w:cs="Times New Roman"/>
          <w:szCs w:val="20"/>
          <w:lang w:val="en-US"/>
        </w:rPr>
        <w:t xml:space="preserve">, </w:t>
      </w:r>
      <w:r w:rsidR="00BC7895">
        <w:rPr>
          <w:rFonts w:eastAsia="Calibri" w:cs="Times New Roman"/>
          <w:szCs w:val="20"/>
          <w:lang w:val="en-US"/>
        </w:rPr>
        <w:t xml:space="preserve">it could be asserted </w:t>
      </w:r>
      <w:r w:rsidR="007B0DE4" w:rsidRPr="002433F3">
        <w:rPr>
          <w:rFonts w:eastAsia="Calibri" w:cs="Times New Roman"/>
          <w:szCs w:val="20"/>
          <w:lang w:val="en-US"/>
        </w:rPr>
        <w:t xml:space="preserve">that </w:t>
      </w:r>
      <w:r w:rsidR="002D1097" w:rsidRPr="002433F3">
        <w:rPr>
          <w:rFonts w:eastAsia="Calibri" w:cs="Times New Roman"/>
          <w:szCs w:val="20"/>
          <w:lang w:val="en-US"/>
        </w:rPr>
        <w:t xml:space="preserve">the decision </w:t>
      </w:r>
      <w:r w:rsidR="007B0DE4" w:rsidRPr="002433F3">
        <w:rPr>
          <w:rFonts w:eastAsia="Calibri" w:cs="Times New Roman"/>
          <w:szCs w:val="20"/>
          <w:lang w:val="en-US"/>
        </w:rPr>
        <w:t>in the Judgme</w:t>
      </w:r>
      <w:r w:rsidR="00621D94" w:rsidRPr="002433F3">
        <w:rPr>
          <w:rFonts w:eastAsia="Calibri" w:cs="Times New Roman"/>
          <w:szCs w:val="20"/>
          <w:lang w:val="en-US"/>
        </w:rPr>
        <w:t>nt could lead to the conclusion</w:t>
      </w:r>
      <w:r w:rsidR="007B0DE4" w:rsidRPr="002433F3">
        <w:rPr>
          <w:rFonts w:eastAsia="Calibri" w:cs="Times New Roman"/>
          <w:szCs w:val="20"/>
          <w:lang w:val="en-US"/>
        </w:rPr>
        <w:t xml:space="preserve"> that all States Parties to the Convention that </w:t>
      </w:r>
      <w:r w:rsidR="00CB6569" w:rsidRPr="002433F3">
        <w:rPr>
          <w:rFonts w:eastAsia="Calibri" w:cs="Times New Roman"/>
          <w:szCs w:val="20"/>
          <w:lang w:val="en-US"/>
        </w:rPr>
        <w:t xml:space="preserve">have not </w:t>
      </w:r>
      <w:r w:rsidR="007B0DE4" w:rsidRPr="002433F3">
        <w:rPr>
          <w:rFonts w:eastAsia="Calibri" w:cs="Times New Roman"/>
          <w:szCs w:val="20"/>
          <w:lang w:val="en-US"/>
        </w:rPr>
        <w:t xml:space="preserve">recognized </w:t>
      </w:r>
      <w:r w:rsidRPr="002433F3">
        <w:rPr>
          <w:rFonts w:eastAsia="Calibri" w:cs="Times New Roman"/>
          <w:szCs w:val="20"/>
          <w:lang w:val="en-US"/>
        </w:rPr>
        <w:t xml:space="preserve">civil or </w:t>
      </w:r>
      <w:r w:rsidRPr="002433F3">
        <w:rPr>
          <w:rFonts w:eastAsia="Calibri" w:cs="Times New Roman"/>
          <w:i/>
          <w:szCs w:val="20"/>
          <w:lang w:val="en-US"/>
        </w:rPr>
        <w:t>de facto</w:t>
      </w:r>
      <w:r w:rsidRPr="002433F3">
        <w:rPr>
          <w:rFonts w:eastAsia="Calibri" w:cs="Times New Roman"/>
          <w:szCs w:val="20"/>
          <w:lang w:val="en-US"/>
        </w:rPr>
        <w:t xml:space="preserve"> unions between persons of the same sex </w:t>
      </w:r>
      <w:r w:rsidR="007B0DE4" w:rsidRPr="002433F3">
        <w:rPr>
          <w:rFonts w:eastAsia="Calibri" w:cs="Times New Roman"/>
          <w:szCs w:val="20"/>
          <w:lang w:val="en-US"/>
        </w:rPr>
        <w:t>in</w:t>
      </w:r>
      <w:r w:rsidR="00CB6569" w:rsidRPr="002433F3">
        <w:rPr>
          <w:rFonts w:eastAsia="Calibri" w:cs="Times New Roman"/>
          <w:szCs w:val="20"/>
          <w:lang w:val="en-US"/>
        </w:rPr>
        <w:t xml:space="preserve"> their</w:t>
      </w:r>
      <w:r w:rsidR="007B0DE4" w:rsidRPr="002433F3">
        <w:rPr>
          <w:rFonts w:eastAsia="Calibri" w:cs="Times New Roman"/>
          <w:szCs w:val="20"/>
          <w:lang w:val="en-US"/>
        </w:rPr>
        <w:t xml:space="preserve"> d</w:t>
      </w:r>
      <w:r w:rsidR="00BC7895">
        <w:rPr>
          <w:rFonts w:eastAsia="Calibri" w:cs="Times New Roman"/>
          <w:szCs w:val="20"/>
          <w:lang w:val="en-US"/>
        </w:rPr>
        <w:t>omestic or national legislation -</w:t>
      </w:r>
      <w:r w:rsidR="007B0DE4" w:rsidRPr="002433F3">
        <w:rPr>
          <w:rFonts w:eastAsia="Calibri" w:cs="Times New Roman"/>
          <w:szCs w:val="20"/>
          <w:lang w:val="en-US"/>
        </w:rPr>
        <w:t xml:space="preserve"> </w:t>
      </w:r>
      <w:r w:rsidRPr="002433F3">
        <w:rPr>
          <w:szCs w:val="20"/>
          <w:lang w:val="en-US"/>
        </w:rPr>
        <w:t>which are, as noted</w:t>
      </w:r>
      <w:r w:rsidR="00BC7895">
        <w:rPr>
          <w:szCs w:val="20"/>
          <w:lang w:val="en-US"/>
        </w:rPr>
        <w:t xml:space="preserve"> previously, the great majority -</w:t>
      </w:r>
      <w:r w:rsidRPr="002433F3">
        <w:rPr>
          <w:szCs w:val="20"/>
          <w:lang w:val="en-US"/>
        </w:rPr>
        <w:t xml:space="preserve"> would be committing an international wrongful act</w:t>
      </w:r>
      <w:r w:rsidR="007B0DE4" w:rsidRPr="002433F3">
        <w:rPr>
          <w:rFonts w:eastAsia="Calibri" w:cs="Times New Roman"/>
          <w:szCs w:val="20"/>
          <w:lang w:val="en-US"/>
        </w:rPr>
        <w:t xml:space="preserve">, </w:t>
      </w:r>
      <w:r w:rsidR="00671115" w:rsidRPr="002433F3">
        <w:rPr>
          <w:rFonts w:eastAsia="Calibri" w:cs="Times New Roman"/>
          <w:szCs w:val="20"/>
          <w:lang w:val="en-US"/>
        </w:rPr>
        <w:t>something that does not seem acceptable</w:t>
      </w:r>
      <w:r w:rsidR="007B0DE4" w:rsidRPr="002433F3">
        <w:rPr>
          <w:rFonts w:eastAsia="Calibri" w:cs="Times New Roman"/>
          <w:szCs w:val="20"/>
          <w:lang w:val="en-US"/>
        </w:rPr>
        <w:t xml:space="preserve">. </w:t>
      </w:r>
    </w:p>
    <w:p w14:paraId="6DAAAA78" w14:textId="77777777" w:rsidR="007B0DE4" w:rsidRPr="002433F3" w:rsidRDefault="007B0DE4" w:rsidP="007B0DE4">
      <w:pPr>
        <w:spacing w:before="240" w:after="200"/>
        <w:rPr>
          <w:rFonts w:eastAsia="Calibri" w:cs="Times New Roman"/>
          <w:szCs w:val="20"/>
          <w:lang w:val="en-US"/>
        </w:rPr>
      </w:pPr>
      <w:r w:rsidRPr="002433F3">
        <w:rPr>
          <w:rFonts w:eastAsia="Calibri" w:cs="Times New Roman"/>
          <w:szCs w:val="20"/>
          <w:lang w:val="en-US"/>
        </w:rPr>
        <w:t xml:space="preserve">Finally, an additional </w:t>
      </w:r>
      <w:r w:rsidR="0092104F" w:rsidRPr="002433F3">
        <w:rPr>
          <w:rFonts w:eastAsia="Calibri" w:cs="Times New Roman"/>
          <w:szCs w:val="20"/>
          <w:lang w:val="en-US"/>
        </w:rPr>
        <w:t>point on this matter</w:t>
      </w:r>
      <w:r w:rsidRPr="002433F3">
        <w:rPr>
          <w:rFonts w:eastAsia="Calibri" w:cs="Times New Roman"/>
          <w:szCs w:val="20"/>
          <w:lang w:val="en-US"/>
        </w:rPr>
        <w:t xml:space="preserve">. </w:t>
      </w:r>
      <w:r w:rsidR="00B81A2C" w:rsidRPr="002433F3">
        <w:rPr>
          <w:rFonts w:eastAsia="Calibri" w:cs="Times New Roman"/>
          <w:szCs w:val="20"/>
          <w:lang w:val="en-US"/>
        </w:rPr>
        <w:t xml:space="preserve">The provisions of </w:t>
      </w:r>
      <w:r w:rsidRPr="002433F3">
        <w:rPr>
          <w:rFonts w:eastAsia="Calibri" w:cs="Times New Roman"/>
          <w:szCs w:val="20"/>
          <w:lang w:val="en-US"/>
        </w:rPr>
        <w:t>Article 1(1) of the Convention</w:t>
      </w:r>
      <w:r w:rsidRPr="002433F3">
        <w:rPr>
          <w:rFonts w:eastAsia="Calibri" w:cs="Times New Roman"/>
          <w:szCs w:val="20"/>
          <w:vertAlign w:val="superscript"/>
          <w:lang w:val="en-US"/>
        </w:rPr>
        <w:footnoteReference w:id="231"/>
      </w:r>
      <w:r w:rsidRPr="002433F3">
        <w:rPr>
          <w:rFonts w:eastAsia="Calibri" w:cs="Times New Roman"/>
          <w:szCs w:val="20"/>
          <w:lang w:val="en-US"/>
        </w:rPr>
        <w:t xml:space="preserve"> and, therefore, </w:t>
      </w:r>
      <w:r w:rsidR="00B81A2C" w:rsidRPr="002433F3">
        <w:rPr>
          <w:rFonts w:eastAsia="Calibri" w:cs="Times New Roman"/>
          <w:szCs w:val="20"/>
          <w:lang w:val="en-US"/>
        </w:rPr>
        <w:t xml:space="preserve">the </w:t>
      </w:r>
      <w:r w:rsidRPr="002433F3">
        <w:rPr>
          <w:rFonts w:eastAsia="Calibri" w:cs="Times New Roman"/>
          <w:szCs w:val="20"/>
          <w:lang w:val="en-US"/>
        </w:rPr>
        <w:t>pertinent a</w:t>
      </w:r>
      <w:r w:rsidR="00CB6569" w:rsidRPr="002433F3">
        <w:rPr>
          <w:rFonts w:eastAsia="Calibri" w:cs="Times New Roman"/>
          <w:szCs w:val="20"/>
          <w:lang w:val="en-US"/>
        </w:rPr>
        <w:t>spects of</w:t>
      </w:r>
      <w:r w:rsidRPr="002433F3">
        <w:rPr>
          <w:rFonts w:eastAsia="Calibri" w:cs="Times New Roman"/>
          <w:szCs w:val="20"/>
          <w:lang w:val="en-US"/>
        </w:rPr>
        <w:t xml:space="preserve"> </w:t>
      </w:r>
      <w:r w:rsidR="00CB6569" w:rsidRPr="002433F3">
        <w:rPr>
          <w:rFonts w:eastAsia="Calibri" w:cs="Times New Roman"/>
          <w:szCs w:val="20"/>
          <w:lang w:val="en-US"/>
        </w:rPr>
        <w:t>the obligation to ensure</w:t>
      </w:r>
      <w:r w:rsidR="00B81A2C" w:rsidRPr="002433F3">
        <w:rPr>
          <w:rFonts w:eastAsia="Calibri" w:cs="Times New Roman"/>
          <w:szCs w:val="20"/>
          <w:lang w:val="en-US"/>
        </w:rPr>
        <w:t xml:space="preserve"> non-discrimination, permeate</w:t>
      </w:r>
      <w:r w:rsidRPr="002433F3">
        <w:rPr>
          <w:rFonts w:eastAsia="Calibri" w:cs="Times New Roman"/>
          <w:szCs w:val="20"/>
          <w:lang w:val="en-US"/>
        </w:rPr>
        <w:t xml:space="preserve"> all th</w:t>
      </w:r>
      <w:r w:rsidR="00B81A2C" w:rsidRPr="002433F3">
        <w:rPr>
          <w:rFonts w:eastAsia="Calibri" w:cs="Times New Roman"/>
          <w:szCs w:val="20"/>
          <w:lang w:val="en-US"/>
        </w:rPr>
        <w:t>e human rights e</w:t>
      </w:r>
      <w:r w:rsidR="00BC7895">
        <w:rPr>
          <w:rFonts w:eastAsia="Calibri" w:cs="Times New Roman"/>
          <w:szCs w:val="20"/>
          <w:lang w:val="en-US"/>
        </w:rPr>
        <w:t xml:space="preserve">nshrined </w:t>
      </w:r>
      <w:r w:rsidR="00B81A2C" w:rsidRPr="002433F3">
        <w:rPr>
          <w:rFonts w:eastAsia="Calibri" w:cs="Times New Roman"/>
          <w:szCs w:val="20"/>
          <w:lang w:val="en-US"/>
        </w:rPr>
        <w:t>therein; thus,</w:t>
      </w:r>
      <w:r w:rsidRPr="002433F3">
        <w:rPr>
          <w:rFonts w:eastAsia="Calibri" w:cs="Times New Roman"/>
          <w:szCs w:val="20"/>
          <w:lang w:val="en-US"/>
        </w:rPr>
        <w:t xml:space="preserve"> such provision</w:t>
      </w:r>
      <w:r w:rsidR="00045AC2" w:rsidRPr="002433F3">
        <w:rPr>
          <w:rFonts w:eastAsia="Calibri" w:cs="Times New Roman"/>
          <w:szCs w:val="20"/>
          <w:lang w:val="en-US"/>
        </w:rPr>
        <w:t>s</w:t>
      </w:r>
      <w:r w:rsidRPr="002433F3">
        <w:rPr>
          <w:rFonts w:eastAsia="Calibri" w:cs="Times New Roman"/>
          <w:szCs w:val="20"/>
          <w:lang w:val="en-US"/>
        </w:rPr>
        <w:t xml:space="preserve"> should not be interpreted and applied in isolation, but in </w:t>
      </w:r>
      <w:r w:rsidR="00CB6569" w:rsidRPr="002433F3">
        <w:rPr>
          <w:rFonts w:eastAsia="Calibri" w:cs="Times New Roman"/>
          <w:szCs w:val="20"/>
          <w:lang w:val="en-US"/>
        </w:rPr>
        <w:t xml:space="preserve">close connection </w:t>
      </w:r>
      <w:r w:rsidRPr="002433F3">
        <w:rPr>
          <w:rFonts w:eastAsia="Calibri" w:cs="Times New Roman"/>
          <w:szCs w:val="20"/>
          <w:lang w:val="en-US"/>
        </w:rPr>
        <w:t xml:space="preserve">with </w:t>
      </w:r>
      <w:r w:rsidR="00045AC2" w:rsidRPr="002433F3">
        <w:rPr>
          <w:rFonts w:eastAsia="Calibri" w:cs="Times New Roman"/>
          <w:szCs w:val="20"/>
          <w:lang w:val="en-US"/>
        </w:rPr>
        <w:t xml:space="preserve">those </w:t>
      </w:r>
      <w:r w:rsidRPr="002433F3">
        <w:rPr>
          <w:rFonts w:eastAsia="Calibri" w:cs="Times New Roman"/>
          <w:szCs w:val="20"/>
          <w:lang w:val="en-US"/>
        </w:rPr>
        <w:t>rights.</w:t>
      </w:r>
      <w:r w:rsidRPr="002433F3">
        <w:rPr>
          <w:rFonts w:eastAsia="Calibri" w:cs="Times New Roman"/>
          <w:szCs w:val="20"/>
          <w:vertAlign w:val="superscript"/>
          <w:lang w:val="en-US"/>
        </w:rPr>
        <w:footnoteReference w:id="232"/>
      </w:r>
      <w:r w:rsidRPr="002433F3">
        <w:rPr>
          <w:rFonts w:eastAsia="Calibri" w:cs="Times New Roman"/>
          <w:szCs w:val="20"/>
          <w:lang w:val="en-US"/>
        </w:rPr>
        <w:t xml:space="preserve"> The obligation of non-discrimination </w:t>
      </w:r>
      <w:r w:rsidR="00CB6569" w:rsidRPr="002433F3">
        <w:rPr>
          <w:rFonts w:eastAsia="Calibri" w:cs="Times New Roman"/>
          <w:szCs w:val="20"/>
          <w:lang w:val="en-US"/>
        </w:rPr>
        <w:t xml:space="preserve">does not </w:t>
      </w:r>
      <w:r w:rsidR="00045AC2" w:rsidRPr="002433F3">
        <w:rPr>
          <w:rFonts w:eastAsia="Calibri" w:cs="Times New Roman"/>
          <w:szCs w:val="20"/>
          <w:lang w:val="en-US"/>
        </w:rPr>
        <w:t xml:space="preserve">exist </w:t>
      </w:r>
      <w:r w:rsidRPr="002433F3">
        <w:rPr>
          <w:rFonts w:eastAsia="Calibri" w:cs="Times New Roman"/>
          <w:szCs w:val="20"/>
          <w:lang w:val="en-US"/>
        </w:rPr>
        <w:t>autonomous</w:t>
      </w:r>
      <w:r w:rsidR="00045AC2" w:rsidRPr="002433F3">
        <w:rPr>
          <w:rFonts w:eastAsia="Calibri" w:cs="Times New Roman"/>
          <w:szCs w:val="20"/>
          <w:lang w:val="en-US"/>
        </w:rPr>
        <w:t>ly</w:t>
      </w:r>
      <w:r w:rsidRPr="002433F3">
        <w:rPr>
          <w:rFonts w:eastAsia="Calibri" w:cs="Times New Roman"/>
          <w:szCs w:val="20"/>
          <w:lang w:val="en-US"/>
        </w:rPr>
        <w:t xml:space="preserve"> or </w:t>
      </w:r>
      <w:r w:rsidR="00045AC2" w:rsidRPr="002433F3">
        <w:rPr>
          <w:rFonts w:eastAsia="Calibri" w:cs="Times New Roman"/>
          <w:szCs w:val="20"/>
          <w:lang w:val="en-US"/>
        </w:rPr>
        <w:t xml:space="preserve">separately from </w:t>
      </w:r>
      <w:r w:rsidRPr="002433F3">
        <w:rPr>
          <w:rFonts w:eastAsia="Calibri" w:cs="Times New Roman"/>
          <w:szCs w:val="20"/>
          <w:lang w:val="en-US"/>
        </w:rPr>
        <w:t>those rights. Th</w:t>
      </w:r>
      <w:r w:rsidR="00045AC2" w:rsidRPr="002433F3">
        <w:rPr>
          <w:rFonts w:eastAsia="Calibri" w:cs="Times New Roman"/>
          <w:szCs w:val="20"/>
          <w:lang w:val="en-US"/>
        </w:rPr>
        <w:t>erefore</w:t>
      </w:r>
      <w:r w:rsidRPr="002433F3">
        <w:rPr>
          <w:rFonts w:eastAsia="Calibri" w:cs="Times New Roman"/>
          <w:szCs w:val="20"/>
          <w:lang w:val="en-US"/>
        </w:rPr>
        <w:t>, wh</w:t>
      </w:r>
      <w:r w:rsidR="00CB6569" w:rsidRPr="002433F3">
        <w:rPr>
          <w:rFonts w:eastAsia="Calibri" w:cs="Times New Roman"/>
          <w:szCs w:val="20"/>
          <w:lang w:val="en-US"/>
        </w:rPr>
        <w:t>en interpreting this right,</w:t>
      </w:r>
      <w:r w:rsidRPr="002433F3">
        <w:rPr>
          <w:rFonts w:eastAsia="Calibri" w:cs="Times New Roman"/>
          <w:szCs w:val="20"/>
          <w:lang w:val="en-US"/>
        </w:rPr>
        <w:t xml:space="preserve"> i</w:t>
      </w:r>
      <w:r w:rsidR="00CB6569" w:rsidRPr="002433F3">
        <w:rPr>
          <w:rFonts w:eastAsia="Calibri" w:cs="Times New Roman"/>
          <w:szCs w:val="20"/>
          <w:lang w:val="en-US"/>
        </w:rPr>
        <w:t>t i</w:t>
      </w:r>
      <w:r w:rsidRPr="002433F3">
        <w:rPr>
          <w:rFonts w:eastAsia="Calibri" w:cs="Times New Roman"/>
          <w:szCs w:val="20"/>
          <w:lang w:val="en-US"/>
        </w:rPr>
        <w:t xml:space="preserve">s </w:t>
      </w:r>
      <w:r w:rsidR="00045AC2" w:rsidRPr="002433F3">
        <w:rPr>
          <w:rFonts w:eastAsia="Calibri" w:cs="Times New Roman"/>
          <w:szCs w:val="20"/>
          <w:lang w:val="en-US"/>
        </w:rPr>
        <w:t xml:space="preserve">necessary </w:t>
      </w:r>
      <w:r w:rsidR="00F15571" w:rsidRPr="002433F3">
        <w:rPr>
          <w:rFonts w:eastAsia="Calibri" w:cs="Times New Roman"/>
          <w:szCs w:val="20"/>
          <w:lang w:val="en-US"/>
        </w:rPr>
        <w:t xml:space="preserve">to </w:t>
      </w:r>
      <w:r w:rsidRPr="002433F3">
        <w:rPr>
          <w:rFonts w:eastAsia="Calibri" w:cs="Times New Roman"/>
          <w:szCs w:val="20"/>
          <w:lang w:val="en-US"/>
        </w:rPr>
        <w:t>determine the meaning and scope of the corresponding</w:t>
      </w:r>
      <w:r w:rsidR="00F15571" w:rsidRPr="002433F3">
        <w:rPr>
          <w:rFonts w:eastAsia="Calibri" w:cs="Times New Roman"/>
          <w:szCs w:val="20"/>
          <w:lang w:val="en-US"/>
        </w:rPr>
        <w:t xml:space="preserve"> rule</w:t>
      </w:r>
      <w:r w:rsidRPr="002433F3">
        <w:rPr>
          <w:rFonts w:eastAsia="Calibri" w:cs="Times New Roman"/>
          <w:szCs w:val="20"/>
          <w:lang w:val="en-US"/>
        </w:rPr>
        <w:t>, understanding that it reflects what t</w:t>
      </w:r>
      <w:r w:rsidR="0092104F" w:rsidRPr="002433F3">
        <w:rPr>
          <w:rFonts w:eastAsia="Calibri" w:cs="Times New Roman"/>
          <w:szCs w:val="20"/>
          <w:lang w:val="en-US"/>
        </w:rPr>
        <w:t xml:space="preserve">he </w:t>
      </w:r>
      <w:r w:rsidRPr="002433F3">
        <w:rPr>
          <w:rFonts w:eastAsia="Calibri" w:cs="Times New Roman"/>
          <w:szCs w:val="20"/>
          <w:lang w:val="en-US"/>
        </w:rPr>
        <w:t>States Parties agreed to in good faith</w:t>
      </w:r>
      <w:r w:rsidR="00CB6569" w:rsidRPr="002433F3">
        <w:rPr>
          <w:rFonts w:eastAsia="Calibri" w:cs="Times New Roman"/>
          <w:szCs w:val="20"/>
          <w:lang w:val="en-US"/>
        </w:rPr>
        <w:t xml:space="preserve"> </w:t>
      </w:r>
      <w:r w:rsidR="00BC7895">
        <w:rPr>
          <w:rFonts w:eastAsia="Calibri" w:cs="Times New Roman"/>
          <w:szCs w:val="20"/>
          <w:lang w:val="en-US"/>
        </w:rPr>
        <w:t xml:space="preserve">in that regard </w:t>
      </w:r>
      <w:r w:rsidR="00CB6569" w:rsidRPr="002433F3">
        <w:rPr>
          <w:rFonts w:eastAsia="Calibri" w:cs="Times New Roman"/>
          <w:szCs w:val="20"/>
          <w:lang w:val="en-US"/>
        </w:rPr>
        <w:t>and</w:t>
      </w:r>
      <w:r w:rsidRPr="002433F3">
        <w:rPr>
          <w:rFonts w:eastAsia="Calibri" w:cs="Times New Roman"/>
          <w:szCs w:val="20"/>
          <w:lang w:val="en-US"/>
        </w:rPr>
        <w:t xml:space="preserve">, </w:t>
      </w:r>
      <w:r w:rsidR="00BC7895">
        <w:rPr>
          <w:rFonts w:eastAsia="Calibri" w:cs="Times New Roman"/>
          <w:szCs w:val="20"/>
          <w:lang w:val="en-US"/>
        </w:rPr>
        <w:t>within</w:t>
      </w:r>
      <w:r w:rsidRPr="002433F3">
        <w:rPr>
          <w:rFonts w:eastAsia="Calibri" w:cs="Times New Roman"/>
          <w:szCs w:val="20"/>
          <w:lang w:val="en-US"/>
        </w:rPr>
        <w:t xml:space="preserve"> that </w:t>
      </w:r>
      <w:r w:rsidR="00BC7895">
        <w:rPr>
          <w:rFonts w:eastAsia="Calibri" w:cs="Times New Roman"/>
          <w:szCs w:val="20"/>
          <w:lang w:val="en-US"/>
        </w:rPr>
        <w:t>framework</w:t>
      </w:r>
      <w:r w:rsidRPr="002433F3">
        <w:rPr>
          <w:rFonts w:eastAsia="Calibri" w:cs="Times New Roman"/>
          <w:szCs w:val="20"/>
          <w:lang w:val="en-US"/>
        </w:rPr>
        <w:t xml:space="preserve">, </w:t>
      </w:r>
      <w:r w:rsidR="00045AC2" w:rsidRPr="002433F3">
        <w:rPr>
          <w:rFonts w:eastAsia="Calibri" w:cs="Times New Roman"/>
          <w:szCs w:val="20"/>
          <w:lang w:val="en-US"/>
        </w:rPr>
        <w:t xml:space="preserve">sought </w:t>
      </w:r>
      <w:r w:rsidR="00CB6569" w:rsidRPr="002433F3">
        <w:rPr>
          <w:rFonts w:eastAsia="Calibri" w:cs="Times New Roman"/>
          <w:szCs w:val="20"/>
          <w:lang w:val="en-US"/>
        </w:rPr>
        <w:t xml:space="preserve">to </w:t>
      </w:r>
      <w:r w:rsidRPr="002433F3">
        <w:rPr>
          <w:rFonts w:eastAsia="Calibri" w:cs="Times New Roman"/>
          <w:szCs w:val="20"/>
          <w:lang w:val="en-US"/>
        </w:rPr>
        <w:t>establish a distinction</w:t>
      </w:r>
      <w:r w:rsidR="00045AC2" w:rsidRPr="002433F3">
        <w:rPr>
          <w:rFonts w:eastAsia="Calibri" w:cs="Times New Roman"/>
          <w:szCs w:val="20"/>
          <w:lang w:val="en-US"/>
        </w:rPr>
        <w:t>,</w:t>
      </w:r>
      <w:r w:rsidRPr="002433F3">
        <w:rPr>
          <w:rFonts w:eastAsia="Calibri" w:cs="Times New Roman"/>
          <w:szCs w:val="20"/>
          <w:lang w:val="en-US"/>
        </w:rPr>
        <w:t xml:space="preserve"> </w:t>
      </w:r>
      <w:r w:rsidR="008B3EA1" w:rsidRPr="002433F3">
        <w:rPr>
          <w:rFonts w:eastAsia="Calibri" w:cs="Times New Roman"/>
          <w:szCs w:val="20"/>
          <w:lang w:val="en-US"/>
        </w:rPr>
        <w:t xml:space="preserve">but not </w:t>
      </w:r>
      <w:r w:rsidRPr="002433F3">
        <w:rPr>
          <w:rFonts w:eastAsia="Calibri" w:cs="Times New Roman"/>
          <w:szCs w:val="20"/>
          <w:lang w:val="en-US"/>
        </w:rPr>
        <w:t>discrimination.</w:t>
      </w:r>
    </w:p>
    <w:p w14:paraId="475AB70D" w14:textId="77777777" w:rsidR="007B0DE4" w:rsidRPr="002433F3" w:rsidRDefault="007B0DE4" w:rsidP="007B0DE4">
      <w:pPr>
        <w:spacing w:before="240" w:after="200"/>
        <w:rPr>
          <w:rFonts w:eastAsia="Calibri" w:cs="Times New Roman"/>
          <w:szCs w:val="20"/>
          <w:lang w:val="en-US"/>
        </w:rPr>
      </w:pPr>
      <w:r w:rsidRPr="002433F3">
        <w:rPr>
          <w:rFonts w:eastAsia="Calibri" w:cs="Times New Roman"/>
          <w:b/>
          <w:szCs w:val="20"/>
          <w:lang w:val="en-US"/>
        </w:rPr>
        <w:t>CONCLUSION</w:t>
      </w:r>
    </w:p>
    <w:p w14:paraId="7E2D587E" w14:textId="77777777" w:rsidR="007B0DE4" w:rsidRPr="002433F3" w:rsidRDefault="007B0DE4" w:rsidP="007B0DE4">
      <w:pPr>
        <w:spacing w:before="240" w:after="200"/>
        <w:rPr>
          <w:rFonts w:eastAsia="Calibri" w:cs="Times New Roman"/>
          <w:szCs w:val="20"/>
          <w:lang w:val="en-US"/>
        </w:rPr>
      </w:pPr>
      <w:r w:rsidRPr="002433F3">
        <w:rPr>
          <w:rFonts w:eastAsia="Calibri" w:cs="Times New Roman"/>
          <w:szCs w:val="20"/>
          <w:lang w:val="en-US"/>
        </w:rPr>
        <w:t>From the record it is clear that the claims of the petitioners were fully satisfied by the State w</w:t>
      </w:r>
      <w:r w:rsidR="00665FF4" w:rsidRPr="002433F3">
        <w:rPr>
          <w:rFonts w:eastAsia="Calibri" w:cs="Times New Roman"/>
          <w:szCs w:val="20"/>
          <w:lang w:val="en-US"/>
        </w:rPr>
        <w:t xml:space="preserve">ell </w:t>
      </w:r>
      <w:r w:rsidR="00045AC2" w:rsidRPr="002433F3">
        <w:rPr>
          <w:rFonts w:eastAsia="Calibri" w:cs="Times New Roman"/>
          <w:szCs w:val="20"/>
          <w:lang w:val="en-US"/>
        </w:rPr>
        <w:t xml:space="preserve">before </w:t>
      </w:r>
      <w:r w:rsidRPr="002433F3">
        <w:rPr>
          <w:rFonts w:eastAsia="Calibri" w:cs="Times New Roman"/>
          <w:szCs w:val="20"/>
          <w:lang w:val="en-US"/>
        </w:rPr>
        <w:t xml:space="preserve">the </w:t>
      </w:r>
      <w:r w:rsidR="00045AC2" w:rsidRPr="002433F3">
        <w:rPr>
          <w:rFonts w:eastAsia="Calibri" w:cs="Times New Roman"/>
          <w:szCs w:val="20"/>
          <w:lang w:val="en-US"/>
        </w:rPr>
        <w:t xml:space="preserve">case was </w:t>
      </w:r>
      <w:r w:rsidRPr="002433F3">
        <w:rPr>
          <w:rFonts w:eastAsia="Calibri" w:cs="Times New Roman"/>
          <w:szCs w:val="20"/>
          <w:lang w:val="en-US"/>
        </w:rPr>
        <w:t>submi</w:t>
      </w:r>
      <w:r w:rsidR="00045AC2" w:rsidRPr="002433F3">
        <w:rPr>
          <w:rFonts w:eastAsia="Calibri" w:cs="Times New Roman"/>
          <w:szCs w:val="20"/>
          <w:lang w:val="en-US"/>
        </w:rPr>
        <w:t xml:space="preserve">tted to </w:t>
      </w:r>
      <w:r w:rsidRPr="002433F3">
        <w:rPr>
          <w:rFonts w:eastAsia="Calibri" w:cs="Times New Roman"/>
          <w:szCs w:val="20"/>
          <w:lang w:val="en-US"/>
        </w:rPr>
        <w:t xml:space="preserve">the Court. </w:t>
      </w:r>
      <w:r w:rsidR="00045AC2" w:rsidRPr="002433F3">
        <w:rPr>
          <w:rFonts w:eastAsia="Calibri" w:cs="Times New Roman"/>
          <w:szCs w:val="20"/>
          <w:lang w:val="en-US"/>
        </w:rPr>
        <w:t>Likewise</w:t>
      </w:r>
      <w:r w:rsidRPr="002433F3">
        <w:rPr>
          <w:rFonts w:eastAsia="Calibri" w:cs="Times New Roman"/>
          <w:szCs w:val="20"/>
          <w:lang w:val="en-US"/>
        </w:rPr>
        <w:t xml:space="preserve">, it is </w:t>
      </w:r>
      <w:r w:rsidR="00045AC2" w:rsidRPr="002433F3">
        <w:rPr>
          <w:rFonts w:eastAsia="Calibri" w:cs="Times New Roman"/>
          <w:szCs w:val="20"/>
          <w:lang w:val="en-US"/>
        </w:rPr>
        <w:t xml:space="preserve">clear </w:t>
      </w:r>
      <w:r w:rsidRPr="002433F3">
        <w:rPr>
          <w:rFonts w:eastAsia="Calibri" w:cs="Times New Roman"/>
          <w:szCs w:val="20"/>
          <w:lang w:val="en-US"/>
        </w:rPr>
        <w:t>that, a</w:t>
      </w:r>
      <w:r w:rsidR="00045AC2" w:rsidRPr="002433F3">
        <w:rPr>
          <w:rFonts w:eastAsia="Calibri" w:cs="Times New Roman"/>
          <w:szCs w:val="20"/>
          <w:lang w:val="en-US"/>
        </w:rPr>
        <w:t xml:space="preserve">t the time when </w:t>
      </w:r>
      <w:r w:rsidRPr="002433F3">
        <w:rPr>
          <w:rFonts w:eastAsia="Calibri" w:cs="Times New Roman"/>
          <w:szCs w:val="20"/>
          <w:lang w:val="en-US"/>
        </w:rPr>
        <w:t>the alleged victim was denied the possibility of requesting a survivor’s pension</w:t>
      </w:r>
      <w:r w:rsidR="00045AC2" w:rsidRPr="002433F3">
        <w:rPr>
          <w:rFonts w:eastAsia="Calibri" w:cs="Times New Roman"/>
          <w:szCs w:val="20"/>
          <w:lang w:val="en-US"/>
        </w:rPr>
        <w:t xml:space="preserve"> by the national courts</w:t>
      </w:r>
      <w:r w:rsidRPr="002433F3">
        <w:rPr>
          <w:rFonts w:eastAsia="Calibri" w:cs="Times New Roman"/>
          <w:szCs w:val="20"/>
          <w:lang w:val="en-US"/>
        </w:rPr>
        <w:t xml:space="preserve">, there was no international legal obligation to recognize </w:t>
      </w:r>
      <w:r w:rsidRPr="002433F3">
        <w:rPr>
          <w:rFonts w:eastAsia="Calibri" w:cs="Times New Roman"/>
          <w:i/>
          <w:szCs w:val="20"/>
          <w:lang w:val="en-US"/>
        </w:rPr>
        <w:t>de facto</w:t>
      </w:r>
      <w:r w:rsidRPr="002433F3">
        <w:rPr>
          <w:rFonts w:eastAsia="Calibri" w:cs="Times New Roman"/>
          <w:szCs w:val="20"/>
          <w:lang w:val="en-US"/>
        </w:rPr>
        <w:t xml:space="preserve"> unions between persons of </w:t>
      </w:r>
      <w:r w:rsidR="00045AC2" w:rsidRPr="002433F3">
        <w:rPr>
          <w:rFonts w:eastAsia="Calibri" w:cs="Times New Roman"/>
          <w:szCs w:val="20"/>
          <w:lang w:val="en-US"/>
        </w:rPr>
        <w:t xml:space="preserve">the same </w:t>
      </w:r>
      <w:r w:rsidR="00AA5F66">
        <w:rPr>
          <w:rFonts w:eastAsia="Calibri" w:cs="Times New Roman"/>
          <w:szCs w:val="20"/>
          <w:lang w:val="en-US"/>
        </w:rPr>
        <w:t>sex or</w:t>
      </w:r>
      <w:r w:rsidR="00045AC2" w:rsidRPr="002433F3">
        <w:rPr>
          <w:rFonts w:eastAsia="Calibri" w:cs="Times New Roman"/>
          <w:szCs w:val="20"/>
          <w:lang w:val="en-US"/>
        </w:rPr>
        <w:t xml:space="preserve">, consequently, to </w:t>
      </w:r>
      <w:r w:rsidR="00AA5F66">
        <w:rPr>
          <w:rFonts w:eastAsia="Calibri" w:cs="Times New Roman"/>
          <w:szCs w:val="20"/>
          <w:lang w:val="en-US"/>
        </w:rPr>
        <w:t xml:space="preserve">grant </w:t>
      </w:r>
      <w:r w:rsidR="00045AC2" w:rsidRPr="002433F3">
        <w:rPr>
          <w:rFonts w:eastAsia="Calibri" w:cs="Times New Roman"/>
          <w:szCs w:val="20"/>
          <w:lang w:val="en-US"/>
        </w:rPr>
        <w:t>a</w:t>
      </w:r>
      <w:r w:rsidRPr="002433F3">
        <w:rPr>
          <w:rFonts w:eastAsia="Calibri" w:cs="Times New Roman"/>
          <w:szCs w:val="20"/>
          <w:lang w:val="en-US"/>
        </w:rPr>
        <w:t xml:space="preserve"> pension based on that </w:t>
      </w:r>
      <w:r w:rsidR="00045AC2" w:rsidRPr="002433F3">
        <w:rPr>
          <w:rFonts w:eastAsia="Calibri" w:cs="Times New Roman"/>
          <w:szCs w:val="20"/>
          <w:lang w:val="en-US"/>
        </w:rPr>
        <w:t>partnership</w:t>
      </w:r>
      <w:r w:rsidRPr="002433F3">
        <w:rPr>
          <w:rFonts w:eastAsia="Calibri" w:cs="Times New Roman"/>
          <w:szCs w:val="20"/>
          <w:lang w:val="en-US"/>
        </w:rPr>
        <w:t xml:space="preserve">. </w:t>
      </w:r>
      <w:r w:rsidR="00410648" w:rsidRPr="002433F3">
        <w:rPr>
          <w:rFonts w:eastAsia="Calibri" w:cs="Times New Roman"/>
          <w:szCs w:val="20"/>
          <w:lang w:val="en-US"/>
        </w:rPr>
        <w:t>Finally</w:t>
      </w:r>
      <w:r w:rsidR="00045AC2" w:rsidRPr="002433F3">
        <w:rPr>
          <w:rFonts w:eastAsia="Calibri" w:cs="Times New Roman"/>
          <w:szCs w:val="20"/>
          <w:lang w:val="en-US"/>
        </w:rPr>
        <w:t xml:space="preserve">, </w:t>
      </w:r>
      <w:r w:rsidRPr="002433F3">
        <w:rPr>
          <w:rFonts w:eastAsia="Calibri" w:cs="Times New Roman"/>
          <w:szCs w:val="20"/>
          <w:lang w:val="en-US"/>
        </w:rPr>
        <w:t xml:space="preserve">it is </w:t>
      </w:r>
      <w:r w:rsidR="00410648" w:rsidRPr="002433F3">
        <w:rPr>
          <w:rFonts w:eastAsia="Calibri" w:cs="Times New Roman"/>
          <w:szCs w:val="20"/>
          <w:lang w:val="en-US"/>
        </w:rPr>
        <w:t xml:space="preserve">also clear </w:t>
      </w:r>
      <w:r w:rsidRPr="002433F3">
        <w:rPr>
          <w:rFonts w:eastAsia="Calibri" w:cs="Times New Roman"/>
          <w:szCs w:val="20"/>
          <w:lang w:val="en-US"/>
        </w:rPr>
        <w:t>that</w:t>
      </w:r>
      <w:r w:rsidR="00410648" w:rsidRPr="002433F3">
        <w:rPr>
          <w:rFonts w:eastAsia="Calibri" w:cs="Times New Roman"/>
          <w:szCs w:val="20"/>
          <w:lang w:val="en-US"/>
        </w:rPr>
        <w:t xml:space="preserve"> </w:t>
      </w:r>
      <w:r w:rsidRPr="002433F3">
        <w:rPr>
          <w:rFonts w:eastAsia="Calibri" w:cs="Times New Roman"/>
          <w:szCs w:val="20"/>
          <w:lang w:val="en-US"/>
        </w:rPr>
        <w:t xml:space="preserve">there could </w:t>
      </w:r>
      <w:r w:rsidR="00410648" w:rsidRPr="002433F3">
        <w:rPr>
          <w:rFonts w:eastAsia="Calibri" w:cs="Times New Roman"/>
          <w:szCs w:val="20"/>
          <w:lang w:val="en-US"/>
        </w:rPr>
        <w:t xml:space="preserve">not have been </w:t>
      </w:r>
      <w:r w:rsidRPr="002433F3">
        <w:rPr>
          <w:rFonts w:eastAsia="Calibri" w:cs="Times New Roman"/>
          <w:szCs w:val="20"/>
          <w:lang w:val="en-US"/>
        </w:rPr>
        <w:t>discrimination, even less so in relation to a different institution, which is marriage.</w:t>
      </w:r>
    </w:p>
    <w:p w14:paraId="2CA8D3C2" w14:textId="77777777" w:rsidR="007B0DE4" w:rsidRPr="002433F3" w:rsidRDefault="00AA5F66" w:rsidP="007B0DE4">
      <w:pPr>
        <w:spacing w:before="240" w:after="200"/>
        <w:rPr>
          <w:rFonts w:eastAsia="Calibri" w:cs="Times New Roman"/>
          <w:szCs w:val="20"/>
          <w:lang w:val="en-US"/>
        </w:rPr>
      </w:pPr>
      <w:r>
        <w:rPr>
          <w:rFonts w:eastAsia="Calibri" w:cs="Times New Roman"/>
          <w:szCs w:val="20"/>
          <w:lang w:val="en-US"/>
        </w:rPr>
        <w:t>Therefore</w:t>
      </w:r>
      <w:r w:rsidR="0092104F" w:rsidRPr="002433F3">
        <w:rPr>
          <w:rFonts w:eastAsia="Calibri" w:cs="Times New Roman"/>
          <w:szCs w:val="20"/>
          <w:lang w:val="en-US"/>
        </w:rPr>
        <w:t xml:space="preserve">, in consideration of the foregoing, </w:t>
      </w:r>
      <w:r w:rsidR="00045AC2" w:rsidRPr="002433F3">
        <w:rPr>
          <w:rFonts w:eastAsia="Calibri" w:cs="Times New Roman"/>
          <w:szCs w:val="20"/>
          <w:lang w:val="en-US"/>
        </w:rPr>
        <w:t xml:space="preserve">I do not understand </w:t>
      </w:r>
      <w:r w:rsidR="007B0DE4" w:rsidRPr="002433F3">
        <w:rPr>
          <w:rFonts w:eastAsia="Calibri" w:cs="Times New Roman"/>
          <w:szCs w:val="20"/>
          <w:lang w:val="en-US"/>
        </w:rPr>
        <w:t>why this case was submitted by the Commission to the jurisdiction of the Court, and even less why the latter ruled as it did.</w:t>
      </w:r>
    </w:p>
    <w:p w14:paraId="63D08839" w14:textId="77777777" w:rsidR="007B0DE4" w:rsidRPr="002433F3" w:rsidRDefault="007B0DE4" w:rsidP="007B0DE4">
      <w:pPr>
        <w:spacing w:before="240" w:after="200"/>
        <w:rPr>
          <w:rFonts w:eastAsia="Calibri" w:cs="Times New Roman"/>
          <w:szCs w:val="20"/>
          <w:lang w:val="en-US"/>
        </w:rPr>
      </w:pPr>
    </w:p>
    <w:p w14:paraId="5206EF3D" w14:textId="77777777" w:rsidR="007B0DE4" w:rsidRPr="002433F3" w:rsidRDefault="007B0DE4" w:rsidP="007B0DE4">
      <w:pPr>
        <w:tabs>
          <w:tab w:val="left" w:pos="6495"/>
        </w:tabs>
        <w:spacing w:before="240" w:after="200"/>
        <w:rPr>
          <w:rFonts w:eastAsia="Calibri" w:cs="Times New Roman"/>
          <w:szCs w:val="20"/>
          <w:lang w:val="en-US"/>
        </w:rPr>
      </w:pPr>
      <w:r w:rsidRPr="002433F3">
        <w:rPr>
          <w:rFonts w:eastAsia="Calibri" w:cs="Times New Roman"/>
          <w:szCs w:val="20"/>
          <w:lang w:val="en-US"/>
        </w:rPr>
        <w:tab/>
      </w:r>
    </w:p>
    <w:p w14:paraId="6F14CCA7" w14:textId="77777777" w:rsidR="007B0DE4" w:rsidRPr="002433F3" w:rsidRDefault="007B0DE4" w:rsidP="007B0DE4">
      <w:pPr>
        <w:spacing w:before="240" w:after="200"/>
        <w:rPr>
          <w:rFonts w:eastAsia="Calibri" w:cs="Times New Roman"/>
          <w:szCs w:val="20"/>
          <w:lang w:val="en-US"/>
        </w:rPr>
      </w:pPr>
    </w:p>
    <w:p w14:paraId="0BFC062D" w14:textId="77777777" w:rsidR="007B0DE4" w:rsidRPr="002433F3" w:rsidRDefault="007B0DE4" w:rsidP="007B0DE4">
      <w:pPr>
        <w:ind w:left="4956"/>
        <w:jc w:val="center"/>
        <w:rPr>
          <w:rFonts w:eastAsia="Calibri" w:cs="Times New Roman"/>
          <w:szCs w:val="20"/>
          <w:lang w:val="en-US"/>
        </w:rPr>
      </w:pPr>
      <w:r w:rsidRPr="002433F3">
        <w:rPr>
          <w:rFonts w:eastAsia="Calibri" w:cs="Times New Roman"/>
          <w:szCs w:val="20"/>
          <w:lang w:val="en-US"/>
        </w:rPr>
        <w:t>Eduardo Vio Grossi</w:t>
      </w:r>
    </w:p>
    <w:p w14:paraId="5E85A837" w14:textId="77777777" w:rsidR="007B0DE4" w:rsidRPr="002433F3" w:rsidRDefault="007B0DE4" w:rsidP="007B0DE4">
      <w:pPr>
        <w:ind w:left="4956"/>
        <w:jc w:val="center"/>
        <w:rPr>
          <w:rFonts w:eastAsia="Calibri" w:cs="Times New Roman"/>
          <w:szCs w:val="20"/>
          <w:lang w:val="en-US"/>
        </w:rPr>
      </w:pPr>
      <w:r w:rsidRPr="002433F3">
        <w:rPr>
          <w:rFonts w:eastAsia="Calibri" w:cs="Times New Roman"/>
          <w:szCs w:val="20"/>
          <w:lang w:val="en-US"/>
        </w:rPr>
        <w:t>Judge</w:t>
      </w:r>
    </w:p>
    <w:p w14:paraId="489324D7" w14:textId="77777777" w:rsidR="007B0DE4" w:rsidRPr="002433F3" w:rsidRDefault="007B0DE4" w:rsidP="007B0DE4">
      <w:pPr>
        <w:spacing w:after="200"/>
        <w:rPr>
          <w:rFonts w:eastAsia="Times New Roman" w:cs="Times New Roman"/>
          <w:color w:val="000000"/>
          <w:szCs w:val="20"/>
          <w:lang w:val="en-US" w:eastAsia="es-CL"/>
        </w:rPr>
      </w:pPr>
    </w:p>
    <w:p w14:paraId="4FF9244C" w14:textId="77777777" w:rsidR="007B0DE4" w:rsidRPr="002433F3" w:rsidRDefault="007B0DE4" w:rsidP="007B0DE4">
      <w:pPr>
        <w:spacing w:after="200"/>
        <w:rPr>
          <w:rFonts w:eastAsia="Times New Roman" w:cs="Times New Roman"/>
          <w:color w:val="000000"/>
          <w:szCs w:val="20"/>
          <w:lang w:val="en-US" w:eastAsia="es-CL"/>
        </w:rPr>
      </w:pPr>
    </w:p>
    <w:p w14:paraId="23F2496F" w14:textId="77777777" w:rsidR="007B0DE4" w:rsidRPr="002433F3" w:rsidRDefault="007B0DE4" w:rsidP="007B0DE4">
      <w:pPr>
        <w:spacing w:after="200"/>
        <w:rPr>
          <w:rFonts w:eastAsia="Times New Roman" w:cs="Times New Roman"/>
          <w:color w:val="000000"/>
          <w:szCs w:val="20"/>
          <w:lang w:val="en-US" w:eastAsia="es-CL"/>
        </w:rPr>
      </w:pPr>
    </w:p>
    <w:p w14:paraId="20F7E84A" w14:textId="77777777" w:rsidR="007B0DE4" w:rsidRPr="002433F3" w:rsidRDefault="007B0DE4" w:rsidP="007B0DE4">
      <w:pPr>
        <w:spacing w:after="200"/>
        <w:rPr>
          <w:rFonts w:eastAsia="Times New Roman" w:cs="Times New Roman"/>
          <w:color w:val="000000"/>
          <w:szCs w:val="20"/>
          <w:lang w:val="en-US" w:eastAsia="es-CL"/>
        </w:rPr>
      </w:pPr>
    </w:p>
    <w:p w14:paraId="619724DD" w14:textId="77777777" w:rsidR="007B0DE4" w:rsidRPr="002433F3" w:rsidRDefault="007B0DE4" w:rsidP="007B0DE4">
      <w:pPr>
        <w:rPr>
          <w:rFonts w:eastAsia="Times New Roman" w:cs="Times New Roman"/>
          <w:szCs w:val="20"/>
          <w:lang w:val="en-US" w:eastAsia="es-CL"/>
        </w:rPr>
      </w:pPr>
      <w:r w:rsidRPr="002433F3">
        <w:rPr>
          <w:rFonts w:eastAsia="Times New Roman" w:cs="Times New Roman"/>
          <w:color w:val="000000"/>
          <w:szCs w:val="20"/>
          <w:lang w:val="en-US" w:eastAsia="es-CL"/>
        </w:rPr>
        <w:t>Pablo Saavedra Alessandri</w:t>
      </w:r>
    </w:p>
    <w:p w14:paraId="7E6E2526" w14:textId="77777777" w:rsidR="007B0DE4" w:rsidRPr="00DB59BA" w:rsidRDefault="007B0DE4" w:rsidP="007B0DE4">
      <w:pPr>
        <w:ind w:firstLine="708"/>
        <w:rPr>
          <w:rFonts w:eastAsia="Times New Roman" w:cs="Times New Roman"/>
          <w:szCs w:val="20"/>
          <w:lang w:val="en-US" w:eastAsia="es-CL"/>
        </w:rPr>
      </w:pPr>
      <w:r w:rsidRPr="002433F3">
        <w:rPr>
          <w:rFonts w:eastAsia="Times New Roman" w:cs="Times New Roman"/>
          <w:color w:val="000000"/>
          <w:szCs w:val="20"/>
          <w:lang w:val="en-US" w:eastAsia="es-CL"/>
        </w:rPr>
        <w:t>Secretary</w:t>
      </w:r>
    </w:p>
    <w:p w14:paraId="62940E1A" w14:textId="77777777" w:rsidR="007B0DE4" w:rsidRPr="00DB59BA" w:rsidRDefault="007B0DE4" w:rsidP="007B0DE4">
      <w:pPr>
        <w:spacing w:after="200" w:line="276" w:lineRule="auto"/>
        <w:rPr>
          <w:rFonts w:eastAsia="Calibri" w:cs="Times New Roman"/>
          <w:sz w:val="22"/>
          <w:szCs w:val="22"/>
          <w:lang w:val="en-US"/>
        </w:rPr>
      </w:pPr>
    </w:p>
    <w:p w14:paraId="64EDD97A" w14:textId="77777777" w:rsidR="007B0DE4" w:rsidRPr="00DB59BA" w:rsidRDefault="007B0DE4" w:rsidP="007B0DE4">
      <w:pPr>
        <w:rPr>
          <w:spacing w:val="-2"/>
          <w:szCs w:val="20"/>
          <w:lang w:val="en-US" w:eastAsia="es-CR"/>
        </w:rPr>
      </w:pPr>
    </w:p>
    <w:p w14:paraId="13BD1BF4" w14:textId="77777777" w:rsidR="007B0DE4" w:rsidRPr="00DB59BA" w:rsidRDefault="007B0DE4" w:rsidP="007B0DE4">
      <w:pPr>
        <w:rPr>
          <w:lang w:val="en-US"/>
        </w:rPr>
      </w:pPr>
    </w:p>
    <w:p w14:paraId="58E61211" w14:textId="77777777" w:rsidR="005339D9" w:rsidRDefault="005339D9"/>
    <w:sectPr w:rsidR="005339D9" w:rsidSect="009D2425">
      <w:footerReference w:type="default" r:id="rId10"/>
      <w:footnotePr>
        <w:numRestart w:val="eachSect"/>
      </w:footnotePr>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12C30" w14:textId="77777777" w:rsidR="0010152B" w:rsidRDefault="0010152B" w:rsidP="007B0DE4">
      <w:r>
        <w:separator/>
      </w:r>
    </w:p>
  </w:endnote>
  <w:endnote w:type="continuationSeparator" w:id="0">
    <w:p w14:paraId="71DA2F35" w14:textId="77777777" w:rsidR="0010152B" w:rsidRDefault="0010152B" w:rsidP="007B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Univers">
    <w:altName w:val="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08497" w14:textId="77777777" w:rsidR="00432906" w:rsidRPr="0046149A" w:rsidRDefault="00432906">
    <w:pPr>
      <w:pStyle w:val="Piedepgina"/>
      <w:jc w:val="center"/>
      <w:rPr>
        <w:sz w:val="18"/>
        <w:szCs w:val="18"/>
      </w:rPr>
    </w:pPr>
    <w:r w:rsidRPr="0046149A">
      <w:rPr>
        <w:sz w:val="18"/>
        <w:szCs w:val="18"/>
      </w:rPr>
      <w:t>-</w:t>
    </w:r>
    <w:r w:rsidRPr="0046149A">
      <w:rPr>
        <w:sz w:val="18"/>
        <w:szCs w:val="18"/>
      </w:rPr>
      <w:fldChar w:fldCharType="begin"/>
    </w:r>
    <w:r w:rsidRPr="0046149A">
      <w:rPr>
        <w:sz w:val="18"/>
        <w:szCs w:val="18"/>
      </w:rPr>
      <w:instrText xml:space="preserve"> </w:instrText>
    </w:r>
    <w:r>
      <w:rPr>
        <w:sz w:val="18"/>
        <w:szCs w:val="18"/>
      </w:rPr>
      <w:instrText>PAGE</w:instrText>
    </w:r>
    <w:r w:rsidRPr="0046149A">
      <w:rPr>
        <w:sz w:val="18"/>
        <w:szCs w:val="18"/>
      </w:rPr>
      <w:instrText xml:space="preserve">   \* MERGEFORMAT </w:instrText>
    </w:r>
    <w:r w:rsidRPr="0046149A">
      <w:rPr>
        <w:sz w:val="18"/>
        <w:szCs w:val="18"/>
      </w:rPr>
      <w:fldChar w:fldCharType="separate"/>
    </w:r>
    <w:r w:rsidR="00244560">
      <w:rPr>
        <w:sz w:val="18"/>
        <w:szCs w:val="18"/>
      </w:rPr>
      <w:t>2</w:t>
    </w:r>
    <w:r w:rsidRPr="0046149A">
      <w:rPr>
        <w:sz w:val="18"/>
        <w:szCs w:val="18"/>
      </w:rPr>
      <w:fldChar w:fldCharType="end"/>
    </w:r>
    <w:r w:rsidRPr="0046149A">
      <w:rPr>
        <w:sz w:val="18"/>
        <w:szCs w:val="18"/>
      </w:rPr>
      <w:t>-</w:t>
    </w:r>
  </w:p>
  <w:p w14:paraId="107B5632" w14:textId="77777777" w:rsidR="00432906" w:rsidRDefault="004329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0325C" w14:textId="77777777" w:rsidR="00432906" w:rsidRPr="000C17DE" w:rsidRDefault="00432906" w:rsidP="009D2425">
    <w:pPr>
      <w:pStyle w:val="Piedepgina"/>
      <w:jc w:val="center"/>
      <w:rPr>
        <w:sz w:val="18"/>
        <w:szCs w:val="18"/>
      </w:rPr>
    </w:pPr>
    <w:r>
      <w:rPr>
        <w:sz w:val="18"/>
        <w:szCs w:val="18"/>
      </w:rPr>
      <w:t xml:space="preserve">- </w:t>
    </w:r>
    <w:r w:rsidRPr="000C17DE">
      <w:rPr>
        <w:sz w:val="18"/>
        <w:szCs w:val="18"/>
      </w:rPr>
      <w:fldChar w:fldCharType="begin"/>
    </w:r>
    <w:r w:rsidRPr="000C17DE">
      <w:rPr>
        <w:sz w:val="18"/>
        <w:szCs w:val="18"/>
      </w:rPr>
      <w:instrText xml:space="preserve"> PAGE   \* MERGEFORMAT </w:instrText>
    </w:r>
    <w:r w:rsidRPr="000C17DE">
      <w:rPr>
        <w:sz w:val="18"/>
        <w:szCs w:val="18"/>
      </w:rPr>
      <w:fldChar w:fldCharType="separate"/>
    </w:r>
    <w:r w:rsidR="00244560">
      <w:rPr>
        <w:sz w:val="18"/>
        <w:szCs w:val="18"/>
      </w:rPr>
      <w:t>5</w:t>
    </w:r>
    <w:r w:rsidRPr="000C17DE">
      <w:rPr>
        <w:sz w:val="18"/>
        <w:szCs w:val="18"/>
      </w:rPr>
      <w:fldChar w:fldCharType="end"/>
    </w:r>
    <w:r>
      <w:rPr>
        <w:sz w:val="18"/>
        <w:szCs w:val="18"/>
      </w:rPr>
      <w:t xml:space="preserve"> -</w:t>
    </w:r>
  </w:p>
  <w:p w14:paraId="3948B163" w14:textId="77777777" w:rsidR="00432906" w:rsidRDefault="004329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38303" w14:textId="77777777" w:rsidR="0010152B" w:rsidRDefault="0010152B" w:rsidP="007B0DE4">
      <w:r>
        <w:separator/>
      </w:r>
    </w:p>
  </w:footnote>
  <w:footnote w:type="continuationSeparator" w:id="0">
    <w:p w14:paraId="4867BF4A" w14:textId="77777777" w:rsidR="0010152B" w:rsidRDefault="0010152B" w:rsidP="007B0DE4">
      <w:r>
        <w:continuationSeparator/>
      </w:r>
    </w:p>
  </w:footnote>
  <w:footnote w:id="1">
    <w:p w14:paraId="5C4A0A7A"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Pr>
          <w:noProof w:val="0"/>
          <w:szCs w:val="16"/>
          <w:lang w:val="en-US"/>
        </w:rPr>
        <w:t>The instant Judgment wa</w:t>
      </w:r>
      <w:r w:rsidRPr="00BA61B2">
        <w:rPr>
          <w:noProof w:val="0"/>
          <w:szCs w:val="16"/>
          <w:lang w:val="en-US"/>
        </w:rPr>
        <w:t>s delivered during the 113</w:t>
      </w:r>
      <w:r w:rsidRPr="00C9290B">
        <w:rPr>
          <w:noProof w:val="0"/>
          <w:szCs w:val="16"/>
          <w:vertAlign w:val="superscript"/>
          <w:lang w:val="en-US"/>
        </w:rPr>
        <w:t>th</w:t>
      </w:r>
      <w:r>
        <w:rPr>
          <w:noProof w:val="0"/>
          <w:szCs w:val="16"/>
          <w:lang w:val="en-US"/>
        </w:rPr>
        <w:t xml:space="preserve"> </w:t>
      </w:r>
      <w:r w:rsidRPr="00BA61B2">
        <w:rPr>
          <w:noProof w:val="0"/>
          <w:szCs w:val="16"/>
          <w:lang w:val="en-US"/>
        </w:rPr>
        <w:t xml:space="preserve">Regular Session of the Court. Pursuant to Articles 54(3) of the American Convention on Human Rights, 5(3) of the Statute of the Court and 17(1) of its Rules of Procedure, judges whose terms have expired shall continue to exercise their functions in cases that they have begun to hear and that are still pending. Accordingly, Judges Manuel E. Ventura Robles, Diego García-Sayán and Alberto Pérez Pérez participated in the deliberation and signing of this Judgment. </w:t>
      </w:r>
      <w:r w:rsidRPr="00BA61B2">
        <w:rPr>
          <w:rFonts w:cs="Arial"/>
          <w:noProof w:val="0"/>
          <w:spacing w:val="-4"/>
          <w:szCs w:val="16"/>
          <w:lang w:val="en-US"/>
        </w:rPr>
        <w:t xml:space="preserve">Judge </w:t>
      </w:r>
      <w:r w:rsidRPr="00BA61B2">
        <w:rPr>
          <w:noProof w:val="0"/>
          <w:spacing w:val="-4"/>
          <w:szCs w:val="16"/>
          <w:lang w:val="en-US"/>
        </w:rPr>
        <w:t>Humberto Antonio Sierra Porto</w:t>
      </w:r>
      <w:r w:rsidRPr="00BA61B2">
        <w:rPr>
          <w:rFonts w:cs="Arial"/>
          <w:noProof w:val="0"/>
          <w:spacing w:val="-4"/>
          <w:szCs w:val="16"/>
          <w:lang w:val="en-US"/>
        </w:rPr>
        <w:t xml:space="preserve">, who is a Colombian national, did not participate in the deliberation of this Judgment, pursuant to Articles 19(2) of the Statute and 19(1) of the </w:t>
      </w:r>
      <w:r>
        <w:rPr>
          <w:rFonts w:cs="Arial"/>
          <w:noProof w:val="0"/>
          <w:spacing w:val="-4"/>
          <w:szCs w:val="16"/>
          <w:lang w:val="en-US"/>
        </w:rPr>
        <w:t xml:space="preserve">Court’s </w:t>
      </w:r>
      <w:r w:rsidRPr="00BA61B2">
        <w:rPr>
          <w:rFonts w:cs="Arial"/>
          <w:noProof w:val="0"/>
          <w:spacing w:val="-4"/>
          <w:szCs w:val="16"/>
          <w:lang w:val="en-US"/>
        </w:rPr>
        <w:t xml:space="preserve">Rules of </w:t>
      </w:r>
      <w:r>
        <w:rPr>
          <w:rFonts w:cs="Arial"/>
          <w:noProof w:val="0"/>
          <w:spacing w:val="-4"/>
          <w:szCs w:val="16"/>
          <w:lang w:val="en-US"/>
        </w:rPr>
        <w:t>Procedure</w:t>
      </w:r>
      <w:r w:rsidRPr="00BA61B2">
        <w:rPr>
          <w:rFonts w:cs="Arial"/>
          <w:noProof w:val="0"/>
          <w:spacing w:val="-4"/>
          <w:szCs w:val="16"/>
          <w:lang w:val="en-US"/>
        </w:rPr>
        <w:t>.</w:t>
      </w:r>
    </w:p>
  </w:footnote>
  <w:footnote w:id="2">
    <w:p w14:paraId="1F80E222" w14:textId="77777777" w:rsidR="00432906" w:rsidRPr="00BA61B2" w:rsidRDefault="00432906" w:rsidP="007B0DE4">
      <w:pPr>
        <w:pStyle w:val="Textonotapie"/>
        <w:rPr>
          <w:noProof w:val="0"/>
          <w:lang w:val="en-US"/>
        </w:rPr>
      </w:pPr>
      <w:r w:rsidRPr="00BA61B2">
        <w:rPr>
          <w:rStyle w:val="Refdenotaalpie"/>
          <w:noProof w:val="0"/>
          <w:lang w:val="en-US"/>
        </w:rPr>
        <w:footnoteRef/>
      </w:r>
      <w:r w:rsidRPr="00BA61B2">
        <w:rPr>
          <w:noProof w:val="0"/>
          <w:lang w:val="en-US"/>
        </w:rPr>
        <w:t xml:space="preserve"> </w:t>
      </w:r>
      <w:r w:rsidRPr="00BA61B2">
        <w:rPr>
          <w:noProof w:val="0"/>
          <w:lang w:val="en-US"/>
        </w:rPr>
        <w:tab/>
      </w:r>
      <w:r>
        <w:rPr>
          <w:noProof w:val="0"/>
          <w:lang w:val="en-US"/>
        </w:rPr>
        <w:t xml:space="preserve">Under </w:t>
      </w:r>
      <w:r w:rsidRPr="00BA61B2">
        <w:rPr>
          <w:noProof w:val="0"/>
          <w:lang w:val="en-US"/>
        </w:rPr>
        <w:t xml:space="preserve">Colombian legislation, the survivor’s pension is one of the benefits protected </w:t>
      </w:r>
      <w:r>
        <w:rPr>
          <w:noProof w:val="0"/>
          <w:lang w:val="en-US"/>
        </w:rPr>
        <w:t xml:space="preserve">under the </w:t>
      </w:r>
      <w:r w:rsidRPr="00BA61B2">
        <w:rPr>
          <w:noProof w:val="0"/>
          <w:lang w:val="en-US"/>
        </w:rPr>
        <w:t xml:space="preserve">general </w:t>
      </w:r>
      <w:r>
        <w:rPr>
          <w:noProof w:val="0"/>
          <w:lang w:val="en-US"/>
        </w:rPr>
        <w:t>system of pensions (Book</w:t>
      </w:r>
      <w:r w:rsidRPr="00BA61B2">
        <w:rPr>
          <w:noProof w:val="0"/>
          <w:lang w:val="en-US"/>
        </w:rPr>
        <w:t xml:space="preserve"> I of Law 100 of 1993), and </w:t>
      </w:r>
      <w:r>
        <w:rPr>
          <w:noProof w:val="0"/>
          <w:lang w:val="en-US"/>
        </w:rPr>
        <w:t xml:space="preserve">its purpose is to </w:t>
      </w:r>
      <w:r w:rsidRPr="00BA61B2">
        <w:rPr>
          <w:noProof w:val="0"/>
          <w:lang w:val="en-US"/>
        </w:rPr>
        <w:t xml:space="preserve">protect </w:t>
      </w:r>
      <w:r>
        <w:rPr>
          <w:noProof w:val="0"/>
          <w:lang w:val="en-US"/>
        </w:rPr>
        <w:t xml:space="preserve">a worker’s </w:t>
      </w:r>
      <w:r w:rsidRPr="00BA61B2">
        <w:rPr>
          <w:noProof w:val="0"/>
          <w:lang w:val="en-US"/>
        </w:rPr>
        <w:t xml:space="preserve">family from contingencies </w:t>
      </w:r>
      <w:r>
        <w:rPr>
          <w:noProof w:val="0"/>
          <w:lang w:val="en-US"/>
        </w:rPr>
        <w:t xml:space="preserve">arising from </w:t>
      </w:r>
      <w:r w:rsidRPr="00BA61B2">
        <w:rPr>
          <w:noProof w:val="0"/>
          <w:lang w:val="en-US"/>
        </w:rPr>
        <w:t>his death.</w:t>
      </w:r>
    </w:p>
  </w:footnote>
  <w:footnote w:id="3">
    <w:p w14:paraId="2E6FF6D6" w14:textId="77777777" w:rsidR="00432906" w:rsidRPr="00BA61B2" w:rsidRDefault="00432906" w:rsidP="007B0DE4">
      <w:pPr>
        <w:spacing w:before="120" w:after="120"/>
        <w:rPr>
          <w:sz w:val="16"/>
          <w:szCs w:val="16"/>
          <w:lang w:val="en-US"/>
        </w:rPr>
      </w:pPr>
      <w:r w:rsidRPr="00BA61B2">
        <w:rPr>
          <w:rStyle w:val="Refdenotaalpie"/>
          <w:sz w:val="16"/>
          <w:szCs w:val="16"/>
          <w:lang w:val="en-US"/>
        </w:rPr>
        <w:footnoteRef/>
      </w:r>
      <w:r>
        <w:rPr>
          <w:sz w:val="16"/>
          <w:szCs w:val="16"/>
          <w:lang w:val="en-US"/>
        </w:rPr>
        <w:t xml:space="preserve"> </w:t>
      </w:r>
      <w:r>
        <w:rPr>
          <w:sz w:val="16"/>
          <w:szCs w:val="16"/>
          <w:lang w:val="en-US"/>
        </w:rPr>
        <w:tab/>
        <w:t>In that</w:t>
      </w:r>
      <w:r w:rsidRPr="00BA61B2">
        <w:rPr>
          <w:sz w:val="16"/>
          <w:szCs w:val="16"/>
          <w:lang w:val="en-US"/>
        </w:rPr>
        <w:t xml:space="preserve"> </w:t>
      </w:r>
      <w:r w:rsidRPr="000C5DFB">
        <w:rPr>
          <w:sz w:val="16"/>
          <w:szCs w:val="16"/>
          <w:lang w:val="en-US"/>
        </w:rPr>
        <w:t>Report, the Commission declared admissible the petition for the alleged violation of the rights established in Articles 5</w:t>
      </w:r>
      <w:r>
        <w:rPr>
          <w:sz w:val="16"/>
          <w:szCs w:val="16"/>
          <w:lang w:val="en-US"/>
        </w:rPr>
        <w:t>(1)</w:t>
      </w:r>
      <w:r w:rsidRPr="000C5DFB">
        <w:rPr>
          <w:sz w:val="16"/>
          <w:szCs w:val="16"/>
          <w:lang w:val="en-US"/>
        </w:rPr>
        <w:t>,</w:t>
      </w:r>
      <w:r w:rsidRPr="00BA61B2">
        <w:rPr>
          <w:sz w:val="16"/>
          <w:szCs w:val="16"/>
          <w:lang w:val="en-US"/>
        </w:rPr>
        <w:t xml:space="preserve"> 8(1), 24 and 25 of the American Convention, in connection with the obligations established in Articles 1(1) and 2 thereof.</w:t>
      </w:r>
    </w:p>
  </w:footnote>
  <w:footnote w:id="4">
    <w:p w14:paraId="185D4A55"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Pr>
          <w:noProof w:val="0"/>
          <w:szCs w:val="16"/>
          <w:lang w:val="en-US"/>
        </w:rPr>
        <w:t xml:space="preserve"> </w:t>
      </w:r>
      <w:r>
        <w:rPr>
          <w:noProof w:val="0"/>
          <w:szCs w:val="16"/>
          <w:lang w:val="en-US"/>
        </w:rPr>
        <w:tab/>
        <w:t>T</w:t>
      </w:r>
      <w:r w:rsidRPr="004F6660">
        <w:rPr>
          <w:noProof w:val="0"/>
          <w:szCs w:val="16"/>
          <w:lang w:val="en-US"/>
        </w:rPr>
        <w:t>he Commission</w:t>
      </w:r>
      <w:r w:rsidRPr="00BA61B2">
        <w:rPr>
          <w:noProof w:val="0"/>
          <w:szCs w:val="16"/>
          <w:lang w:val="en-US"/>
        </w:rPr>
        <w:t xml:space="preserve"> does not mention this first report</w:t>
      </w:r>
      <w:r>
        <w:rPr>
          <w:noProof w:val="0"/>
          <w:szCs w:val="16"/>
          <w:lang w:val="en-US"/>
        </w:rPr>
        <w:t xml:space="preserve"> in its submission brief</w:t>
      </w:r>
      <w:r w:rsidRPr="00BA61B2">
        <w:rPr>
          <w:noProof w:val="0"/>
          <w:szCs w:val="16"/>
          <w:lang w:val="en-US"/>
        </w:rPr>
        <w:t xml:space="preserve">, </w:t>
      </w:r>
      <w:r>
        <w:rPr>
          <w:noProof w:val="0"/>
          <w:szCs w:val="16"/>
          <w:lang w:val="en-US"/>
        </w:rPr>
        <w:t xml:space="preserve">but </w:t>
      </w:r>
      <w:r w:rsidRPr="00BA61B2">
        <w:rPr>
          <w:noProof w:val="0"/>
          <w:szCs w:val="16"/>
          <w:lang w:val="en-US"/>
        </w:rPr>
        <w:t xml:space="preserve">it is included in the case file. </w:t>
      </w:r>
    </w:p>
  </w:footnote>
  <w:footnote w:id="5">
    <w:p w14:paraId="4DF96982"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Pr>
          <w:noProof w:val="0"/>
          <w:szCs w:val="16"/>
          <w:lang w:val="en-US"/>
        </w:rPr>
        <w:t>T</w:t>
      </w:r>
      <w:r w:rsidRPr="00BA61B2">
        <w:rPr>
          <w:noProof w:val="0"/>
          <w:szCs w:val="16"/>
          <w:lang w:val="en-US"/>
        </w:rPr>
        <w:t xml:space="preserve">he Colombian Commission of Jurists and Germán Humberto Rincón Perfetti </w:t>
      </w:r>
      <w:r>
        <w:rPr>
          <w:noProof w:val="0"/>
          <w:szCs w:val="16"/>
          <w:lang w:val="en-US"/>
        </w:rPr>
        <w:t>acted as</w:t>
      </w:r>
      <w:r w:rsidRPr="00BA61B2">
        <w:rPr>
          <w:noProof w:val="0"/>
          <w:szCs w:val="16"/>
          <w:lang w:val="en-US"/>
        </w:rPr>
        <w:t xml:space="preserve"> representatives in the </w:t>
      </w:r>
      <w:r>
        <w:rPr>
          <w:noProof w:val="0"/>
          <w:szCs w:val="16"/>
          <w:lang w:val="en-US"/>
        </w:rPr>
        <w:t>case before the Court</w:t>
      </w:r>
      <w:r w:rsidRPr="00BA61B2">
        <w:rPr>
          <w:noProof w:val="0"/>
          <w:szCs w:val="16"/>
          <w:lang w:val="en-US"/>
        </w:rPr>
        <w:t xml:space="preserve">. </w:t>
      </w:r>
    </w:p>
  </w:footnote>
  <w:footnote w:id="6">
    <w:p w14:paraId="745176C4"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t xml:space="preserve">The representatives sent the pleadings and motions brief by email. </w:t>
      </w:r>
      <w:r>
        <w:rPr>
          <w:noProof w:val="0"/>
          <w:szCs w:val="16"/>
          <w:lang w:val="en-US"/>
        </w:rPr>
        <w:t xml:space="preserve">In a </w:t>
      </w:r>
      <w:r w:rsidRPr="00BA61B2">
        <w:rPr>
          <w:noProof w:val="0"/>
          <w:szCs w:val="16"/>
          <w:lang w:val="en-US"/>
        </w:rPr>
        <w:t>communication received on January 30, 2015, the representatives forwarded the original brief and its annexes</w:t>
      </w:r>
      <w:r>
        <w:rPr>
          <w:noProof w:val="0"/>
          <w:szCs w:val="16"/>
          <w:lang w:val="en-US"/>
        </w:rPr>
        <w:t xml:space="preserve"> </w:t>
      </w:r>
      <w:r w:rsidRPr="00BA61B2">
        <w:rPr>
          <w:noProof w:val="0"/>
          <w:szCs w:val="16"/>
          <w:lang w:val="en-US"/>
        </w:rPr>
        <w:t>to the Court</w:t>
      </w:r>
      <w:r w:rsidRPr="00BA61B2">
        <w:rPr>
          <w:bCs/>
          <w:iCs/>
          <w:noProof w:val="0"/>
          <w:szCs w:val="16"/>
          <w:lang w:val="en-US"/>
        </w:rPr>
        <w:t xml:space="preserve">. </w:t>
      </w:r>
    </w:p>
  </w:footnote>
  <w:footnote w:id="7">
    <w:p w14:paraId="74463589" w14:textId="77777777" w:rsidR="00432906" w:rsidRPr="00BA61B2" w:rsidRDefault="00432906" w:rsidP="007B0DE4">
      <w:pPr>
        <w:pStyle w:val="Textonotapie"/>
        <w:rPr>
          <w:b/>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t>The St</w:t>
      </w:r>
      <w:r>
        <w:rPr>
          <w:noProof w:val="0"/>
          <w:szCs w:val="16"/>
          <w:lang w:val="en-US"/>
        </w:rPr>
        <w:t>ate sent its answering brief by</w:t>
      </w:r>
      <w:r w:rsidRPr="00BA61B2">
        <w:rPr>
          <w:noProof w:val="0"/>
          <w:szCs w:val="16"/>
          <w:lang w:val="en-US"/>
        </w:rPr>
        <w:t xml:space="preserve"> email. </w:t>
      </w:r>
      <w:r>
        <w:rPr>
          <w:noProof w:val="0"/>
          <w:szCs w:val="16"/>
          <w:lang w:val="en-US"/>
        </w:rPr>
        <w:t xml:space="preserve">In a </w:t>
      </w:r>
      <w:r w:rsidRPr="00BA61B2">
        <w:rPr>
          <w:noProof w:val="0"/>
          <w:szCs w:val="16"/>
          <w:lang w:val="en-US"/>
        </w:rPr>
        <w:t xml:space="preserve">communication received on April 23, 2015, the State </w:t>
      </w:r>
      <w:r>
        <w:rPr>
          <w:noProof w:val="0"/>
          <w:szCs w:val="16"/>
          <w:lang w:val="en-US"/>
        </w:rPr>
        <w:t xml:space="preserve">forwarded </w:t>
      </w:r>
      <w:r w:rsidRPr="00BA61B2">
        <w:rPr>
          <w:noProof w:val="0"/>
          <w:szCs w:val="16"/>
          <w:lang w:val="en-US"/>
        </w:rPr>
        <w:t>the original brief and its annexes</w:t>
      </w:r>
      <w:r>
        <w:rPr>
          <w:noProof w:val="0"/>
          <w:szCs w:val="16"/>
          <w:lang w:val="en-US"/>
        </w:rPr>
        <w:t xml:space="preserve"> to </w:t>
      </w:r>
      <w:r w:rsidRPr="00BA61B2">
        <w:rPr>
          <w:noProof w:val="0"/>
          <w:szCs w:val="16"/>
          <w:lang w:val="en-US"/>
        </w:rPr>
        <w:t xml:space="preserve">the Court. </w:t>
      </w:r>
      <w:r>
        <w:rPr>
          <w:noProof w:val="0"/>
          <w:szCs w:val="16"/>
          <w:lang w:val="en-US"/>
        </w:rPr>
        <w:t xml:space="preserve">Also, in a brief dated </w:t>
      </w:r>
      <w:r w:rsidRPr="00BA61B2">
        <w:rPr>
          <w:noProof w:val="0"/>
          <w:szCs w:val="16"/>
          <w:lang w:val="en-US"/>
        </w:rPr>
        <w:t>December</w:t>
      </w:r>
      <w:r>
        <w:rPr>
          <w:noProof w:val="0"/>
          <w:szCs w:val="16"/>
          <w:lang w:val="en-US"/>
        </w:rPr>
        <w:t xml:space="preserve"> 12,</w:t>
      </w:r>
      <w:r w:rsidRPr="00BA61B2">
        <w:rPr>
          <w:noProof w:val="0"/>
          <w:szCs w:val="16"/>
          <w:lang w:val="en-US"/>
        </w:rPr>
        <w:t xml:space="preserve"> 2014</w:t>
      </w:r>
      <w:r>
        <w:rPr>
          <w:noProof w:val="0"/>
          <w:szCs w:val="16"/>
          <w:lang w:val="en-US"/>
        </w:rPr>
        <w:t>,</w:t>
      </w:r>
      <w:r w:rsidRPr="00BA61B2">
        <w:rPr>
          <w:noProof w:val="0"/>
          <w:szCs w:val="16"/>
          <w:lang w:val="en-US"/>
        </w:rPr>
        <w:t xml:space="preserve"> the State </w:t>
      </w:r>
      <w:r>
        <w:rPr>
          <w:noProof w:val="0"/>
          <w:szCs w:val="16"/>
          <w:lang w:val="en-US"/>
        </w:rPr>
        <w:t xml:space="preserve">notified the Court of the appointment of </w:t>
      </w:r>
      <w:r w:rsidRPr="00BA61B2">
        <w:rPr>
          <w:noProof w:val="0"/>
          <w:szCs w:val="16"/>
          <w:lang w:val="en-US"/>
        </w:rPr>
        <w:t>Juana Inés Acosta López and Camilo Ernesto Vela Valenzuela</w:t>
      </w:r>
      <w:r>
        <w:rPr>
          <w:noProof w:val="0"/>
          <w:szCs w:val="16"/>
          <w:lang w:val="en-US"/>
        </w:rPr>
        <w:t xml:space="preserve"> </w:t>
      </w:r>
      <w:r w:rsidRPr="00BA61B2">
        <w:rPr>
          <w:noProof w:val="0"/>
          <w:szCs w:val="16"/>
          <w:lang w:val="en-US"/>
        </w:rPr>
        <w:t xml:space="preserve">as </w:t>
      </w:r>
      <w:r>
        <w:rPr>
          <w:noProof w:val="0"/>
          <w:szCs w:val="16"/>
          <w:lang w:val="en-US"/>
        </w:rPr>
        <w:t>its A</w:t>
      </w:r>
      <w:r w:rsidRPr="00BA61B2">
        <w:rPr>
          <w:noProof w:val="0"/>
          <w:szCs w:val="16"/>
          <w:lang w:val="en-US"/>
        </w:rPr>
        <w:t xml:space="preserve">gents. </w:t>
      </w:r>
    </w:p>
  </w:footnote>
  <w:footnote w:id="8">
    <w:p w14:paraId="4480BE2F" w14:textId="77777777" w:rsidR="00432906" w:rsidRPr="00BA61B2" w:rsidRDefault="00432906" w:rsidP="007B0DE4">
      <w:pPr>
        <w:pStyle w:val="Textonotapie"/>
        <w:rPr>
          <w:rFonts w:eastAsia="Times New Roman"/>
          <w:bCs/>
          <w:iCs/>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t>The following appeared at the hearing</w:t>
      </w:r>
      <w:r w:rsidRPr="00BA61B2">
        <w:rPr>
          <w:rFonts w:eastAsia="Times New Roman"/>
          <w:bCs/>
          <w:iCs/>
          <w:noProof w:val="0"/>
          <w:szCs w:val="16"/>
          <w:lang w:val="en-US"/>
        </w:rPr>
        <w:t>: a) for the Inter-American Commission: Tracy Susanne Robinson, Co</w:t>
      </w:r>
      <w:r>
        <w:rPr>
          <w:rFonts w:eastAsia="Times New Roman"/>
          <w:bCs/>
          <w:iCs/>
          <w:noProof w:val="0"/>
          <w:szCs w:val="16"/>
          <w:lang w:val="en-US"/>
        </w:rPr>
        <w:t>m</w:t>
      </w:r>
      <w:r w:rsidRPr="00BA61B2">
        <w:rPr>
          <w:rFonts w:eastAsia="Times New Roman"/>
          <w:bCs/>
          <w:iCs/>
          <w:noProof w:val="0"/>
          <w:szCs w:val="16"/>
          <w:lang w:val="en-US"/>
        </w:rPr>
        <w:t>mi</w:t>
      </w:r>
      <w:r>
        <w:rPr>
          <w:rFonts w:eastAsia="Times New Roman"/>
          <w:bCs/>
          <w:iCs/>
          <w:noProof w:val="0"/>
          <w:szCs w:val="16"/>
          <w:lang w:val="en-US"/>
        </w:rPr>
        <w:t>s</w:t>
      </w:r>
      <w:r w:rsidRPr="00BA61B2">
        <w:rPr>
          <w:rFonts w:eastAsia="Times New Roman"/>
          <w:bCs/>
          <w:iCs/>
          <w:noProof w:val="0"/>
          <w:szCs w:val="16"/>
          <w:lang w:val="en-US"/>
        </w:rPr>
        <w:t>sion</w:t>
      </w:r>
      <w:r>
        <w:rPr>
          <w:rFonts w:eastAsia="Times New Roman"/>
          <w:bCs/>
          <w:iCs/>
          <w:noProof w:val="0"/>
          <w:szCs w:val="16"/>
          <w:lang w:val="en-US"/>
        </w:rPr>
        <w:t>er;</w:t>
      </w:r>
      <w:r w:rsidRPr="00BA61B2">
        <w:rPr>
          <w:rFonts w:eastAsia="Times New Roman"/>
          <w:bCs/>
          <w:iCs/>
          <w:noProof w:val="0"/>
          <w:szCs w:val="16"/>
          <w:lang w:val="en-US"/>
        </w:rPr>
        <w:t xml:space="preserve"> Silvia Serrano Guzmán and Jorge H. Meza Flores, a</w:t>
      </w:r>
      <w:r>
        <w:rPr>
          <w:rFonts w:eastAsia="Times New Roman"/>
          <w:bCs/>
          <w:iCs/>
          <w:noProof w:val="0"/>
          <w:szCs w:val="16"/>
          <w:lang w:val="en-US"/>
        </w:rPr>
        <w:t xml:space="preserve">dvisers of </w:t>
      </w:r>
      <w:r w:rsidRPr="00BA61B2">
        <w:rPr>
          <w:rFonts w:eastAsia="Times New Roman"/>
          <w:bCs/>
          <w:iCs/>
          <w:noProof w:val="0"/>
          <w:szCs w:val="16"/>
          <w:lang w:val="en-US"/>
        </w:rPr>
        <w:t xml:space="preserve">the </w:t>
      </w:r>
      <w:r>
        <w:rPr>
          <w:rFonts w:eastAsia="Times New Roman"/>
          <w:bCs/>
          <w:iCs/>
          <w:noProof w:val="0"/>
          <w:szCs w:val="16"/>
          <w:lang w:val="en-US"/>
        </w:rPr>
        <w:t xml:space="preserve">Executive </w:t>
      </w:r>
      <w:r w:rsidRPr="00BA61B2">
        <w:rPr>
          <w:rFonts w:eastAsia="Times New Roman"/>
          <w:bCs/>
          <w:iCs/>
          <w:noProof w:val="0"/>
          <w:szCs w:val="16"/>
          <w:lang w:val="en-US"/>
        </w:rPr>
        <w:t>Secretar</w:t>
      </w:r>
      <w:r>
        <w:rPr>
          <w:rFonts w:eastAsia="Times New Roman"/>
          <w:bCs/>
          <w:iCs/>
          <w:noProof w:val="0"/>
          <w:szCs w:val="16"/>
          <w:lang w:val="en-US"/>
        </w:rPr>
        <w:t>iat</w:t>
      </w:r>
      <w:r w:rsidRPr="00BA61B2">
        <w:rPr>
          <w:rFonts w:eastAsia="Times New Roman"/>
          <w:bCs/>
          <w:iCs/>
          <w:noProof w:val="0"/>
          <w:szCs w:val="16"/>
          <w:lang w:val="en-US"/>
        </w:rPr>
        <w:t xml:space="preserve">; b) </w:t>
      </w:r>
      <w:r>
        <w:rPr>
          <w:rFonts w:eastAsia="Times New Roman"/>
          <w:bCs/>
          <w:iCs/>
          <w:noProof w:val="0"/>
          <w:szCs w:val="16"/>
          <w:lang w:val="en-US"/>
        </w:rPr>
        <w:t xml:space="preserve">for </w:t>
      </w:r>
      <w:r w:rsidRPr="00BA61B2">
        <w:rPr>
          <w:rFonts w:eastAsia="Times New Roman"/>
          <w:bCs/>
          <w:iCs/>
          <w:noProof w:val="0"/>
          <w:szCs w:val="16"/>
          <w:lang w:val="en-US"/>
        </w:rPr>
        <w:t>the representatives of the alleged v</w:t>
      </w:r>
      <w:r>
        <w:rPr>
          <w:rFonts w:eastAsia="Times New Roman"/>
          <w:bCs/>
          <w:iCs/>
          <w:noProof w:val="0"/>
          <w:szCs w:val="16"/>
          <w:lang w:val="en-US"/>
        </w:rPr>
        <w:t>ictim: Gustavo Gallón Giraldo, representative,</w:t>
      </w:r>
      <w:r w:rsidRPr="00BA61B2">
        <w:rPr>
          <w:rFonts w:eastAsia="Times New Roman"/>
          <w:bCs/>
          <w:iCs/>
          <w:noProof w:val="0"/>
          <w:szCs w:val="16"/>
          <w:lang w:val="en-US"/>
        </w:rPr>
        <w:t xml:space="preserve"> Fre</w:t>
      </w:r>
      <w:r>
        <w:rPr>
          <w:rFonts w:eastAsia="Times New Roman"/>
          <w:bCs/>
          <w:iCs/>
          <w:noProof w:val="0"/>
          <w:szCs w:val="16"/>
          <w:lang w:val="en-US"/>
        </w:rPr>
        <w:t>ddy Alejandro Malambo Ospina, representative</w:t>
      </w:r>
      <w:r w:rsidRPr="00BA61B2">
        <w:rPr>
          <w:rFonts w:eastAsia="Times New Roman"/>
          <w:bCs/>
          <w:iCs/>
          <w:noProof w:val="0"/>
          <w:szCs w:val="16"/>
          <w:lang w:val="en-US"/>
        </w:rPr>
        <w:t xml:space="preserve"> and Germán Humberto </w:t>
      </w:r>
      <w:r>
        <w:rPr>
          <w:rFonts w:eastAsia="Times New Roman"/>
          <w:bCs/>
          <w:iCs/>
          <w:noProof w:val="0"/>
          <w:szCs w:val="16"/>
          <w:lang w:val="en-US"/>
        </w:rPr>
        <w:t>Rincón Perfetti, representative;</w:t>
      </w:r>
      <w:r w:rsidRPr="00BA61B2">
        <w:rPr>
          <w:rFonts w:eastAsia="Times New Roman"/>
          <w:bCs/>
          <w:iCs/>
          <w:noProof w:val="0"/>
          <w:szCs w:val="16"/>
          <w:lang w:val="en-US"/>
        </w:rPr>
        <w:t xml:space="preserve"> and c) </w:t>
      </w:r>
      <w:r>
        <w:rPr>
          <w:rFonts w:eastAsia="Times New Roman"/>
          <w:bCs/>
          <w:iCs/>
          <w:noProof w:val="0"/>
          <w:szCs w:val="16"/>
          <w:lang w:val="en-US"/>
        </w:rPr>
        <w:t xml:space="preserve">for </w:t>
      </w:r>
      <w:r w:rsidRPr="00BA61B2">
        <w:rPr>
          <w:rFonts w:eastAsia="Times New Roman"/>
          <w:bCs/>
          <w:iCs/>
          <w:noProof w:val="0"/>
          <w:szCs w:val="16"/>
          <w:lang w:val="en-US"/>
        </w:rPr>
        <w:t>the State of Colombia: Juana Inés Acosta an</w:t>
      </w:r>
      <w:r>
        <w:rPr>
          <w:rFonts w:eastAsia="Times New Roman"/>
          <w:bCs/>
          <w:iCs/>
          <w:noProof w:val="0"/>
          <w:szCs w:val="16"/>
          <w:lang w:val="en-US"/>
        </w:rPr>
        <w:t>d Camilo Vela Valenzuela, Agents,</w:t>
      </w:r>
      <w:r w:rsidRPr="00BA61B2">
        <w:rPr>
          <w:rFonts w:eastAsia="Times New Roman"/>
          <w:bCs/>
          <w:iCs/>
          <w:noProof w:val="0"/>
          <w:szCs w:val="16"/>
          <w:lang w:val="en-US"/>
        </w:rPr>
        <w:t xml:space="preserve"> Jonathan Riveros Tarazona, </w:t>
      </w:r>
      <w:r>
        <w:rPr>
          <w:rFonts w:eastAsia="Times New Roman"/>
          <w:bCs/>
          <w:iCs/>
          <w:noProof w:val="0"/>
          <w:szCs w:val="16"/>
          <w:lang w:val="en-US"/>
        </w:rPr>
        <w:t>Adviser</w:t>
      </w:r>
      <w:r w:rsidRPr="00BA61B2">
        <w:rPr>
          <w:rFonts w:eastAsia="Times New Roman"/>
          <w:bCs/>
          <w:iCs/>
          <w:noProof w:val="0"/>
          <w:szCs w:val="16"/>
          <w:lang w:val="en-US"/>
        </w:rPr>
        <w:t xml:space="preserve"> and Juanita López Patrón, Director</w:t>
      </w:r>
      <w:r>
        <w:rPr>
          <w:rFonts w:eastAsia="Times New Roman"/>
          <w:bCs/>
          <w:iCs/>
          <w:noProof w:val="0"/>
          <w:szCs w:val="16"/>
          <w:lang w:val="en-US"/>
        </w:rPr>
        <w:t xml:space="preserve"> of Legal Defense</w:t>
      </w:r>
      <w:r w:rsidRPr="00BA61B2">
        <w:rPr>
          <w:rFonts w:eastAsia="Times New Roman"/>
          <w:bCs/>
          <w:iCs/>
          <w:noProof w:val="0"/>
          <w:szCs w:val="16"/>
          <w:lang w:val="en-US"/>
        </w:rPr>
        <w:t xml:space="preserve"> of ANDJE.</w:t>
      </w:r>
    </w:p>
  </w:footnote>
  <w:footnote w:id="9">
    <w:p w14:paraId="1A0CDCD4"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t xml:space="preserve">The brief was signed </w:t>
      </w:r>
      <w:r>
        <w:rPr>
          <w:noProof w:val="0"/>
          <w:szCs w:val="16"/>
          <w:lang w:val="en-US"/>
        </w:rPr>
        <w:t>by María Inés Franck, President</w:t>
      </w:r>
      <w:r w:rsidRPr="00BA61B2">
        <w:rPr>
          <w:noProof w:val="0"/>
          <w:szCs w:val="16"/>
          <w:lang w:val="en-US"/>
        </w:rPr>
        <w:t xml:space="preserve"> of the F</w:t>
      </w:r>
      <w:r>
        <w:rPr>
          <w:noProof w:val="0"/>
          <w:szCs w:val="16"/>
          <w:lang w:val="en-US"/>
        </w:rPr>
        <w:t>o</w:t>
      </w:r>
      <w:r w:rsidRPr="00BA61B2">
        <w:rPr>
          <w:noProof w:val="0"/>
          <w:szCs w:val="16"/>
          <w:lang w:val="en-US"/>
        </w:rPr>
        <w:t xml:space="preserve">undation. </w:t>
      </w:r>
    </w:p>
  </w:footnote>
  <w:footnote w:id="10">
    <w:p w14:paraId="7A807CFD" w14:textId="77777777" w:rsidR="00432906" w:rsidRPr="00BA61B2" w:rsidRDefault="00432906" w:rsidP="007B0DE4">
      <w:pPr>
        <w:autoSpaceDE w:val="0"/>
        <w:autoSpaceDN w:val="0"/>
        <w:adjustRightInd w:val="0"/>
        <w:spacing w:before="120" w:after="120"/>
        <w:rPr>
          <w:rFonts w:eastAsia="Calibri" w:cs="Arial"/>
          <w:color w:val="1F497D"/>
          <w:sz w:val="16"/>
          <w:szCs w:val="16"/>
          <w:lang w:val="en-US"/>
        </w:rPr>
      </w:pPr>
      <w:r w:rsidRPr="00BA61B2">
        <w:rPr>
          <w:rStyle w:val="Refdenotaalpie"/>
          <w:sz w:val="16"/>
          <w:szCs w:val="16"/>
          <w:lang w:val="en-US"/>
        </w:rPr>
        <w:footnoteRef/>
      </w:r>
      <w:r w:rsidRPr="00BA61B2">
        <w:rPr>
          <w:sz w:val="16"/>
          <w:szCs w:val="16"/>
          <w:lang w:val="en-US"/>
        </w:rPr>
        <w:t xml:space="preserve"> </w:t>
      </w:r>
      <w:r w:rsidRPr="00BA61B2">
        <w:rPr>
          <w:sz w:val="16"/>
          <w:szCs w:val="16"/>
          <w:lang w:val="en-US"/>
        </w:rPr>
        <w:tab/>
        <w:t xml:space="preserve">The brief was signed by </w:t>
      </w:r>
      <w:r w:rsidRPr="00BA61B2">
        <w:rPr>
          <w:rFonts w:eastAsia="Calibri" w:cs="Arial"/>
          <w:sz w:val="16"/>
          <w:szCs w:val="16"/>
          <w:lang w:val="en-US"/>
        </w:rPr>
        <w:t>Ariel Dulitzky, Law Professor and Director of the Human Rights Clinic</w:t>
      </w:r>
      <w:r>
        <w:rPr>
          <w:rFonts w:eastAsia="Calibri" w:cs="Arial"/>
          <w:iCs/>
          <w:sz w:val="16"/>
          <w:szCs w:val="16"/>
          <w:lang w:val="en-US" w:bidi="he-IL"/>
        </w:rPr>
        <w:t xml:space="preserve"> of the University of </w:t>
      </w:r>
      <w:r w:rsidRPr="00BA61B2">
        <w:rPr>
          <w:rFonts w:eastAsia="Calibri" w:cs="Arial"/>
          <w:sz w:val="16"/>
          <w:szCs w:val="16"/>
          <w:lang w:val="en-US"/>
        </w:rPr>
        <w:t>Texas School</w:t>
      </w:r>
      <w:r>
        <w:rPr>
          <w:rFonts w:eastAsia="Calibri" w:cs="Arial"/>
          <w:sz w:val="16"/>
          <w:szCs w:val="16"/>
          <w:lang w:val="en-US"/>
        </w:rPr>
        <w:t xml:space="preserve"> of Law</w:t>
      </w:r>
      <w:r w:rsidRPr="00BA61B2">
        <w:rPr>
          <w:rFonts w:eastAsia="Calibri" w:cs="Arial"/>
          <w:sz w:val="16"/>
          <w:szCs w:val="16"/>
          <w:lang w:val="en-US"/>
        </w:rPr>
        <w:t>.</w:t>
      </w:r>
    </w:p>
  </w:footnote>
  <w:footnote w:id="11">
    <w:p w14:paraId="2E47FD28"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t xml:space="preserve">The brief was signed by Neydy Casillas Padrón, Legal Adviser; Sofía Martínez Agraz, </w:t>
      </w:r>
      <w:r>
        <w:rPr>
          <w:noProof w:val="0"/>
          <w:szCs w:val="16"/>
          <w:lang w:val="en-US"/>
        </w:rPr>
        <w:t>Legal Adviser</w:t>
      </w:r>
      <w:r w:rsidRPr="00BA61B2">
        <w:rPr>
          <w:noProof w:val="0"/>
          <w:szCs w:val="16"/>
          <w:lang w:val="en-US"/>
        </w:rPr>
        <w:t>; Federica dalla Pria, Assistant Attorney; Natalia Callejas Aquino, A</w:t>
      </w:r>
      <w:r>
        <w:rPr>
          <w:noProof w:val="0"/>
          <w:szCs w:val="16"/>
          <w:lang w:val="en-US"/>
        </w:rPr>
        <w:t xml:space="preserve">ssistant </w:t>
      </w:r>
      <w:r w:rsidRPr="00BA61B2">
        <w:rPr>
          <w:noProof w:val="0"/>
          <w:szCs w:val="16"/>
          <w:lang w:val="en-US"/>
        </w:rPr>
        <w:t>Attorney</w:t>
      </w:r>
      <w:r>
        <w:rPr>
          <w:noProof w:val="0"/>
          <w:szCs w:val="16"/>
          <w:lang w:val="en-US"/>
        </w:rPr>
        <w:t>;</w:t>
      </w:r>
      <w:r w:rsidRPr="00BA61B2">
        <w:rPr>
          <w:noProof w:val="0"/>
          <w:szCs w:val="16"/>
          <w:lang w:val="en-US"/>
        </w:rPr>
        <w:t xml:space="preserve"> and Isabella Franco Emerick Albergaria</w:t>
      </w:r>
      <w:r w:rsidRPr="007741D8">
        <w:rPr>
          <w:noProof w:val="0"/>
          <w:szCs w:val="16"/>
          <w:lang w:val="en-US"/>
        </w:rPr>
        <w:t>,</w:t>
      </w:r>
      <w:r w:rsidRPr="00BA61B2">
        <w:rPr>
          <w:noProof w:val="0"/>
          <w:szCs w:val="16"/>
          <w:highlight w:val="yellow"/>
          <w:lang w:val="en-US"/>
        </w:rPr>
        <w:t xml:space="preserve"> </w:t>
      </w:r>
      <w:r w:rsidRPr="007741D8">
        <w:rPr>
          <w:noProof w:val="0"/>
          <w:szCs w:val="16"/>
          <w:lang w:val="en-US"/>
        </w:rPr>
        <w:t xml:space="preserve">Legal </w:t>
      </w:r>
      <w:r>
        <w:rPr>
          <w:noProof w:val="0"/>
          <w:szCs w:val="16"/>
          <w:lang w:val="en-US"/>
        </w:rPr>
        <w:t>Intern</w:t>
      </w:r>
      <w:r w:rsidRPr="00BA61B2">
        <w:rPr>
          <w:noProof w:val="0"/>
          <w:szCs w:val="16"/>
          <w:lang w:val="en-US"/>
        </w:rPr>
        <w:t>.</w:t>
      </w:r>
    </w:p>
  </w:footnote>
  <w:footnote w:id="12">
    <w:p w14:paraId="1AC7BC21"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t>The brief was signed by Damián A. González-Salzberg, Professor of Law at the University of Sheffield.</w:t>
      </w:r>
    </w:p>
  </w:footnote>
  <w:footnote w:id="13">
    <w:p w14:paraId="7B88F43C"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t>The brief was signed by Zach Hudson.</w:t>
      </w:r>
    </w:p>
  </w:footnote>
  <w:footnote w:id="14">
    <w:p w14:paraId="500E8F1E"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t xml:space="preserve">The brief was signed by Marcela Sánchez Buitrago, Executive Director of </w:t>
      </w:r>
      <w:r w:rsidRPr="00275D25">
        <w:rPr>
          <w:i/>
          <w:noProof w:val="0"/>
          <w:szCs w:val="16"/>
          <w:lang w:val="en-US"/>
        </w:rPr>
        <w:t>Colombia Diversa</w:t>
      </w:r>
      <w:r>
        <w:rPr>
          <w:noProof w:val="0"/>
          <w:szCs w:val="16"/>
          <w:lang w:val="en-US"/>
        </w:rPr>
        <w:t>; Viviana Bohórquez Monsalve, a</w:t>
      </w:r>
      <w:r w:rsidRPr="00BA61B2">
        <w:rPr>
          <w:noProof w:val="0"/>
          <w:szCs w:val="16"/>
          <w:lang w:val="en-US"/>
        </w:rPr>
        <w:t xml:space="preserve">ttorney of </w:t>
      </w:r>
      <w:r w:rsidRPr="00275D25">
        <w:rPr>
          <w:i/>
          <w:noProof w:val="0"/>
          <w:szCs w:val="16"/>
          <w:lang w:val="en-US"/>
        </w:rPr>
        <w:t>Colombia Diversa</w:t>
      </w:r>
      <w:r w:rsidRPr="00BA61B2">
        <w:rPr>
          <w:noProof w:val="0"/>
          <w:szCs w:val="16"/>
          <w:lang w:val="en-US"/>
        </w:rPr>
        <w:t>;</w:t>
      </w:r>
      <w:r>
        <w:rPr>
          <w:noProof w:val="0"/>
          <w:szCs w:val="16"/>
          <w:lang w:val="en-US"/>
        </w:rPr>
        <w:t xml:space="preserve"> Mávilo Nicolás Giraldo Chica, a</w:t>
      </w:r>
      <w:r w:rsidRPr="00BA61B2">
        <w:rPr>
          <w:noProof w:val="0"/>
          <w:szCs w:val="16"/>
          <w:lang w:val="en-US"/>
        </w:rPr>
        <w:t xml:space="preserve">ttorney of </w:t>
      </w:r>
      <w:r w:rsidRPr="00275D25">
        <w:rPr>
          <w:i/>
          <w:noProof w:val="0"/>
          <w:szCs w:val="16"/>
          <w:lang w:val="en-US"/>
        </w:rPr>
        <w:t>Colombia Diversa</w:t>
      </w:r>
      <w:r w:rsidRPr="00BA61B2">
        <w:rPr>
          <w:noProof w:val="0"/>
          <w:szCs w:val="16"/>
          <w:lang w:val="en-US"/>
        </w:rPr>
        <w:t>; Andrea Parra, Director of PAIIS and Jenny Guzmá</w:t>
      </w:r>
      <w:r>
        <w:rPr>
          <w:noProof w:val="0"/>
          <w:szCs w:val="16"/>
          <w:lang w:val="en-US"/>
        </w:rPr>
        <w:t>n Moyano, law s</w:t>
      </w:r>
      <w:r w:rsidRPr="00BA61B2">
        <w:rPr>
          <w:noProof w:val="0"/>
          <w:szCs w:val="16"/>
          <w:lang w:val="en-US"/>
        </w:rPr>
        <w:t xml:space="preserve">tudent.  </w:t>
      </w:r>
    </w:p>
  </w:footnote>
  <w:footnote w:id="15">
    <w:p w14:paraId="59954C56"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t>The brief was signed by Clovis J. Trevino, Covington &amp; Burling LLP.</w:t>
      </w:r>
    </w:p>
  </w:footnote>
  <w:footnote w:id="16">
    <w:p w14:paraId="4F9E624C"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t xml:space="preserve">The brief was signed by Francisco J. Rivera Juaristi, Director and </w:t>
      </w:r>
      <w:r>
        <w:rPr>
          <w:noProof w:val="0"/>
          <w:szCs w:val="16"/>
          <w:lang w:val="en-US"/>
        </w:rPr>
        <w:t xml:space="preserve">Supervising </w:t>
      </w:r>
      <w:r w:rsidRPr="00BA61B2">
        <w:rPr>
          <w:noProof w:val="0"/>
          <w:szCs w:val="16"/>
          <w:lang w:val="en-US"/>
        </w:rPr>
        <w:t xml:space="preserve">Attorney of the </w:t>
      </w:r>
      <w:r>
        <w:rPr>
          <w:noProof w:val="0"/>
          <w:szCs w:val="16"/>
          <w:lang w:val="en-US"/>
        </w:rPr>
        <w:t>Clinic</w:t>
      </w:r>
      <w:r w:rsidRPr="00BA61B2">
        <w:rPr>
          <w:noProof w:val="0"/>
          <w:szCs w:val="16"/>
          <w:lang w:val="en-US"/>
        </w:rPr>
        <w:t xml:space="preserve">; Britton Schwartz, </w:t>
      </w:r>
      <w:r>
        <w:rPr>
          <w:noProof w:val="0"/>
          <w:szCs w:val="16"/>
          <w:lang w:val="en-US"/>
        </w:rPr>
        <w:t xml:space="preserve">Supervising </w:t>
      </w:r>
      <w:r w:rsidRPr="00BA61B2">
        <w:rPr>
          <w:noProof w:val="0"/>
          <w:szCs w:val="16"/>
          <w:lang w:val="en-US"/>
        </w:rPr>
        <w:t xml:space="preserve">Attorney; Erica Sutter, </w:t>
      </w:r>
      <w:r>
        <w:rPr>
          <w:noProof w:val="0"/>
          <w:szCs w:val="16"/>
          <w:lang w:val="en-US"/>
        </w:rPr>
        <w:t>Student; Allison Pruitt, s</w:t>
      </w:r>
      <w:r w:rsidRPr="00BA61B2">
        <w:rPr>
          <w:noProof w:val="0"/>
          <w:szCs w:val="16"/>
          <w:lang w:val="en-US"/>
        </w:rPr>
        <w:t xml:space="preserve">tudent; </w:t>
      </w:r>
      <w:r>
        <w:rPr>
          <w:noProof w:val="0"/>
          <w:szCs w:val="16"/>
          <w:lang w:val="en-US"/>
        </w:rPr>
        <w:t>and Forest Miles, s</w:t>
      </w:r>
      <w:r w:rsidRPr="00BA61B2">
        <w:rPr>
          <w:noProof w:val="0"/>
          <w:szCs w:val="16"/>
          <w:lang w:val="en-US"/>
        </w:rPr>
        <w:t>tudent.</w:t>
      </w:r>
    </w:p>
  </w:footnote>
  <w:footnote w:id="17">
    <w:p w14:paraId="0A2DDC66"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rPr>
        <w:t xml:space="preserve">Cf. </w:t>
      </w:r>
      <w:r w:rsidRPr="00BA61B2">
        <w:rPr>
          <w:rFonts w:eastAsia="Verdana" w:cs="Verdana"/>
          <w:i/>
          <w:noProof w:val="0"/>
          <w:szCs w:val="16"/>
          <w:lang w:val="en-US"/>
        </w:rPr>
        <w:t>Case of</w:t>
      </w:r>
      <w:r w:rsidRPr="00BA61B2">
        <w:rPr>
          <w:rFonts w:eastAsia="Verdana" w:cs="Verdana"/>
          <w:i/>
          <w:noProof w:val="0"/>
          <w:spacing w:val="16"/>
          <w:szCs w:val="16"/>
          <w:lang w:val="en-US"/>
        </w:rPr>
        <w:t xml:space="preserve"> </w:t>
      </w:r>
      <w:r w:rsidRPr="00BA61B2">
        <w:rPr>
          <w:rFonts w:eastAsia="Verdana" w:cs="Verdana"/>
          <w:i/>
          <w:noProof w:val="0"/>
          <w:spacing w:val="-2"/>
          <w:szCs w:val="16"/>
          <w:lang w:val="en-US"/>
        </w:rPr>
        <w:t>V</w:t>
      </w:r>
      <w:r w:rsidRPr="00BA61B2">
        <w:rPr>
          <w:rFonts w:eastAsia="Verdana" w:cs="Verdana"/>
          <w:i/>
          <w:noProof w:val="0"/>
          <w:szCs w:val="16"/>
          <w:lang w:val="en-US"/>
        </w:rPr>
        <w:t>e</w:t>
      </w:r>
      <w:r w:rsidRPr="00BA61B2">
        <w:rPr>
          <w:rFonts w:eastAsia="Verdana" w:cs="Verdana"/>
          <w:i/>
          <w:noProof w:val="0"/>
          <w:spacing w:val="-1"/>
          <w:szCs w:val="16"/>
          <w:lang w:val="en-US"/>
        </w:rPr>
        <w:t>lá</w:t>
      </w:r>
      <w:r w:rsidRPr="00BA61B2">
        <w:rPr>
          <w:rFonts w:eastAsia="Verdana" w:cs="Verdana"/>
          <w:i/>
          <w:noProof w:val="0"/>
          <w:szCs w:val="16"/>
          <w:lang w:val="en-US"/>
        </w:rPr>
        <w:t>s</w:t>
      </w:r>
      <w:r w:rsidRPr="00BA61B2">
        <w:rPr>
          <w:rFonts w:eastAsia="Verdana" w:cs="Verdana"/>
          <w:i/>
          <w:noProof w:val="0"/>
          <w:spacing w:val="1"/>
          <w:szCs w:val="16"/>
          <w:lang w:val="en-US"/>
        </w:rPr>
        <w:t>q</w:t>
      </w:r>
      <w:r w:rsidRPr="00BA61B2">
        <w:rPr>
          <w:rFonts w:eastAsia="Verdana" w:cs="Verdana"/>
          <w:i/>
          <w:noProof w:val="0"/>
          <w:spacing w:val="-1"/>
          <w:szCs w:val="16"/>
          <w:lang w:val="en-US"/>
        </w:rPr>
        <w:t>u</w:t>
      </w:r>
      <w:r w:rsidRPr="00BA61B2">
        <w:rPr>
          <w:rFonts w:eastAsia="Verdana" w:cs="Verdana"/>
          <w:i/>
          <w:noProof w:val="0"/>
          <w:szCs w:val="16"/>
          <w:lang w:val="en-US"/>
        </w:rPr>
        <w:t>ez</w:t>
      </w:r>
      <w:r w:rsidRPr="00BA61B2">
        <w:rPr>
          <w:rFonts w:eastAsia="Verdana" w:cs="Verdana"/>
          <w:i/>
          <w:noProof w:val="0"/>
          <w:spacing w:val="13"/>
          <w:szCs w:val="16"/>
          <w:lang w:val="en-US"/>
        </w:rPr>
        <w:t xml:space="preserve"> </w:t>
      </w:r>
      <w:r w:rsidRPr="00BA61B2">
        <w:rPr>
          <w:rFonts w:eastAsia="Verdana" w:cs="Verdana"/>
          <w:i/>
          <w:noProof w:val="0"/>
          <w:spacing w:val="1"/>
          <w:szCs w:val="16"/>
          <w:lang w:val="en-US"/>
        </w:rPr>
        <w:t>R</w:t>
      </w:r>
      <w:r w:rsidRPr="00BA61B2">
        <w:rPr>
          <w:rFonts w:eastAsia="Verdana" w:cs="Verdana"/>
          <w:i/>
          <w:noProof w:val="0"/>
          <w:spacing w:val="-2"/>
          <w:szCs w:val="16"/>
          <w:lang w:val="en-US"/>
        </w:rPr>
        <w:t>o</w:t>
      </w:r>
      <w:r w:rsidRPr="00BA61B2">
        <w:rPr>
          <w:rFonts w:eastAsia="Verdana" w:cs="Verdana"/>
          <w:i/>
          <w:noProof w:val="0"/>
          <w:szCs w:val="16"/>
          <w:lang w:val="en-US"/>
        </w:rPr>
        <w:t>d</w:t>
      </w:r>
      <w:r w:rsidRPr="00BA61B2">
        <w:rPr>
          <w:rFonts w:eastAsia="Verdana" w:cs="Verdana"/>
          <w:i/>
          <w:noProof w:val="0"/>
          <w:spacing w:val="1"/>
          <w:szCs w:val="16"/>
          <w:lang w:val="en-US"/>
        </w:rPr>
        <w:t>r</w:t>
      </w:r>
      <w:r w:rsidRPr="00BA61B2">
        <w:rPr>
          <w:rFonts w:eastAsia="Verdana" w:cs="Verdana"/>
          <w:i/>
          <w:noProof w:val="0"/>
          <w:spacing w:val="-1"/>
          <w:szCs w:val="16"/>
          <w:lang w:val="en-US"/>
        </w:rPr>
        <w:t>í</w:t>
      </w:r>
      <w:r w:rsidRPr="00BA61B2">
        <w:rPr>
          <w:rFonts w:eastAsia="Verdana" w:cs="Verdana"/>
          <w:i/>
          <w:noProof w:val="0"/>
          <w:spacing w:val="1"/>
          <w:szCs w:val="16"/>
          <w:lang w:val="en-US"/>
        </w:rPr>
        <w:t>g</w:t>
      </w:r>
      <w:r w:rsidRPr="00BA61B2">
        <w:rPr>
          <w:rFonts w:eastAsia="Verdana" w:cs="Verdana"/>
          <w:i/>
          <w:noProof w:val="0"/>
          <w:spacing w:val="-1"/>
          <w:szCs w:val="16"/>
          <w:lang w:val="en-US"/>
        </w:rPr>
        <w:t>u</w:t>
      </w:r>
      <w:r w:rsidRPr="00BA61B2">
        <w:rPr>
          <w:rFonts w:eastAsia="Verdana" w:cs="Verdana"/>
          <w:i/>
          <w:noProof w:val="0"/>
          <w:spacing w:val="-2"/>
          <w:szCs w:val="16"/>
          <w:lang w:val="en-US"/>
        </w:rPr>
        <w:t>e</w:t>
      </w:r>
      <w:r w:rsidRPr="00BA61B2">
        <w:rPr>
          <w:rFonts w:eastAsia="Verdana" w:cs="Verdana"/>
          <w:i/>
          <w:noProof w:val="0"/>
          <w:szCs w:val="16"/>
          <w:lang w:val="en-US"/>
        </w:rPr>
        <w:t>z</w:t>
      </w:r>
      <w:r w:rsidRPr="00BA61B2">
        <w:rPr>
          <w:rFonts w:eastAsia="Verdana" w:cs="Verdana"/>
          <w:i/>
          <w:noProof w:val="0"/>
          <w:spacing w:val="15"/>
          <w:szCs w:val="16"/>
          <w:lang w:val="en-US"/>
        </w:rPr>
        <w:t xml:space="preserve"> </w:t>
      </w:r>
      <w:r w:rsidRPr="00BA61B2">
        <w:rPr>
          <w:rFonts w:eastAsia="Verdana" w:cs="Verdana"/>
          <w:i/>
          <w:noProof w:val="0"/>
          <w:spacing w:val="1"/>
          <w:szCs w:val="16"/>
          <w:lang w:val="en-US"/>
        </w:rPr>
        <w:t>v</w:t>
      </w:r>
      <w:r w:rsidRPr="00BA61B2">
        <w:rPr>
          <w:rFonts w:eastAsia="Verdana" w:cs="Verdana"/>
          <w:i/>
          <w:noProof w:val="0"/>
          <w:szCs w:val="16"/>
          <w:lang w:val="en-US"/>
        </w:rPr>
        <w:t>.</w:t>
      </w:r>
      <w:r w:rsidRPr="00BA61B2">
        <w:rPr>
          <w:rFonts w:eastAsia="Verdana" w:cs="Verdana"/>
          <w:i/>
          <w:noProof w:val="0"/>
          <w:spacing w:val="15"/>
          <w:szCs w:val="16"/>
          <w:lang w:val="en-US"/>
        </w:rPr>
        <w:t xml:space="preserve"> </w:t>
      </w:r>
      <w:r w:rsidRPr="00BA61B2">
        <w:rPr>
          <w:rFonts w:eastAsia="Verdana" w:cs="Verdana"/>
          <w:i/>
          <w:noProof w:val="0"/>
          <w:spacing w:val="-1"/>
          <w:szCs w:val="16"/>
          <w:lang w:val="en-US"/>
        </w:rPr>
        <w:t>H</w:t>
      </w:r>
      <w:r w:rsidRPr="00BA61B2">
        <w:rPr>
          <w:rFonts w:eastAsia="Verdana" w:cs="Verdana"/>
          <w:i/>
          <w:noProof w:val="0"/>
          <w:spacing w:val="1"/>
          <w:szCs w:val="16"/>
          <w:lang w:val="en-US"/>
        </w:rPr>
        <w:t>o</w:t>
      </w:r>
      <w:r w:rsidRPr="00BA61B2">
        <w:rPr>
          <w:rFonts w:eastAsia="Verdana" w:cs="Verdana"/>
          <w:i/>
          <w:noProof w:val="0"/>
          <w:spacing w:val="-1"/>
          <w:szCs w:val="16"/>
          <w:lang w:val="en-US"/>
        </w:rPr>
        <w:t>n</w:t>
      </w:r>
      <w:r w:rsidRPr="00BA61B2">
        <w:rPr>
          <w:rFonts w:eastAsia="Verdana" w:cs="Verdana"/>
          <w:i/>
          <w:noProof w:val="0"/>
          <w:szCs w:val="16"/>
          <w:lang w:val="en-US"/>
        </w:rPr>
        <w:t>d</w:t>
      </w:r>
      <w:r w:rsidRPr="00BA61B2">
        <w:rPr>
          <w:rFonts w:eastAsia="Verdana" w:cs="Verdana"/>
          <w:i/>
          <w:noProof w:val="0"/>
          <w:spacing w:val="-1"/>
          <w:szCs w:val="16"/>
          <w:lang w:val="en-US"/>
        </w:rPr>
        <w:t>u</w:t>
      </w:r>
      <w:r w:rsidRPr="00BA61B2">
        <w:rPr>
          <w:rFonts w:eastAsia="Verdana" w:cs="Verdana"/>
          <w:i/>
          <w:noProof w:val="0"/>
          <w:spacing w:val="1"/>
          <w:szCs w:val="16"/>
          <w:lang w:val="en-US"/>
        </w:rPr>
        <w:t>r</w:t>
      </w:r>
      <w:r w:rsidRPr="00BA61B2">
        <w:rPr>
          <w:rFonts w:eastAsia="Verdana" w:cs="Verdana"/>
          <w:i/>
          <w:noProof w:val="0"/>
          <w:spacing w:val="-1"/>
          <w:szCs w:val="16"/>
          <w:lang w:val="en-US"/>
        </w:rPr>
        <w:t>a</w:t>
      </w:r>
      <w:r w:rsidRPr="00BA61B2">
        <w:rPr>
          <w:rFonts w:eastAsia="Verdana" w:cs="Verdana"/>
          <w:i/>
          <w:noProof w:val="0"/>
          <w:szCs w:val="16"/>
          <w:lang w:val="en-US"/>
        </w:rPr>
        <w:t>s.</w:t>
      </w:r>
      <w:r w:rsidRPr="00BA61B2">
        <w:rPr>
          <w:rFonts w:eastAsia="Verdana" w:cs="Verdana"/>
          <w:i/>
          <w:noProof w:val="0"/>
          <w:spacing w:val="18"/>
          <w:szCs w:val="16"/>
          <w:lang w:val="en-US"/>
        </w:rPr>
        <w:t xml:space="preserve"> </w:t>
      </w:r>
      <w:r w:rsidRPr="00BA61B2">
        <w:rPr>
          <w:rFonts w:eastAsia="Verdana" w:cs="Verdana"/>
          <w:i/>
          <w:noProof w:val="0"/>
          <w:spacing w:val="-1"/>
          <w:szCs w:val="16"/>
          <w:lang w:val="en-US"/>
        </w:rPr>
        <w:t>Preliminary objections</w:t>
      </w:r>
      <w:r w:rsidRPr="00BA61B2">
        <w:rPr>
          <w:rFonts w:eastAsia="Verdana" w:cs="Verdana"/>
          <w:i/>
          <w:noProof w:val="0"/>
          <w:szCs w:val="16"/>
          <w:lang w:val="en-US"/>
        </w:rPr>
        <w:t>,</w:t>
      </w:r>
      <w:r w:rsidRPr="00BA61B2">
        <w:rPr>
          <w:rFonts w:eastAsia="Verdana" w:cs="Verdana"/>
          <w:i/>
          <w:noProof w:val="0"/>
          <w:spacing w:val="15"/>
          <w:szCs w:val="16"/>
          <w:lang w:val="en-US"/>
        </w:rPr>
        <w:t xml:space="preserve"> </w:t>
      </w:r>
      <w:r w:rsidRPr="00BA61B2">
        <w:rPr>
          <w:rFonts w:eastAsia="Verdana" w:cs="Verdana"/>
          <w:noProof w:val="0"/>
          <w:szCs w:val="16"/>
          <w:lang w:val="en-US"/>
        </w:rPr>
        <w:t>para.</w:t>
      </w:r>
      <w:r w:rsidRPr="00BA61B2">
        <w:rPr>
          <w:rFonts w:eastAsia="Verdana" w:cs="Verdana"/>
          <w:noProof w:val="0"/>
          <w:spacing w:val="15"/>
          <w:szCs w:val="16"/>
          <w:lang w:val="en-US"/>
        </w:rPr>
        <w:t xml:space="preserve"> </w:t>
      </w:r>
      <w:r w:rsidRPr="00BA61B2">
        <w:rPr>
          <w:rFonts w:eastAsia="Verdana" w:cs="Verdana"/>
          <w:noProof w:val="0"/>
          <w:spacing w:val="-1"/>
          <w:szCs w:val="16"/>
          <w:lang w:val="en-US"/>
        </w:rPr>
        <w:t>8</w:t>
      </w:r>
      <w:r w:rsidRPr="00BA61B2">
        <w:rPr>
          <w:rFonts w:eastAsia="Verdana" w:cs="Verdana"/>
          <w:noProof w:val="0"/>
          <w:spacing w:val="1"/>
          <w:szCs w:val="16"/>
          <w:lang w:val="en-US"/>
        </w:rPr>
        <w:t>8</w:t>
      </w:r>
      <w:r w:rsidRPr="00BA61B2">
        <w:rPr>
          <w:noProof w:val="0"/>
          <w:szCs w:val="16"/>
          <w:lang w:val="en-US"/>
        </w:rPr>
        <w:t xml:space="preserve">, </w:t>
      </w:r>
      <w:r w:rsidRPr="00BA61B2">
        <w:rPr>
          <w:i/>
          <w:noProof w:val="0"/>
          <w:szCs w:val="16"/>
          <w:lang w:val="en-US"/>
        </w:rPr>
        <w:t xml:space="preserve">Case of Gonzales Lluy and </w:t>
      </w:r>
      <w:r>
        <w:rPr>
          <w:i/>
          <w:noProof w:val="0"/>
          <w:szCs w:val="16"/>
          <w:lang w:val="en-US"/>
        </w:rPr>
        <w:t>other</w:t>
      </w:r>
      <w:r w:rsidRPr="00BA61B2">
        <w:rPr>
          <w:i/>
          <w:noProof w:val="0"/>
          <w:szCs w:val="16"/>
          <w:lang w:val="en-US"/>
        </w:rPr>
        <w:t xml:space="preserve"> v. Ecuador</w:t>
      </w:r>
      <w:r w:rsidRPr="00BA61B2">
        <w:rPr>
          <w:noProof w:val="0"/>
          <w:szCs w:val="16"/>
          <w:lang w:val="en-US"/>
        </w:rPr>
        <w:t xml:space="preserve"> para. 27.</w:t>
      </w:r>
    </w:p>
  </w:footnote>
  <w:footnote w:id="18">
    <w:p w14:paraId="1C6CDFEB" w14:textId="77777777" w:rsidR="00432906" w:rsidRPr="00BA61B2" w:rsidRDefault="00432906" w:rsidP="007B0DE4">
      <w:pPr>
        <w:pStyle w:val="Textonotapie"/>
        <w:rPr>
          <w:noProof w:val="0"/>
          <w:lang w:val="en-US"/>
        </w:rPr>
      </w:pPr>
      <w:r w:rsidRPr="00BA61B2">
        <w:rPr>
          <w:rStyle w:val="Refdenotaalpie"/>
          <w:noProof w:val="0"/>
          <w:lang w:val="en-US"/>
        </w:rPr>
        <w:footnoteRef/>
      </w:r>
      <w:r w:rsidRPr="00BA61B2">
        <w:rPr>
          <w:noProof w:val="0"/>
          <w:lang w:val="en-US"/>
        </w:rPr>
        <w:t xml:space="preserve"> </w:t>
      </w:r>
      <w:r w:rsidRPr="00BA61B2">
        <w:rPr>
          <w:noProof w:val="0"/>
          <w:lang w:val="en-US"/>
        </w:rPr>
        <w:tab/>
      </w:r>
      <w:r w:rsidRPr="00BA61B2">
        <w:rPr>
          <w:rFonts w:eastAsia="Verdana" w:cs="Verdana"/>
          <w:i/>
          <w:noProof w:val="0"/>
          <w:szCs w:val="16"/>
          <w:lang w:val="en-US"/>
        </w:rPr>
        <w:t>Case</w:t>
      </w:r>
      <w:r w:rsidRPr="00BA61B2">
        <w:rPr>
          <w:rFonts w:eastAsia="Verdana" w:cs="Verdana"/>
          <w:i/>
          <w:noProof w:val="0"/>
          <w:spacing w:val="2"/>
          <w:szCs w:val="16"/>
          <w:lang w:val="en-US"/>
        </w:rPr>
        <w:t xml:space="preserve"> of </w:t>
      </w:r>
      <w:r w:rsidRPr="00BA61B2">
        <w:rPr>
          <w:rFonts w:eastAsia="Verdana" w:cs="Verdana"/>
          <w:i/>
          <w:noProof w:val="0"/>
          <w:spacing w:val="1"/>
          <w:szCs w:val="16"/>
          <w:lang w:val="en-US"/>
        </w:rPr>
        <w:t>V</w:t>
      </w:r>
      <w:r w:rsidRPr="00BA61B2">
        <w:rPr>
          <w:rFonts w:eastAsia="Verdana" w:cs="Verdana"/>
          <w:i/>
          <w:noProof w:val="0"/>
          <w:szCs w:val="16"/>
          <w:lang w:val="en-US"/>
        </w:rPr>
        <w:t>e</w:t>
      </w:r>
      <w:r w:rsidRPr="00BA61B2">
        <w:rPr>
          <w:rFonts w:eastAsia="Verdana" w:cs="Verdana"/>
          <w:i/>
          <w:noProof w:val="0"/>
          <w:spacing w:val="-1"/>
          <w:szCs w:val="16"/>
          <w:lang w:val="en-US"/>
        </w:rPr>
        <w:t>lá</w:t>
      </w:r>
      <w:r w:rsidRPr="00BA61B2">
        <w:rPr>
          <w:rFonts w:eastAsia="Verdana" w:cs="Verdana"/>
          <w:i/>
          <w:noProof w:val="0"/>
          <w:szCs w:val="16"/>
          <w:lang w:val="en-US"/>
        </w:rPr>
        <w:t>s</w:t>
      </w:r>
      <w:r w:rsidRPr="00BA61B2">
        <w:rPr>
          <w:rFonts w:eastAsia="Verdana" w:cs="Verdana"/>
          <w:i/>
          <w:noProof w:val="0"/>
          <w:spacing w:val="1"/>
          <w:szCs w:val="16"/>
          <w:lang w:val="en-US"/>
        </w:rPr>
        <w:t>q</w:t>
      </w:r>
      <w:r w:rsidRPr="00BA61B2">
        <w:rPr>
          <w:rFonts w:eastAsia="Verdana" w:cs="Verdana"/>
          <w:i/>
          <w:noProof w:val="0"/>
          <w:spacing w:val="-3"/>
          <w:szCs w:val="16"/>
          <w:lang w:val="en-US"/>
        </w:rPr>
        <w:t>u</w:t>
      </w:r>
      <w:r w:rsidRPr="00BA61B2">
        <w:rPr>
          <w:rFonts w:eastAsia="Verdana" w:cs="Verdana"/>
          <w:i/>
          <w:noProof w:val="0"/>
          <w:szCs w:val="16"/>
          <w:lang w:val="en-US"/>
        </w:rPr>
        <w:t>ez</w:t>
      </w:r>
      <w:r w:rsidRPr="00BA61B2">
        <w:rPr>
          <w:rFonts w:eastAsia="Verdana" w:cs="Verdana"/>
          <w:i/>
          <w:noProof w:val="0"/>
          <w:spacing w:val="3"/>
          <w:szCs w:val="16"/>
          <w:lang w:val="en-US"/>
        </w:rPr>
        <w:t xml:space="preserve"> </w:t>
      </w:r>
      <w:r w:rsidRPr="00BA61B2">
        <w:rPr>
          <w:rFonts w:eastAsia="Verdana" w:cs="Verdana"/>
          <w:i/>
          <w:noProof w:val="0"/>
          <w:spacing w:val="-1"/>
          <w:szCs w:val="16"/>
          <w:lang w:val="en-US"/>
        </w:rPr>
        <w:t>R</w:t>
      </w:r>
      <w:r w:rsidRPr="00BA61B2">
        <w:rPr>
          <w:rFonts w:eastAsia="Verdana" w:cs="Verdana"/>
          <w:i/>
          <w:noProof w:val="0"/>
          <w:spacing w:val="1"/>
          <w:szCs w:val="16"/>
          <w:lang w:val="en-US"/>
        </w:rPr>
        <w:t>o</w:t>
      </w:r>
      <w:r w:rsidRPr="00BA61B2">
        <w:rPr>
          <w:rFonts w:eastAsia="Verdana" w:cs="Verdana"/>
          <w:i/>
          <w:noProof w:val="0"/>
          <w:spacing w:val="-2"/>
          <w:szCs w:val="16"/>
          <w:lang w:val="en-US"/>
        </w:rPr>
        <w:t>d</w:t>
      </w:r>
      <w:r w:rsidRPr="00BA61B2">
        <w:rPr>
          <w:rFonts w:eastAsia="Verdana" w:cs="Verdana"/>
          <w:i/>
          <w:noProof w:val="0"/>
          <w:spacing w:val="1"/>
          <w:szCs w:val="16"/>
          <w:lang w:val="en-US"/>
        </w:rPr>
        <w:t>r</w:t>
      </w:r>
      <w:r w:rsidRPr="00BA61B2">
        <w:rPr>
          <w:rFonts w:eastAsia="Verdana" w:cs="Verdana"/>
          <w:i/>
          <w:noProof w:val="0"/>
          <w:spacing w:val="-1"/>
          <w:szCs w:val="16"/>
          <w:lang w:val="en-US"/>
        </w:rPr>
        <w:t>í</w:t>
      </w:r>
      <w:r w:rsidRPr="00BA61B2">
        <w:rPr>
          <w:rFonts w:eastAsia="Verdana" w:cs="Verdana"/>
          <w:i/>
          <w:noProof w:val="0"/>
          <w:spacing w:val="1"/>
          <w:szCs w:val="16"/>
          <w:lang w:val="en-US"/>
        </w:rPr>
        <w:t>g</w:t>
      </w:r>
      <w:r w:rsidRPr="00BA61B2">
        <w:rPr>
          <w:rFonts w:eastAsia="Verdana" w:cs="Verdana"/>
          <w:i/>
          <w:noProof w:val="0"/>
          <w:spacing w:val="-1"/>
          <w:szCs w:val="16"/>
          <w:lang w:val="en-US"/>
        </w:rPr>
        <w:t>u</w:t>
      </w:r>
      <w:r w:rsidRPr="00BA61B2">
        <w:rPr>
          <w:rFonts w:eastAsia="Verdana" w:cs="Verdana"/>
          <w:i/>
          <w:noProof w:val="0"/>
          <w:spacing w:val="-2"/>
          <w:szCs w:val="16"/>
          <w:lang w:val="en-US"/>
        </w:rPr>
        <w:t>e</w:t>
      </w:r>
      <w:r w:rsidRPr="00BA61B2">
        <w:rPr>
          <w:rFonts w:eastAsia="Verdana" w:cs="Verdana"/>
          <w:i/>
          <w:noProof w:val="0"/>
          <w:szCs w:val="16"/>
          <w:lang w:val="en-US"/>
        </w:rPr>
        <w:t>z</w:t>
      </w:r>
      <w:r w:rsidRPr="00BA61B2">
        <w:rPr>
          <w:rFonts w:eastAsia="Verdana" w:cs="Verdana"/>
          <w:i/>
          <w:noProof w:val="0"/>
          <w:spacing w:val="3"/>
          <w:szCs w:val="16"/>
          <w:lang w:val="en-US"/>
        </w:rPr>
        <w:t xml:space="preserve"> </w:t>
      </w:r>
      <w:r w:rsidRPr="00BA61B2">
        <w:rPr>
          <w:rFonts w:eastAsia="Verdana" w:cs="Verdana"/>
          <w:i/>
          <w:noProof w:val="0"/>
          <w:spacing w:val="1"/>
          <w:szCs w:val="16"/>
          <w:lang w:val="en-US"/>
        </w:rPr>
        <w:t>v</w:t>
      </w:r>
      <w:r w:rsidRPr="00BA61B2">
        <w:rPr>
          <w:rFonts w:eastAsia="Verdana" w:cs="Verdana"/>
          <w:i/>
          <w:noProof w:val="0"/>
          <w:szCs w:val="16"/>
          <w:lang w:val="en-US"/>
        </w:rPr>
        <w:t>.</w:t>
      </w:r>
      <w:r w:rsidRPr="00BA61B2">
        <w:rPr>
          <w:rFonts w:eastAsia="Verdana" w:cs="Verdana"/>
          <w:i/>
          <w:noProof w:val="0"/>
          <w:spacing w:val="3"/>
          <w:szCs w:val="16"/>
          <w:lang w:val="en-US"/>
        </w:rPr>
        <w:t xml:space="preserve"> </w:t>
      </w:r>
      <w:r w:rsidRPr="00BA61B2">
        <w:rPr>
          <w:rFonts w:eastAsia="Verdana" w:cs="Verdana"/>
          <w:i/>
          <w:noProof w:val="0"/>
          <w:spacing w:val="-1"/>
          <w:szCs w:val="16"/>
          <w:lang w:val="en-US"/>
        </w:rPr>
        <w:t>H</w:t>
      </w:r>
      <w:r w:rsidRPr="00BA61B2">
        <w:rPr>
          <w:rFonts w:eastAsia="Verdana" w:cs="Verdana"/>
          <w:i/>
          <w:noProof w:val="0"/>
          <w:spacing w:val="1"/>
          <w:szCs w:val="16"/>
          <w:lang w:val="en-US"/>
        </w:rPr>
        <w:t>o</w:t>
      </w:r>
      <w:r w:rsidRPr="00BA61B2">
        <w:rPr>
          <w:rFonts w:eastAsia="Verdana" w:cs="Verdana"/>
          <w:i/>
          <w:noProof w:val="0"/>
          <w:spacing w:val="-1"/>
          <w:szCs w:val="16"/>
          <w:lang w:val="en-US"/>
        </w:rPr>
        <w:t>n</w:t>
      </w:r>
      <w:r w:rsidRPr="00BA61B2">
        <w:rPr>
          <w:rFonts w:eastAsia="Verdana" w:cs="Verdana"/>
          <w:i/>
          <w:noProof w:val="0"/>
          <w:szCs w:val="16"/>
          <w:lang w:val="en-US"/>
        </w:rPr>
        <w:t>d</w:t>
      </w:r>
      <w:r w:rsidRPr="00BA61B2">
        <w:rPr>
          <w:rFonts w:eastAsia="Verdana" w:cs="Verdana"/>
          <w:i/>
          <w:noProof w:val="0"/>
          <w:spacing w:val="-1"/>
          <w:szCs w:val="16"/>
          <w:lang w:val="en-US"/>
        </w:rPr>
        <w:t>u</w:t>
      </w:r>
      <w:r w:rsidRPr="00BA61B2">
        <w:rPr>
          <w:rFonts w:eastAsia="Verdana" w:cs="Verdana"/>
          <w:i/>
          <w:noProof w:val="0"/>
          <w:spacing w:val="1"/>
          <w:szCs w:val="16"/>
          <w:lang w:val="en-US"/>
        </w:rPr>
        <w:t>r</w:t>
      </w:r>
      <w:r w:rsidRPr="00BA61B2">
        <w:rPr>
          <w:rFonts w:eastAsia="Verdana" w:cs="Verdana"/>
          <w:i/>
          <w:noProof w:val="0"/>
          <w:spacing w:val="-3"/>
          <w:szCs w:val="16"/>
          <w:lang w:val="en-US"/>
        </w:rPr>
        <w:t>a</w:t>
      </w:r>
      <w:r w:rsidRPr="00BA61B2">
        <w:rPr>
          <w:rFonts w:eastAsia="Verdana" w:cs="Verdana"/>
          <w:i/>
          <w:noProof w:val="0"/>
          <w:szCs w:val="16"/>
          <w:lang w:val="en-US"/>
        </w:rPr>
        <w:t>s.</w:t>
      </w:r>
      <w:r w:rsidRPr="00BA61B2">
        <w:rPr>
          <w:rFonts w:eastAsia="Verdana" w:cs="Verdana"/>
          <w:i/>
          <w:noProof w:val="0"/>
          <w:spacing w:val="3"/>
          <w:szCs w:val="16"/>
          <w:lang w:val="en-US"/>
        </w:rPr>
        <w:t xml:space="preserve"> </w:t>
      </w:r>
      <w:r w:rsidRPr="00BA61B2">
        <w:rPr>
          <w:rFonts w:eastAsia="Verdana" w:cs="Verdana"/>
          <w:i/>
          <w:noProof w:val="0"/>
          <w:spacing w:val="-1"/>
          <w:szCs w:val="16"/>
          <w:lang w:val="en-US"/>
        </w:rPr>
        <w:t>Preliminary objections</w:t>
      </w:r>
      <w:r w:rsidRPr="00BA61B2">
        <w:rPr>
          <w:rFonts w:eastAsia="Verdana" w:cs="Verdana"/>
          <w:i/>
          <w:noProof w:val="0"/>
          <w:szCs w:val="16"/>
          <w:lang w:val="en-US"/>
        </w:rPr>
        <w:t>,</w:t>
      </w:r>
      <w:r w:rsidRPr="00BA61B2">
        <w:rPr>
          <w:rFonts w:eastAsia="Verdana" w:cs="Verdana"/>
          <w:i/>
          <w:noProof w:val="0"/>
          <w:spacing w:val="3"/>
          <w:szCs w:val="16"/>
          <w:lang w:val="en-US"/>
        </w:rPr>
        <w:t xml:space="preserve"> </w:t>
      </w:r>
      <w:r w:rsidRPr="00BA61B2">
        <w:rPr>
          <w:rFonts w:eastAsia="Verdana" w:cs="Verdana"/>
          <w:noProof w:val="0"/>
          <w:szCs w:val="16"/>
          <w:lang w:val="en-US"/>
        </w:rPr>
        <w:t>paras.</w:t>
      </w:r>
      <w:r w:rsidRPr="00BA61B2">
        <w:rPr>
          <w:rFonts w:eastAsia="Verdana" w:cs="Verdana"/>
          <w:noProof w:val="0"/>
          <w:spacing w:val="3"/>
          <w:szCs w:val="16"/>
          <w:lang w:val="en-US"/>
        </w:rPr>
        <w:t xml:space="preserve"> </w:t>
      </w:r>
      <w:r w:rsidRPr="00BA61B2">
        <w:rPr>
          <w:rFonts w:eastAsia="Verdana" w:cs="Verdana"/>
          <w:noProof w:val="0"/>
          <w:spacing w:val="-1"/>
          <w:szCs w:val="16"/>
          <w:lang w:val="en-US"/>
        </w:rPr>
        <w:t>8</w:t>
      </w:r>
      <w:r w:rsidRPr="00BA61B2">
        <w:rPr>
          <w:rFonts w:eastAsia="Verdana" w:cs="Verdana"/>
          <w:noProof w:val="0"/>
          <w:szCs w:val="16"/>
          <w:lang w:val="en-US"/>
        </w:rPr>
        <w:t>8</w:t>
      </w:r>
      <w:r w:rsidRPr="00BA61B2">
        <w:rPr>
          <w:rFonts w:eastAsia="Verdana" w:cs="Verdana"/>
          <w:noProof w:val="0"/>
          <w:spacing w:val="2"/>
          <w:szCs w:val="16"/>
          <w:lang w:val="en-US"/>
        </w:rPr>
        <w:t xml:space="preserve"> and </w:t>
      </w:r>
      <w:r w:rsidRPr="00BA61B2">
        <w:rPr>
          <w:rFonts w:eastAsia="Verdana" w:cs="Verdana"/>
          <w:noProof w:val="0"/>
          <w:spacing w:val="-1"/>
          <w:szCs w:val="16"/>
          <w:lang w:val="en-US"/>
        </w:rPr>
        <w:t>9</w:t>
      </w:r>
      <w:r w:rsidRPr="00BA61B2">
        <w:rPr>
          <w:rFonts w:eastAsia="Verdana" w:cs="Verdana"/>
          <w:noProof w:val="0"/>
          <w:spacing w:val="1"/>
          <w:szCs w:val="16"/>
          <w:lang w:val="en-US"/>
        </w:rPr>
        <w:t>1</w:t>
      </w:r>
      <w:r w:rsidRPr="00BA61B2">
        <w:rPr>
          <w:rFonts w:eastAsia="Verdana" w:cs="Verdana"/>
          <w:noProof w:val="0"/>
          <w:szCs w:val="16"/>
          <w:lang w:val="en-US"/>
        </w:rPr>
        <w:t>,</w:t>
      </w:r>
      <w:r w:rsidRPr="00BA61B2">
        <w:rPr>
          <w:rFonts w:eastAsia="Verdana" w:cs="Verdana"/>
          <w:noProof w:val="0"/>
          <w:spacing w:val="2"/>
          <w:szCs w:val="16"/>
          <w:lang w:val="en-US"/>
        </w:rPr>
        <w:t xml:space="preserve"> and </w:t>
      </w:r>
      <w:r w:rsidRPr="00BA61B2">
        <w:rPr>
          <w:rFonts w:eastAsia="Verdana" w:cs="Verdana"/>
          <w:i/>
          <w:noProof w:val="0"/>
          <w:spacing w:val="2"/>
          <w:szCs w:val="16"/>
          <w:lang w:val="en-US"/>
        </w:rPr>
        <w:t xml:space="preserve">Case of López Lone et al. v. Honduras, </w:t>
      </w:r>
      <w:r w:rsidRPr="00BA61B2">
        <w:rPr>
          <w:rFonts w:eastAsia="Verdana" w:cs="Verdana"/>
          <w:noProof w:val="0"/>
          <w:spacing w:val="2"/>
          <w:szCs w:val="16"/>
          <w:lang w:val="en-US"/>
        </w:rPr>
        <w:t xml:space="preserve">para. 21. </w:t>
      </w:r>
      <w:r w:rsidRPr="00BA61B2">
        <w:rPr>
          <w:rFonts w:eastAsia="Verdana" w:cs="Verdana"/>
          <w:noProof w:val="0"/>
          <w:spacing w:val="1"/>
          <w:szCs w:val="16"/>
          <w:lang w:val="en-US"/>
        </w:rPr>
        <w:t xml:space="preserve"> </w:t>
      </w:r>
    </w:p>
  </w:footnote>
  <w:footnote w:id="19">
    <w:p w14:paraId="17D6E9F4" w14:textId="77777777" w:rsidR="00432906" w:rsidRPr="00BA61B2" w:rsidRDefault="00432906" w:rsidP="007B0DE4">
      <w:pPr>
        <w:pStyle w:val="Textonotapie"/>
        <w:rPr>
          <w:noProof w:val="0"/>
          <w:lang w:val="en-US"/>
        </w:rPr>
      </w:pPr>
      <w:r w:rsidRPr="00BA61B2">
        <w:rPr>
          <w:rStyle w:val="Refdenotaalpie"/>
          <w:noProof w:val="0"/>
          <w:lang w:val="en-US"/>
        </w:rPr>
        <w:footnoteRef/>
      </w:r>
      <w:r w:rsidRPr="00BA61B2">
        <w:rPr>
          <w:noProof w:val="0"/>
          <w:lang w:val="en-US"/>
        </w:rPr>
        <w:t xml:space="preserve"> </w:t>
      </w:r>
      <w:r w:rsidRPr="00BA61B2">
        <w:rPr>
          <w:noProof w:val="0"/>
          <w:lang w:val="en-US"/>
        </w:rPr>
        <w:tab/>
      </w:r>
      <w:r w:rsidRPr="00BA61B2">
        <w:rPr>
          <w:i/>
          <w:noProof w:val="0"/>
          <w:lang w:val="en-US"/>
        </w:rPr>
        <w:t>Cf.</w:t>
      </w:r>
      <w:r w:rsidRPr="00BA61B2">
        <w:rPr>
          <w:noProof w:val="0"/>
          <w:lang w:val="en-US"/>
        </w:rPr>
        <w:t xml:space="preserve"> Republic of Colombia, </w:t>
      </w:r>
      <w:r>
        <w:rPr>
          <w:noProof w:val="0"/>
          <w:lang w:val="en-US"/>
        </w:rPr>
        <w:t>Ministry of Foreign Relations, b</w:t>
      </w:r>
      <w:r w:rsidRPr="00BA61B2">
        <w:rPr>
          <w:noProof w:val="0"/>
          <w:lang w:val="en-US"/>
        </w:rPr>
        <w:t xml:space="preserve">rief of January 31, 2006, DDH.GOI No. 2706/132 (evidence file, folios 307 </w:t>
      </w:r>
      <w:r>
        <w:rPr>
          <w:noProof w:val="0"/>
          <w:lang w:val="en-US"/>
        </w:rPr>
        <w:t>et seq.</w:t>
      </w:r>
      <w:r w:rsidRPr="00BA61B2">
        <w:rPr>
          <w:noProof w:val="0"/>
          <w:lang w:val="en-US"/>
        </w:rPr>
        <w:t>).</w:t>
      </w:r>
    </w:p>
  </w:footnote>
  <w:footnote w:id="20">
    <w:p w14:paraId="2AD9F63B" w14:textId="77777777" w:rsidR="00432906" w:rsidRPr="00BA61B2" w:rsidRDefault="00432906" w:rsidP="007B0DE4">
      <w:pPr>
        <w:pStyle w:val="Textonotapie"/>
        <w:rPr>
          <w:noProof w:val="0"/>
          <w:lang w:val="en-US"/>
        </w:rPr>
      </w:pPr>
      <w:r w:rsidRPr="00BA61B2">
        <w:rPr>
          <w:rStyle w:val="Refdenotaalpie"/>
          <w:noProof w:val="0"/>
          <w:lang w:val="en-US"/>
        </w:rPr>
        <w:footnoteRef/>
      </w:r>
      <w:r w:rsidRPr="00BA61B2">
        <w:rPr>
          <w:noProof w:val="0"/>
          <w:lang w:val="en-US"/>
        </w:rPr>
        <w:t xml:space="preserve"> </w:t>
      </w:r>
      <w:r w:rsidRPr="00BA61B2">
        <w:rPr>
          <w:noProof w:val="0"/>
          <w:lang w:val="en-US"/>
        </w:rPr>
        <w:tab/>
        <w:t xml:space="preserve">Petition </w:t>
      </w:r>
      <w:r>
        <w:rPr>
          <w:noProof w:val="0"/>
          <w:lang w:val="en-US"/>
        </w:rPr>
        <w:t xml:space="preserve">submitted </w:t>
      </w:r>
      <w:r w:rsidRPr="00BA61B2">
        <w:rPr>
          <w:noProof w:val="0"/>
          <w:lang w:val="en-US"/>
        </w:rPr>
        <w:t xml:space="preserve">by Mr. Duque to the </w:t>
      </w:r>
      <w:r w:rsidRPr="00BA61B2">
        <w:rPr>
          <w:i/>
          <w:noProof w:val="0"/>
          <w:lang w:val="en-US"/>
        </w:rPr>
        <w:t>Compañía Colombiana Administradora de Fondos de Pensiones y Cesantías</w:t>
      </w:r>
      <w:r w:rsidRPr="00BA61B2">
        <w:rPr>
          <w:noProof w:val="0"/>
          <w:lang w:val="en-US"/>
        </w:rPr>
        <w:t xml:space="preserve"> -COLFONDOS S.A on March 19, 2002 (evidence file, folio 4). </w:t>
      </w:r>
    </w:p>
  </w:footnote>
  <w:footnote w:id="21">
    <w:p w14:paraId="06C7FEF1" w14:textId="77777777" w:rsidR="00432906" w:rsidRPr="00090A78" w:rsidRDefault="00432906" w:rsidP="007B0DE4">
      <w:pPr>
        <w:pStyle w:val="Textonotapie"/>
        <w:rPr>
          <w:noProof w:val="0"/>
          <w:szCs w:val="16"/>
          <w:lang w:val="en-US"/>
        </w:rPr>
      </w:pPr>
      <w:r w:rsidRPr="00BA61B2">
        <w:rPr>
          <w:rStyle w:val="Refdenotaalpie"/>
          <w:noProof w:val="0"/>
          <w:lang w:val="en-US"/>
        </w:rPr>
        <w:footnoteRef/>
      </w:r>
      <w:r w:rsidRPr="00BA61B2">
        <w:rPr>
          <w:noProof w:val="0"/>
          <w:lang w:val="en-US"/>
        </w:rPr>
        <w:t xml:space="preserve"> </w:t>
      </w:r>
      <w:r w:rsidRPr="00BA61B2">
        <w:rPr>
          <w:noProof w:val="0"/>
          <w:lang w:val="en-US"/>
        </w:rPr>
        <w:tab/>
      </w:r>
      <w:r w:rsidRPr="00BA61B2">
        <w:rPr>
          <w:i/>
          <w:noProof w:val="0"/>
          <w:lang w:val="en-US"/>
        </w:rPr>
        <w:t>Cf.</w:t>
      </w:r>
      <w:r w:rsidRPr="00BA61B2">
        <w:rPr>
          <w:noProof w:val="0"/>
          <w:lang w:val="en-US"/>
        </w:rPr>
        <w:t xml:space="preserve"> </w:t>
      </w:r>
      <w:r>
        <w:rPr>
          <w:noProof w:val="0"/>
          <w:lang w:val="en-US"/>
        </w:rPr>
        <w:t xml:space="preserve">Statement </w:t>
      </w:r>
      <w:r>
        <w:rPr>
          <w:noProof w:val="0"/>
          <w:szCs w:val="16"/>
          <w:lang w:val="en-US"/>
        </w:rPr>
        <w:t xml:space="preserve">provided during </w:t>
      </w:r>
      <w:r w:rsidRPr="00BA61B2">
        <w:rPr>
          <w:noProof w:val="0"/>
          <w:lang w:val="en-US"/>
        </w:rPr>
        <w:t xml:space="preserve">the public hearing </w:t>
      </w:r>
      <w:r>
        <w:rPr>
          <w:noProof w:val="0"/>
          <w:lang w:val="en-US"/>
        </w:rPr>
        <w:t xml:space="preserve">by </w:t>
      </w:r>
      <w:r w:rsidRPr="00BA61B2">
        <w:rPr>
          <w:noProof w:val="0"/>
          <w:lang w:val="en-US"/>
        </w:rPr>
        <w:t xml:space="preserve">the witness Juan Manuel Trujillo, on August 25, 2015.  </w:t>
      </w:r>
    </w:p>
  </w:footnote>
  <w:footnote w:id="22">
    <w:p w14:paraId="418C1E4B" w14:textId="77777777" w:rsidR="00432906" w:rsidRPr="00BA61B2" w:rsidRDefault="00432906" w:rsidP="007B0DE4">
      <w:pPr>
        <w:pStyle w:val="Textonotapie"/>
        <w:rPr>
          <w:noProof w:val="0"/>
          <w:lang w:val="en-US"/>
        </w:rPr>
      </w:pPr>
      <w:r w:rsidRPr="00BA61B2">
        <w:rPr>
          <w:rStyle w:val="Refdenotaalpie"/>
          <w:noProof w:val="0"/>
          <w:lang w:val="en-US"/>
        </w:rPr>
        <w:footnoteRef/>
      </w:r>
      <w:r w:rsidRPr="00BA61B2">
        <w:rPr>
          <w:noProof w:val="0"/>
          <w:lang w:val="en-US"/>
        </w:rPr>
        <w:t xml:space="preserve"> </w:t>
      </w:r>
      <w:r w:rsidRPr="00BA61B2">
        <w:rPr>
          <w:noProof w:val="0"/>
          <w:lang w:val="en-US"/>
        </w:rPr>
        <w:tab/>
      </w:r>
      <w:r w:rsidRPr="00BA61B2">
        <w:rPr>
          <w:i/>
          <w:noProof w:val="0"/>
          <w:lang w:val="en-US"/>
        </w:rPr>
        <w:t>Compañía Colombiana Administradora de Fondos de Pensiones y Cesantías</w:t>
      </w:r>
      <w:r w:rsidRPr="00BA61B2">
        <w:rPr>
          <w:noProof w:val="0"/>
          <w:szCs w:val="16"/>
          <w:lang w:val="en-US"/>
        </w:rPr>
        <w:t xml:space="preserve"> -COLFONDOS S.A., Official Letter No. DCI-E-P-1487-02, April 3, 2002 </w:t>
      </w:r>
      <w:r w:rsidRPr="00BA61B2">
        <w:rPr>
          <w:noProof w:val="0"/>
          <w:lang w:val="en-US"/>
        </w:rPr>
        <w:t>(evidence file, folio 63).</w:t>
      </w:r>
    </w:p>
  </w:footnote>
  <w:footnote w:id="23">
    <w:p w14:paraId="37730CAC" w14:textId="77777777" w:rsidR="00432906" w:rsidRPr="00BA61B2" w:rsidRDefault="00432906" w:rsidP="007B0DE4">
      <w:pPr>
        <w:pStyle w:val="Textonotapie"/>
        <w:rPr>
          <w:noProof w:val="0"/>
          <w:lang w:val="en-US"/>
        </w:rPr>
      </w:pPr>
      <w:r w:rsidRPr="00BA61B2">
        <w:rPr>
          <w:rStyle w:val="Refdenotaalpie"/>
          <w:noProof w:val="0"/>
          <w:lang w:val="en-US"/>
        </w:rPr>
        <w:footnoteRef/>
      </w:r>
      <w:r w:rsidRPr="00BA61B2">
        <w:rPr>
          <w:noProof w:val="0"/>
          <w:lang w:val="en-US"/>
        </w:rPr>
        <w:t xml:space="preserve"> </w:t>
      </w:r>
      <w:r w:rsidRPr="00BA61B2">
        <w:rPr>
          <w:noProof w:val="0"/>
          <w:lang w:val="en-US"/>
        </w:rPr>
        <w:tab/>
      </w:r>
      <w:r w:rsidRPr="00090A78">
        <w:rPr>
          <w:i/>
          <w:noProof w:val="0"/>
          <w:szCs w:val="16"/>
          <w:lang w:val="en-US"/>
        </w:rPr>
        <w:t>Tutela</w:t>
      </w:r>
      <w:r w:rsidRPr="00BA61B2">
        <w:rPr>
          <w:noProof w:val="0"/>
          <w:szCs w:val="16"/>
          <w:lang w:val="en-US"/>
        </w:rPr>
        <w:t xml:space="preserve"> action filed by Germán Humberto Rincón Perfetti on behalf of Ángel Alberto Duque, April 26, 2002 (evidence file, folio 7).</w:t>
      </w:r>
    </w:p>
  </w:footnote>
  <w:footnote w:id="24">
    <w:p w14:paraId="53B9EBC3" w14:textId="77777777" w:rsidR="00432906" w:rsidRPr="00BA61B2" w:rsidRDefault="00432906" w:rsidP="007B0DE4">
      <w:pPr>
        <w:pStyle w:val="Textonotapie"/>
        <w:rPr>
          <w:noProof w:val="0"/>
          <w:lang w:val="en-US"/>
        </w:rPr>
      </w:pPr>
      <w:r w:rsidRPr="00BA61B2">
        <w:rPr>
          <w:rStyle w:val="Refdenotaalpie"/>
          <w:noProof w:val="0"/>
          <w:lang w:val="en-US"/>
        </w:rPr>
        <w:footnoteRef/>
      </w:r>
      <w:r w:rsidRPr="00BA61B2">
        <w:rPr>
          <w:noProof w:val="0"/>
          <w:lang w:val="en-US"/>
        </w:rPr>
        <w:t xml:space="preserve"> </w:t>
      </w:r>
      <w:r w:rsidRPr="00BA61B2">
        <w:rPr>
          <w:noProof w:val="0"/>
          <w:lang w:val="en-US"/>
        </w:rPr>
        <w:tab/>
      </w:r>
      <w:r w:rsidRPr="00BA61B2">
        <w:rPr>
          <w:i/>
          <w:noProof w:val="0"/>
          <w:lang w:val="en-US"/>
        </w:rPr>
        <w:t>Cf.</w:t>
      </w:r>
      <w:r w:rsidRPr="00BA61B2">
        <w:rPr>
          <w:noProof w:val="0"/>
          <w:lang w:val="en-US"/>
        </w:rPr>
        <w:t xml:space="preserve"> </w:t>
      </w:r>
      <w:r w:rsidRPr="00BA61B2">
        <w:rPr>
          <w:noProof w:val="0"/>
          <w:szCs w:val="16"/>
          <w:lang w:val="en-US"/>
        </w:rPr>
        <w:t>Tenth Municipal Civil Court of Bogotá, Judgment of June 5, 2002 (evidence file, folios 84 and 86).</w:t>
      </w:r>
    </w:p>
  </w:footnote>
  <w:footnote w:id="25">
    <w:p w14:paraId="1E968A68" w14:textId="77777777" w:rsidR="00432906" w:rsidRPr="00BA61B2" w:rsidRDefault="00432906" w:rsidP="007B0DE4">
      <w:pPr>
        <w:pStyle w:val="Textonotapie"/>
        <w:rPr>
          <w:noProof w:val="0"/>
          <w:lang w:val="en-US"/>
        </w:rPr>
      </w:pPr>
      <w:r w:rsidRPr="00BA61B2">
        <w:rPr>
          <w:rStyle w:val="Refdenotaalpie"/>
          <w:noProof w:val="0"/>
          <w:lang w:val="en-US"/>
        </w:rPr>
        <w:footnoteRef/>
      </w:r>
      <w:r w:rsidRPr="00BA61B2">
        <w:rPr>
          <w:noProof w:val="0"/>
          <w:lang w:val="en-US"/>
        </w:rPr>
        <w:t xml:space="preserve"> </w:t>
      </w:r>
      <w:r w:rsidRPr="00BA61B2">
        <w:rPr>
          <w:noProof w:val="0"/>
          <w:lang w:val="en-US"/>
        </w:rPr>
        <w:tab/>
      </w:r>
      <w:r w:rsidRPr="00BA61B2">
        <w:rPr>
          <w:noProof w:val="0"/>
          <w:szCs w:val="16"/>
          <w:lang w:val="en-US"/>
        </w:rPr>
        <w:t>Tenth Municipal Civil Court of Bogotá, Judgment of June 5, 2002 (evidence file, folio 86).</w:t>
      </w:r>
    </w:p>
  </w:footnote>
  <w:footnote w:id="26">
    <w:p w14:paraId="10488735" w14:textId="77777777" w:rsidR="00432906" w:rsidRPr="00BA61B2" w:rsidRDefault="00432906" w:rsidP="007B0DE4">
      <w:pPr>
        <w:pStyle w:val="Default"/>
        <w:spacing w:before="120" w:after="120"/>
        <w:rPr>
          <w:sz w:val="16"/>
          <w:szCs w:val="16"/>
        </w:rPr>
      </w:pPr>
      <w:r w:rsidRPr="00BA61B2">
        <w:rPr>
          <w:rStyle w:val="Refdenotaalpie"/>
          <w:sz w:val="16"/>
          <w:szCs w:val="16"/>
        </w:rPr>
        <w:footnoteRef/>
      </w:r>
      <w:r w:rsidRPr="00BA61B2">
        <w:rPr>
          <w:sz w:val="16"/>
          <w:szCs w:val="16"/>
        </w:rPr>
        <w:t xml:space="preserve"> </w:t>
      </w:r>
      <w:r w:rsidRPr="00BA61B2">
        <w:rPr>
          <w:sz w:val="16"/>
          <w:szCs w:val="16"/>
        </w:rPr>
        <w:tab/>
        <w:t>Tenth Municipal Civil Court of Bogotá, Judgment of June 5, 2002 (evidence file, folio 86).</w:t>
      </w:r>
    </w:p>
  </w:footnote>
  <w:footnote w:id="27">
    <w:p w14:paraId="4977C469" w14:textId="77777777" w:rsidR="00432906" w:rsidRPr="00BA61B2" w:rsidRDefault="00432906" w:rsidP="007B0DE4">
      <w:pPr>
        <w:pStyle w:val="Textonotapie"/>
        <w:rPr>
          <w:noProof w:val="0"/>
          <w:lang w:val="en-US"/>
        </w:rPr>
      </w:pPr>
      <w:r w:rsidRPr="00BA61B2">
        <w:rPr>
          <w:rStyle w:val="Refdenotaalpie"/>
          <w:noProof w:val="0"/>
          <w:lang w:val="en-US"/>
        </w:rPr>
        <w:footnoteRef/>
      </w:r>
      <w:r w:rsidRPr="00BA61B2">
        <w:rPr>
          <w:noProof w:val="0"/>
          <w:lang w:val="en-US"/>
        </w:rPr>
        <w:t xml:space="preserve"> </w:t>
      </w:r>
      <w:r w:rsidRPr="00BA61B2">
        <w:rPr>
          <w:noProof w:val="0"/>
          <w:lang w:val="en-US"/>
        </w:rPr>
        <w:tab/>
      </w:r>
      <w:r w:rsidRPr="00BA61B2">
        <w:rPr>
          <w:i/>
          <w:noProof w:val="0"/>
          <w:lang w:val="en-US"/>
        </w:rPr>
        <w:t>Cf.</w:t>
      </w:r>
      <w:r w:rsidRPr="00BA61B2">
        <w:rPr>
          <w:noProof w:val="0"/>
          <w:lang w:val="en-US"/>
        </w:rPr>
        <w:t xml:space="preserve"> </w:t>
      </w:r>
      <w:r w:rsidRPr="00BA61B2">
        <w:rPr>
          <w:noProof w:val="0"/>
          <w:szCs w:val="16"/>
          <w:lang w:val="en-US"/>
        </w:rPr>
        <w:t xml:space="preserve"> Twelfth Civil Court of </w:t>
      </w:r>
      <w:r>
        <w:rPr>
          <w:noProof w:val="0"/>
          <w:szCs w:val="16"/>
          <w:lang w:val="en-US"/>
        </w:rPr>
        <w:t xml:space="preserve">the </w:t>
      </w:r>
      <w:r w:rsidRPr="00BA61B2">
        <w:rPr>
          <w:noProof w:val="0"/>
          <w:szCs w:val="16"/>
          <w:lang w:val="en-US"/>
        </w:rPr>
        <w:t xml:space="preserve">Circuit of </w:t>
      </w:r>
      <w:r>
        <w:rPr>
          <w:noProof w:val="0"/>
          <w:szCs w:val="16"/>
          <w:lang w:val="en-US"/>
        </w:rPr>
        <w:t xml:space="preserve">Santa Fe de </w:t>
      </w:r>
      <w:r w:rsidRPr="00BA61B2">
        <w:rPr>
          <w:noProof w:val="0"/>
          <w:szCs w:val="16"/>
          <w:lang w:val="en-US"/>
        </w:rPr>
        <w:t>Bogotá, Judgment of July 19, 2002 (evidence file, folios 93 and 94).</w:t>
      </w:r>
    </w:p>
  </w:footnote>
  <w:footnote w:id="28">
    <w:p w14:paraId="12B6C6EA" w14:textId="77777777" w:rsidR="00432906" w:rsidRPr="00BA61B2" w:rsidRDefault="00432906" w:rsidP="007B0DE4">
      <w:pPr>
        <w:pStyle w:val="Textonotapie"/>
        <w:rPr>
          <w:noProof w:val="0"/>
          <w:lang w:val="en-US"/>
        </w:rPr>
      </w:pPr>
      <w:r w:rsidRPr="00BA61B2">
        <w:rPr>
          <w:rStyle w:val="Refdenotaalpie"/>
          <w:noProof w:val="0"/>
          <w:lang w:val="en-US"/>
        </w:rPr>
        <w:footnoteRef/>
      </w:r>
      <w:r w:rsidRPr="00BA61B2">
        <w:rPr>
          <w:noProof w:val="0"/>
          <w:lang w:val="en-US"/>
        </w:rPr>
        <w:t xml:space="preserve"> </w:t>
      </w:r>
      <w:r w:rsidRPr="00BA61B2">
        <w:rPr>
          <w:noProof w:val="0"/>
          <w:lang w:val="en-US"/>
        </w:rPr>
        <w:tab/>
      </w:r>
      <w:r w:rsidRPr="00BA61B2">
        <w:rPr>
          <w:rFonts w:eastAsia="Verdana" w:cs="Verdana"/>
          <w:i/>
          <w:noProof w:val="0"/>
          <w:szCs w:val="16"/>
          <w:lang w:val="en-US"/>
        </w:rPr>
        <w:t xml:space="preserve">Cf. </w:t>
      </w:r>
      <w:r w:rsidRPr="00BA61B2">
        <w:rPr>
          <w:rFonts w:eastAsia="Verdana" w:cs="Verdana"/>
          <w:i/>
          <w:noProof w:val="0"/>
          <w:lang w:val="en-US"/>
        </w:rPr>
        <w:t xml:space="preserve">Case of Wong Ho Wing v. Peru. Preliminary objection, merits, reparations and costs. </w:t>
      </w:r>
      <w:r w:rsidRPr="00BA61B2">
        <w:rPr>
          <w:rFonts w:eastAsia="Verdana" w:cs="Verdana"/>
          <w:noProof w:val="0"/>
          <w:lang w:val="en-US"/>
        </w:rPr>
        <w:t>Judgment of June 30, 2015. Series C No. 297,</w:t>
      </w:r>
      <w:r w:rsidRPr="00BA61B2">
        <w:rPr>
          <w:rFonts w:eastAsia="Verdana" w:cs="Verdana"/>
          <w:i/>
          <w:noProof w:val="0"/>
          <w:szCs w:val="16"/>
          <w:lang w:val="en-US"/>
        </w:rPr>
        <w:t xml:space="preserve"> </w:t>
      </w:r>
      <w:r>
        <w:rPr>
          <w:rFonts w:eastAsia="Verdana" w:cs="Verdana"/>
          <w:noProof w:val="0"/>
          <w:szCs w:val="16"/>
          <w:lang w:val="en-US"/>
        </w:rPr>
        <w:t>para. 25</w:t>
      </w:r>
      <w:r w:rsidRPr="00BA61B2">
        <w:rPr>
          <w:rFonts w:eastAsia="Verdana" w:cs="Verdana"/>
          <w:noProof w:val="0"/>
          <w:spacing w:val="1"/>
          <w:szCs w:val="16"/>
          <w:lang w:val="en-US"/>
        </w:rPr>
        <w:t>.</w:t>
      </w:r>
    </w:p>
  </w:footnote>
  <w:footnote w:id="29">
    <w:p w14:paraId="08F9BF86" w14:textId="77777777" w:rsidR="00432906" w:rsidRPr="00BA61B2" w:rsidRDefault="00432906" w:rsidP="007B0DE4">
      <w:pPr>
        <w:spacing w:before="120" w:after="120"/>
        <w:ind w:right="153"/>
        <w:rPr>
          <w:sz w:val="16"/>
          <w:szCs w:val="16"/>
          <w:lang w:val="en-US"/>
        </w:rPr>
      </w:pPr>
      <w:r w:rsidRPr="00BA61B2">
        <w:rPr>
          <w:rStyle w:val="Refdenotaalpie"/>
          <w:sz w:val="16"/>
          <w:szCs w:val="16"/>
          <w:lang w:val="en-US"/>
        </w:rPr>
        <w:footnoteRef/>
      </w:r>
      <w:r w:rsidRPr="00BA61B2">
        <w:rPr>
          <w:sz w:val="16"/>
          <w:szCs w:val="16"/>
          <w:lang w:val="en-US"/>
        </w:rPr>
        <w:t xml:space="preserve"> </w:t>
      </w:r>
      <w:r w:rsidRPr="00BA61B2">
        <w:rPr>
          <w:sz w:val="16"/>
          <w:szCs w:val="16"/>
          <w:lang w:val="en-US"/>
        </w:rPr>
        <w:tab/>
      </w:r>
      <w:r w:rsidRPr="00BA61B2">
        <w:rPr>
          <w:rFonts w:eastAsia="Verdana" w:cs="Verdana"/>
          <w:i/>
          <w:sz w:val="16"/>
          <w:szCs w:val="16"/>
          <w:lang w:val="en-US"/>
        </w:rPr>
        <w:t>Cf.</w:t>
      </w:r>
      <w:r w:rsidRPr="00BA61B2">
        <w:rPr>
          <w:rFonts w:eastAsia="Verdana" w:cs="Verdana"/>
          <w:spacing w:val="12"/>
          <w:sz w:val="16"/>
          <w:szCs w:val="16"/>
          <w:lang w:val="en-US"/>
        </w:rPr>
        <w:t xml:space="preserve"> </w:t>
      </w:r>
      <w:r w:rsidRPr="00BA61B2">
        <w:rPr>
          <w:rFonts w:eastAsia="Verdana" w:cs="Verdana"/>
          <w:i/>
          <w:sz w:val="16"/>
          <w:szCs w:val="16"/>
          <w:lang w:val="en-US"/>
        </w:rPr>
        <w:t>Case of Velásquez Rodríguez v. Honduras</w:t>
      </w:r>
      <w:r w:rsidRPr="00BA61B2">
        <w:rPr>
          <w:rFonts w:eastAsia="Verdana" w:cs="Verdana"/>
          <w:sz w:val="16"/>
          <w:szCs w:val="16"/>
          <w:lang w:val="en-US"/>
        </w:rPr>
        <w:t>.</w:t>
      </w:r>
      <w:r w:rsidRPr="00BA61B2">
        <w:rPr>
          <w:rFonts w:eastAsia="Verdana" w:cs="Verdana"/>
          <w:spacing w:val="10"/>
          <w:sz w:val="16"/>
          <w:szCs w:val="16"/>
          <w:lang w:val="en-US"/>
        </w:rPr>
        <w:t xml:space="preserve"> </w:t>
      </w:r>
      <w:r w:rsidRPr="00BA61B2">
        <w:rPr>
          <w:rFonts w:eastAsia="Verdana" w:cs="Verdana"/>
          <w:i/>
          <w:spacing w:val="1"/>
          <w:sz w:val="16"/>
          <w:szCs w:val="16"/>
          <w:lang w:val="en-US"/>
        </w:rPr>
        <w:t>Merits</w:t>
      </w:r>
      <w:r w:rsidRPr="00BA61B2">
        <w:rPr>
          <w:rFonts w:eastAsia="Verdana" w:cs="Verdana"/>
          <w:sz w:val="16"/>
          <w:szCs w:val="16"/>
          <w:lang w:val="en-US"/>
        </w:rPr>
        <w:t>.</w:t>
      </w:r>
      <w:r w:rsidRPr="00BA61B2">
        <w:rPr>
          <w:rFonts w:eastAsia="Verdana" w:cs="Verdana"/>
          <w:spacing w:val="10"/>
          <w:sz w:val="16"/>
          <w:szCs w:val="16"/>
          <w:lang w:val="en-US"/>
        </w:rPr>
        <w:t xml:space="preserve"> </w:t>
      </w:r>
      <w:r w:rsidRPr="00BA61B2">
        <w:rPr>
          <w:rFonts w:eastAsia="Verdana" w:cs="Verdana"/>
          <w:sz w:val="16"/>
          <w:szCs w:val="16"/>
          <w:lang w:val="en-US"/>
        </w:rPr>
        <w:t>Judgment</w:t>
      </w:r>
      <w:r w:rsidRPr="00BA61B2">
        <w:rPr>
          <w:rFonts w:eastAsia="Verdana" w:cs="Verdana"/>
          <w:spacing w:val="13"/>
          <w:sz w:val="16"/>
          <w:szCs w:val="16"/>
          <w:lang w:val="en-US"/>
        </w:rPr>
        <w:t xml:space="preserve"> of July 29,</w:t>
      </w:r>
      <w:r w:rsidRPr="00BA61B2">
        <w:rPr>
          <w:rFonts w:eastAsia="Verdana" w:cs="Verdana"/>
          <w:spacing w:val="12"/>
          <w:sz w:val="16"/>
          <w:szCs w:val="16"/>
          <w:lang w:val="en-US"/>
        </w:rPr>
        <w:t xml:space="preserve"> </w:t>
      </w:r>
      <w:r w:rsidRPr="00BA61B2">
        <w:rPr>
          <w:rFonts w:eastAsia="Verdana" w:cs="Verdana"/>
          <w:spacing w:val="-1"/>
          <w:sz w:val="16"/>
          <w:szCs w:val="16"/>
          <w:lang w:val="en-US"/>
        </w:rPr>
        <w:t>19</w:t>
      </w:r>
      <w:r w:rsidRPr="00BA61B2">
        <w:rPr>
          <w:rFonts w:eastAsia="Verdana" w:cs="Verdana"/>
          <w:spacing w:val="1"/>
          <w:sz w:val="16"/>
          <w:szCs w:val="16"/>
          <w:lang w:val="en-US"/>
        </w:rPr>
        <w:t>88</w:t>
      </w:r>
      <w:r w:rsidRPr="00BA61B2">
        <w:rPr>
          <w:rFonts w:eastAsia="Verdana" w:cs="Verdana"/>
          <w:sz w:val="16"/>
          <w:szCs w:val="16"/>
          <w:lang w:val="en-US"/>
        </w:rPr>
        <w:t>.</w:t>
      </w:r>
      <w:r w:rsidRPr="00BA61B2">
        <w:rPr>
          <w:rFonts w:eastAsia="Verdana" w:cs="Verdana"/>
          <w:spacing w:val="7"/>
          <w:sz w:val="16"/>
          <w:szCs w:val="16"/>
          <w:lang w:val="en-US"/>
        </w:rPr>
        <w:t xml:space="preserve"> </w:t>
      </w:r>
      <w:r w:rsidRPr="00BA61B2">
        <w:rPr>
          <w:rFonts w:eastAsia="Verdana" w:cs="Verdana"/>
          <w:sz w:val="16"/>
          <w:szCs w:val="16"/>
          <w:lang w:val="en-US"/>
        </w:rPr>
        <w:t>Series</w:t>
      </w:r>
      <w:r w:rsidRPr="00BA61B2">
        <w:rPr>
          <w:rFonts w:eastAsia="Verdana" w:cs="Verdana"/>
          <w:spacing w:val="11"/>
          <w:sz w:val="16"/>
          <w:szCs w:val="16"/>
          <w:lang w:val="en-US"/>
        </w:rPr>
        <w:t xml:space="preserve"> </w:t>
      </w:r>
      <w:r w:rsidRPr="00BA61B2">
        <w:rPr>
          <w:rFonts w:eastAsia="Verdana" w:cs="Verdana"/>
          <w:sz w:val="16"/>
          <w:szCs w:val="16"/>
          <w:lang w:val="en-US"/>
        </w:rPr>
        <w:t>C</w:t>
      </w:r>
      <w:r w:rsidRPr="00BA61B2">
        <w:rPr>
          <w:rFonts w:eastAsia="Verdana" w:cs="Verdana"/>
          <w:spacing w:val="11"/>
          <w:sz w:val="16"/>
          <w:szCs w:val="16"/>
          <w:lang w:val="en-US"/>
        </w:rPr>
        <w:t xml:space="preserve"> </w:t>
      </w:r>
      <w:r w:rsidRPr="00BA61B2">
        <w:rPr>
          <w:rFonts w:eastAsia="Verdana" w:cs="Verdana"/>
          <w:sz w:val="16"/>
          <w:szCs w:val="16"/>
          <w:lang w:val="en-US"/>
        </w:rPr>
        <w:t>No.</w:t>
      </w:r>
      <w:r w:rsidRPr="00BA61B2">
        <w:rPr>
          <w:rFonts w:eastAsia="Verdana" w:cs="Verdana"/>
          <w:spacing w:val="10"/>
          <w:sz w:val="16"/>
          <w:szCs w:val="16"/>
          <w:lang w:val="en-US"/>
        </w:rPr>
        <w:t xml:space="preserve"> </w:t>
      </w:r>
      <w:r w:rsidRPr="00BA61B2">
        <w:rPr>
          <w:rFonts w:eastAsia="Verdana" w:cs="Verdana"/>
          <w:spacing w:val="1"/>
          <w:sz w:val="16"/>
          <w:szCs w:val="16"/>
          <w:lang w:val="en-US"/>
        </w:rPr>
        <w:t>4</w:t>
      </w:r>
      <w:r w:rsidRPr="00BA61B2">
        <w:rPr>
          <w:rFonts w:eastAsia="Verdana" w:cs="Verdana"/>
          <w:sz w:val="16"/>
          <w:szCs w:val="16"/>
          <w:lang w:val="en-US"/>
        </w:rPr>
        <w:t>,</w:t>
      </w:r>
      <w:r w:rsidRPr="00BA61B2">
        <w:rPr>
          <w:rFonts w:eastAsia="Verdana" w:cs="Verdana"/>
          <w:spacing w:val="10"/>
          <w:sz w:val="16"/>
          <w:szCs w:val="16"/>
          <w:lang w:val="en-US"/>
        </w:rPr>
        <w:t xml:space="preserve"> </w:t>
      </w:r>
      <w:r w:rsidRPr="00BA61B2">
        <w:rPr>
          <w:rFonts w:eastAsia="Verdana" w:cs="Verdana"/>
          <w:sz w:val="16"/>
          <w:szCs w:val="16"/>
          <w:lang w:val="en-US"/>
        </w:rPr>
        <w:t>para.</w:t>
      </w:r>
      <w:r w:rsidRPr="00BA61B2">
        <w:rPr>
          <w:rFonts w:eastAsia="Verdana" w:cs="Verdana"/>
          <w:spacing w:val="10"/>
          <w:sz w:val="16"/>
          <w:szCs w:val="16"/>
          <w:lang w:val="en-US"/>
        </w:rPr>
        <w:t xml:space="preserve"> </w:t>
      </w:r>
      <w:r w:rsidRPr="00BA61B2">
        <w:rPr>
          <w:rFonts w:eastAsia="Verdana" w:cs="Verdana"/>
          <w:spacing w:val="1"/>
          <w:sz w:val="16"/>
          <w:szCs w:val="16"/>
          <w:lang w:val="en-US"/>
        </w:rPr>
        <w:t>61</w:t>
      </w:r>
      <w:r w:rsidRPr="00BA61B2">
        <w:rPr>
          <w:rFonts w:eastAsia="Verdana" w:cs="Verdana"/>
          <w:sz w:val="16"/>
          <w:szCs w:val="16"/>
          <w:lang w:val="en-US"/>
        </w:rPr>
        <w:t>,</w:t>
      </w:r>
      <w:r w:rsidRPr="00BA61B2">
        <w:rPr>
          <w:rFonts w:eastAsia="Verdana" w:cs="Verdana"/>
          <w:spacing w:val="10"/>
          <w:sz w:val="16"/>
          <w:szCs w:val="16"/>
          <w:lang w:val="en-US"/>
        </w:rPr>
        <w:t xml:space="preserve"> and </w:t>
      </w:r>
      <w:r w:rsidRPr="00BA61B2">
        <w:rPr>
          <w:rFonts w:eastAsia="Verdana" w:cs="Verdana"/>
          <w:i/>
          <w:sz w:val="16"/>
          <w:szCs w:val="16"/>
          <w:lang w:val="en-US"/>
        </w:rPr>
        <w:t xml:space="preserve">Case of López Lone et al. v. Honduras, </w:t>
      </w:r>
      <w:r w:rsidRPr="00BA61B2">
        <w:rPr>
          <w:rFonts w:eastAsia="Verdana" w:cs="Verdana"/>
          <w:sz w:val="16"/>
          <w:szCs w:val="16"/>
          <w:lang w:val="en-US"/>
        </w:rPr>
        <w:t>para. 20.</w:t>
      </w:r>
    </w:p>
  </w:footnote>
  <w:footnote w:id="30">
    <w:p w14:paraId="70353A37"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rFonts w:eastAsia="Verdana" w:cs="Verdana"/>
          <w:i/>
          <w:noProof w:val="0"/>
          <w:szCs w:val="16"/>
          <w:lang w:val="en-US"/>
        </w:rPr>
        <w:t>Cf.</w:t>
      </w:r>
      <w:r w:rsidRPr="00BA61B2">
        <w:rPr>
          <w:rFonts w:eastAsia="Verdana" w:cs="Verdana"/>
          <w:noProof w:val="0"/>
          <w:spacing w:val="24"/>
          <w:szCs w:val="16"/>
          <w:lang w:val="en-US"/>
        </w:rPr>
        <w:t xml:space="preserve"> </w:t>
      </w:r>
      <w:r w:rsidRPr="00BA61B2">
        <w:rPr>
          <w:rFonts w:eastAsia="Verdana" w:cs="Verdana"/>
          <w:i/>
          <w:noProof w:val="0"/>
          <w:szCs w:val="16"/>
          <w:lang w:val="en-US"/>
        </w:rPr>
        <w:t>Case of Velásquez Rodríguez v. Honduras</w:t>
      </w:r>
      <w:r w:rsidRPr="00BA61B2">
        <w:rPr>
          <w:rFonts w:eastAsia="Verdana" w:cs="Verdana"/>
          <w:noProof w:val="0"/>
          <w:szCs w:val="16"/>
          <w:lang w:val="en-US"/>
        </w:rPr>
        <w:t>.</w:t>
      </w:r>
      <w:r w:rsidRPr="00BA61B2">
        <w:rPr>
          <w:rFonts w:eastAsia="Verdana" w:cs="Verdana"/>
          <w:noProof w:val="0"/>
          <w:spacing w:val="24"/>
          <w:szCs w:val="16"/>
          <w:lang w:val="en-US"/>
        </w:rPr>
        <w:t xml:space="preserve"> </w:t>
      </w:r>
      <w:r w:rsidRPr="00BA61B2">
        <w:rPr>
          <w:rFonts w:eastAsia="Verdana" w:cs="Verdana"/>
          <w:i/>
          <w:noProof w:val="0"/>
          <w:spacing w:val="-1"/>
          <w:szCs w:val="16"/>
          <w:lang w:val="en-US"/>
        </w:rPr>
        <w:t>Merits</w:t>
      </w:r>
      <w:r w:rsidRPr="00BA61B2">
        <w:rPr>
          <w:rFonts w:eastAsia="Verdana" w:cs="Verdana"/>
          <w:i/>
          <w:noProof w:val="0"/>
          <w:szCs w:val="16"/>
          <w:lang w:val="en-US"/>
        </w:rPr>
        <w:t>,</w:t>
      </w:r>
      <w:r w:rsidRPr="00BA61B2">
        <w:rPr>
          <w:rFonts w:eastAsia="Verdana" w:cs="Verdana"/>
          <w:i/>
          <w:noProof w:val="0"/>
          <w:spacing w:val="22"/>
          <w:szCs w:val="16"/>
          <w:lang w:val="en-US"/>
        </w:rPr>
        <w:t xml:space="preserve"> </w:t>
      </w:r>
      <w:r w:rsidRPr="00BA61B2">
        <w:rPr>
          <w:rFonts w:eastAsia="Verdana" w:cs="Verdana"/>
          <w:noProof w:val="0"/>
          <w:szCs w:val="16"/>
          <w:lang w:val="en-US"/>
        </w:rPr>
        <w:t>para.</w:t>
      </w:r>
      <w:r w:rsidRPr="00BA61B2">
        <w:rPr>
          <w:rFonts w:eastAsia="Verdana" w:cs="Verdana"/>
          <w:noProof w:val="0"/>
          <w:spacing w:val="22"/>
          <w:szCs w:val="16"/>
          <w:lang w:val="en-US"/>
        </w:rPr>
        <w:t xml:space="preserve"> </w:t>
      </w:r>
      <w:r w:rsidRPr="00BA61B2">
        <w:rPr>
          <w:rFonts w:eastAsia="Verdana" w:cs="Verdana"/>
          <w:noProof w:val="0"/>
          <w:spacing w:val="1"/>
          <w:szCs w:val="16"/>
          <w:lang w:val="en-US"/>
        </w:rPr>
        <w:t>63</w:t>
      </w:r>
      <w:r w:rsidRPr="00BA61B2">
        <w:rPr>
          <w:rFonts w:eastAsia="Verdana" w:cs="Verdana"/>
          <w:noProof w:val="0"/>
          <w:szCs w:val="16"/>
          <w:lang w:val="en-US"/>
        </w:rPr>
        <w:t>,</w:t>
      </w:r>
      <w:r>
        <w:rPr>
          <w:rFonts w:eastAsia="Verdana" w:cs="Verdana"/>
          <w:noProof w:val="0"/>
          <w:szCs w:val="16"/>
          <w:lang w:val="en-US"/>
        </w:rPr>
        <w:t xml:space="preserve"> and</w:t>
      </w:r>
      <w:r w:rsidRPr="00BA61B2">
        <w:rPr>
          <w:rFonts w:eastAsia="Verdana" w:cs="Verdana"/>
          <w:noProof w:val="0"/>
          <w:spacing w:val="24"/>
          <w:szCs w:val="16"/>
          <w:lang w:val="en-US"/>
        </w:rPr>
        <w:t xml:space="preserve"> </w:t>
      </w:r>
      <w:r w:rsidRPr="00BA61B2">
        <w:rPr>
          <w:rFonts w:eastAsia="Verdana" w:cs="Verdana"/>
          <w:i/>
          <w:noProof w:val="0"/>
          <w:szCs w:val="16"/>
          <w:lang w:val="en-US"/>
        </w:rPr>
        <w:t xml:space="preserve">Case </w:t>
      </w:r>
      <w:r>
        <w:rPr>
          <w:rFonts w:eastAsia="Verdana" w:cs="Verdana"/>
          <w:i/>
          <w:noProof w:val="0"/>
          <w:szCs w:val="16"/>
          <w:lang w:val="en-US"/>
        </w:rPr>
        <w:t xml:space="preserve">of </w:t>
      </w:r>
      <w:r w:rsidRPr="00BA61B2">
        <w:rPr>
          <w:rFonts w:eastAsia="Verdana" w:cs="Verdana"/>
          <w:i/>
          <w:noProof w:val="0"/>
          <w:szCs w:val="16"/>
          <w:lang w:val="en-US"/>
        </w:rPr>
        <w:t>Cruz Sánchez et al. v. Per</w:t>
      </w:r>
      <w:r>
        <w:rPr>
          <w:rFonts w:eastAsia="Verdana" w:cs="Verdana"/>
          <w:i/>
          <w:noProof w:val="0"/>
          <w:szCs w:val="16"/>
          <w:lang w:val="en-US"/>
        </w:rPr>
        <w:t>u. Preliminary objections, m</w:t>
      </w:r>
      <w:r w:rsidRPr="00BA61B2">
        <w:rPr>
          <w:rFonts w:eastAsia="Verdana" w:cs="Verdana"/>
          <w:i/>
          <w:noProof w:val="0"/>
          <w:szCs w:val="16"/>
          <w:lang w:val="en-US"/>
        </w:rPr>
        <w:t xml:space="preserve">erits, reparations and costs. </w:t>
      </w:r>
      <w:r w:rsidRPr="00BA61B2">
        <w:rPr>
          <w:rFonts w:eastAsia="Verdana" w:cs="Verdana"/>
          <w:noProof w:val="0"/>
          <w:szCs w:val="16"/>
          <w:lang w:val="en-US"/>
        </w:rPr>
        <w:t>Judgment of April 17, 2015. Series C No. 292, para.</w:t>
      </w:r>
      <w:r w:rsidRPr="00BA61B2">
        <w:rPr>
          <w:rFonts w:eastAsia="Verdana" w:cs="Verdana"/>
          <w:i/>
          <w:noProof w:val="0"/>
          <w:szCs w:val="16"/>
          <w:lang w:val="en-US"/>
        </w:rPr>
        <w:t xml:space="preserve"> </w:t>
      </w:r>
      <w:r w:rsidRPr="00BA61B2">
        <w:rPr>
          <w:rFonts w:eastAsia="Verdana" w:cs="Verdana"/>
          <w:noProof w:val="0"/>
          <w:szCs w:val="16"/>
          <w:lang w:val="en-US"/>
        </w:rPr>
        <w:t>48</w:t>
      </w:r>
      <w:r w:rsidRPr="00BA61B2">
        <w:rPr>
          <w:rFonts w:eastAsia="Verdana" w:cs="Verdana"/>
          <w:noProof w:val="0"/>
          <w:spacing w:val="2"/>
          <w:szCs w:val="16"/>
          <w:lang w:val="en-US"/>
        </w:rPr>
        <w:t>.</w:t>
      </w:r>
    </w:p>
  </w:footnote>
  <w:footnote w:id="31">
    <w:p w14:paraId="45073535" w14:textId="77777777" w:rsidR="00432906" w:rsidRPr="00BA61B2" w:rsidRDefault="00432906" w:rsidP="007B0DE4">
      <w:pPr>
        <w:pStyle w:val="Textonotapie"/>
        <w:rPr>
          <w:noProof w:val="0"/>
          <w:lang w:val="en-US"/>
        </w:rPr>
      </w:pPr>
      <w:r w:rsidRPr="00BA61B2">
        <w:rPr>
          <w:rStyle w:val="Refdenotaalpie"/>
          <w:noProof w:val="0"/>
          <w:lang w:val="en-US"/>
        </w:rPr>
        <w:footnoteRef/>
      </w:r>
      <w:r w:rsidRPr="00BA61B2">
        <w:rPr>
          <w:noProof w:val="0"/>
          <w:lang w:val="en-US"/>
        </w:rPr>
        <w:t xml:space="preserve"> </w:t>
      </w:r>
      <w:r w:rsidRPr="00BA61B2">
        <w:rPr>
          <w:noProof w:val="0"/>
          <w:lang w:val="en-US"/>
        </w:rPr>
        <w:tab/>
      </w:r>
      <w:r w:rsidRPr="00BA61B2">
        <w:rPr>
          <w:rFonts w:eastAsia="Verdana" w:cs="Verdana"/>
          <w:i/>
          <w:noProof w:val="0"/>
          <w:szCs w:val="16"/>
          <w:lang w:val="en-US"/>
        </w:rPr>
        <w:t>Cf.</w:t>
      </w:r>
      <w:r w:rsidRPr="00BA61B2">
        <w:rPr>
          <w:rFonts w:eastAsia="Verdana" w:cs="Verdana"/>
          <w:noProof w:val="0"/>
          <w:spacing w:val="24"/>
          <w:szCs w:val="16"/>
          <w:lang w:val="en-US"/>
        </w:rPr>
        <w:t xml:space="preserve"> </w:t>
      </w:r>
      <w:r w:rsidRPr="00BA61B2">
        <w:rPr>
          <w:i/>
          <w:noProof w:val="0"/>
          <w:lang w:val="en-US"/>
        </w:rPr>
        <w:t xml:space="preserve">Case of Wong Ho Wing v. Peru, </w:t>
      </w:r>
      <w:r w:rsidRPr="00BA61B2">
        <w:rPr>
          <w:noProof w:val="0"/>
          <w:lang w:val="en-US"/>
        </w:rPr>
        <w:t>para. 27.</w:t>
      </w:r>
    </w:p>
  </w:footnote>
  <w:footnote w:id="32">
    <w:p w14:paraId="40911B61" w14:textId="77777777" w:rsidR="00432906" w:rsidRPr="00BA61B2" w:rsidRDefault="00432906" w:rsidP="007B0DE4">
      <w:pPr>
        <w:pStyle w:val="Textonotapie"/>
        <w:rPr>
          <w:noProof w:val="0"/>
          <w:lang w:val="en-US"/>
        </w:rPr>
      </w:pPr>
      <w:r w:rsidRPr="00BA61B2">
        <w:rPr>
          <w:rStyle w:val="Refdenotaalpie"/>
          <w:noProof w:val="0"/>
          <w:lang w:val="en-US"/>
        </w:rPr>
        <w:footnoteRef/>
      </w:r>
      <w:r w:rsidRPr="00BA61B2">
        <w:rPr>
          <w:noProof w:val="0"/>
          <w:lang w:val="en-US"/>
        </w:rPr>
        <w:t xml:space="preserve"> </w:t>
      </w:r>
      <w:r w:rsidRPr="00BA61B2">
        <w:rPr>
          <w:noProof w:val="0"/>
          <w:lang w:val="en-US"/>
        </w:rPr>
        <w:tab/>
      </w:r>
      <w:r>
        <w:rPr>
          <w:noProof w:val="0"/>
          <w:lang w:val="en-US"/>
        </w:rPr>
        <w:t xml:space="preserve">Specifically, it </w:t>
      </w:r>
      <w:r w:rsidRPr="00BA61B2">
        <w:rPr>
          <w:noProof w:val="0"/>
          <w:lang w:val="en-US"/>
        </w:rPr>
        <w:t>men</w:t>
      </w:r>
      <w:r>
        <w:rPr>
          <w:noProof w:val="0"/>
          <w:lang w:val="en-US"/>
        </w:rPr>
        <w:t xml:space="preserve">tioned </w:t>
      </w:r>
      <w:r w:rsidRPr="00BA61B2">
        <w:rPr>
          <w:noProof w:val="0"/>
          <w:lang w:val="en-US"/>
        </w:rPr>
        <w:t xml:space="preserve">the following: a) Judgment C-075 of 2007 </w:t>
      </w:r>
      <w:r>
        <w:rPr>
          <w:noProof w:val="0"/>
          <w:lang w:val="en-US"/>
        </w:rPr>
        <w:t xml:space="preserve">which declared </w:t>
      </w:r>
      <w:r w:rsidRPr="00BA61B2">
        <w:rPr>
          <w:noProof w:val="0"/>
          <w:lang w:val="en-US"/>
        </w:rPr>
        <w:t>the</w:t>
      </w:r>
      <w:r>
        <w:rPr>
          <w:noProof w:val="0"/>
          <w:lang w:val="en-US"/>
        </w:rPr>
        <w:t xml:space="preserve"> </w:t>
      </w:r>
      <w:r w:rsidRPr="008E2B48">
        <w:rPr>
          <w:i/>
          <w:noProof w:val="0"/>
          <w:lang w:val="en-US"/>
        </w:rPr>
        <w:t>conditional enforceability</w:t>
      </w:r>
      <w:r w:rsidRPr="00BA61B2">
        <w:rPr>
          <w:i/>
          <w:noProof w:val="0"/>
          <w:lang w:val="en-US"/>
        </w:rPr>
        <w:t xml:space="preserve"> </w:t>
      </w:r>
      <w:r w:rsidRPr="00BA61B2">
        <w:rPr>
          <w:noProof w:val="0"/>
          <w:lang w:val="en-US"/>
        </w:rPr>
        <w:t>of Law 54 of 1990</w:t>
      </w:r>
      <w:r>
        <w:rPr>
          <w:noProof w:val="0"/>
          <w:lang w:val="en-US"/>
        </w:rPr>
        <w:t>,</w:t>
      </w:r>
      <w:r w:rsidRPr="00BA61B2">
        <w:rPr>
          <w:noProof w:val="0"/>
          <w:lang w:val="en-US"/>
        </w:rPr>
        <w:t xml:space="preserve"> “</w:t>
      </w:r>
      <w:r>
        <w:rPr>
          <w:noProof w:val="0"/>
          <w:lang w:val="en-US"/>
        </w:rPr>
        <w:t xml:space="preserve">Definition of </w:t>
      </w:r>
      <w:r w:rsidRPr="0003359C">
        <w:rPr>
          <w:i/>
          <w:noProof w:val="0"/>
          <w:lang w:val="en-US"/>
        </w:rPr>
        <w:t>de facto</w:t>
      </w:r>
      <w:r>
        <w:rPr>
          <w:noProof w:val="0"/>
          <w:lang w:val="en-US"/>
        </w:rPr>
        <w:t xml:space="preserve"> marital unions </w:t>
      </w:r>
      <w:r w:rsidRPr="00BA61B2">
        <w:rPr>
          <w:noProof w:val="0"/>
          <w:lang w:val="en-US"/>
        </w:rPr>
        <w:t xml:space="preserve">and </w:t>
      </w:r>
      <w:r>
        <w:rPr>
          <w:noProof w:val="0"/>
          <w:lang w:val="en-US"/>
        </w:rPr>
        <w:t xml:space="preserve">property rights </w:t>
      </w:r>
      <w:r w:rsidRPr="00BA61B2">
        <w:rPr>
          <w:noProof w:val="0"/>
          <w:lang w:val="en-US"/>
        </w:rPr>
        <w:t>between permanent partners</w:t>
      </w:r>
      <w:r>
        <w:rPr>
          <w:noProof w:val="0"/>
          <w:lang w:val="en-US"/>
        </w:rPr>
        <w:t>.”</w:t>
      </w:r>
      <w:r w:rsidRPr="00BA61B2">
        <w:rPr>
          <w:noProof w:val="0"/>
          <w:lang w:val="en-US"/>
        </w:rPr>
        <w:t xml:space="preserve"> </w:t>
      </w:r>
      <w:r>
        <w:rPr>
          <w:noProof w:val="0"/>
          <w:lang w:val="en-US"/>
        </w:rPr>
        <w:t xml:space="preserve">It stated </w:t>
      </w:r>
      <w:r w:rsidRPr="00BA61B2">
        <w:rPr>
          <w:noProof w:val="0"/>
          <w:lang w:val="en-US"/>
        </w:rPr>
        <w:t>that “</w:t>
      </w:r>
      <w:r>
        <w:rPr>
          <w:noProof w:val="0"/>
          <w:lang w:val="en-US"/>
        </w:rPr>
        <w:t xml:space="preserve">the </w:t>
      </w:r>
      <w:r w:rsidRPr="00BA61B2">
        <w:rPr>
          <w:noProof w:val="0"/>
          <w:lang w:val="en-US"/>
        </w:rPr>
        <w:t xml:space="preserve">protection </w:t>
      </w:r>
      <w:r>
        <w:rPr>
          <w:noProof w:val="0"/>
          <w:lang w:val="en-US"/>
        </w:rPr>
        <w:t xml:space="preserve">system established herein </w:t>
      </w:r>
      <w:r w:rsidRPr="00BA61B2">
        <w:rPr>
          <w:noProof w:val="0"/>
          <w:lang w:val="en-US"/>
        </w:rPr>
        <w:t>also applies to homosexual couples</w:t>
      </w:r>
      <w:r>
        <w:rPr>
          <w:noProof w:val="0"/>
          <w:lang w:val="en-US"/>
        </w:rPr>
        <w:t>.”</w:t>
      </w:r>
      <w:r w:rsidRPr="00BA61B2">
        <w:rPr>
          <w:noProof w:val="0"/>
          <w:lang w:val="en-US"/>
        </w:rPr>
        <w:t xml:space="preserve"> </w:t>
      </w:r>
      <w:r w:rsidRPr="00BA61B2">
        <w:rPr>
          <w:i/>
          <w:noProof w:val="0"/>
          <w:lang w:val="en-US"/>
        </w:rPr>
        <w:t>Cf.</w:t>
      </w:r>
      <w:r w:rsidRPr="00BA61B2">
        <w:rPr>
          <w:noProof w:val="0"/>
          <w:lang w:val="en-US"/>
        </w:rPr>
        <w:t xml:space="preserve"> Constitutional Court of Colombia, Judgment C-075 of 2007 (evidence file, folios 1866 </w:t>
      </w:r>
      <w:r>
        <w:rPr>
          <w:noProof w:val="0"/>
          <w:lang w:val="en-US"/>
        </w:rPr>
        <w:t>et seq.</w:t>
      </w:r>
      <w:r w:rsidRPr="00BA61B2">
        <w:rPr>
          <w:noProof w:val="0"/>
          <w:lang w:val="en-US"/>
        </w:rPr>
        <w:t>); b) Judgment C-811 of 2007</w:t>
      </w:r>
      <w:r>
        <w:rPr>
          <w:noProof w:val="0"/>
          <w:lang w:val="en-US"/>
        </w:rPr>
        <w:t>, which</w:t>
      </w:r>
      <w:r w:rsidRPr="00BA61B2">
        <w:rPr>
          <w:noProof w:val="0"/>
          <w:lang w:val="en-US"/>
        </w:rPr>
        <w:t xml:space="preserve"> </w:t>
      </w:r>
      <w:r>
        <w:rPr>
          <w:noProof w:val="0"/>
          <w:lang w:val="en-US"/>
        </w:rPr>
        <w:t>d</w:t>
      </w:r>
      <w:r w:rsidRPr="00BA61B2">
        <w:rPr>
          <w:noProof w:val="0"/>
          <w:lang w:val="en-US"/>
        </w:rPr>
        <w:t>eclar</w:t>
      </w:r>
      <w:r>
        <w:rPr>
          <w:noProof w:val="0"/>
          <w:lang w:val="en-US"/>
        </w:rPr>
        <w:t xml:space="preserve">ed </w:t>
      </w:r>
      <w:r w:rsidRPr="00BA61B2">
        <w:rPr>
          <w:noProof w:val="0"/>
          <w:lang w:val="en-US"/>
        </w:rPr>
        <w:t xml:space="preserve">the </w:t>
      </w:r>
      <w:r w:rsidRPr="00A57A49">
        <w:rPr>
          <w:i/>
          <w:noProof w:val="0"/>
          <w:lang w:val="en-US"/>
        </w:rPr>
        <w:t>conditional enforceability</w:t>
      </w:r>
      <w:r w:rsidRPr="00BA61B2">
        <w:rPr>
          <w:noProof w:val="0"/>
          <w:lang w:val="en-US"/>
        </w:rPr>
        <w:t xml:space="preserve"> of Article 63 of Law 100 of 1993</w:t>
      </w:r>
      <w:r>
        <w:rPr>
          <w:noProof w:val="0"/>
          <w:lang w:val="en-US"/>
        </w:rPr>
        <w:t>,</w:t>
      </w:r>
      <w:r w:rsidRPr="00BA61B2">
        <w:rPr>
          <w:noProof w:val="0"/>
          <w:lang w:val="en-US"/>
        </w:rPr>
        <w:t xml:space="preserve"> </w:t>
      </w:r>
      <w:r>
        <w:rPr>
          <w:noProof w:val="0"/>
          <w:lang w:val="en-US"/>
        </w:rPr>
        <w:t xml:space="preserve">namely, </w:t>
      </w:r>
      <w:r w:rsidRPr="00BA61B2">
        <w:rPr>
          <w:noProof w:val="0"/>
          <w:lang w:val="en-US"/>
        </w:rPr>
        <w:t xml:space="preserve">that </w:t>
      </w:r>
      <w:r>
        <w:rPr>
          <w:noProof w:val="0"/>
          <w:lang w:val="en-US"/>
        </w:rPr>
        <w:t xml:space="preserve">the </w:t>
      </w:r>
      <w:r w:rsidRPr="00BA61B2">
        <w:rPr>
          <w:noProof w:val="0"/>
          <w:lang w:val="en-US"/>
        </w:rPr>
        <w:t xml:space="preserve">protection </w:t>
      </w:r>
      <w:r>
        <w:rPr>
          <w:noProof w:val="0"/>
          <w:lang w:val="en-US"/>
        </w:rPr>
        <w:t xml:space="preserve">system also applies to </w:t>
      </w:r>
      <w:r w:rsidRPr="00BA61B2">
        <w:rPr>
          <w:noProof w:val="0"/>
          <w:lang w:val="en-US"/>
        </w:rPr>
        <w:t>same-sex couples</w:t>
      </w:r>
      <w:r>
        <w:rPr>
          <w:noProof w:val="0"/>
          <w:lang w:val="en-US"/>
        </w:rPr>
        <w:t xml:space="preserve"> affiliated to </w:t>
      </w:r>
      <w:r w:rsidRPr="00BA61B2">
        <w:rPr>
          <w:noProof w:val="0"/>
          <w:lang w:val="en-US"/>
        </w:rPr>
        <w:t>the contribut</w:t>
      </w:r>
      <w:r>
        <w:rPr>
          <w:noProof w:val="0"/>
          <w:lang w:val="en-US"/>
        </w:rPr>
        <w:t xml:space="preserve">ory scheme </w:t>
      </w:r>
      <w:r w:rsidRPr="00BA61B2">
        <w:rPr>
          <w:noProof w:val="0"/>
          <w:lang w:val="en-US"/>
        </w:rPr>
        <w:t>of the Gen</w:t>
      </w:r>
      <w:r>
        <w:rPr>
          <w:noProof w:val="0"/>
          <w:lang w:val="en-US"/>
        </w:rPr>
        <w:t xml:space="preserve">eral Social Security System </w:t>
      </w:r>
      <w:r w:rsidRPr="00BA61B2">
        <w:rPr>
          <w:noProof w:val="0"/>
          <w:lang w:val="en-US"/>
        </w:rPr>
        <w:t>Health</w:t>
      </w:r>
      <w:r>
        <w:rPr>
          <w:noProof w:val="0"/>
          <w:lang w:val="en-US"/>
        </w:rPr>
        <w:t xml:space="preserve"> Services</w:t>
      </w:r>
      <w:r w:rsidRPr="00BA61B2">
        <w:rPr>
          <w:noProof w:val="0"/>
          <w:lang w:val="en-US"/>
        </w:rPr>
        <w:t xml:space="preserve">. </w:t>
      </w:r>
      <w:r w:rsidRPr="00BA61B2">
        <w:rPr>
          <w:i/>
          <w:noProof w:val="0"/>
          <w:lang w:val="en-US"/>
        </w:rPr>
        <w:t>Cf.</w:t>
      </w:r>
      <w:r w:rsidRPr="00BA61B2">
        <w:rPr>
          <w:noProof w:val="0"/>
          <w:lang w:val="en-US"/>
        </w:rPr>
        <w:t xml:space="preserve"> Constitutional Court of Colom</w:t>
      </w:r>
      <w:r>
        <w:rPr>
          <w:noProof w:val="0"/>
          <w:lang w:val="en-US"/>
        </w:rPr>
        <w:t>bia, J</w:t>
      </w:r>
      <w:r w:rsidRPr="00BA61B2">
        <w:rPr>
          <w:noProof w:val="0"/>
          <w:lang w:val="en-US"/>
        </w:rPr>
        <w:t xml:space="preserve">udgment C-811 of 2007 (evidence file, folios 1955 </w:t>
      </w:r>
      <w:r>
        <w:rPr>
          <w:noProof w:val="0"/>
          <w:lang w:val="en-US"/>
        </w:rPr>
        <w:t>et seq.</w:t>
      </w:r>
      <w:r w:rsidRPr="00BA61B2">
        <w:rPr>
          <w:noProof w:val="0"/>
          <w:lang w:val="en-US"/>
        </w:rPr>
        <w:t xml:space="preserve">); c) Judgment C-336 of 2008 </w:t>
      </w:r>
      <w:r>
        <w:rPr>
          <w:noProof w:val="0"/>
          <w:lang w:val="en-US"/>
        </w:rPr>
        <w:t xml:space="preserve">which </w:t>
      </w:r>
      <w:r w:rsidRPr="00BA61B2">
        <w:rPr>
          <w:noProof w:val="0"/>
          <w:lang w:val="en-US"/>
        </w:rPr>
        <w:t>declar</w:t>
      </w:r>
      <w:r>
        <w:rPr>
          <w:noProof w:val="0"/>
          <w:lang w:val="en-US"/>
        </w:rPr>
        <w:t xml:space="preserve">ed </w:t>
      </w:r>
      <w:r w:rsidRPr="00BA61B2">
        <w:rPr>
          <w:noProof w:val="0"/>
          <w:lang w:val="en-US"/>
        </w:rPr>
        <w:t xml:space="preserve">the </w:t>
      </w:r>
      <w:r w:rsidRPr="002756EA">
        <w:rPr>
          <w:i/>
          <w:noProof w:val="0"/>
          <w:lang w:val="en-US"/>
        </w:rPr>
        <w:t>conditional enforceability</w:t>
      </w:r>
      <w:r w:rsidRPr="00BA61B2">
        <w:rPr>
          <w:noProof w:val="0"/>
          <w:lang w:val="en-US"/>
        </w:rPr>
        <w:t xml:space="preserve"> of the </w:t>
      </w:r>
      <w:r>
        <w:rPr>
          <w:noProof w:val="0"/>
          <w:lang w:val="en-US"/>
        </w:rPr>
        <w:t xml:space="preserve">definitions of </w:t>
      </w:r>
      <w:r w:rsidRPr="002756EA">
        <w:rPr>
          <w:noProof w:val="0"/>
          <w:lang w:val="en-US"/>
        </w:rPr>
        <w:t>permanent</w:t>
      </w:r>
      <w:r>
        <w:rPr>
          <w:noProof w:val="0"/>
          <w:lang w:val="en-US"/>
        </w:rPr>
        <w:t xml:space="preserve"> </w:t>
      </w:r>
      <w:r w:rsidRPr="002756EA">
        <w:rPr>
          <w:noProof w:val="0"/>
          <w:lang w:val="en-US"/>
        </w:rPr>
        <w:t xml:space="preserve">spouse </w:t>
      </w:r>
      <w:r>
        <w:rPr>
          <w:noProof w:val="0"/>
          <w:lang w:val="en-US"/>
        </w:rPr>
        <w:t>or</w:t>
      </w:r>
      <w:r w:rsidRPr="00BA61B2">
        <w:rPr>
          <w:noProof w:val="0"/>
          <w:lang w:val="en-US"/>
        </w:rPr>
        <w:t xml:space="preserve"> partner</w:t>
      </w:r>
      <w:r>
        <w:rPr>
          <w:noProof w:val="0"/>
          <w:lang w:val="en-US"/>
        </w:rPr>
        <w:t xml:space="preserve"> (</w:t>
      </w:r>
      <w:r w:rsidRPr="002756EA">
        <w:rPr>
          <w:rFonts w:eastAsiaTheme="minorHAnsi" w:cs="Arial"/>
          <w:i/>
          <w:iCs/>
          <w:lang w:val="en-GB"/>
        </w:rPr>
        <w:t>cónyuge o compañera o compañero permanente</w:t>
      </w:r>
      <w:r>
        <w:rPr>
          <w:noProof w:val="0"/>
          <w:lang w:val="en-US"/>
        </w:rPr>
        <w:t>)</w:t>
      </w:r>
      <w:r w:rsidRPr="00BA61B2">
        <w:rPr>
          <w:noProof w:val="0"/>
          <w:lang w:val="en-US"/>
        </w:rPr>
        <w:t xml:space="preserve"> contained in Article 47121 of Law 100 of 1993</w:t>
      </w:r>
      <w:r>
        <w:rPr>
          <w:noProof w:val="0"/>
          <w:lang w:val="en-US"/>
        </w:rPr>
        <w:t>,</w:t>
      </w:r>
      <w:r w:rsidRPr="00BA61B2">
        <w:rPr>
          <w:noProof w:val="0"/>
          <w:lang w:val="en-US"/>
        </w:rPr>
        <w:t xml:space="preserve"> </w:t>
      </w:r>
      <w:r>
        <w:rPr>
          <w:noProof w:val="0"/>
          <w:lang w:val="en-US"/>
        </w:rPr>
        <w:t xml:space="preserve">namely </w:t>
      </w:r>
      <w:r w:rsidRPr="00BA61B2">
        <w:rPr>
          <w:noProof w:val="0"/>
          <w:lang w:val="en-US"/>
        </w:rPr>
        <w:t xml:space="preserve">that </w:t>
      </w:r>
      <w:r>
        <w:rPr>
          <w:noProof w:val="0"/>
          <w:lang w:val="en-US"/>
        </w:rPr>
        <w:t xml:space="preserve">permanent same-sex couples are also </w:t>
      </w:r>
      <w:r w:rsidRPr="00BA61B2">
        <w:rPr>
          <w:noProof w:val="0"/>
          <w:lang w:val="en-US"/>
        </w:rPr>
        <w:t xml:space="preserve">beneficiaries of the survivor’s pension </w:t>
      </w:r>
      <w:r w:rsidRPr="00BA61B2">
        <w:rPr>
          <w:i/>
          <w:noProof w:val="0"/>
          <w:lang w:val="en-US"/>
        </w:rPr>
        <w:t>Cf.</w:t>
      </w:r>
      <w:r w:rsidRPr="00BA61B2">
        <w:rPr>
          <w:noProof w:val="0"/>
          <w:lang w:val="en-US"/>
        </w:rPr>
        <w:t xml:space="preserve"> Con</w:t>
      </w:r>
      <w:r>
        <w:rPr>
          <w:noProof w:val="0"/>
          <w:lang w:val="en-US"/>
        </w:rPr>
        <w:t>stitutional Court of Colombia, J</w:t>
      </w:r>
      <w:r w:rsidRPr="00BA61B2">
        <w:rPr>
          <w:noProof w:val="0"/>
          <w:lang w:val="en-US"/>
        </w:rPr>
        <w:t xml:space="preserve">udgment C-336 of 2008 (evidence file, folios 2006 </w:t>
      </w:r>
      <w:r>
        <w:rPr>
          <w:noProof w:val="0"/>
          <w:lang w:val="en-US"/>
        </w:rPr>
        <w:t>et seq.</w:t>
      </w:r>
      <w:r w:rsidRPr="00BA61B2">
        <w:rPr>
          <w:noProof w:val="0"/>
          <w:lang w:val="en-US"/>
        </w:rPr>
        <w:t xml:space="preserve">); d) </w:t>
      </w:r>
      <w:r>
        <w:rPr>
          <w:noProof w:val="0"/>
          <w:lang w:val="en-US"/>
        </w:rPr>
        <w:t>Judgment T</w:t>
      </w:r>
      <w:r w:rsidRPr="00BA61B2">
        <w:rPr>
          <w:noProof w:val="0"/>
          <w:lang w:val="en-US"/>
        </w:rPr>
        <w:t>-051 of 2010</w:t>
      </w:r>
      <w:r>
        <w:rPr>
          <w:noProof w:val="0"/>
          <w:lang w:val="en-US"/>
        </w:rPr>
        <w:t>,</w:t>
      </w:r>
      <w:r w:rsidRPr="00BA61B2">
        <w:rPr>
          <w:noProof w:val="0"/>
          <w:lang w:val="en-US"/>
        </w:rPr>
        <w:t xml:space="preserve"> </w:t>
      </w:r>
      <w:r>
        <w:rPr>
          <w:noProof w:val="0"/>
          <w:lang w:val="en-US"/>
        </w:rPr>
        <w:t xml:space="preserve">which established that </w:t>
      </w:r>
      <w:r w:rsidRPr="00BA61B2">
        <w:rPr>
          <w:noProof w:val="0"/>
          <w:lang w:val="en-US"/>
        </w:rPr>
        <w:t xml:space="preserve">Judgment C-336 of 2008 </w:t>
      </w:r>
      <w:r>
        <w:rPr>
          <w:noProof w:val="0"/>
          <w:lang w:val="en-US"/>
        </w:rPr>
        <w:t xml:space="preserve">should </w:t>
      </w:r>
      <w:r w:rsidRPr="00BA61B2">
        <w:rPr>
          <w:noProof w:val="0"/>
          <w:lang w:val="en-US"/>
        </w:rPr>
        <w:t xml:space="preserve">also </w:t>
      </w:r>
      <w:r>
        <w:rPr>
          <w:noProof w:val="0"/>
          <w:lang w:val="en-US"/>
        </w:rPr>
        <w:t xml:space="preserve">be applied in </w:t>
      </w:r>
      <w:r w:rsidRPr="00BA61B2">
        <w:rPr>
          <w:noProof w:val="0"/>
          <w:lang w:val="en-US"/>
        </w:rPr>
        <w:t xml:space="preserve">cases </w:t>
      </w:r>
      <w:r>
        <w:rPr>
          <w:noProof w:val="0"/>
          <w:lang w:val="en-US"/>
        </w:rPr>
        <w:t xml:space="preserve">where </w:t>
      </w:r>
      <w:r w:rsidRPr="00BA61B2">
        <w:rPr>
          <w:noProof w:val="0"/>
          <w:lang w:val="en-US"/>
        </w:rPr>
        <w:t xml:space="preserve">the death of </w:t>
      </w:r>
      <w:r>
        <w:rPr>
          <w:noProof w:val="0"/>
          <w:lang w:val="en-US"/>
        </w:rPr>
        <w:t>a spouse or partner occurred prior to that ruling</w:t>
      </w:r>
      <w:r w:rsidRPr="00BA61B2">
        <w:rPr>
          <w:noProof w:val="0"/>
          <w:lang w:val="en-US"/>
        </w:rPr>
        <w:t xml:space="preserve">, and </w:t>
      </w:r>
      <w:r>
        <w:rPr>
          <w:noProof w:val="0"/>
          <w:lang w:val="en-US"/>
        </w:rPr>
        <w:t xml:space="preserve">recognized </w:t>
      </w:r>
      <w:r w:rsidRPr="00A76272">
        <w:rPr>
          <w:noProof w:val="0"/>
          <w:lang w:val="en-US"/>
        </w:rPr>
        <w:t xml:space="preserve">means of evidence other than a sworn statement before a notary public by the interested parties to certify the union between </w:t>
      </w:r>
      <w:r>
        <w:rPr>
          <w:noProof w:val="0"/>
          <w:lang w:val="en-US"/>
        </w:rPr>
        <w:t xml:space="preserve">same-sex couples. </w:t>
      </w:r>
      <w:r w:rsidRPr="00BA61B2">
        <w:rPr>
          <w:i/>
          <w:noProof w:val="0"/>
          <w:lang w:val="en-US"/>
        </w:rPr>
        <w:t>Cf.</w:t>
      </w:r>
      <w:r w:rsidRPr="00BA61B2">
        <w:rPr>
          <w:noProof w:val="0"/>
          <w:lang w:val="en-US"/>
        </w:rPr>
        <w:t xml:space="preserve"> Constitutional Court of Colombia, </w:t>
      </w:r>
      <w:r>
        <w:rPr>
          <w:noProof w:val="0"/>
          <w:lang w:val="en-US"/>
        </w:rPr>
        <w:t>Judgment T</w:t>
      </w:r>
      <w:r w:rsidRPr="00BA61B2">
        <w:rPr>
          <w:noProof w:val="0"/>
          <w:lang w:val="en-US"/>
        </w:rPr>
        <w:t xml:space="preserve">-051 of 2010 (evidence file, folios 2228 </w:t>
      </w:r>
      <w:r>
        <w:rPr>
          <w:noProof w:val="0"/>
          <w:lang w:val="en-US"/>
        </w:rPr>
        <w:t>et seq.</w:t>
      </w:r>
      <w:r w:rsidRPr="00BA61B2">
        <w:rPr>
          <w:noProof w:val="0"/>
          <w:lang w:val="en-US"/>
        </w:rPr>
        <w:t xml:space="preserve">); e) </w:t>
      </w:r>
      <w:r>
        <w:rPr>
          <w:noProof w:val="0"/>
          <w:lang w:val="en-US"/>
        </w:rPr>
        <w:t>Judgment T</w:t>
      </w:r>
      <w:r w:rsidRPr="00BA61B2">
        <w:rPr>
          <w:noProof w:val="0"/>
          <w:lang w:val="en-US"/>
        </w:rPr>
        <w:t>-592 of 2010</w:t>
      </w:r>
      <w:r>
        <w:rPr>
          <w:noProof w:val="0"/>
          <w:lang w:val="en-US"/>
        </w:rPr>
        <w:t>, which</w:t>
      </w:r>
      <w:r w:rsidRPr="00BA61B2">
        <w:rPr>
          <w:noProof w:val="0"/>
          <w:lang w:val="en-US"/>
        </w:rPr>
        <w:t xml:space="preserve"> </w:t>
      </w:r>
      <w:r>
        <w:rPr>
          <w:noProof w:val="0"/>
          <w:lang w:val="en-US"/>
        </w:rPr>
        <w:t>r</w:t>
      </w:r>
      <w:r w:rsidRPr="00BA61B2">
        <w:rPr>
          <w:noProof w:val="0"/>
          <w:lang w:val="en-US"/>
        </w:rPr>
        <w:t xml:space="preserve">eaffirmed that Judgment C-336 of 2008 should be applied to cases in which the </w:t>
      </w:r>
      <w:r>
        <w:rPr>
          <w:noProof w:val="0"/>
          <w:lang w:val="en-US"/>
        </w:rPr>
        <w:t xml:space="preserve">partner’s </w:t>
      </w:r>
      <w:r w:rsidRPr="00BA61B2">
        <w:rPr>
          <w:noProof w:val="0"/>
          <w:lang w:val="en-US"/>
        </w:rPr>
        <w:t xml:space="preserve">death </w:t>
      </w:r>
      <w:r w:rsidRPr="00A76272">
        <w:rPr>
          <w:noProof w:val="0"/>
          <w:lang w:val="en-US"/>
        </w:rPr>
        <w:t xml:space="preserve">occurred prior to </w:t>
      </w:r>
      <w:r>
        <w:rPr>
          <w:noProof w:val="0"/>
          <w:lang w:val="en-US"/>
        </w:rPr>
        <w:t xml:space="preserve">that ruling </w:t>
      </w:r>
      <w:r w:rsidRPr="00BA61B2">
        <w:rPr>
          <w:noProof w:val="0"/>
          <w:lang w:val="en-US"/>
        </w:rPr>
        <w:t xml:space="preserve">and reiterated that all </w:t>
      </w:r>
      <w:r>
        <w:rPr>
          <w:noProof w:val="0"/>
          <w:lang w:val="en-US"/>
        </w:rPr>
        <w:t xml:space="preserve">the </w:t>
      </w:r>
      <w:r w:rsidRPr="00BA61B2">
        <w:rPr>
          <w:noProof w:val="0"/>
          <w:lang w:val="en-US"/>
        </w:rPr>
        <w:t xml:space="preserve">means of evidence available to heterosexual couples </w:t>
      </w:r>
      <w:r>
        <w:rPr>
          <w:noProof w:val="0"/>
          <w:lang w:val="en-US"/>
        </w:rPr>
        <w:t xml:space="preserve">must be made available to homosexual couples </w:t>
      </w:r>
      <w:r w:rsidRPr="00BA61B2">
        <w:rPr>
          <w:noProof w:val="0"/>
          <w:lang w:val="en-US"/>
        </w:rPr>
        <w:t xml:space="preserve">when they wish to </w:t>
      </w:r>
      <w:r>
        <w:rPr>
          <w:noProof w:val="0"/>
          <w:lang w:val="en-US"/>
        </w:rPr>
        <w:t xml:space="preserve">certify </w:t>
      </w:r>
      <w:r w:rsidRPr="00BA61B2">
        <w:rPr>
          <w:noProof w:val="0"/>
          <w:lang w:val="en-US"/>
        </w:rPr>
        <w:t xml:space="preserve">their status as permanent partners </w:t>
      </w:r>
      <w:r w:rsidRPr="00BA61B2">
        <w:rPr>
          <w:i/>
          <w:noProof w:val="0"/>
          <w:lang w:val="en-US"/>
        </w:rPr>
        <w:t>Cf.</w:t>
      </w:r>
      <w:r w:rsidRPr="00BA61B2">
        <w:rPr>
          <w:noProof w:val="0"/>
          <w:lang w:val="en-US"/>
        </w:rPr>
        <w:t xml:space="preserve"> Constitutional Court of Colombia, </w:t>
      </w:r>
      <w:r>
        <w:rPr>
          <w:noProof w:val="0"/>
          <w:lang w:val="en-US"/>
        </w:rPr>
        <w:t>Judgment T</w:t>
      </w:r>
      <w:r w:rsidRPr="00BA61B2">
        <w:rPr>
          <w:noProof w:val="0"/>
          <w:lang w:val="en-US"/>
        </w:rPr>
        <w:t xml:space="preserve">-592 of 2010 (evidence file, folios 2275 </w:t>
      </w:r>
      <w:r>
        <w:rPr>
          <w:noProof w:val="0"/>
          <w:lang w:val="en-US"/>
        </w:rPr>
        <w:t>et seq.</w:t>
      </w:r>
      <w:r w:rsidRPr="00BA61B2">
        <w:rPr>
          <w:noProof w:val="0"/>
          <w:lang w:val="en-US"/>
        </w:rPr>
        <w:t xml:space="preserve">), and f) </w:t>
      </w:r>
      <w:r>
        <w:rPr>
          <w:noProof w:val="0"/>
          <w:lang w:val="en-US"/>
        </w:rPr>
        <w:t>Judgment T-716 of 2011 and Judgment</w:t>
      </w:r>
      <w:r w:rsidRPr="00BA61B2">
        <w:rPr>
          <w:noProof w:val="0"/>
          <w:lang w:val="en-US"/>
        </w:rPr>
        <w:t xml:space="preserve"> T-860 of 2011</w:t>
      </w:r>
      <w:r>
        <w:rPr>
          <w:noProof w:val="0"/>
          <w:lang w:val="en-US"/>
        </w:rPr>
        <w:t xml:space="preserve">, reaffirming </w:t>
      </w:r>
      <w:r w:rsidRPr="00BA61B2">
        <w:rPr>
          <w:noProof w:val="0"/>
          <w:lang w:val="en-US"/>
        </w:rPr>
        <w:t xml:space="preserve">the </w:t>
      </w:r>
      <w:r>
        <w:rPr>
          <w:noProof w:val="0"/>
          <w:lang w:val="en-US"/>
        </w:rPr>
        <w:t xml:space="preserve">aforementioned criteria </w:t>
      </w:r>
      <w:r w:rsidRPr="00BA61B2">
        <w:rPr>
          <w:noProof w:val="0"/>
          <w:lang w:val="en-US"/>
        </w:rPr>
        <w:t xml:space="preserve">on </w:t>
      </w:r>
      <w:r>
        <w:rPr>
          <w:noProof w:val="0"/>
          <w:lang w:val="en-US"/>
        </w:rPr>
        <w:t xml:space="preserve">means of evidence </w:t>
      </w:r>
      <w:r w:rsidRPr="00BA61B2">
        <w:rPr>
          <w:noProof w:val="0"/>
          <w:lang w:val="en-US"/>
        </w:rPr>
        <w:t xml:space="preserve">and </w:t>
      </w:r>
      <w:r>
        <w:rPr>
          <w:noProof w:val="0"/>
          <w:lang w:val="en-US"/>
        </w:rPr>
        <w:t xml:space="preserve">on </w:t>
      </w:r>
      <w:r w:rsidRPr="00BA61B2">
        <w:rPr>
          <w:noProof w:val="0"/>
          <w:lang w:val="en-US"/>
        </w:rPr>
        <w:t>the retroactiv</w:t>
      </w:r>
      <w:r>
        <w:rPr>
          <w:noProof w:val="0"/>
          <w:lang w:val="en-US"/>
        </w:rPr>
        <w:t xml:space="preserve">e effects of </w:t>
      </w:r>
      <w:r w:rsidRPr="00BA61B2">
        <w:rPr>
          <w:noProof w:val="0"/>
          <w:lang w:val="en-US"/>
        </w:rPr>
        <w:t xml:space="preserve">Judgment C-336 of 2008 </w:t>
      </w:r>
      <w:r w:rsidRPr="00BA61B2">
        <w:rPr>
          <w:i/>
          <w:noProof w:val="0"/>
          <w:lang w:val="en-US"/>
        </w:rPr>
        <w:t>Cf.</w:t>
      </w:r>
      <w:r w:rsidRPr="00BA61B2">
        <w:rPr>
          <w:noProof w:val="0"/>
          <w:lang w:val="en-US"/>
        </w:rPr>
        <w:t xml:space="preserve"> Constitutional Court of Colombia, Judgments T-716 of 2011 and T-860 of 2011 (evidence file, folios 2302 </w:t>
      </w:r>
      <w:r>
        <w:rPr>
          <w:noProof w:val="0"/>
          <w:lang w:val="en-US"/>
        </w:rPr>
        <w:t>et seq.</w:t>
      </w:r>
      <w:r w:rsidRPr="00BA61B2">
        <w:rPr>
          <w:noProof w:val="0"/>
          <w:lang w:val="en-US"/>
        </w:rPr>
        <w:t xml:space="preserve"> and 2354 </w:t>
      </w:r>
      <w:r>
        <w:rPr>
          <w:noProof w:val="0"/>
          <w:lang w:val="en-US"/>
        </w:rPr>
        <w:t>et seq.</w:t>
      </w:r>
      <w:r w:rsidRPr="00BA61B2">
        <w:rPr>
          <w:noProof w:val="0"/>
          <w:lang w:val="en-US"/>
        </w:rPr>
        <w:t>).</w:t>
      </w:r>
    </w:p>
  </w:footnote>
  <w:footnote w:id="33">
    <w:p w14:paraId="19D42C03" w14:textId="77777777" w:rsidR="00432906" w:rsidRPr="00BA61B2" w:rsidRDefault="00432906" w:rsidP="007B0DE4">
      <w:pPr>
        <w:pStyle w:val="Textonotapie"/>
        <w:rPr>
          <w:noProof w:val="0"/>
          <w:lang w:val="en-US"/>
        </w:rPr>
      </w:pPr>
      <w:r w:rsidRPr="00BA61B2">
        <w:rPr>
          <w:rStyle w:val="Refdenotaalpie"/>
          <w:noProof w:val="0"/>
          <w:lang w:val="en-US"/>
        </w:rPr>
        <w:footnoteRef/>
      </w:r>
      <w:r w:rsidRPr="00BA61B2">
        <w:rPr>
          <w:noProof w:val="0"/>
          <w:lang w:val="en-US"/>
        </w:rPr>
        <w:t xml:space="preserve"> </w:t>
      </w:r>
      <w:r w:rsidRPr="00BA61B2">
        <w:rPr>
          <w:noProof w:val="0"/>
          <w:lang w:val="en-US"/>
        </w:rPr>
        <w:tab/>
        <w:t>Brief of final written arguments of the State, September 25, 2015 (merits file, folio 3974).</w:t>
      </w:r>
    </w:p>
  </w:footnote>
  <w:footnote w:id="34">
    <w:p w14:paraId="7BA92569" w14:textId="77777777" w:rsidR="00432906" w:rsidRPr="00BA61B2" w:rsidRDefault="00432906" w:rsidP="007B0DE4">
      <w:pPr>
        <w:pStyle w:val="Textonotapie"/>
        <w:rPr>
          <w:noProof w:val="0"/>
          <w:lang w:val="en-US"/>
        </w:rPr>
      </w:pPr>
      <w:r w:rsidRPr="00BA61B2">
        <w:rPr>
          <w:rStyle w:val="Refdenotaalpie"/>
          <w:noProof w:val="0"/>
          <w:lang w:val="en-US"/>
        </w:rPr>
        <w:footnoteRef/>
      </w:r>
      <w:r w:rsidRPr="00BA61B2">
        <w:rPr>
          <w:noProof w:val="0"/>
          <w:lang w:val="en-US"/>
        </w:rPr>
        <w:t xml:space="preserve"> </w:t>
      </w:r>
      <w:r w:rsidRPr="00BA61B2">
        <w:rPr>
          <w:noProof w:val="0"/>
          <w:lang w:val="en-US"/>
        </w:rPr>
        <w:tab/>
      </w:r>
      <w:r w:rsidRPr="00BA61B2">
        <w:rPr>
          <w:rFonts w:eastAsia="Verdana" w:cs="Verdana"/>
          <w:i/>
          <w:noProof w:val="0"/>
          <w:szCs w:val="16"/>
          <w:lang w:val="en-US"/>
        </w:rPr>
        <w:t>Cf. Case of</w:t>
      </w:r>
      <w:r w:rsidRPr="00BA61B2">
        <w:rPr>
          <w:rFonts w:eastAsia="Verdana" w:cs="Verdana"/>
          <w:i/>
          <w:noProof w:val="0"/>
          <w:spacing w:val="2"/>
          <w:szCs w:val="16"/>
          <w:lang w:val="en-US"/>
        </w:rPr>
        <w:t xml:space="preserve"> </w:t>
      </w:r>
      <w:r w:rsidRPr="00BA61B2">
        <w:rPr>
          <w:rFonts w:eastAsia="Verdana" w:cs="Verdana"/>
          <w:i/>
          <w:noProof w:val="0"/>
          <w:spacing w:val="-1"/>
          <w:szCs w:val="16"/>
          <w:lang w:val="en-US"/>
        </w:rPr>
        <w:t>R</w:t>
      </w:r>
      <w:r w:rsidRPr="00BA61B2">
        <w:rPr>
          <w:rFonts w:eastAsia="Verdana" w:cs="Verdana"/>
          <w:i/>
          <w:noProof w:val="0"/>
          <w:szCs w:val="16"/>
          <w:lang w:val="en-US"/>
        </w:rPr>
        <w:t>e</w:t>
      </w:r>
      <w:r w:rsidRPr="00BA61B2">
        <w:rPr>
          <w:rFonts w:eastAsia="Verdana" w:cs="Verdana"/>
          <w:i/>
          <w:noProof w:val="0"/>
          <w:spacing w:val="-1"/>
          <w:szCs w:val="16"/>
          <w:lang w:val="en-US"/>
        </w:rPr>
        <w:t>v</w:t>
      </w:r>
      <w:r w:rsidRPr="00BA61B2">
        <w:rPr>
          <w:rFonts w:eastAsia="Verdana" w:cs="Verdana"/>
          <w:i/>
          <w:noProof w:val="0"/>
          <w:szCs w:val="16"/>
          <w:lang w:val="en-US"/>
        </w:rPr>
        <w:t>e</w:t>
      </w:r>
      <w:r w:rsidRPr="00BA61B2">
        <w:rPr>
          <w:rFonts w:eastAsia="Verdana" w:cs="Verdana"/>
          <w:i/>
          <w:noProof w:val="0"/>
          <w:spacing w:val="-1"/>
          <w:szCs w:val="16"/>
          <w:lang w:val="en-US"/>
        </w:rPr>
        <w:t>r</w:t>
      </w:r>
      <w:r w:rsidRPr="00BA61B2">
        <w:rPr>
          <w:rFonts w:eastAsia="Verdana" w:cs="Verdana"/>
          <w:i/>
          <w:noProof w:val="0"/>
          <w:spacing w:val="1"/>
          <w:szCs w:val="16"/>
          <w:lang w:val="en-US"/>
        </w:rPr>
        <w:t>ó</w:t>
      </w:r>
      <w:r w:rsidRPr="00BA61B2">
        <w:rPr>
          <w:rFonts w:eastAsia="Verdana" w:cs="Verdana"/>
          <w:i/>
          <w:noProof w:val="0"/>
          <w:szCs w:val="16"/>
          <w:lang w:val="en-US"/>
        </w:rPr>
        <w:t xml:space="preserve">n </w:t>
      </w:r>
      <w:r w:rsidRPr="00BA61B2">
        <w:rPr>
          <w:rFonts w:eastAsia="Verdana" w:cs="Verdana"/>
          <w:i/>
          <w:noProof w:val="0"/>
          <w:spacing w:val="-1"/>
          <w:szCs w:val="16"/>
          <w:lang w:val="en-US"/>
        </w:rPr>
        <w:t>T</w:t>
      </w:r>
      <w:r w:rsidRPr="00BA61B2">
        <w:rPr>
          <w:rFonts w:eastAsia="Verdana" w:cs="Verdana"/>
          <w:i/>
          <w:noProof w:val="0"/>
          <w:spacing w:val="1"/>
          <w:szCs w:val="16"/>
          <w:lang w:val="en-US"/>
        </w:rPr>
        <w:t>r</w:t>
      </w:r>
      <w:r w:rsidRPr="00BA61B2">
        <w:rPr>
          <w:rFonts w:eastAsia="Verdana" w:cs="Verdana"/>
          <w:i/>
          <w:noProof w:val="0"/>
          <w:spacing w:val="-1"/>
          <w:szCs w:val="16"/>
          <w:lang w:val="en-US"/>
        </w:rPr>
        <w:t>u</w:t>
      </w:r>
      <w:r w:rsidRPr="00BA61B2">
        <w:rPr>
          <w:rFonts w:eastAsia="Verdana" w:cs="Verdana"/>
          <w:i/>
          <w:noProof w:val="0"/>
          <w:szCs w:val="16"/>
          <w:lang w:val="en-US"/>
        </w:rPr>
        <w:t>j</w:t>
      </w:r>
      <w:r w:rsidRPr="00BA61B2">
        <w:rPr>
          <w:rFonts w:eastAsia="Verdana" w:cs="Verdana"/>
          <w:i/>
          <w:noProof w:val="0"/>
          <w:spacing w:val="-1"/>
          <w:szCs w:val="16"/>
          <w:lang w:val="en-US"/>
        </w:rPr>
        <w:t>ill</w:t>
      </w:r>
      <w:r w:rsidRPr="00BA61B2">
        <w:rPr>
          <w:rFonts w:eastAsia="Verdana" w:cs="Verdana"/>
          <w:i/>
          <w:noProof w:val="0"/>
          <w:szCs w:val="16"/>
          <w:lang w:val="en-US"/>
        </w:rPr>
        <w:t>o</w:t>
      </w:r>
      <w:r w:rsidRPr="00BA61B2">
        <w:rPr>
          <w:rFonts w:eastAsia="Verdana" w:cs="Verdana"/>
          <w:i/>
          <w:noProof w:val="0"/>
          <w:spacing w:val="2"/>
          <w:szCs w:val="16"/>
          <w:lang w:val="en-US"/>
        </w:rPr>
        <w:t xml:space="preserve"> </w:t>
      </w:r>
      <w:r w:rsidRPr="00BA61B2">
        <w:rPr>
          <w:rFonts w:eastAsia="Verdana" w:cs="Verdana"/>
          <w:i/>
          <w:noProof w:val="0"/>
          <w:spacing w:val="1"/>
          <w:szCs w:val="16"/>
          <w:lang w:val="en-US"/>
        </w:rPr>
        <w:t>v</w:t>
      </w:r>
      <w:r w:rsidRPr="00BA61B2">
        <w:rPr>
          <w:rFonts w:eastAsia="Verdana" w:cs="Verdana"/>
          <w:i/>
          <w:noProof w:val="0"/>
          <w:szCs w:val="16"/>
          <w:lang w:val="en-US"/>
        </w:rPr>
        <w:t>.</w:t>
      </w:r>
      <w:r w:rsidRPr="00BA61B2">
        <w:rPr>
          <w:rFonts w:eastAsia="Verdana" w:cs="Verdana"/>
          <w:i/>
          <w:noProof w:val="0"/>
          <w:spacing w:val="1"/>
          <w:szCs w:val="16"/>
          <w:lang w:val="en-US"/>
        </w:rPr>
        <w:t xml:space="preserve"> V</w:t>
      </w:r>
      <w:r w:rsidRPr="00BA61B2">
        <w:rPr>
          <w:rFonts w:eastAsia="Verdana" w:cs="Verdana"/>
          <w:i/>
          <w:noProof w:val="0"/>
          <w:szCs w:val="16"/>
          <w:lang w:val="en-US"/>
        </w:rPr>
        <w:t>e</w:t>
      </w:r>
      <w:r w:rsidRPr="00BA61B2">
        <w:rPr>
          <w:rFonts w:eastAsia="Verdana" w:cs="Verdana"/>
          <w:i/>
          <w:noProof w:val="0"/>
          <w:spacing w:val="-1"/>
          <w:szCs w:val="16"/>
          <w:lang w:val="en-US"/>
        </w:rPr>
        <w:t>n</w:t>
      </w:r>
      <w:r w:rsidRPr="00BA61B2">
        <w:rPr>
          <w:rFonts w:eastAsia="Verdana" w:cs="Verdana"/>
          <w:i/>
          <w:noProof w:val="0"/>
          <w:szCs w:val="16"/>
          <w:lang w:val="en-US"/>
        </w:rPr>
        <w:t>ez</w:t>
      </w:r>
      <w:r w:rsidRPr="00BA61B2">
        <w:rPr>
          <w:rFonts w:eastAsia="Verdana" w:cs="Verdana"/>
          <w:i/>
          <w:noProof w:val="0"/>
          <w:spacing w:val="-1"/>
          <w:szCs w:val="16"/>
          <w:lang w:val="en-US"/>
        </w:rPr>
        <w:t>u</w:t>
      </w:r>
      <w:r w:rsidRPr="00BA61B2">
        <w:rPr>
          <w:rFonts w:eastAsia="Verdana" w:cs="Verdana"/>
          <w:i/>
          <w:noProof w:val="0"/>
          <w:szCs w:val="16"/>
          <w:lang w:val="en-US"/>
        </w:rPr>
        <w:t>e</w:t>
      </w:r>
      <w:r w:rsidRPr="00BA61B2">
        <w:rPr>
          <w:rFonts w:eastAsia="Verdana" w:cs="Verdana"/>
          <w:i/>
          <w:noProof w:val="0"/>
          <w:spacing w:val="-1"/>
          <w:szCs w:val="16"/>
          <w:lang w:val="en-US"/>
        </w:rPr>
        <w:t>la</w:t>
      </w:r>
      <w:r w:rsidRPr="00BA61B2">
        <w:rPr>
          <w:rFonts w:eastAsia="Verdana" w:cs="Verdana"/>
          <w:i/>
          <w:noProof w:val="0"/>
          <w:szCs w:val="16"/>
          <w:lang w:val="en-US"/>
        </w:rPr>
        <w:t xml:space="preserve">. </w:t>
      </w:r>
      <w:r w:rsidRPr="00BA61B2">
        <w:rPr>
          <w:rFonts w:eastAsia="Verdana" w:cs="Verdana"/>
          <w:i/>
          <w:noProof w:val="0"/>
          <w:spacing w:val="-1"/>
          <w:szCs w:val="16"/>
          <w:lang w:val="en-US"/>
        </w:rPr>
        <w:t>Preliminary objection</w:t>
      </w:r>
      <w:r w:rsidRPr="00BA61B2">
        <w:rPr>
          <w:rFonts w:eastAsia="Verdana" w:cs="Verdana"/>
          <w:i/>
          <w:noProof w:val="0"/>
          <w:szCs w:val="16"/>
          <w:lang w:val="en-US"/>
        </w:rPr>
        <w:t xml:space="preserve">, </w:t>
      </w:r>
      <w:r w:rsidRPr="00BA61B2">
        <w:rPr>
          <w:rFonts w:eastAsia="Verdana" w:cs="Verdana"/>
          <w:i/>
          <w:noProof w:val="0"/>
          <w:spacing w:val="1"/>
          <w:szCs w:val="16"/>
          <w:lang w:val="en-US"/>
        </w:rPr>
        <w:t>merits, reparations and costs</w:t>
      </w:r>
      <w:r w:rsidRPr="00BA61B2">
        <w:rPr>
          <w:rFonts w:eastAsia="Verdana" w:cs="Verdana"/>
          <w:i/>
          <w:noProof w:val="0"/>
          <w:szCs w:val="16"/>
          <w:lang w:val="en-US"/>
        </w:rPr>
        <w:t>.</w:t>
      </w:r>
      <w:r w:rsidRPr="00BA61B2">
        <w:rPr>
          <w:rFonts w:eastAsia="Verdana" w:cs="Verdana"/>
          <w:i/>
          <w:noProof w:val="0"/>
          <w:spacing w:val="7"/>
          <w:szCs w:val="16"/>
          <w:lang w:val="en-US"/>
        </w:rPr>
        <w:t xml:space="preserve"> </w:t>
      </w:r>
      <w:r w:rsidRPr="00BA61B2">
        <w:rPr>
          <w:rFonts w:eastAsia="Verdana" w:cs="Verdana"/>
          <w:noProof w:val="0"/>
          <w:szCs w:val="16"/>
          <w:lang w:val="en-US"/>
        </w:rPr>
        <w:t>Judgment</w:t>
      </w:r>
      <w:r w:rsidRPr="00BA61B2">
        <w:rPr>
          <w:rFonts w:eastAsia="Verdana" w:cs="Verdana"/>
          <w:noProof w:val="0"/>
          <w:spacing w:val="1"/>
          <w:szCs w:val="16"/>
          <w:lang w:val="en-US"/>
        </w:rPr>
        <w:t xml:space="preserve"> of June </w:t>
      </w:r>
      <w:r w:rsidRPr="00BA61B2">
        <w:rPr>
          <w:rFonts w:eastAsia="Verdana" w:cs="Verdana"/>
          <w:noProof w:val="0"/>
          <w:spacing w:val="-1"/>
          <w:szCs w:val="16"/>
          <w:lang w:val="en-US"/>
        </w:rPr>
        <w:t>3</w:t>
      </w:r>
      <w:r w:rsidRPr="00BA61B2">
        <w:rPr>
          <w:rFonts w:eastAsia="Verdana" w:cs="Verdana"/>
          <w:noProof w:val="0"/>
          <w:szCs w:val="16"/>
          <w:lang w:val="en-US"/>
        </w:rPr>
        <w:t>0,</w:t>
      </w:r>
      <w:r w:rsidRPr="00BA61B2">
        <w:rPr>
          <w:rFonts w:eastAsia="Verdana" w:cs="Verdana"/>
          <w:noProof w:val="0"/>
          <w:spacing w:val="2"/>
          <w:szCs w:val="16"/>
          <w:lang w:val="en-US"/>
        </w:rPr>
        <w:t xml:space="preserve"> </w:t>
      </w:r>
      <w:r w:rsidRPr="00BA61B2">
        <w:rPr>
          <w:rFonts w:eastAsia="Verdana" w:cs="Verdana"/>
          <w:noProof w:val="0"/>
          <w:spacing w:val="-1"/>
          <w:szCs w:val="16"/>
          <w:lang w:val="en-US"/>
        </w:rPr>
        <w:t>20</w:t>
      </w:r>
      <w:r w:rsidRPr="00BA61B2">
        <w:rPr>
          <w:rFonts w:eastAsia="Verdana" w:cs="Verdana"/>
          <w:noProof w:val="0"/>
          <w:spacing w:val="1"/>
          <w:szCs w:val="16"/>
          <w:lang w:val="en-US"/>
        </w:rPr>
        <w:t>09</w:t>
      </w:r>
      <w:r w:rsidRPr="00BA61B2">
        <w:rPr>
          <w:rFonts w:eastAsia="Verdana" w:cs="Verdana"/>
          <w:noProof w:val="0"/>
          <w:szCs w:val="16"/>
          <w:lang w:val="en-US"/>
        </w:rPr>
        <w:t>.</w:t>
      </w:r>
      <w:r w:rsidRPr="00BA61B2">
        <w:rPr>
          <w:rFonts w:eastAsia="Verdana" w:cs="Verdana"/>
          <w:noProof w:val="0"/>
          <w:spacing w:val="-2"/>
          <w:szCs w:val="16"/>
          <w:lang w:val="en-US"/>
        </w:rPr>
        <w:t xml:space="preserve"> </w:t>
      </w:r>
      <w:r w:rsidRPr="00BA61B2">
        <w:rPr>
          <w:rFonts w:eastAsia="Verdana" w:cs="Verdana"/>
          <w:noProof w:val="0"/>
          <w:szCs w:val="16"/>
          <w:lang w:val="en-US"/>
        </w:rPr>
        <w:t>Series</w:t>
      </w:r>
      <w:r w:rsidRPr="00BA61B2">
        <w:rPr>
          <w:rFonts w:eastAsia="Verdana" w:cs="Verdana"/>
          <w:noProof w:val="0"/>
          <w:spacing w:val="-1"/>
          <w:szCs w:val="16"/>
          <w:lang w:val="en-US"/>
        </w:rPr>
        <w:t xml:space="preserve"> </w:t>
      </w:r>
      <w:r w:rsidRPr="00BA61B2">
        <w:rPr>
          <w:rFonts w:eastAsia="Verdana" w:cs="Verdana"/>
          <w:noProof w:val="0"/>
          <w:szCs w:val="16"/>
          <w:lang w:val="en-US"/>
        </w:rPr>
        <w:t>C</w:t>
      </w:r>
      <w:r w:rsidRPr="00BA61B2">
        <w:rPr>
          <w:rFonts w:eastAsia="Verdana" w:cs="Verdana"/>
          <w:noProof w:val="0"/>
          <w:spacing w:val="1"/>
          <w:szCs w:val="16"/>
          <w:lang w:val="en-US"/>
        </w:rPr>
        <w:t xml:space="preserve"> </w:t>
      </w:r>
      <w:r w:rsidRPr="00BA61B2">
        <w:rPr>
          <w:rFonts w:eastAsia="Verdana" w:cs="Verdana"/>
          <w:noProof w:val="0"/>
          <w:spacing w:val="-3"/>
          <w:szCs w:val="16"/>
          <w:lang w:val="en-US"/>
        </w:rPr>
        <w:t>N</w:t>
      </w:r>
      <w:r w:rsidRPr="00BA61B2">
        <w:rPr>
          <w:rFonts w:eastAsia="Verdana" w:cs="Verdana"/>
          <w:noProof w:val="0"/>
          <w:spacing w:val="1"/>
          <w:szCs w:val="16"/>
          <w:lang w:val="en-US"/>
        </w:rPr>
        <w:t>o</w:t>
      </w:r>
      <w:r w:rsidRPr="00BA61B2">
        <w:rPr>
          <w:rFonts w:eastAsia="Verdana" w:cs="Verdana"/>
          <w:noProof w:val="0"/>
          <w:szCs w:val="16"/>
          <w:lang w:val="en-US"/>
        </w:rPr>
        <w:t>.</w:t>
      </w:r>
      <w:r w:rsidRPr="00BA61B2">
        <w:rPr>
          <w:rFonts w:eastAsia="Verdana" w:cs="Verdana"/>
          <w:noProof w:val="0"/>
          <w:spacing w:val="-2"/>
          <w:szCs w:val="16"/>
          <w:lang w:val="en-US"/>
        </w:rPr>
        <w:t xml:space="preserve"> </w:t>
      </w:r>
      <w:r w:rsidRPr="00BA61B2">
        <w:rPr>
          <w:rFonts w:eastAsia="Verdana" w:cs="Verdana"/>
          <w:noProof w:val="0"/>
          <w:spacing w:val="-1"/>
          <w:szCs w:val="16"/>
          <w:lang w:val="en-US"/>
        </w:rPr>
        <w:t>19</w:t>
      </w:r>
      <w:r w:rsidRPr="00BA61B2">
        <w:rPr>
          <w:rFonts w:eastAsia="Verdana" w:cs="Verdana"/>
          <w:noProof w:val="0"/>
          <w:spacing w:val="1"/>
          <w:szCs w:val="16"/>
          <w:lang w:val="en-US"/>
        </w:rPr>
        <w:t>7</w:t>
      </w:r>
      <w:r w:rsidRPr="00BA61B2">
        <w:rPr>
          <w:rFonts w:eastAsia="Verdana" w:cs="Verdana"/>
          <w:noProof w:val="0"/>
          <w:szCs w:val="16"/>
          <w:lang w:val="en-US"/>
        </w:rPr>
        <w:t>, para.</w:t>
      </w:r>
      <w:r w:rsidRPr="00BA61B2">
        <w:rPr>
          <w:rFonts w:eastAsia="Verdana" w:cs="Verdana"/>
          <w:noProof w:val="0"/>
          <w:spacing w:val="-2"/>
          <w:szCs w:val="16"/>
          <w:lang w:val="en-US"/>
        </w:rPr>
        <w:t xml:space="preserve"> </w:t>
      </w:r>
      <w:r w:rsidRPr="00BA61B2">
        <w:rPr>
          <w:rFonts w:eastAsia="Verdana" w:cs="Verdana"/>
          <w:noProof w:val="0"/>
          <w:spacing w:val="-1"/>
          <w:szCs w:val="16"/>
          <w:lang w:val="en-US"/>
        </w:rPr>
        <w:t>2</w:t>
      </w:r>
      <w:r w:rsidRPr="00BA61B2">
        <w:rPr>
          <w:rFonts w:eastAsia="Verdana" w:cs="Verdana"/>
          <w:noProof w:val="0"/>
          <w:spacing w:val="5"/>
          <w:szCs w:val="16"/>
          <w:lang w:val="en-US"/>
        </w:rPr>
        <w:t>3</w:t>
      </w:r>
      <w:r w:rsidRPr="00BA61B2">
        <w:rPr>
          <w:rFonts w:eastAsia="Verdana" w:cs="Verdana"/>
          <w:noProof w:val="0"/>
          <w:szCs w:val="16"/>
          <w:lang w:val="en-US"/>
        </w:rPr>
        <w:t>,</w:t>
      </w:r>
      <w:r w:rsidRPr="00BA61B2">
        <w:rPr>
          <w:rFonts w:eastAsia="Verdana" w:cs="Verdana"/>
          <w:noProof w:val="0"/>
          <w:spacing w:val="-2"/>
          <w:szCs w:val="16"/>
          <w:lang w:val="en-US"/>
        </w:rPr>
        <w:t xml:space="preserve"> and </w:t>
      </w:r>
      <w:r w:rsidRPr="00BA61B2">
        <w:rPr>
          <w:rFonts w:eastAsia="Verdana" w:cs="Verdana"/>
          <w:i/>
          <w:noProof w:val="0"/>
          <w:szCs w:val="16"/>
          <w:lang w:val="en-US"/>
        </w:rPr>
        <w:t>Case of López Lone et al. v. Honduras</w:t>
      </w:r>
      <w:r w:rsidRPr="00BA61B2">
        <w:rPr>
          <w:rFonts w:eastAsia="Verdana" w:cs="Verdana"/>
          <w:noProof w:val="0"/>
          <w:szCs w:val="16"/>
          <w:lang w:val="en-US"/>
        </w:rPr>
        <w:t>, para. 23.</w:t>
      </w:r>
    </w:p>
  </w:footnote>
  <w:footnote w:id="35">
    <w:p w14:paraId="230D216F" w14:textId="77777777" w:rsidR="00432906" w:rsidRPr="00BA61B2" w:rsidRDefault="00432906" w:rsidP="007B0DE4">
      <w:pPr>
        <w:pStyle w:val="Textonotapie"/>
        <w:rPr>
          <w:noProof w:val="0"/>
          <w:lang w:val="en-US"/>
        </w:rPr>
      </w:pPr>
      <w:r w:rsidRPr="00BA61B2">
        <w:rPr>
          <w:rStyle w:val="Refdenotaalpie"/>
          <w:noProof w:val="0"/>
          <w:lang w:val="en-US"/>
        </w:rPr>
        <w:footnoteRef/>
      </w:r>
      <w:r w:rsidRPr="00BA61B2">
        <w:rPr>
          <w:noProof w:val="0"/>
          <w:lang w:val="en-US"/>
        </w:rPr>
        <w:t xml:space="preserve"> </w:t>
      </w:r>
      <w:r w:rsidRPr="00BA61B2">
        <w:rPr>
          <w:noProof w:val="0"/>
          <w:lang w:val="en-US"/>
        </w:rPr>
        <w:tab/>
      </w:r>
      <w:r w:rsidRPr="00BA61B2">
        <w:rPr>
          <w:i/>
          <w:noProof w:val="0"/>
          <w:lang w:val="en-US"/>
        </w:rPr>
        <w:t>Cf.</w:t>
      </w:r>
      <w:r w:rsidRPr="00BA61B2">
        <w:rPr>
          <w:noProof w:val="0"/>
          <w:lang w:val="en-US"/>
        </w:rPr>
        <w:t xml:space="preserve"> </w:t>
      </w:r>
      <w:r w:rsidRPr="00BA61B2">
        <w:rPr>
          <w:i/>
          <w:noProof w:val="0"/>
          <w:lang w:val="en-US"/>
        </w:rPr>
        <w:t>Case of Wong Ho Wing v. Peru</w:t>
      </w:r>
      <w:r w:rsidRPr="00BA61B2">
        <w:rPr>
          <w:noProof w:val="0"/>
          <w:lang w:val="en-US"/>
        </w:rPr>
        <w:t>, para. 25.</w:t>
      </w:r>
    </w:p>
  </w:footnote>
  <w:footnote w:id="36">
    <w:p w14:paraId="49C87591" w14:textId="77777777" w:rsidR="00432906" w:rsidRPr="00BA61B2" w:rsidRDefault="00432906" w:rsidP="007B0DE4">
      <w:pPr>
        <w:pStyle w:val="Textonotapie"/>
        <w:rPr>
          <w:noProof w:val="0"/>
          <w:lang w:val="en-US"/>
        </w:rPr>
      </w:pPr>
      <w:r w:rsidRPr="00BA61B2">
        <w:rPr>
          <w:rStyle w:val="Refdenotaalpie"/>
          <w:noProof w:val="0"/>
          <w:lang w:val="en-US"/>
        </w:rPr>
        <w:footnoteRef/>
      </w:r>
      <w:r w:rsidRPr="00BA61B2">
        <w:rPr>
          <w:noProof w:val="0"/>
          <w:lang w:val="en-US"/>
        </w:rPr>
        <w:t xml:space="preserve"> </w:t>
      </w:r>
      <w:r w:rsidRPr="00BA61B2">
        <w:rPr>
          <w:noProof w:val="0"/>
          <w:lang w:val="en-US"/>
        </w:rPr>
        <w:tab/>
        <w:t xml:space="preserve">According to the </w:t>
      </w:r>
      <w:r>
        <w:rPr>
          <w:rFonts w:eastAsia="Calibri"/>
          <w:noProof w:val="0"/>
          <w:lang w:val="en-US"/>
        </w:rPr>
        <w:t xml:space="preserve">State, </w:t>
      </w:r>
      <w:r w:rsidRPr="00BA61B2">
        <w:rPr>
          <w:rFonts w:eastAsia="Calibri"/>
          <w:noProof w:val="0"/>
          <w:lang w:val="en-US"/>
        </w:rPr>
        <w:t xml:space="preserve">the file </w:t>
      </w:r>
      <w:r>
        <w:rPr>
          <w:rFonts w:eastAsia="Calibri"/>
          <w:noProof w:val="0"/>
          <w:lang w:val="en-US"/>
        </w:rPr>
        <w:t xml:space="preserve">contains no </w:t>
      </w:r>
      <w:r w:rsidRPr="00BA61B2">
        <w:rPr>
          <w:rFonts w:eastAsia="Calibri"/>
          <w:noProof w:val="0"/>
          <w:lang w:val="en-US"/>
        </w:rPr>
        <w:t xml:space="preserve">document or </w:t>
      </w:r>
      <w:r>
        <w:rPr>
          <w:rFonts w:eastAsia="Calibri"/>
          <w:noProof w:val="0"/>
          <w:lang w:val="en-US"/>
        </w:rPr>
        <w:t>statement to demonstrate that Mr. Duque was removed</w:t>
      </w:r>
      <w:r w:rsidRPr="00BA61B2">
        <w:rPr>
          <w:rFonts w:eastAsia="Calibri"/>
          <w:noProof w:val="0"/>
          <w:lang w:val="en-US"/>
        </w:rPr>
        <w:t xml:space="preserve"> </w:t>
      </w:r>
      <w:r w:rsidRPr="004630E7">
        <w:rPr>
          <w:rFonts w:eastAsia="Calibri"/>
          <w:noProof w:val="0"/>
          <w:lang w:val="en-US"/>
        </w:rPr>
        <w:t>from</w:t>
      </w:r>
      <w:r w:rsidRPr="00BA61B2">
        <w:rPr>
          <w:rFonts w:eastAsia="Calibri"/>
          <w:noProof w:val="0"/>
          <w:lang w:val="en-US"/>
        </w:rPr>
        <w:t xml:space="preserve"> </w:t>
      </w:r>
      <w:r>
        <w:rPr>
          <w:rFonts w:eastAsia="Calibri"/>
          <w:noProof w:val="0"/>
          <w:lang w:val="en-US"/>
        </w:rPr>
        <w:t xml:space="preserve">the </w:t>
      </w:r>
      <w:r w:rsidRPr="00BA61B2">
        <w:rPr>
          <w:rFonts w:eastAsia="Calibri"/>
          <w:noProof w:val="0"/>
          <w:lang w:val="en-US"/>
        </w:rPr>
        <w:t xml:space="preserve">contributions-based </w:t>
      </w:r>
      <w:r>
        <w:rPr>
          <w:rFonts w:eastAsia="Calibri"/>
          <w:noProof w:val="0"/>
          <w:lang w:val="en-US"/>
        </w:rPr>
        <w:t>scheme</w:t>
      </w:r>
      <w:r w:rsidRPr="00BA61B2">
        <w:rPr>
          <w:rFonts w:eastAsia="Calibri"/>
          <w:noProof w:val="0"/>
          <w:lang w:val="en-US"/>
        </w:rPr>
        <w:t xml:space="preserve"> of the Social Security System or </w:t>
      </w:r>
      <w:r>
        <w:rPr>
          <w:rFonts w:eastAsia="Calibri"/>
          <w:noProof w:val="0"/>
          <w:lang w:val="en-US"/>
        </w:rPr>
        <w:t xml:space="preserve">that he was refused the treatment </w:t>
      </w:r>
      <w:r w:rsidRPr="00BA61B2">
        <w:rPr>
          <w:rFonts w:eastAsia="Calibri"/>
          <w:noProof w:val="0"/>
          <w:lang w:val="en-US"/>
        </w:rPr>
        <w:t>prescribed by the attending physician.</w:t>
      </w:r>
    </w:p>
  </w:footnote>
  <w:footnote w:id="37">
    <w:p w14:paraId="2A531824" w14:textId="77777777" w:rsidR="00432906" w:rsidRPr="00BA61B2" w:rsidRDefault="00432906" w:rsidP="007B0DE4">
      <w:pPr>
        <w:pStyle w:val="Textonotapie"/>
        <w:rPr>
          <w:noProof w:val="0"/>
          <w:lang w:val="en-US"/>
        </w:rPr>
      </w:pPr>
      <w:r w:rsidRPr="00BA61B2">
        <w:rPr>
          <w:rStyle w:val="Refdenotaalpie"/>
          <w:noProof w:val="0"/>
          <w:lang w:val="en-US"/>
        </w:rPr>
        <w:footnoteRef/>
      </w:r>
      <w:r w:rsidRPr="00BA61B2">
        <w:rPr>
          <w:noProof w:val="0"/>
          <w:lang w:val="en-US"/>
        </w:rPr>
        <w:t xml:space="preserve"> </w:t>
      </w:r>
      <w:r w:rsidRPr="00BA61B2">
        <w:rPr>
          <w:noProof w:val="0"/>
          <w:lang w:val="en-US"/>
        </w:rPr>
        <w:tab/>
        <w:t xml:space="preserve">The Commission </w:t>
      </w:r>
      <w:r>
        <w:rPr>
          <w:noProof w:val="0"/>
          <w:lang w:val="en-US"/>
        </w:rPr>
        <w:t xml:space="preserve">indicated </w:t>
      </w:r>
      <w:r w:rsidRPr="00BA61B2">
        <w:rPr>
          <w:noProof w:val="0"/>
          <w:lang w:val="en-US"/>
        </w:rPr>
        <w:t xml:space="preserve">that </w:t>
      </w:r>
      <w:r>
        <w:rPr>
          <w:noProof w:val="0"/>
          <w:lang w:val="en-US"/>
        </w:rPr>
        <w:t xml:space="preserve">during the </w:t>
      </w:r>
      <w:r w:rsidRPr="00BA61B2">
        <w:rPr>
          <w:noProof w:val="0"/>
          <w:lang w:val="en-US"/>
        </w:rPr>
        <w:t xml:space="preserve">admissibility stage </w:t>
      </w:r>
      <w:r>
        <w:rPr>
          <w:noProof w:val="0"/>
          <w:lang w:val="en-US"/>
        </w:rPr>
        <w:t xml:space="preserve">it does not analyze </w:t>
      </w:r>
      <w:r w:rsidRPr="00BA61B2">
        <w:rPr>
          <w:noProof w:val="0"/>
          <w:lang w:val="en-US"/>
        </w:rPr>
        <w:t xml:space="preserve">whether or not there </w:t>
      </w:r>
      <w:r>
        <w:rPr>
          <w:noProof w:val="0"/>
          <w:lang w:val="en-US"/>
        </w:rPr>
        <w:t xml:space="preserve">is </w:t>
      </w:r>
      <w:r w:rsidRPr="00BA61B2">
        <w:rPr>
          <w:noProof w:val="0"/>
          <w:lang w:val="en-US"/>
        </w:rPr>
        <w:t xml:space="preserve">evidence to </w:t>
      </w:r>
      <w:r>
        <w:rPr>
          <w:noProof w:val="0"/>
          <w:lang w:val="en-US"/>
        </w:rPr>
        <w:t xml:space="preserve">prove the alleged </w:t>
      </w:r>
      <w:r w:rsidRPr="00BA61B2">
        <w:rPr>
          <w:noProof w:val="0"/>
          <w:lang w:val="en-US"/>
        </w:rPr>
        <w:t xml:space="preserve">facts. </w:t>
      </w:r>
      <w:r w:rsidRPr="00D73E30">
        <w:rPr>
          <w:noProof w:val="0"/>
          <w:lang w:val="en-US"/>
        </w:rPr>
        <w:t xml:space="preserve">A fact may constitute a violation of the </w:t>
      </w:r>
      <w:r w:rsidRPr="00D73E30">
        <w:rPr>
          <w:rFonts w:eastAsia="Calibri"/>
          <w:noProof w:val="0"/>
          <w:lang w:val="en-US"/>
        </w:rPr>
        <w:t xml:space="preserve">American Convention </w:t>
      </w:r>
      <w:r w:rsidRPr="00D73E30">
        <w:rPr>
          <w:noProof w:val="0"/>
          <w:lang w:val="en-US"/>
        </w:rPr>
        <w:t>or of other applicable inter-American instruments</w:t>
      </w:r>
      <w:r>
        <w:rPr>
          <w:noProof w:val="0"/>
          <w:lang w:val="en-US"/>
        </w:rPr>
        <w:t xml:space="preserve"> only if </w:t>
      </w:r>
      <w:r w:rsidRPr="00D73E30">
        <w:rPr>
          <w:noProof w:val="0"/>
          <w:lang w:val="en-US"/>
        </w:rPr>
        <w:t>proven in the merits stage.</w:t>
      </w:r>
    </w:p>
  </w:footnote>
  <w:footnote w:id="38">
    <w:p w14:paraId="50D1D619" w14:textId="77777777" w:rsidR="00432906" w:rsidRPr="00BA61B2" w:rsidRDefault="00432906" w:rsidP="007B0DE4">
      <w:pPr>
        <w:pStyle w:val="Textonotapie"/>
        <w:rPr>
          <w:noProof w:val="0"/>
          <w:lang w:val="en-US"/>
        </w:rPr>
      </w:pPr>
      <w:r w:rsidRPr="00BA61B2">
        <w:rPr>
          <w:rStyle w:val="Refdenotaalpie"/>
          <w:noProof w:val="0"/>
          <w:lang w:val="en-US"/>
        </w:rPr>
        <w:footnoteRef/>
      </w:r>
      <w:r w:rsidRPr="00BA61B2">
        <w:rPr>
          <w:noProof w:val="0"/>
          <w:lang w:val="en-US"/>
        </w:rPr>
        <w:t xml:space="preserve"> </w:t>
      </w:r>
      <w:r w:rsidRPr="00BA61B2">
        <w:rPr>
          <w:noProof w:val="0"/>
          <w:lang w:val="en-US"/>
        </w:rPr>
        <w:tab/>
      </w:r>
      <w:r w:rsidRPr="00867320">
        <w:rPr>
          <w:i/>
          <w:noProof w:val="0"/>
          <w:szCs w:val="16"/>
          <w:lang w:val="en-US"/>
        </w:rPr>
        <w:t>Tutela</w:t>
      </w:r>
      <w:r w:rsidRPr="00BA61B2">
        <w:rPr>
          <w:noProof w:val="0"/>
          <w:szCs w:val="16"/>
          <w:lang w:val="en-US"/>
        </w:rPr>
        <w:t xml:space="preserve"> action filed by Germán Humberto Rincón Perfetti on behalf of Mr. Duque on April 26, 2002 (evidence file, folio 7).</w:t>
      </w:r>
    </w:p>
  </w:footnote>
  <w:footnote w:id="39">
    <w:p w14:paraId="1D0F5FB1" w14:textId="77777777" w:rsidR="00432906" w:rsidRPr="00BA61B2" w:rsidRDefault="00432906" w:rsidP="007B0DE4">
      <w:pPr>
        <w:pStyle w:val="Default"/>
        <w:spacing w:before="120" w:after="120"/>
        <w:jc w:val="both"/>
        <w:rPr>
          <w:sz w:val="16"/>
          <w:szCs w:val="16"/>
        </w:rPr>
      </w:pPr>
      <w:r w:rsidRPr="00BA61B2">
        <w:rPr>
          <w:rStyle w:val="Refdenotaalpie"/>
          <w:sz w:val="16"/>
          <w:szCs w:val="16"/>
        </w:rPr>
        <w:footnoteRef/>
      </w:r>
      <w:r w:rsidRPr="00BA61B2">
        <w:rPr>
          <w:sz w:val="16"/>
          <w:szCs w:val="16"/>
        </w:rPr>
        <w:t xml:space="preserve"> </w:t>
      </w:r>
      <w:r w:rsidRPr="00BA61B2">
        <w:rPr>
          <w:sz w:val="16"/>
          <w:szCs w:val="16"/>
        </w:rPr>
        <w:tab/>
        <w:t>Tenth Municipal Civil Court of Bogotá, Judgment of June 5, 2002 (evidence file, folio 86).</w:t>
      </w:r>
    </w:p>
  </w:footnote>
  <w:footnote w:id="40">
    <w:p w14:paraId="71D6BE46" w14:textId="77777777" w:rsidR="00432906" w:rsidRPr="00BA61B2" w:rsidRDefault="00432906" w:rsidP="007B0DE4">
      <w:pPr>
        <w:pStyle w:val="Textonotapie"/>
        <w:rPr>
          <w:noProof w:val="0"/>
          <w:lang w:val="en-US"/>
        </w:rPr>
      </w:pPr>
      <w:r w:rsidRPr="00BA61B2">
        <w:rPr>
          <w:rStyle w:val="Refdenotaalpie"/>
          <w:noProof w:val="0"/>
          <w:lang w:val="en-US"/>
        </w:rPr>
        <w:footnoteRef/>
      </w:r>
      <w:r w:rsidRPr="00BA61B2">
        <w:rPr>
          <w:noProof w:val="0"/>
          <w:lang w:val="en-US"/>
        </w:rPr>
        <w:t xml:space="preserve"> </w:t>
      </w:r>
      <w:r w:rsidRPr="00BA61B2">
        <w:rPr>
          <w:noProof w:val="0"/>
          <w:lang w:val="en-US"/>
        </w:rPr>
        <w:tab/>
        <w:t>Constitutional Court of Colombia, Judgment C-336 of April 16, 2008 (evidence file, folio 1375).</w:t>
      </w:r>
    </w:p>
  </w:footnote>
  <w:footnote w:id="41">
    <w:p w14:paraId="564E6D61"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t>Ricardo Luque Núñez.</w:t>
      </w:r>
    </w:p>
  </w:footnote>
  <w:footnote w:id="42">
    <w:p w14:paraId="19C6F616"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t xml:space="preserve">Miguel Rueda Sáenz, Fernando Ruiz, Robert Wintemute, Stefano Fabeni, Juan Carlos Upegui and Roberto Saba. </w:t>
      </w:r>
    </w:p>
  </w:footnote>
  <w:footnote w:id="43">
    <w:p w14:paraId="00DB674A"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rPr>
        <w:t xml:space="preserve">Cf. Case of Velásquez Rodríguez v. Honduras. </w:t>
      </w:r>
      <w:r>
        <w:rPr>
          <w:i/>
          <w:noProof w:val="0"/>
          <w:szCs w:val="16"/>
          <w:lang w:val="en-US"/>
        </w:rPr>
        <w:t>Merits</w:t>
      </w:r>
      <w:r w:rsidRPr="00BA61B2">
        <w:rPr>
          <w:i/>
          <w:noProof w:val="0"/>
          <w:szCs w:val="16"/>
          <w:lang w:val="en-US"/>
        </w:rPr>
        <w:t xml:space="preserve">, </w:t>
      </w:r>
      <w:r w:rsidRPr="00BA61B2">
        <w:rPr>
          <w:noProof w:val="0"/>
          <w:szCs w:val="16"/>
          <w:lang w:val="en-US"/>
        </w:rPr>
        <w:t xml:space="preserve">para. 140, and </w:t>
      </w:r>
      <w:r w:rsidRPr="00BA61B2">
        <w:rPr>
          <w:i/>
          <w:noProof w:val="0"/>
          <w:szCs w:val="16"/>
          <w:lang w:val="en-US"/>
        </w:rPr>
        <w:t>Case of López Lone et al. v. Honduras</w:t>
      </w:r>
      <w:r w:rsidRPr="00BA61B2">
        <w:rPr>
          <w:noProof w:val="0"/>
          <w:szCs w:val="16"/>
          <w:lang w:val="en-US"/>
        </w:rPr>
        <w:t>, para. 33.</w:t>
      </w:r>
    </w:p>
  </w:footnote>
  <w:footnote w:id="44">
    <w:p w14:paraId="7C162552"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rPr>
        <w:t>Cf. Case of Escué Zapata v. Colombia. Merits, reparations and costs</w:t>
      </w:r>
      <w:r w:rsidRPr="00BA61B2">
        <w:rPr>
          <w:noProof w:val="0"/>
          <w:szCs w:val="16"/>
          <w:lang w:val="en-US"/>
        </w:rPr>
        <w:t xml:space="preserve">. Judgment of July 4, 2007. Series C No. 165, para. 26, and </w:t>
      </w:r>
      <w:r w:rsidRPr="00BA61B2">
        <w:rPr>
          <w:i/>
          <w:noProof w:val="0"/>
          <w:szCs w:val="16"/>
          <w:lang w:val="en-US"/>
        </w:rPr>
        <w:t>Case of López Lone et al. v. Honduras</w:t>
      </w:r>
      <w:r w:rsidRPr="00BA61B2">
        <w:rPr>
          <w:noProof w:val="0"/>
          <w:szCs w:val="16"/>
          <w:lang w:val="en-US"/>
        </w:rPr>
        <w:t>, para. 35.</w:t>
      </w:r>
    </w:p>
  </w:footnote>
  <w:footnote w:id="45">
    <w:p w14:paraId="78A2B7C4"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t>The purpose of the</w:t>
      </w:r>
      <w:r>
        <w:rPr>
          <w:noProof w:val="0"/>
          <w:szCs w:val="16"/>
          <w:lang w:val="en-US"/>
        </w:rPr>
        <w:t>se</w:t>
      </w:r>
      <w:r w:rsidRPr="00BA61B2">
        <w:rPr>
          <w:noProof w:val="0"/>
          <w:szCs w:val="16"/>
          <w:lang w:val="en-US"/>
        </w:rPr>
        <w:t xml:space="preserve"> statements </w:t>
      </w:r>
      <w:r>
        <w:rPr>
          <w:noProof w:val="0"/>
          <w:szCs w:val="16"/>
          <w:lang w:val="en-US"/>
        </w:rPr>
        <w:t xml:space="preserve">is </w:t>
      </w:r>
      <w:r w:rsidRPr="00BA61B2">
        <w:rPr>
          <w:noProof w:val="0"/>
          <w:szCs w:val="16"/>
          <w:lang w:val="en-US"/>
        </w:rPr>
        <w:t>established in the Order of the Acting President of the Court of July 2, 2015.</w:t>
      </w:r>
    </w:p>
  </w:footnote>
  <w:footnote w:id="46">
    <w:p w14:paraId="1570E50C" w14:textId="77777777" w:rsidR="00432906" w:rsidRPr="00BA61B2" w:rsidRDefault="00432906" w:rsidP="007B0DE4">
      <w:pPr>
        <w:tabs>
          <w:tab w:val="left" w:pos="284"/>
          <w:tab w:val="left" w:pos="720"/>
        </w:tabs>
        <w:autoSpaceDE w:val="0"/>
        <w:autoSpaceDN w:val="0"/>
        <w:adjustRightInd w:val="0"/>
        <w:spacing w:before="120" w:after="120"/>
        <w:rPr>
          <w:sz w:val="16"/>
          <w:szCs w:val="16"/>
          <w:lang w:val="en-US"/>
        </w:rPr>
      </w:pPr>
      <w:r w:rsidRPr="00BA61B2">
        <w:rPr>
          <w:rStyle w:val="Refdenotaalpie"/>
          <w:sz w:val="16"/>
          <w:szCs w:val="16"/>
          <w:lang w:val="en-US"/>
        </w:rPr>
        <w:footnoteRef/>
      </w:r>
      <w:r w:rsidRPr="00BA61B2">
        <w:rPr>
          <w:rFonts w:cs="Verdana"/>
          <w:i/>
          <w:iCs/>
          <w:sz w:val="16"/>
          <w:szCs w:val="16"/>
          <w:lang w:val="en-US"/>
        </w:rPr>
        <w:t xml:space="preserve"> </w:t>
      </w:r>
      <w:r w:rsidRPr="00BA61B2">
        <w:rPr>
          <w:rFonts w:cs="Verdana"/>
          <w:i/>
          <w:iCs/>
          <w:sz w:val="16"/>
          <w:szCs w:val="16"/>
          <w:lang w:val="en-US"/>
        </w:rPr>
        <w:tab/>
      </w:r>
      <w:r w:rsidRPr="00BA61B2">
        <w:rPr>
          <w:rFonts w:cs="Verdana"/>
          <w:i/>
          <w:iCs/>
          <w:sz w:val="16"/>
          <w:szCs w:val="16"/>
          <w:lang w:val="en-US"/>
        </w:rPr>
        <w:tab/>
        <w:t>Cf.</w:t>
      </w:r>
      <w:r w:rsidRPr="00BA61B2">
        <w:rPr>
          <w:rFonts w:cs="Verdana"/>
          <w:sz w:val="16"/>
          <w:szCs w:val="16"/>
          <w:lang w:val="en-US"/>
        </w:rPr>
        <w:t xml:space="preserve"> </w:t>
      </w:r>
      <w:r w:rsidRPr="00BA61B2">
        <w:rPr>
          <w:rFonts w:cs="Verdana"/>
          <w:i/>
          <w:sz w:val="16"/>
          <w:szCs w:val="16"/>
          <w:lang w:val="en-US"/>
        </w:rPr>
        <w:t xml:space="preserve">Case of the “White Van” (Paniagua Morales et al.) v. Guatemala. </w:t>
      </w:r>
      <w:r>
        <w:rPr>
          <w:rFonts w:cs="Verdana"/>
          <w:i/>
          <w:sz w:val="16"/>
          <w:szCs w:val="16"/>
          <w:lang w:val="en-US"/>
        </w:rPr>
        <w:t>Merits</w:t>
      </w:r>
      <w:r w:rsidRPr="00BA61B2">
        <w:rPr>
          <w:sz w:val="16"/>
          <w:szCs w:val="16"/>
          <w:lang w:val="en-US"/>
        </w:rPr>
        <w:t xml:space="preserve">. Judgment of March 8, 1998. Series C No. 37 para. 76, and </w:t>
      </w:r>
      <w:r w:rsidRPr="00BA61B2">
        <w:rPr>
          <w:i/>
          <w:sz w:val="16"/>
          <w:szCs w:val="16"/>
          <w:lang w:val="en-US"/>
        </w:rPr>
        <w:t xml:space="preserve">Case of López Lone et al. v. Honduras, </w:t>
      </w:r>
      <w:r w:rsidRPr="00BA61B2">
        <w:rPr>
          <w:sz w:val="16"/>
          <w:szCs w:val="16"/>
          <w:lang w:val="en-US"/>
        </w:rPr>
        <w:t>para. 42.</w:t>
      </w:r>
    </w:p>
  </w:footnote>
  <w:footnote w:id="47">
    <w:p w14:paraId="270FC72A"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rPr>
        <w:t>Cf.</w:t>
      </w:r>
      <w:r w:rsidRPr="00BA61B2">
        <w:rPr>
          <w:noProof w:val="0"/>
          <w:szCs w:val="16"/>
          <w:lang w:val="en-US"/>
        </w:rPr>
        <w:t xml:space="preserve"> Petition </w:t>
      </w:r>
      <w:r>
        <w:rPr>
          <w:noProof w:val="0"/>
          <w:szCs w:val="16"/>
          <w:lang w:val="en-US"/>
        </w:rPr>
        <w:t xml:space="preserve">submitted </w:t>
      </w:r>
      <w:r w:rsidRPr="00BA61B2">
        <w:rPr>
          <w:noProof w:val="0"/>
          <w:szCs w:val="16"/>
          <w:lang w:val="en-US"/>
        </w:rPr>
        <w:t xml:space="preserve">by the alleged victim to the </w:t>
      </w:r>
      <w:r w:rsidRPr="00867320">
        <w:rPr>
          <w:i/>
          <w:noProof w:val="0"/>
          <w:szCs w:val="16"/>
          <w:lang w:val="en-US"/>
        </w:rPr>
        <w:t>Compañía Colombiana Administr</w:t>
      </w:r>
      <w:r>
        <w:rPr>
          <w:i/>
          <w:noProof w:val="0"/>
          <w:szCs w:val="16"/>
          <w:lang w:val="en-US"/>
        </w:rPr>
        <w:t>adora de Fondos de Pensiones y</w:t>
      </w:r>
      <w:r w:rsidRPr="00867320">
        <w:rPr>
          <w:i/>
          <w:noProof w:val="0"/>
          <w:szCs w:val="16"/>
          <w:lang w:val="en-US"/>
        </w:rPr>
        <w:t xml:space="preserve"> Cesantías</w:t>
      </w:r>
      <w:r>
        <w:rPr>
          <w:noProof w:val="0"/>
          <w:szCs w:val="16"/>
          <w:lang w:val="en-US"/>
        </w:rPr>
        <w:t xml:space="preserve"> on</w:t>
      </w:r>
      <w:r w:rsidRPr="00BA61B2">
        <w:rPr>
          <w:noProof w:val="0"/>
          <w:szCs w:val="16"/>
          <w:lang w:val="en-US"/>
        </w:rPr>
        <w:t xml:space="preserve"> March 19, 2002</w:t>
      </w:r>
      <w:r>
        <w:rPr>
          <w:noProof w:val="0"/>
          <w:szCs w:val="16"/>
          <w:lang w:val="en-US"/>
        </w:rPr>
        <w:t xml:space="preserve"> </w:t>
      </w:r>
      <w:r w:rsidRPr="00BA61B2">
        <w:rPr>
          <w:noProof w:val="0"/>
          <w:szCs w:val="16"/>
          <w:lang w:val="en-US"/>
        </w:rPr>
        <w:t xml:space="preserve">(evidence file, folio 4). </w:t>
      </w:r>
      <w:r w:rsidRPr="00867320">
        <w:rPr>
          <w:i/>
          <w:noProof w:val="0"/>
          <w:szCs w:val="16"/>
          <w:lang w:val="en-US"/>
        </w:rPr>
        <w:t>Tutela</w:t>
      </w:r>
      <w:r w:rsidRPr="00BA61B2">
        <w:rPr>
          <w:noProof w:val="0"/>
          <w:szCs w:val="16"/>
          <w:lang w:val="en-US"/>
        </w:rPr>
        <w:t xml:space="preserve"> action filed by </w:t>
      </w:r>
      <w:r>
        <w:rPr>
          <w:noProof w:val="0"/>
          <w:szCs w:val="16"/>
          <w:lang w:val="en-US"/>
        </w:rPr>
        <w:t>the alleged victim on April 26, 2002</w:t>
      </w:r>
      <w:r w:rsidRPr="00BA61B2">
        <w:rPr>
          <w:noProof w:val="0"/>
          <w:szCs w:val="16"/>
          <w:lang w:val="en-US"/>
        </w:rPr>
        <w:t xml:space="preserve"> (evidence file, folio 7).</w:t>
      </w:r>
    </w:p>
  </w:footnote>
  <w:footnote w:id="48">
    <w:p w14:paraId="23586CE1"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rPr>
        <w:t xml:space="preserve">Cf. </w:t>
      </w:r>
      <w:r w:rsidRPr="00BA61B2">
        <w:rPr>
          <w:noProof w:val="0"/>
          <w:szCs w:val="16"/>
          <w:lang w:val="en-US"/>
        </w:rPr>
        <w:t>Social Security, medical certificate, April 17, 2002 (evidence file, folio 21).</w:t>
      </w:r>
    </w:p>
  </w:footnote>
  <w:footnote w:id="49">
    <w:p w14:paraId="1255A651"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rPr>
        <w:t>Cf.</w:t>
      </w:r>
      <w:r w:rsidRPr="00BA61B2">
        <w:rPr>
          <w:noProof w:val="0"/>
          <w:szCs w:val="16"/>
          <w:lang w:val="en-US"/>
        </w:rPr>
        <w:t xml:space="preserve"> Petition </w:t>
      </w:r>
      <w:r>
        <w:rPr>
          <w:noProof w:val="0"/>
          <w:szCs w:val="16"/>
          <w:lang w:val="en-US"/>
        </w:rPr>
        <w:t xml:space="preserve">submitted </w:t>
      </w:r>
      <w:r w:rsidRPr="00BA61B2">
        <w:rPr>
          <w:noProof w:val="0"/>
          <w:szCs w:val="16"/>
          <w:lang w:val="en-US"/>
        </w:rPr>
        <w:t xml:space="preserve">by the alleged victim to the </w:t>
      </w:r>
      <w:r w:rsidRPr="00BA61B2">
        <w:rPr>
          <w:i/>
          <w:noProof w:val="0"/>
          <w:szCs w:val="16"/>
          <w:lang w:val="en-US"/>
        </w:rPr>
        <w:t>Compañía Colombiana Administradora de Fondos de Pensiones y Cesantías</w:t>
      </w:r>
      <w:r>
        <w:rPr>
          <w:noProof w:val="0"/>
          <w:szCs w:val="16"/>
          <w:lang w:val="en-US"/>
        </w:rPr>
        <w:t xml:space="preserve"> on</w:t>
      </w:r>
      <w:r w:rsidRPr="00BA61B2">
        <w:rPr>
          <w:noProof w:val="0"/>
          <w:szCs w:val="16"/>
          <w:lang w:val="en-US"/>
        </w:rPr>
        <w:t xml:space="preserve"> March 19, 2002</w:t>
      </w:r>
      <w:r>
        <w:rPr>
          <w:noProof w:val="0"/>
          <w:szCs w:val="16"/>
          <w:lang w:val="en-US"/>
        </w:rPr>
        <w:t xml:space="preserve"> </w:t>
      </w:r>
      <w:r w:rsidRPr="00BA61B2">
        <w:rPr>
          <w:noProof w:val="0"/>
          <w:szCs w:val="16"/>
          <w:lang w:val="en-US"/>
        </w:rPr>
        <w:t>(evidence file, folio 4).</w:t>
      </w:r>
    </w:p>
  </w:footnote>
  <w:footnote w:id="50">
    <w:p w14:paraId="7ADA3C33"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rPr>
        <w:t>Cf.</w:t>
      </w:r>
      <w:r w:rsidRPr="00BA61B2">
        <w:rPr>
          <w:noProof w:val="0"/>
          <w:szCs w:val="16"/>
          <w:lang w:val="en-US"/>
        </w:rPr>
        <w:t xml:space="preserve"> Petition </w:t>
      </w:r>
      <w:r>
        <w:rPr>
          <w:noProof w:val="0"/>
          <w:szCs w:val="16"/>
          <w:lang w:val="en-US"/>
        </w:rPr>
        <w:t>submitted</w:t>
      </w:r>
      <w:r w:rsidRPr="00BA61B2">
        <w:rPr>
          <w:noProof w:val="0"/>
          <w:szCs w:val="16"/>
          <w:lang w:val="en-US"/>
        </w:rPr>
        <w:t xml:space="preserve"> by the alleged victim to the </w:t>
      </w:r>
      <w:r w:rsidRPr="00867320">
        <w:rPr>
          <w:i/>
          <w:noProof w:val="0"/>
          <w:szCs w:val="16"/>
          <w:lang w:val="en-US"/>
        </w:rPr>
        <w:t xml:space="preserve">Compañía Colombiana Administradora </w:t>
      </w:r>
      <w:r>
        <w:rPr>
          <w:i/>
          <w:noProof w:val="0"/>
          <w:szCs w:val="16"/>
          <w:lang w:val="en-US"/>
        </w:rPr>
        <w:t>de Fondos de Pensiones y</w:t>
      </w:r>
      <w:r w:rsidRPr="00867320">
        <w:rPr>
          <w:i/>
          <w:noProof w:val="0"/>
          <w:szCs w:val="16"/>
          <w:lang w:val="en-US"/>
        </w:rPr>
        <w:t xml:space="preserve"> Cesantías</w:t>
      </w:r>
      <w:r>
        <w:rPr>
          <w:noProof w:val="0"/>
          <w:szCs w:val="16"/>
          <w:lang w:val="en-US"/>
        </w:rPr>
        <w:t xml:space="preserve"> on</w:t>
      </w:r>
      <w:r w:rsidRPr="00BA61B2">
        <w:rPr>
          <w:noProof w:val="0"/>
          <w:szCs w:val="16"/>
          <w:lang w:val="en-US"/>
        </w:rPr>
        <w:t xml:space="preserve"> March 19, 2002</w:t>
      </w:r>
      <w:r>
        <w:rPr>
          <w:noProof w:val="0"/>
          <w:szCs w:val="16"/>
          <w:lang w:val="en-US"/>
        </w:rPr>
        <w:t xml:space="preserve"> </w:t>
      </w:r>
      <w:r w:rsidRPr="00BA61B2">
        <w:rPr>
          <w:noProof w:val="0"/>
          <w:szCs w:val="16"/>
          <w:lang w:val="en-US"/>
        </w:rPr>
        <w:t>(evidence file, folio 4).</w:t>
      </w:r>
    </w:p>
  </w:footnote>
  <w:footnote w:id="51">
    <w:p w14:paraId="21447B5F"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rPr>
        <w:t xml:space="preserve">Cf. </w:t>
      </w:r>
      <w:r w:rsidRPr="00867320">
        <w:rPr>
          <w:i/>
          <w:noProof w:val="0"/>
          <w:szCs w:val="16"/>
          <w:lang w:val="en-US"/>
        </w:rPr>
        <w:t xml:space="preserve">Compañía Colombiana Administradora </w:t>
      </w:r>
      <w:r>
        <w:rPr>
          <w:i/>
          <w:noProof w:val="0"/>
          <w:szCs w:val="16"/>
          <w:lang w:val="en-US"/>
        </w:rPr>
        <w:t>de Fondos de Pensiones y</w:t>
      </w:r>
      <w:r w:rsidRPr="00867320">
        <w:rPr>
          <w:i/>
          <w:noProof w:val="0"/>
          <w:szCs w:val="16"/>
          <w:lang w:val="en-US"/>
        </w:rPr>
        <w:t xml:space="preserve"> Cesantías</w:t>
      </w:r>
      <w:r>
        <w:rPr>
          <w:noProof w:val="0"/>
          <w:szCs w:val="16"/>
          <w:lang w:val="en-US"/>
        </w:rPr>
        <w:t>– COLFONDOS S.A., Official letter</w:t>
      </w:r>
      <w:r w:rsidRPr="00BA61B2">
        <w:rPr>
          <w:noProof w:val="0"/>
          <w:szCs w:val="16"/>
          <w:lang w:val="en-US"/>
        </w:rPr>
        <w:t xml:space="preserve"> No. </w:t>
      </w:r>
      <w:r w:rsidRPr="00BA61B2">
        <w:rPr>
          <w:rFonts w:cs="Arial"/>
          <w:iCs/>
          <w:noProof w:val="0"/>
          <w:color w:val="242424"/>
          <w:szCs w:val="16"/>
          <w:lang w:val="en-US" w:eastAsia="es-CR"/>
        </w:rPr>
        <w:t>OCI-E-P-1487-02 April 3, 2002 (evidence file, folio 63).</w:t>
      </w:r>
      <w:r w:rsidRPr="00BA61B2">
        <w:rPr>
          <w:rFonts w:cs="Arial"/>
          <w:i/>
          <w:iCs/>
          <w:noProof w:val="0"/>
          <w:color w:val="242424"/>
          <w:szCs w:val="16"/>
          <w:lang w:val="en-US" w:eastAsia="es-CR"/>
        </w:rPr>
        <w:t xml:space="preserve"> </w:t>
      </w:r>
    </w:p>
  </w:footnote>
  <w:footnote w:id="52">
    <w:p w14:paraId="5B3DB551"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Pr>
          <w:noProof w:val="0"/>
          <w:szCs w:val="16"/>
          <w:lang w:val="en-US"/>
        </w:rPr>
        <w:t xml:space="preserve">Cf. </w:t>
      </w:r>
      <w:r w:rsidRPr="00867320">
        <w:rPr>
          <w:i/>
          <w:noProof w:val="0"/>
          <w:szCs w:val="16"/>
          <w:lang w:val="en-US"/>
        </w:rPr>
        <w:t xml:space="preserve">Compañía Colombiana Administradora </w:t>
      </w:r>
      <w:r>
        <w:rPr>
          <w:i/>
          <w:noProof w:val="0"/>
          <w:szCs w:val="16"/>
          <w:lang w:val="en-US"/>
        </w:rPr>
        <w:t>de Fondos de Pensiones y</w:t>
      </w:r>
      <w:r w:rsidRPr="00867320">
        <w:rPr>
          <w:i/>
          <w:noProof w:val="0"/>
          <w:szCs w:val="16"/>
          <w:lang w:val="en-US"/>
        </w:rPr>
        <w:t xml:space="preserve"> Cesantías</w:t>
      </w:r>
      <w:r w:rsidRPr="00BA61B2">
        <w:rPr>
          <w:noProof w:val="0"/>
          <w:szCs w:val="16"/>
          <w:lang w:val="en-US"/>
        </w:rPr>
        <w:t xml:space="preserve"> Compañía Colombiana Administradora</w:t>
      </w:r>
      <w:r>
        <w:rPr>
          <w:noProof w:val="0"/>
          <w:szCs w:val="16"/>
          <w:lang w:val="en-US"/>
        </w:rPr>
        <w:t>– COLFONDOS S.A. Official letter</w:t>
      </w:r>
      <w:r w:rsidRPr="00BA61B2">
        <w:rPr>
          <w:noProof w:val="0"/>
          <w:szCs w:val="16"/>
          <w:lang w:val="en-US"/>
        </w:rPr>
        <w:t xml:space="preserve"> No. </w:t>
      </w:r>
      <w:r w:rsidRPr="00BA61B2">
        <w:rPr>
          <w:rFonts w:cs="Arial"/>
          <w:iCs/>
          <w:noProof w:val="0"/>
          <w:color w:val="242424"/>
          <w:szCs w:val="16"/>
          <w:lang w:val="en-US" w:eastAsia="es-CR"/>
        </w:rPr>
        <w:t>OCI-E-P-1487-02 April 3, 2002 (evidence file, folio 63).</w:t>
      </w:r>
    </w:p>
  </w:footnote>
  <w:footnote w:id="53">
    <w:p w14:paraId="6961BB0A"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D5436F">
        <w:rPr>
          <w:i/>
          <w:noProof w:val="0"/>
          <w:szCs w:val="16"/>
          <w:lang w:val="en-US"/>
        </w:rPr>
        <w:t>Cf.</w:t>
      </w:r>
      <w:r>
        <w:rPr>
          <w:noProof w:val="0"/>
          <w:szCs w:val="16"/>
          <w:lang w:val="en-US"/>
        </w:rPr>
        <w:t xml:space="preserve"> </w:t>
      </w:r>
      <w:r w:rsidRPr="00BA61B2">
        <w:rPr>
          <w:noProof w:val="0"/>
          <w:szCs w:val="16"/>
          <w:lang w:val="en-US"/>
        </w:rPr>
        <w:t>Congress of the Republic of Colombia, Law 100 of December 23, 1993, Official Gazette No. 41.148, preamble (evidence file, folio 1294).</w:t>
      </w:r>
    </w:p>
  </w:footnote>
  <w:footnote w:id="54">
    <w:p w14:paraId="65516DEF"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D5436F">
        <w:rPr>
          <w:i/>
          <w:noProof w:val="0"/>
          <w:szCs w:val="16"/>
          <w:lang w:val="en-US"/>
        </w:rPr>
        <w:t>Cf.</w:t>
      </w:r>
      <w:r>
        <w:rPr>
          <w:noProof w:val="0"/>
          <w:szCs w:val="16"/>
          <w:lang w:val="en-US"/>
        </w:rPr>
        <w:t xml:space="preserve"> </w:t>
      </w:r>
      <w:r w:rsidRPr="00BA61B2">
        <w:rPr>
          <w:noProof w:val="0"/>
          <w:szCs w:val="16"/>
          <w:lang w:val="en-US"/>
        </w:rPr>
        <w:t>Congress of the Republic of Colombia, Law 100 of December 23, 1993</w:t>
      </w:r>
      <w:r>
        <w:rPr>
          <w:noProof w:val="0"/>
          <w:szCs w:val="16"/>
          <w:lang w:val="en-US"/>
        </w:rPr>
        <w:t>, Official Gazette No. 41.148, A</w:t>
      </w:r>
      <w:r w:rsidRPr="00BA61B2">
        <w:rPr>
          <w:noProof w:val="0"/>
          <w:szCs w:val="16"/>
          <w:lang w:val="en-US"/>
        </w:rPr>
        <w:t>rticle 10 (evidence file, folio 1300).</w:t>
      </w:r>
    </w:p>
  </w:footnote>
  <w:footnote w:id="55">
    <w:p w14:paraId="7FF35AF6"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i/>
          <w:noProof w:val="0"/>
          <w:szCs w:val="16"/>
          <w:lang w:val="en-US"/>
        </w:rPr>
        <w:t xml:space="preserve"> </w:t>
      </w:r>
      <w:r w:rsidRPr="00BA61B2">
        <w:rPr>
          <w:i/>
          <w:noProof w:val="0"/>
          <w:szCs w:val="16"/>
          <w:lang w:val="en-US"/>
        </w:rPr>
        <w:tab/>
        <w:t>Cf.</w:t>
      </w:r>
      <w:r w:rsidRPr="00BA61B2">
        <w:rPr>
          <w:noProof w:val="0"/>
          <w:szCs w:val="16"/>
          <w:lang w:val="en-US"/>
        </w:rPr>
        <w:t xml:space="preserve"> Congress of the Republic of Colombia, Law 100 of December 23, 1993</w:t>
      </w:r>
      <w:r>
        <w:rPr>
          <w:noProof w:val="0"/>
          <w:szCs w:val="16"/>
          <w:lang w:val="en-US"/>
        </w:rPr>
        <w:t>, Official Gazette No. 41.148, A</w:t>
      </w:r>
      <w:r w:rsidRPr="00BA61B2">
        <w:rPr>
          <w:noProof w:val="0"/>
          <w:szCs w:val="16"/>
          <w:lang w:val="en-US"/>
        </w:rPr>
        <w:t>rticle 15</w:t>
      </w:r>
      <w:r>
        <w:rPr>
          <w:noProof w:val="0"/>
          <w:szCs w:val="16"/>
          <w:lang w:val="en-US"/>
        </w:rPr>
        <w:t>,</w:t>
      </w:r>
      <w:r w:rsidRPr="00BA61B2">
        <w:rPr>
          <w:noProof w:val="0"/>
          <w:szCs w:val="16"/>
          <w:lang w:val="en-US"/>
        </w:rPr>
        <w:t xml:space="preserve"> in </w:t>
      </w:r>
      <w:r>
        <w:rPr>
          <w:noProof w:val="0"/>
          <w:szCs w:val="16"/>
          <w:lang w:val="en-US"/>
        </w:rPr>
        <w:t xml:space="preserve">force </w:t>
      </w:r>
      <w:r w:rsidRPr="00BA61B2">
        <w:rPr>
          <w:noProof w:val="0"/>
          <w:szCs w:val="16"/>
          <w:lang w:val="en-US"/>
        </w:rPr>
        <w:t>at the time of the facts (evidence file, folio 1320).</w:t>
      </w:r>
    </w:p>
  </w:footnote>
  <w:footnote w:id="56">
    <w:p w14:paraId="35F59A36"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D5436F">
        <w:rPr>
          <w:i/>
          <w:noProof w:val="0"/>
          <w:szCs w:val="16"/>
          <w:lang w:val="en-US"/>
        </w:rPr>
        <w:t xml:space="preserve">Cf. </w:t>
      </w:r>
      <w:r w:rsidRPr="00BA61B2">
        <w:rPr>
          <w:noProof w:val="0"/>
          <w:szCs w:val="16"/>
          <w:lang w:val="en-US"/>
        </w:rPr>
        <w:t>Congress of the Republic of Colombia, Law 100 of December 23, 1993, Official Gazette No. 41.148, Article 47</w:t>
      </w:r>
      <w:r>
        <w:rPr>
          <w:noProof w:val="0"/>
          <w:szCs w:val="16"/>
          <w:lang w:val="en-US"/>
        </w:rPr>
        <w:t>,</w:t>
      </w:r>
      <w:r w:rsidRPr="00BA61B2">
        <w:rPr>
          <w:noProof w:val="0"/>
          <w:szCs w:val="16"/>
          <w:lang w:val="en-US"/>
        </w:rPr>
        <w:t xml:space="preserve"> in </w:t>
      </w:r>
      <w:r>
        <w:rPr>
          <w:noProof w:val="0"/>
          <w:szCs w:val="16"/>
          <w:lang w:val="en-US"/>
        </w:rPr>
        <w:t xml:space="preserve">force </w:t>
      </w:r>
      <w:r w:rsidRPr="00BA61B2">
        <w:rPr>
          <w:noProof w:val="0"/>
          <w:szCs w:val="16"/>
          <w:lang w:val="en-US"/>
        </w:rPr>
        <w:t xml:space="preserve">at the time of the facts (evidence file, folios 2871 and 2872). </w:t>
      </w:r>
    </w:p>
  </w:footnote>
  <w:footnote w:id="57">
    <w:p w14:paraId="2A29D36C"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D5436F">
        <w:rPr>
          <w:i/>
          <w:noProof w:val="0"/>
          <w:szCs w:val="16"/>
          <w:lang w:val="en-US"/>
        </w:rPr>
        <w:t>Cf.</w:t>
      </w:r>
      <w:r>
        <w:rPr>
          <w:i/>
          <w:noProof w:val="0"/>
          <w:szCs w:val="16"/>
          <w:lang w:val="en-US"/>
        </w:rPr>
        <w:t xml:space="preserve"> </w:t>
      </w:r>
      <w:r w:rsidRPr="00BA61B2">
        <w:rPr>
          <w:noProof w:val="0"/>
          <w:szCs w:val="16"/>
          <w:lang w:val="en-US"/>
        </w:rPr>
        <w:t>Congress of the Republic of Colombia, Law 100 of December 23, 1993, Official Gazette No. 41.148, Article 74</w:t>
      </w:r>
      <w:r>
        <w:rPr>
          <w:noProof w:val="0"/>
          <w:szCs w:val="16"/>
          <w:lang w:val="en-US"/>
        </w:rPr>
        <w:t>,</w:t>
      </w:r>
      <w:r w:rsidRPr="00BA61B2">
        <w:rPr>
          <w:noProof w:val="0"/>
          <w:szCs w:val="16"/>
          <w:lang w:val="en-US"/>
        </w:rPr>
        <w:t xml:space="preserve"> in </w:t>
      </w:r>
      <w:r>
        <w:rPr>
          <w:noProof w:val="0"/>
          <w:szCs w:val="16"/>
          <w:lang w:val="en-US"/>
        </w:rPr>
        <w:t xml:space="preserve">force </w:t>
      </w:r>
      <w:r w:rsidRPr="00BA61B2">
        <w:rPr>
          <w:noProof w:val="0"/>
          <w:szCs w:val="16"/>
          <w:lang w:val="en-US"/>
        </w:rPr>
        <w:t xml:space="preserve">at the time of the facts (evidence file, folios 2879 and 2880). </w:t>
      </w:r>
    </w:p>
  </w:footnote>
  <w:footnote w:id="58">
    <w:p w14:paraId="21A0ACDB"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D5436F">
        <w:rPr>
          <w:i/>
          <w:noProof w:val="0"/>
          <w:szCs w:val="16"/>
          <w:lang w:val="en-US"/>
        </w:rPr>
        <w:t>Cf.</w:t>
      </w:r>
      <w:r>
        <w:rPr>
          <w:i/>
          <w:noProof w:val="0"/>
          <w:szCs w:val="16"/>
          <w:lang w:val="en-US"/>
        </w:rPr>
        <w:t xml:space="preserve"> </w:t>
      </w:r>
      <w:r w:rsidRPr="00BA61B2">
        <w:rPr>
          <w:noProof w:val="0"/>
          <w:szCs w:val="16"/>
          <w:lang w:val="en-US"/>
        </w:rPr>
        <w:t xml:space="preserve">Congress of the Republic of Colombia, Law 54 of December </w:t>
      </w:r>
      <w:r>
        <w:rPr>
          <w:noProof w:val="0"/>
          <w:szCs w:val="16"/>
          <w:lang w:val="en-US"/>
        </w:rPr>
        <w:t xml:space="preserve">28, </w:t>
      </w:r>
      <w:r w:rsidRPr="00BA61B2">
        <w:rPr>
          <w:noProof w:val="0"/>
          <w:szCs w:val="16"/>
          <w:lang w:val="en-US"/>
        </w:rPr>
        <w:t>1990</w:t>
      </w:r>
      <w:r>
        <w:rPr>
          <w:noProof w:val="0"/>
          <w:szCs w:val="16"/>
          <w:lang w:val="en-US"/>
        </w:rPr>
        <w:t>, Official Gazette No. 39.615, A</w:t>
      </w:r>
      <w:r w:rsidRPr="00BA61B2">
        <w:rPr>
          <w:noProof w:val="0"/>
          <w:szCs w:val="16"/>
          <w:lang w:val="en-US"/>
        </w:rPr>
        <w:t xml:space="preserve">rticle 1 (evidence file, folio 1368). </w:t>
      </w:r>
    </w:p>
  </w:footnote>
  <w:footnote w:id="59">
    <w:p w14:paraId="2C140023"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t>President of the Republi</w:t>
      </w:r>
      <w:r>
        <w:rPr>
          <w:noProof w:val="0"/>
          <w:szCs w:val="16"/>
          <w:lang w:val="en-US"/>
        </w:rPr>
        <w:t xml:space="preserve">c of Colombia, Decree 1889 of </w:t>
      </w:r>
      <w:r w:rsidRPr="00BA61B2">
        <w:rPr>
          <w:noProof w:val="0"/>
          <w:szCs w:val="16"/>
          <w:lang w:val="en-US"/>
        </w:rPr>
        <w:t xml:space="preserve">August </w:t>
      </w:r>
      <w:r>
        <w:rPr>
          <w:noProof w:val="0"/>
          <w:szCs w:val="16"/>
          <w:lang w:val="en-US"/>
        </w:rPr>
        <w:t xml:space="preserve">3, </w:t>
      </w:r>
      <w:r w:rsidRPr="00BA61B2">
        <w:rPr>
          <w:noProof w:val="0"/>
          <w:szCs w:val="16"/>
          <w:lang w:val="en-US"/>
        </w:rPr>
        <w:t>1994</w:t>
      </w:r>
      <w:r>
        <w:rPr>
          <w:noProof w:val="0"/>
          <w:szCs w:val="16"/>
          <w:lang w:val="en-US"/>
        </w:rPr>
        <w:t>, Official Gazette No. 41.480, A</w:t>
      </w:r>
      <w:r w:rsidRPr="00BA61B2">
        <w:rPr>
          <w:noProof w:val="0"/>
          <w:szCs w:val="16"/>
          <w:lang w:val="en-US"/>
        </w:rPr>
        <w:t xml:space="preserve">rticles 10 and 11 (evidence file, folio 1363). </w:t>
      </w:r>
    </w:p>
  </w:footnote>
  <w:footnote w:id="60">
    <w:p w14:paraId="1656097F"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rPr>
        <w:t xml:space="preserve">Cf. </w:t>
      </w:r>
      <w:r w:rsidRPr="00BA61B2">
        <w:rPr>
          <w:noProof w:val="0"/>
          <w:szCs w:val="16"/>
          <w:lang w:val="en-US"/>
        </w:rPr>
        <w:t>Congress of the Republic of Colombia, Law 100 of December 23, 1993</w:t>
      </w:r>
      <w:r>
        <w:rPr>
          <w:noProof w:val="0"/>
          <w:szCs w:val="16"/>
          <w:lang w:val="en-US"/>
        </w:rPr>
        <w:t>, Official Gazette No. 41.148, A</w:t>
      </w:r>
      <w:r w:rsidRPr="00BA61B2">
        <w:rPr>
          <w:noProof w:val="0"/>
          <w:szCs w:val="16"/>
          <w:lang w:val="en-US"/>
        </w:rPr>
        <w:t xml:space="preserve">rticle 157(A)(1) (evidence file, folios 2911 and 2912). </w:t>
      </w:r>
    </w:p>
  </w:footnote>
  <w:footnote w:id="61">
    <w:p w14:paraId="7DB70B40"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rPr>
        <w:t>Cf.</w:t>
      </w:r>
      <w:r w:rsidRPr="00BA61B2">
        <w:rPr>
          <w:noProof w:val="0"/>
          <w:szCs w:val="16"/>
          <w:lang w:val="en-US"/>
        </w:rPr>
        <w:t xml:space="preserve"> Congress of the Republic of Colombia, Law 100 of December 23, 1993</w:t>
      </w:r>
      <w:r>
        <w:rPr>
          <w:noProof w:val="0"/>
          <w:szCs w:val="16"/>
          <w:lang w:val="en-US"/>
        </w:rPr>
        <w:t>, Official Gazette No. 41.148, A</w:t>
      </w:r>
      <w:r w:rsidRPr="00BA61B2">
        <w:rPr>
          <w:noProof w:val="0"/>
          <w:szCs w:val="16"/>
          <w:lang w:val="en-US"/>
        </w:rPr>
        <w:t xml:space="preserve">rticle 157(A)(2) (evidence file, folio 2912). </w:t>
      </w:r>
    </w:p>
  </w:footnote>
  <w:footnote w:id="62">
    <w:p w14:paraId="72378657"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t xml:space="preserve">Congress of the Republic of Colombia, Law 100 of December 23, 1993, Official Gazette </w:t>
      </w:r>
      <w:r>
        <w:rPr>
          <w:noProof w:val="0"/>
          <w:szCs w:val="16"/>
          <w:lang w:val="en-US"/>
        </w:rPr>
        <w:t>No. 41.148, A</w:t>
      </w:r>
      <w:r w:rsidRPr="00BA61B2">
        <w:rPr>
          <w:noProof w:val="0"/>
          <w:szCs w:val="16"/>
          <w:lang w:val="en-US"/>
        </w:rPr>
        <w:t xml:space="preserve">rticle 157(A)(2) (evidence file, folio 2912). </w:t>
      </w:r>
    </w:p>
  </w:footnote>
  <w:footnote w:id="63">
    <w:p w14:paraId="5729AD9E"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D5436F">
        <w:rPr>
          <w:i/>
          <w:noProof w:val="0"/>
          <w:szCs w:val="16"/>
          <w:lang w:val="en-US"/>
        </w:rPr>
        <w:t>Cf.</w:t>
      </w:r>
      <w:r>
        <w:rPr>
          <w:i/>
          <w:noProof w:val="0"/>
          <w:szCs w:val="16"/>
          <w:lang w:val="en-US"/>
        </w:rPr>
        <w:t xml:space="preserve"> </w:t>
      </w:r>
      <w:r w:rsidRPr="00BA61B2">
        <w:rPr>
          <w:noProof w:val="0"/>
          <w:szCs w:val="16"/>
          <w:lang w:val="en-US"/>
        </w:rPr>
        <w:t>Congress of the Republic of Colombia, Law 100 of December 23, 1993</w:t>
      </w:r>
      <w:r>
        <w:rPr>
          <w:noProof w:val="0"/>
          <w:szCs w:val="16"/>
          <w:lang w:val="en-US"/>
        </w:rPr>
        <w:t>, Official Gazette No. 41.148, A</w:t>
      </w:r>
      <w:r w:rsidRPr="00BA61B2">
        <w:rPr>
          <w:noProof w:val="0"/>
          <w:szCs w:val="16"/>
          <w:lang w:val="en-US"/>
        </w:rPr>
        <w:t xml:space="preserve">rticle 162 (evidence file, folio 2914). </w:t>
      </w:r>
    </w:p>
  </w:footnote>
  <w:footnote w:id="64">
    <w:p w14:paraId="74F66388" w14:textId="77777777" w:rsidR="00432906" w:rsidRPr="00BA61B2" w:rsidRDefault="00432906" w:rsidP="007B0DE4">
      <w:pPr>
        <w:pStyle w:val="Default"/>
        <w:spacing w:before="120" w:after="120"/>
        <w:rPr>
          <w:sz w:val="16"/>
          <w:szCs w:val="16"/>
        </w:rPr>
      </w:pPr>
      <w:r w:rsidRPr="00BA61B2">
        <w:rPr>
          <w:rStyle w:val="Refdenotaalpie"/>
          <w:sz w:val="16"/>
          <w:szCs w:val="16"/>
        </w:rPr>
        <w:footnoteRef/>
      </w:r>
      <w:r w:rsidRPr="00BA61B2">
        <w:rPr>
          <w:sz w:val="16"/>
          <w:szCs w:val="16"/>
        </w:rPr>
        <w:t xml:space="preserve"> </w:t>
      </w:r>
      <w:r w:rsidRPr="00BA61B2">
        <w:rPr>
          <w:sz w:val="16"/>
          <w:szCs w:val="16"/>
        </w:rPr>
        <w:tab/>
      </w:r>
      <w:r w:rsidRPr="00BA61B2">
        <w:rPr>
          <w:i/>
          <w:sz w:val="16"/>
          <w:szCs w:val="16"/>
        </w:rPr>
        <w:t xml:space="preserve">Cf. </w:t>
      </w:r>
      <w:r w:rsidRPr="00D5436F">
        <w:rPr>
          <w:i/>
          <w:sz w:val="16"/>
          <w:szCs w:val="16"/>
        </w:rPr>
        <w:t>Tutela</w:t>
      </w:r>
      <w:r w:rsidRPr="00BA61B2">
        <w:rPr>
          <w:sz w:val="16"/>
          <w:szCs w:val="16"/>
        </w:rPr>
        <w:t xml:space="preserve"> action </w:t>
      </w:r>
      <w:r>
        <w:rPr>
          <w:sz w:val="16"/>
          <w:szCs w:val="16"/>
        </w:rPr>
        <w:t xml:space="preserve">filed </w:t>
      </w:r>
      <w:r w:rsidRPr="00BA61B2">
        <w:rPr>
          <w:sz w:val="16"/>
          <w:szCs w:val="16"/>
        </w:rPr>
        <w:t>by the alleged victim on April 26, 2002 (evidence file, folios 6 to 19).</w:t>
      </w:r>
    </w:p>
  </w:footnote>
  <w:footnote w:id="65">
    <w:p w14:paraId="2B555025"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rPr>
        <w:t xml:space="preserve">Cf. </w:t>
      </w:r>
      <w:r w:rsidRPr="00D5436F">
        <w:rPr>
          <w:i/>
          <w:noProof w:val="0"/>
          <w:szCs w:val="16"/>
          <w:lang w:val="en-US"/>
        </w:rPr>
        <w:t>Tutela</w:t>
      </w:r>
      <w:r w:rsidRPr="00BA61B2">
        <w:rPr>
          <w:noProof w:val="0"/>
          <w:szCs w:val="16"/>
          <w:lang w:val="en-US"/>
        </w:rPr>
        <w:t xml:space="preserve"> action filed by the alleged victim on April 26, 2002 (evidence file, folios 7 and 8).</w:t>
      </w:r>
    </w:p>
  </w:footnote>
  <w:footnote w:id="66">
    <w:p w14:paraId="02F0591D"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rPr>
        <w:t xml:space="preserve">Cf. </w:t>
      </w:r>
      <w:r w:rsidRPr="00D5436F">
        <w:rPr>
          <w:i/>
          <w:noProof w:val="0"/>
          <w:szCs w:val="16"/>
          <w:lang w:val="en-US"/>
        </w:rPr>
        <w:t>Tutela</w:t>
      </w:r>
      <w:r w:rsidRPr="00BA61B2">
        <w:rPr>
          <w:noProof w:val="0"/>
          <w:szCs w:val="16"/>
          <w:lang w:val="en-US"/>
        </w:rPr>
        <w:t xml:space="preserve"> action filed by the alleged victim on April 26, 2002 (evidence file, folios 11 to 16).</w:t>
      </w:r>
    </w:p>
  </w:footnote>
  <w:footnote w:id="67">
    <w:p w14:paraId="59974D74" w14:textId="77777777" w:rsidR="00432906" w:rsidRPr="00BA61B2" w:rsidRDefault="00432906" w:rsidP="007B0DE4">
      <w:pPr>
        <w:pStyle w:val="Default"/>
        <w:spacing w:before="120" w:after="120"/>
        <w:jc w:val="both"/>
        <w:rPr>
          <w:sz w:val="16"/>
          <w:szCs w:val="16"/>
        </w:rPr>
      </w:pPr>
      <w:r w:rsidRPr="00BA61B2">
        <w:rPr>
          <w:rStyle w:val="Refdenotaalpie"/>
          <w:sz w:val="16"/>
          <w:szCs w:val="16"/>
        </w:rPr>
        <w:footnoteRef/>
      </w:r>
      <w:r w:rsidRPr="00BA61B2">
        <w:rPr>
          <w:sz w:val="16"/>
          <w:szCs w:val="16"/>
        </w:rPr>
        <w:t xml:space="preserve"> </w:t>
      </w:r>
      <w:r w:rsidRPr="00BA61B2">
        <w:rPr>
          <w:sz w:val="16"/>
          <w:szCs w:val="16"/>
        </w:rPr>
        <w:tab/>
        <w:t>Tenth Municipal Civil Court of Bogotá, Judgment of June 5, 2002 (evidence file, folio 86).</w:t>
      </w:r>
    </w:p>
  </w:footnote>
  <w:footnote w:id="68">
    <w:p w14:paraId="1C834385"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t xml:space="preserve">Twelfth Civil Court of </w:t>
      </w:r>
      <w:r>
        <w:rPr>
          <w:noProof w:val="0"/>
          <w:szCs w:val="16"/>
          <w:lang w:val="en-US"/>
        </w:rPr>
        <w:t xml:space="preserve">the </w:t>
      </w:r>
      <w:r w:rsidRPr="00BA61B2">
        <w:rPr>
          <w:noProof w:val="0"/>
          <w:szCs w:val="16"/>
          <w:lang w:val="en-US"/>
        </w:rPr>
        <w:t xml:space="preserve">Circuit </w:t>
      </w:r>
      <w:r>
        <w:rPr>
          <w:noProof w:val="0"/>
          <w:szCs w:val="16"/>
          <w:lang w:val="en-US"/>
        </w:rPr>
        <w:t xml:space="preserve">of </w:t>
      </w:r>
      <w:r w:rsidRPr="00BA61B2">
        <w:rPr>
          <w:noProof w:val="0"/>
          <w:szCs w:val="16"/>
          <w:lang w:val="en-US"/>
        </w:rPr>
        <w:t>Santa Fe de Bogotá, Judgment, July 19, 2002 (evidence file, folios 92 and 93).</w:t>
      </w:r>
    </w:p>
  </w:footnote>
  <w:footnote w:id="69">
    <w:p w14:paraId="72C210C4"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rPr>
        <w:t xml:space="preserve">Cf. </w:t>
      </w:r>
      <w:r w:rsidRPr="00BA61B2">
        <w:rPr>
          <w:noProof w:val="0"/>
          <w:szCs w:val="16"/>
          <w:lang w:val="en-US"/>
        </w:rPr>
        <w:t>Constitutional Court of Colombia, Judgment C-075 of February 7, 2007, paragraphs 6.2.3.2, 6.2.4 and 6.3 (evidence file, folios 1924 to 1926).</w:t>
      </w:r>
    </w:p>
  </w:footnote>
  <w:footnote w:id="70">
    <w:p w14:paraId="1A0A2C09"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rPr>
        <w:t xml:space="preserve">Cf. </w:t>
      </w:r>
      <w:r w:rsidRPr="00BA61B2">
        <w:rPr>
          <w:noProof w:val="0"/>
          <w:szCs w:val="16"/>
          <w:lang w:val="en-US"/>
        </w:rPr>
        <w:t>Constitutional Court of Colombia, Judgment C-811 of October 3, 2007, section 6 (evidence file, folios 1990 to 1992).</w:t>
      </w:r>
    </w:p>
  </w:footnote>
  <w:footnote w:id="71">
    <w:p w14:paraId="1348206D"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rPr>
        <w:t xml:space="preserve">Cf. </w:t>
      </w:r>
      <w:r w:rsidRPr="00BA61B2">
        <w:rPr>
          <w:noProof w:val="0"/>
          <w:szCs w:val="16"/>
          <w:lang w:val="en-US"/>
        </w:rPr>
        <w:t xml:space="preserve">Constitutional Court of Colombia, Judgment C-336 of April 16, 2008 (evidence file, folio 1411). </w:t>
      </w:r>
    </w:p>
  </w:footnote>
  <w:footnote w:id="72">
    <w:p w14:paraId="5110B031"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rPr>
        <w:t>Cf.</w:t>
      </w:r>
      <w:r w:rsidRPr="00BA61B2">
        <w:rPr>
          <w:noProof w:val="0"/>
          <w:szCs w:val="16"/>
          <w:lang w:val="en-US"/>
        </w:rPr>
        <w:t xml:space="preserve"> Constitutional Court of Colombia, </w:t>
      </w:r>
      <w:r>
        <w:rPr>
          <w:noProof w:val="0"/>
          <w:szCs w:val="16"/>
          <w:lang w:val="en-US"/>
        </w:rPr>
        <w:t>Judgment T</w:t>
      </w:r>
      <w:r w:rsidRPr="00BA61B2">
        <w:rPr>
          <w:noProof w:val="0"/>
          <w:szCs w:val="16"/>
          <w:lang w:val="en-US"/>
        </w:rPr>
        <w:t xml:space="preserve">-051/10 of February 2, 2010, paragraph 6.7 (evidence file, folios 1528 and 1529), and Constitutional Court of Colombia, </w:t>
      </w:r>
      <w:r>
        <w:rPr>
          <w:noProof w:val="0"/>
          <w:szCs w:val="16"/>
          <w:lang w:val="en-US"/>
        </w:rPr>
        <w:t>Judgment T</w:t>
      </w:r>
      <w:r w:rsidRPr="00BA61B2">
        <w:rPr>
          <w:noProof w:val="0"/>
          <w:szCs w:val="16"/>
          <w:lang w:val="en-US"/>
        </w:rPr>
        <w:t>-860/11 of November 15, 2011 (evidence file, folios 1570 and 1572).</w:t>
      </w:r>
    </w:p>
  </w:footnote>
  <w:footnote w:id="73">
    <w:p w14:paraId="0844234B" w14:textId="77777777" w:rsidR="00432906" w:rsidRPr="00BA61B2" w:rsidRDefault="00432906" w:rsidP="007B0DE4">
      <w:pPr>
        <w:pStyle w:val="Textonotapie"/>
        <w:rPr>
          <w:noProof w:val="0"/>
          <w:lang w:val="en-US"/>
        </w:rPr>
      </w:pPr>
      <w:r w:rsidRPr="00BA61B2">
        <w:rPr>
          <w:rStyle w:val="Refdenotaalpie"/>
          <w:noProof w:val="0"/>
          <w:lang w:val="en-US"/>
        </w:rPr>
        <w:footnoteRef/>
      </w:r>
      <w:r w:rsidRPr="00BA61B2">
        <w:rPr>
          <w:noProof w:val="0"/>
          <w:lang w:val="en-US"/>
        </w:rPr>
        <w:t xml:space="preserve"> </w:t>
      </w:r>
      <w:r w:rsidRPr="00BA61B2">
        <w:rPr>
          <w:noProof w:val="0"/>
          <w:lang w:val="en-US"/>
        </w:rPr>
        <w:tab/>
      </w:r>
      <w:r>
        <w:rPr>
          <w:noProof w:val="0"/>
          <w:lang w:val="en-US"/>
        </w:rPr>
        <w:t>T</w:t>
      </w:r>
      <w:r w:rsidRPr="00BA61B2">
        <w:rPr>
          <w:noProof w:val="0"/>
          <w:lang w:val="en-US"/>
        </w:rPr>
        <w:t xml:space="preserve">he </w:t>
      </w:r>
      <w:r w:rsidRPr="00BA61B2">
        <w:rPr>
          <w:i/>
          <w:noProof w:val="0"/>
          <w:lang w:val="en-US"/>
        </w:rPr>
        <w:t>representatives</w:t>
      </w:r>
      <w:r w:rsidRPr="00BA61B2">
        <w:rPr>
          <w:noProof w:val="0"/>
          <w:lang w:val="en-US"/>
        </w:rPr>
        <w:t xml:space="preserve"> </w:t>
      </w:r>
      <w:r>
        <w:rPr>
          <w:noProof w:val="0"/>
          <w:lang w:val="en-US"/>
        </w:rPr>
        <w:t xml:space="preserve">also </w:t>
      </w:r>
      <w:r w:rsidRPr="00BA61B2">
        <w:rPr>
          <w:noProof w:val="0"/>
          <w:lang w:val="en-US"/>
        </w:rPr>
        <w:t xml:space="preserve">stated that “beginning with the Constitutional Court itself, </w:t>
      </w:r>
      <w:r>
        <w:rPr>
          <w:noProof w:val="0"/>
          <w:lang w:val="en-US"/>
        </w:rPr>
        <w:t xml:space="preserve">there were case law </w:t>
      </w:r>
      <w:r w:rsidRPr="00BA61B2">
        <w:rPr>
          <w:noProof w:val="0"/>
          <w:lang w:val="en-US"/>
        </w:rPr>
        <w:t xml:space="preserve">differences </w:t>
      </w:r>
      <w:r>
        <w:rPr>
          <w:noProof w:val="0"/>
          <w:lang w:val="en-US"/>
        </w:rPr>
        <w:t xml:space="preserve">between </w:t>
      </w:r>
      <w:r w:rsidRPr="00BA61B2">
        <w:rPr>
          <w:noProof w:val="0"/>
          <w:lang w:val="en-US"/>
        </w:rPr>
        <w:t xml:space="preserve">the applicable </w:t>
      </w:r>
      <w:r>
        <w:rPr>
          <w:noProof w:val="0"/>
          <w:lang w:val="en-US"/>
        </w:rPr>
        <w:t xml:space="preserve">evidentiary systems and </w:t>
      </w:r>
      <w:r w:rsidRPr="00BA61B2">
        <w:rPr>
          <w:noProof w:val="0"/>
          <w:lang w:val="en-US"/>
        </w:rPr>
        <w:t xml:space="preserve">the </w:t>
      </w:r>
      <w:r>
        <w:rPr>
          <w:noProof w:val="0"/>
          <w:lang w:val="en-US"/>
        </w:rPr>
        <w:t xml:space="preserve">time that </w:t>
      </w:r>
      <w:r w:rsidRPr="00C51456">
        <w:rPr>
          <w:noProof w:val="0"/>
          <w:lang w:val="en-US"/>
        </w:rPr>
        <w:t>the ruling was in force</w:t>
      </w:r>
      <w:r>
        <w:rPr>
          <w:noProof w:val="0"/>
          <w:lang w:val="en-US"/>
        </w:rPr>
        <w:t>. In real or practical terms, this means that</w:t>
      </w:r>
      <w:r w:rsidRPr="00BA61B2">
        <w:rPr>
          <w:noProof w:val="0"/>
          <w:lang w:val="en-US"/>
        </w:rPr>
        <w:t xml:space="preserve"> even nowaday</w:t>
      </w:r>
      <w:r>
        <w:rPr>
          <w:noProof w:val="0"/>
          <w:lang w:val="en-US"/>
        </w:rPr>
        <w:t xml:space="preserve">s, there are still many cases in </w:t>
      </w:r>
      <w:r w:rsidRPr="00BA61B2">
        <w:rPr>
          <w:noProof w:val="0"/>
          <w:lang w:val="en-US"/>
        </w:rPr>
        <w:t xml:space="preserve">which same-sex couples are denied the survivor’s pension by private and public pension funds, </w:t>
      </w:r>
      <w:r>
        <w:rPr>
          <w:noProof w:val="0"/>
          <w:lang w:val="en-US"/>
        </w:rPr>
        <w:t xml:space="preserve">citing a lack </w:t>
      </w:r>
      <w:r w:rsidRPr="00BA61B2">
        <w:rPr>
          <w:noProof w:val="0"/>
          <w:lang w:val="en-US"/>
        </w:rPr>
        <w:t>of legislation</w:t>
      </w:r>
      <w:r>
        <w:rPr>
          <w:noProof w:val="0"/>
          <w:lang w:val="en-US"/>
        </w:rPr>
        <w:t>.”</w:t>
      </w:r>
    </w:p>
  </w:footnote>
  <w:footnote w:id="74">
    <w:p w14:paraId="390A9F68" w14:textId="77777777" w:rsidR="00432906" w:rsidRPr="00BA61B2" w:rsidRDefault="00432906" w:rsidP="007B0DE4">
      <w:pPr>
        <w:pStyle w:val="Textonotapie"/>
        <w:rPr>
          <w:noProof w:val="0"/>
          <w:lang w:val="en-US"/>
        </w:rPr>
      </w:pPr>
      <w:r w:rsidRPr="00BA61B2">
        <w:rPr>
          <w:rStyle w:val="Refdenotaalpie"/>
          <w:noProof w:val="0"/>
          <w:lang w:val="en-US"/>
        </w:rPr>
        <w:footnoteRef/>
      </w:r>
      <w:r w:rsidRPr="00BA61B2">
        <w:rPr>
          <w:noProof w:val="0"/>
          <w:lang w:val="en-US"/>
        </w:rPr>
        <w:t xml:space="preserve"> </w:t>
      </w:r>
      <w:r w:rsidRPr="00BA61B2">
        <w:rPr>
          <w:noProof w:val="0"/>
          <w:lang w:val="en-US"/>
        </w:rPr>
        <w:tab/>
      </w:r>
      <w:r>
        <w:rPr>
          <w:noProof w:val="0"/>
          <w:lang w:val="en-US"/>
        </w:rPr>
        <w:t>T</w:t>
      </w:r>
      <w:r w:rsidRPr="00BA61B2">
        <w:rPr>
          <w:noProof w:val="0"/>
          <w:lang w:val="en-US"/>
        </w:rPr>
        <w:t xml:space="preserve">hey </w:t>
      </w:r>
      <w:r>
        <w:rPr>
          <w:noProof w:val="0"/>
          <w:lang w:val="en-US"/>
        </w:rPr>
        <w:t xml:space="preserve">also </w:t>
      </w:r>
      <w:r w:rsidRPr="00B0529F">
        <w:rPr>
          <w:noProof w:val="0"/>
          <w:lang w:val="en-US"/>
        </w:rPr>
        <w:t>indicated that</w:t>
      </w:r>
      <w:r>
        <w:rPr>
          <w:noProof w:val="0"/>
          <w:lang w:val="en-US"/>
        </w:rPr>
        <w:t xml:space="preserve">, even </w:t>
      </w:r>
      <w:r w:rsidRPr="00B070CE">
        <w:rPr>
          <w:noProof w:val="0"/>
          <w:lang w:val="en-US"/>
        </w:rPr>
        <w:t>with re</w:t>
      </w:r>
      <w:r>
        <w:rPr>
          <w:noProof w:val="0"/>
          <w:lang w:val="en-US"/>
        </w:rPr>
        <w:t xml:space="preserve">gard </w:t>
      </w:r>
      <w:r w:rsidRPr="00B070CE">
        <w:rPr>
          <w:noProof w:val="0"/>
          <w:lang w:val="en-US"/>
        </w:rPr>
        <w:t xml:space="preserve">to the amount of the monthly payments that Mr. Duque did not receive, it </w:t>
      </w:r>
      <w:r>
        <w:rPr>
          <w:noProof w:val="0"/>
          <w:lang w:val="en-US"/>
        </w:rPr>
        <w:t xml:space="preserve">is not </w:t>
      </w:r>
      <w:r w:rsidRPr="00B070CE">
        <w:rPr>
          <w:noProof w:val="0"/>
          <w:lang w:val="en-US"/>
        </w:rPr>
        <w:t xml:space="preserve">possible to conclude that a pension claim based on the parameters of judgment C-336 of 2008 and its consolidation, […]after judgment T-051 of 2010, would grant him the </w:t>
      </w:r>
      <w:r>
        <w:rPr>
          <w:noProof w:val="0"/>
          <w:lang w:val="en-US"/>
        </w:rPr>
        <w:t xml:space="preserve">full </w:t>
      </w:r>
      <w:r w:rsidRPr="00B070CE">
        <w:rPr>
          <w:noProof w:val="0"/>
          <w:lang w:val="en-US"/>
        </w:rPr>
        <w:t xml:space="preserve">amounts of the benefit that Ángel Alberto Duque did not receive, since </w:t>
      </w:r>
      <w:r>
        <w:rPr>
          <w:noProof w:val="0"/>
          <w:lang w:val="en-US"/>
        </w:rPr>
        <w:t xml:space="preserve">only the </w:t>
      </w:r>
      <w:r w:rsidRPr="00BA61B2">
        <w:rPr>
          <w:noProof w:val="0"/>
          <w:lang w:val="en-US"/>
        </w:rPr>
        <w:t xml:space="preserve">last three years </w:t>
      </w:r>
      <w:r>
        <w:rPr>
          <w:noProof w:val="0"/>
          <w:lang w:val="en-US"/>
        </w:rPr>
        <w:t xml:space="preserve">of payments </w:t>
      </w:r>
      <w:r w:rsidRPr="00BA61B2">
        <w:rPr>
          <w:noProof w:val="0"/>
          <w:lang w:val="en-US"/>
        </w:rPr>
        <w:t xml:space="preserve">prior to the presentation of the claim </w:t>
      </w:r>
      <w:r>
        <w:rPr>
          <w:noProof w:val="0"/>
          <w:lang w:val="en-US"/>
        </w:rPr>
        <w:t xml:space="preserve">would be disbursed, </w:t>
      </w:r>
      <w:r w:rsidRPr="00BA61B2">
        <w:rPr>
          <w:noProof w:val="0"/>
          <w:lang w:val="en-US"/>
        </w:rPr>
        <w:t xml:space="preserve">because the rest would </w:t>
      </w:r>
      <w:r>
        <w:rPr>
          <w:noProof w:val="0"/>
          <w:lang w:val="en-US"/>
        </w:rPr>
        <w:t xml:space="preserve">expire </w:t>
      </w:r>
      <w:r w:rsidRPr="00BA61B2">
        <w:rPr>
          <w:noProof w:val="0"/>
          <w:lang w:val="en-US"/>
        </w:rPr>
        <w:t xml:space="preserve">according to </w:t>
      </w:r>
      <w:r>
        <w:rPr>
          <w:noProof w:val="0"/>
          <w:lang w:val="en-US"/>
        </w:rPr>
        <w:t xml:space="preserve">the rules of </w:t>
      </w:r>
      <w:r w:rsidRPr="00BA61B2">
        <w:rPr>
          <w:noProof w:val="0"/>
          <w:lang w:val="en-US"/>
        </w:rPr>
        <w:t xml:space="preserve">Article 488 of the </w:t>
      </w:r>
      <w:r>
        <w:rPr>
          <w:noProof w:val="0"/>
          <w:lang w:val="en-US"/>
        </w:rPr>
        <w:t>Labor Code.”</w:t>
      </w:r>
    </w:p>
  </w:footnote>
  <w:footnote w:id="75">
    <w:p w14:paraId="6792243B"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Pr>
          <w:noProof w:val="0"/>
          <w:szCs w:val="16"/>
          <w:lang w:val="en-US"/>
        </w:rPr>
        <w:t xml:space="preserve"> </w:t>
      </w:r>
      <w:r>
        <w:rPr>
          <w:noProof w:val="0"/>
          <w:szCs w:val="16"/>
          <w:lang w:val="en-US"/>
        </w:rPr>
        <w:tab/>
        <w:t xml:space="preserve">Article 1(1) of the </w:t>
      </w:r>
      <w:r w:rsidRPr="00BA61B2">
        <w:rPr>
          <w:noProof w:val="0"/>
          <w:szCs w:val="16"/>
          <w:lang w:val="en-US"/>
        </w:rPr>
        <w:t>International Convention on the Elimination of All Forms of Racial Discrimination states: “</w:t>
      </w:r>
      <w:r w:rsidRPr="00377A20">
        <w:rPr>
          <w:color w:val="000000"/>
          <w:szCs w:val="16"/>
          <w:shd w:val="clear" w:color="auto" w:fill="FFFFFF"/>
        </w:rPr>
        <w:t>In this Convention, the term "racial discrimination" shall mean any distinction, exclusion, restriction or preference based on race, colour, descent, or national or ethnic origin which has the purpose or effect of nullifying or impairing the recognition, enjoyment or exercise, on an equal footing, of human rights and fundamental freedoms in the political, economic, social, cultural or any other field of public life</w:t>
      </w:r>
      <w:r w:rsidRPr="00BA61B2">
        <w:rPr>
          <w:noProof w:val="0"/>
          <w:szCs w:val="16"/>
          <w:lang w:val="en-US"/>
        </w:rPr>
        <w:t>.”</w:t>
      </w:r>
    </w:p>
  </w:footnote>
  <w:footnote w:id="76">
    <w:p w14:paraId="6C84E843"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t xml:space="preserve">See </w:t>
      </w:r>
      <w:r w:rsidRPr="00BA61B2">
        <w:rPr>
          <w:i/>
          <w:noProof w:val="0"/>
          <w:szCs w:val="16"/>
          <w:lang w:val="en-US"/>
        </w:rPr>
        <w:t>Case of Atala Riffo and Daughters v. Chile. Merits, reparations and costs</w:t>
      </w:r>
      <w:r w:rsidRPr="00BA61B2">
        <w:rPr>
          <w:noProof w:val="0"/>
          <w:szCs w:val="16"/>
          <w:lang w:val="en-US"/>
        </w:rPr>
        <w:t xml:space="preserve">. Judgment of February 24, 2012. Series C No. 239, para. 81. </w:t>
      </w:r>
      <w:r>
        <w:rPr>
          <w:noProof w:val="0"/>
          <w:szCs w:val="16"/>
          <w:lang w:val="en-US"/>
        </w:rPr>
        <w:t xml:space="preserve">Also, </w:t>
      </w:r>
      <w:r w:rsidRPr="00BA61B2">
        <w:rPr>
          <w:noProof w:val="0"/>
          <w:szCs w:val="16"/>
          <w:lang w:val="en-US"/>
        </w:rPr>
        <w:t xml:space="preserve">Article 1(1) of the </w:t>
      </w:r>
      <w:r w:rsidRPr="00BA61B2">
        <w:rPr>
          <w:rFonts w:cs="Arial"/>
          <w:bCs/>
          <w:noProof w:val="0"/>
          <w:color w:val="222222"/>
          <w:shd w:val="clear" w:color="auto" w:fill="FFFFFF"/>
          <w:lang w:val="en-US"/>
        </w:rPr>
        <w:t>Convention on</w:t>
      </w:r>
      <w:r w:rsidRPr="00BA61B2">
        <w:rPr>
          <w:rFonts w:cs="Arial"/>
          <w:noProof w:val="0"/>
          <w:color w:val="222222"/>
          <w:shd w:val="clear" w:color="auto" w:fill="FFFFFF"/>
          <w:lang w:val="en-US"/>
        </w:rPr>
        <w:t> the </w:t>
      </w:r>
      <w:r w:rsidRPr="00BA61B2">
        <w:rPr>
          <w:rFonts w:cs="Arial"/>
          <w:bCs/>
          <w:noProof w:val="0"/>
          <w:color w:val="222222"/>
          <w:shd w:val="clear" w:color="auto" w:fill="FFFFFF"/>
          <w:lang w:val="en-US"/>
        </w:rPr>
        <w:t>Elimination</w:t>
      </w:r>
      <w:r w:rsidRPr="00BA61B2">
        <w:rPr>
          <w:rFonts w:cs="Arial"/>
          <w:noProof w:val="0"/>
          <w:color w:val="222222"/>
          <w:shd w:val="clear" w:color="auto" w:fill="FFFFFF"/>
          <w:lang w:val="en-US"/>
        </w:rPr>
        <w:t> of all </w:t>
      </w:r>
      <w:r w:rsidRPr="00BA61B2">
        <w:rPr>
          <w:rFonts w:cs="Arial"/>
          <w:bCs/>
          <w:noProof w:val="0"/>
          <w:color w:val="222222"/>
          <w:shd w:val="clear" w:color="auto" w:fill="FFFFFF"/>
          <w:lang w:val="en-US"/>
        </w:rPr>
        <w:t>Forms of Discrimination Against Women</w:t>
      </w:r>
      <w:r w:rsidRPr="00BA61B2">
        <w:rPr>
          <w:noProof w:val="0"/>
          <w:szCs w:val="16"/>
          <w:lang w:val="en-US"/>
        </w:rPr>
        <w:t xml:space="preserve"> states: “</w:t>
      </w:r>
      <w:r w:rsidRPr="00BA61B2">
        <w:rPr>
          <w:noProof w:val="0"/>
          <w:lang w:val="en-US"/>
        </w:rPr>
        <w:t>For the purposes of the present Convention, the term "discrimination against women" shall mean any distinction, exclusion or restriction made on the basis of sex which has the effect or purpose of impairing or nullifying the recognition, enjoyment or exercise by women, irrespective of their marital status, on a basis of equality of men and women, of human rights and fundamental freedoms in the political, economic, social, cultural, civil or any other field.</w:t>
      </w:r>
      <w:r w:rsidRPr="00BA61B2">
        <w:rPr>
          <w:noProof w:val="0"/>
          <w:szCs w:val="16"/>
          <w:lang w:val="en-US"/>
        </w:rPr>
        <w:t>”</w:t>
      </w:r>
    </w:p>
  </w:footnote>
  <w:footnote w:id="77">
    <w:p w14:paraId="41CF43B5"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t xml:space="preserve">See </w:t>
      </w:r>
      <w:r w:rsidRPr="00BA61B2">
        <w:rPr>
          <w:i/>
          <w:noProof w:val="0"/>
          <w:szCs w:val="16"/>
          <w:lang w:val="en-US"/>
        </w:rPr>
        <w:t>Case of Atala Riffo and Daughters v. Chile. Merits, reparations and costs</w:t>
      </w:r>
      <w:r w:rsidRPr="00BA61B2">
        <w:rPr>
          <w:noProof w:val="0"/>
          <w:szCs w:val="16"/>
          <w:lang w:val="en-US"/>
        </w:rPr>
        <w:t xml:space="preserve">, para. 81. </w:t>
      </w:r>
      <w:r>
        <w:rPr>
          <w:noProof w:val="0"/>
          <w:szCs w:val="16"/>
          <w:lang w:val="en-US"/>
        </w:rPr>
        <w:t xml:space="preserve">Also, </w:t>
      </w:r>
      <w:r w:rsidRPr="00BA61B2">
        <w:rPr>
          <w:noProof w:val="0"/>
          <w:szCs w:val="16"/>
          <w:lang w:val="en-US"/>
        </w:rPr>
        <w:t>United Nations, Human Rights Committee, General Comment No. 18, No</w:t>
      </w:r>
      <w:r>
        <w:rPr>
          <w:noProof w:val="0"/>
          <w:szCs w:val="16"/>
          <w:lang w:val="en-US"/>
        </w:rPr>
        <w:t>n-</w:t>
      </w:r>
      <w:r w:rsidRPr="00BA61B2">
        <w:rPr>
          <w:noProof w:val="0"/>
          <w:szCs w:val="16"/>
          <w:lang w:val="en-US"/>
        </w:rPr>
        <w:t>discrimination, para. 6.</w:t>
      </w:r>
    </w:p>
  </w:footnote>
  <w:footnote w:id="78">
    <w:p w14:paraId="476549D9"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rPr>
        <w:t>Cf.</w:t>
      </w:r>
      <w:r w:rsidRPr="00BA61B2">
        <w:rPr>
          <w:noProof w:val="0"/>
          <w:szCs w:val="16"/>
          <w:lang w:val="en-US"/>
        </w:rPr>
        <w:t xml:space="preserve"> </w:t>
      </w:r>
      <w:r w:rsidRPr="00BA61B2">
        <w:rPr>
          <w:i/>
          <w:noProof w:val="0"/>
          <w:szCs w:val="16"/>
          <w:lang w:val="en-US"/>
        </w:rPr>
        <w:t>Proposed Amendments to the Naturalization Provision of the Constitution of Costa Rica</w:t>
      </w:r>
      <w:r>
        <w:rPr>
          <w:i/>
          <w:noProof w:val="0"/>
          <w:szCs w:val="16"/>
          <w:lang w:val="en-US"/>
        </w:rPr>
        <w:t xml:space="preserve">. </w:t>
      </w:r>
      <w:r w:rsidRPr="00BA61B2">
        <w:rPr>
          <w:i/>
          <w:noProof w:val="0"/>
          <w:szCs w:val="16"/>
          <w:lang w:val="en-US"/>
        </w:rPr>
        <w:t>Advisory Opinion</w:t>
      </w:r>
      <w:r w:rsidRPr="00BA61B2">
        <w:rPr>
          <w:noProof w:val="0"/>
          <w:szCs w:val="16"/>
          <w:lang w:val="en-US"/>
        </w:rPr>
        <w:t xml:space="preserve"> </w:t>
      </w:r>
      <w:r w:rsidRPr="00BA61B2">
        <w:rPr>
          <w:i/>
          <w:noProof w:val="0"/>
          <w:szCs w:val="16"/>
          <w:lang w:val="en-US"/>
        </w:rPr>
        <w:t xml:space="preserve">OC-4/84, </w:t>
      </w:r>
      <w:r w:rsidRPr="00BA61B2">
        <w:rPr>
          <w:noProof w:val="0"/>
          <w:szCs w:val="16"/>
          <w:lang w:val="en-US"/>
        </w:rPr>
        <w:t xml:space="preserve">of January 19, 1984. Series A No. 4, para. 55 and </w:t>
      </w:r>
      <w:r w:rsidRPr="00BA61B2">
        <w:rPr>
          <w:i/>
          <w:noProof w:val="0"/>
          <w:szCs w:val="16"/>
          <w:lang w:val="en-US"/>
        </w:rPr>
        <w:t>Case of Espinoza Gonzáles v.</w:t>
      </w:r>
      <w:r>
        <w:rPr>
          <w:i/>
          <w:noProof w:val="0"/>
          <w:szCs w:val="16"/>
          <w:lang w:val="en-US"/>
        </w:rPr>
        <w:t xml:space="preserve"> Peru. Preliminary objections, m</w:t>
      </w:r>
      <w:r w:rsidRPr="00BA61B2">
        <w:rPr>
          <w:i/>
          <w:noProof w:val="0"/>
          <w:szCs w:val="16"/>
          <w:lang w:val="en-US"/>
        </w:rPr>
        <w:t xml:space="preserve">erits, reparations and costs. </w:t>
      </w:r>
      <w:r w:rsidRPr="00BA61B2">
        <w:rPr>
          <w:noProof w:val="0"/>
          <w:szCs w:val="16"/>
          <w:lang w:val="en-US"/>
        </w:rPr>
        <w:t xml:space="preserve">Judgment of November </w:t>
      </w:r>
      <w:r>
        <w:rPr>
          <w:noProof w:val="0"/>
          <w:szCs w:val="16"/>
          <w:lang w:val="en-US"/>
        </w:rPr>
        <w:t xml:space="preserve">20, </w:t>
      </w:r>
      <w:r w:rsidRPr="00BA61B2">
        <w:rPr>
          <w:noProof w:val="0"/>
          <w:szCs w:val="16"/>
          <w:lang w:val="en-US"/>
        </w:rPr>
        <w:t>2014. Series C No. 289, para. 216.</w:t>
      </w:r>
    </w:p>
  </w:footnote>
  <w:footnote w:id="79">
    <w:p w14:paraId="13CEF488" w14:textId="77777777" w:rsidR="00432906" w:rsidRPr="00BA61B2" w:rsidRDefault="00432906" w:rsidP="007B0DE4">
      <w:pPr>
        <w:pStyle w:val="Textonotapie"/>
        <w:rPr>
          <w:rStyle w:val="Refdenotaalpie"/>
          <w:noProof w:val="0"/>
          <w:sz w:val="20"/>
          <w:lang w:val="en-US"/>
        </w:rPr>
      </w:pPr>
      <w:r w:rsidRPr="00BA61B2">
        <w:rPr>
          <w:rStyle w:val="Refdenotaalpie"/>
          <w:noProof w:val="0"/>
          <w:szCs w:val="16"/>
          <w:lang w:val="en-US"/>
        </w:rPr>
        <w:footnoteRef/>
      </w:r>
      <w:r w:rsidRPr="00BA61B2">
        <w:rPr>
          <w:noProof w:val="0"/>
          <w:szCs w:val="16"/>
          <w:lang w:val="en-US"/>
        </w:rPr>
        <w:tab/>
      </w:r>
      <w:r>
        <w:rPr>
          <w:i/>
          <w:noProof w:val="0"/>
          <w:szCs w:val="16"/>
          <w:lang w:val="en-US"/>
        </w:rPr>
        <w:t xml:space="preserve">Cf. </w:t>
      </w:r>
      <w:r w:rsidRPr="009975E1">
        <w:rPr>
          <w:i/>
          <w:noProof w:val="0"/>
          <w:szCs w:val="16"/>
          <w:lang w:val="en-US"/>
        </w:rPr>
        <w:t>Juridical Condition and Rights of Undocumented Migrants.</w:t>
      </w:r>
      <w:r w:rsidRPr="00BA61B2">
        <w:rPr>
          <w:i/>
          <w:noProof w:val="0"/>
          <w:szCs w:val="16"/>
          <w:lang w:val="en-US"/>
        </w:rPr>
        <w:t xml:space="preserve"> </w:t>
      </w:r>
      <w:r w:rsidRPr="00BA61B2">
        <w:rPr>
          <w:noProof w:val="0"/>
          <w:szCs w:val="16"/>
          <w:lang w:val="en-US"/>
        </w:rPr>
        <w:t xml:space="preserve">Advisory Opinion OC-18/03 of September 17, 2003. Series A No. 18, para. 101 and </w:t>
      </w:r>
      <w:r w:rsidRPr="00BA61B2">
        <w:rPr>
          <w:i/>
          <w:noProof w:val="0"/>
          <w:szCs w:val="16"/>
          <w:lang w:val="en-US"/>
        </w:rPr>
        <w:t>Case of</w:t>
      </w:r>
      <w:r w:rsidRPr="00BA61B2">
        <w:rPr>
          <w:noProof w:val="0"/>
          <w:szCs w:val="16"/>
          <w:lang w:val="en-US"/>
        </w:rPr>
        <w:t xml:space="preserve"> </w:t>
      </w:r>
      <w:r w:rsidRPr="00BA61B2">
        <w:rPr>
          <w:i/>
          <w:noProof w:val="0"/>
          <w:szCs w:val="16"/>
          <w:lang w:val="en-US"/>
        </w:rPr>
        <w:t>Espinoza Gonzáles v. Peru. Preliminary objections, merits, reparations and costs</w:t>
      </w:r>
      <w:r w:rsidRPr="00BA61B2">
        <w:rPr>
          <w:noProof w:val="0"/>
          <w:szCs w:val="16"/>
          <w:lang w:val="en-US"/>
        </w:rPr>
        <w:t>, para. 216.</w:t>
      </w:r>
    </w:p>
  </w:footnote>
  <w:footnote w:id="80">
    <w:p w14:paraId="0587D210" w14:textId="77777777" w:rsidR="00432906" w:rsidRPr="00BA61B2" w:rsidRDefault="00432906" w:rsidP="007B0DE4">
      <w:pPr>
        <w:widowControl w:val="0"/>
        <w:autoSpaceDE w:val="0"/>
        <w:autoSpaceDN w:val="0"/>
        <w:adjustRightInd w:val="0"/>
        <w:spacing w:after="120"/>
        <w:rPr>
          <w:sz w:val="16"/>
          <w:szCs w:val="16"/>
          <w:lang w:val="en-US"/>
        </w:rPr>
      </w:pPr>
      <w:r w:rsidRPr="00BA61B2">
        <w:rPr>
          <w:rStyle w:val="Refdenotaalpie"/>
          <w:sz w:val="16"/>
          <w:szCs w:val="16"/>
          <w:lang w:val="en-US"/>
        </w:rPr>
        <w:footnoteRef/>
      </w:r>
      <w:r w:rsidRPr="00BA61B2">
        <w:rPr>
          <w:sz w:val="16"/>
          <w:szCs w:val="16"/>
          <w:lang w:val="en-US"/>
        </w:rPr>
        <w:tab/>
      </w:r>
      <w:r w:rsidRPr="00BA61B2">
        <w:rPr>
          <w:i/>
          <w:sz w:val="16"/>
          <w:szCs w:val="16"/>
          <w:lang w:val="en-US"/>
        </w:rPr>
        <w:t xml:space="preserve">Cf. </w:t>
      </w:r>
      <w:r w:rsidRPr="00BA61B2">
        <w:rPr>
          <w:rStyle w:val="apple-style-span"/>
          <w:bCs/>
          <w:color w:val="000000"/>
          <w:sz w:val="16"/>
          <w:szCs w:val="16"/>
          <w:lang w:val="en-US"/>
        </w:rPr>
        <w:t xml:space="preserve">Advisory Opinion OC-18/03, </w:t>
      </w:r>
      <w:r w:rsidRPr="00BA61B2">
        <w:rPr>
          <w:sz w:val="16"/>
          <w:szCs w:val="16"/>
          <w:lang w:val="en-US"/>
        </w:rPr>
        <w:t xml:space="preserve">para. 103, and </w:t>
      </w:r>
      <w:r w:rsidRPr="00BA61B2">
        <w:rPr>
          <w:i/>
          <w:sz w:val="16"/>
          <w:szCs w:val="16"/>
          <w:lang w:val="en-US"/>
        </w:rPr>
        <w:t>Case of Espinoza Gonzáles v. Peru. Preliminary objections, merits, reparations and costs</w:t>
      </w:r>
      <w:r w:rsidRPr="00BA61B2">
        <w:rPr>
          <w:sz w:val="16"/>
          <w:szCs w:val="16"/>
          <w:lang w:val="en-US"/>
        </w:rPr>
        <w:t>, para. 220.</w:t>
      </w:r>
    </w:p>
  </w:footnote>
  <w:footnote w:id="81">
    <w:p w14:paraId="46925C52" w14:textId="77777777" w:rsidR="00432906" w:rsidRPr="00BA61B2" w:rsidRDefault="00432906" w:rsidP="007B0DE4">
      <w:pPr>
        <w:pStyle w:val="Textonotapie"/>
        <w:rPr>
          <w:b/>
          <w:noProof w:val="0"/>
          <w:szCs w:val="16"/>
          <w:lang w:val="en-US"/>
        </w:rPr>
      </w:pPr>
      <w:r w:rsidRPr="00BA61B2">
        <w:rPr>
          <w:rStyle w:val="Refdenotaalpie"/>
          <w:noProof w:val="0"/>
          <w:szCs w:val="16"/>
          <w:lang w:val="en-US"/>
        </w:rPr>
        <w:footnoteRef/>
      </w:r>
      <w:r w:rsidRPr="00BA61B2">
        <w:rPr>
          <w:noProof w:val="0"/>
          <w:szCs w:val="16"/>
          <w:lang w:val="en-US"/>
        </w:rPr>
        <w:tab/>
      </w:r>
      <w:r w:rsidRPr="00BA61B2">
        <w:rPr>
          <w:i/>
          <w:noProof w:val="0"/>
          <w:szCs w:val="16"/>
          <w:lang w:val="en-US"/>
        </w:rPr>
        <w:t>Cf.</w:t>
      </w:r>
      <w:r w:rsidRPr="00BA61B2">
        <w:rPr>
          <w:rStyle w:val="apple-style-span"/>
          <w:bCs/>
          <w:noProof w:val="0"/>
          <w:color w:val="000000"/>
          <w:szCs w:val="16"/>
          <w:lang w:val="en-US"/>
        </w:rPr>
        <w:t xml:space="preserve"> Advisory Opinion OC-18/03,</w:t>
      </w:r>
      <w:r w:rsidRPr="00BA61B2">
        <w:rPr>
          <w:noProof w:val="0"/>
          <w:szCs w:val="16"/>
          <w:lang w:val="en-US"/>
        </w:rPr>
        <w:t xml:space="preserve"> para. 104; </w:t>
      </w:r>
      <w:r w:rsidRPr="00BA61B2">
        <w:rPr>
          <w:i/>
          <w:noProof w:val="0"/>
          <w:szCs w:val="16"/>
          <w:lang w:val="en-US"/>
        </w:rPr>
        <w:t>Case of the Xák</w:t>
      </w:r>
      <w:r>
        <w:rPr>
          <w:i/>
          <w:noProof w:val="0"/>
          <w:szCs w:val="16"/>
          <w:lang w:val="en-US"/>
        </w:rPr>
        <w:t xml:space="preserve">mok Kásek Indigenous Community </w:t>
      </w:r>
      <w:r w:rsidRPr="00BA61B2">
        <w:rPr>
          <w:i/>
          <w:noProof w:val="0"/>
          <w:szCs w:val="16"/>
          <w:lang w:val="en-US"/>
        </w:rPr>
        <w:t xml:space="preserve">v. Paraguay. Merits, reparations and costs. </w:t>
      </w:r>
      <w:r w:rsidRPr="00BA61B2">
        <w:rPr>
          <w:noProof w:val="0"/>
          <w:szCs w:val="16"/>
          <w:lang w:val="en-US"/>
        </w:rPr>
        <w:t xml:space="preserve">Judgment of August </w:t>
      </w:r>
      <w:r>
        <w:rPr>
          <w:noProof w:val="0"/>
          <w:szCs w:val="16"/>
          <w:lang w:val="en-US"/>
        </w:rPr>
        <w:t xml:space="preserve">24, </w:t>
      </w:r>
      <w:r w:rsidRPr="00BA61B2">
        <w:rPr>
          <w:noProof w:val="0"/>
          <w:szCs w:val="16"/>
          <w:lang w:val="en-US"/>
        </w:rPr>
        <w:t>2010 Series C No. 214</w:t>
      </w:r>
      <w:r w:rsidRPr="00BA61B2">
        <w:rPr>
          <w:i/>
          <w:noProof w:val="0"/>
          <w:szCs w:val="16"/>
          <w:lang w:val="en-US"/>
        </w:rPr>
        <w:t xml:space="preserve">, </w:t>
      </w:r>
      <w:r w:rsidRPr="00BA61B2">
        <w:rPr>
          <w:noProof w:val="0"/>
          <w:szCs w:val="16"/>
          <w:lang w:val="en-US"/>
        </w:rPr>
        <w:t xml:space="preserve">para. 271; </w:t>
      </w:r>
      <w:r w:rsidRPr="00BA61B2">
        <w:rPr>
          <w:i/>
          <w:noProof w:val="0"/>
          <w:szCs w:val="16"/>
          <w:lang w:val="en-US"/>
        </w:rPr>
        <w:t xml:space="preserve">Case of Norín Catrimán et al. (Leaders, members and activist of the Mapuche Indigenous People) v. Chile. Merits, reparations and costs. </w:t>
      </w:r>
      <w:r w:rsidRPr="00BA61B2">
        <w:rPr>
          <w:noProof w:val="0"/>
          <w:szCs w:val="16"/>
          <w:lang w:val="en-US"/>
        </w:rPr>
        <w:t>Judgment of May 29, 2014. Series C No. 279</w:t>
      </w:r>
      <w:r w:rsidRPr="00BA61B2">
        <w:rPr>
          <w:i/>
          <w:noProof w:val="0"/>
          <w:szCs w:val="16"/>
          <w:lang w:val="en-US"/>
        </w:rPr>
        <w:t xml:space="preserve">, </w:t>
      </w:r>
      <w:r w:rsidRPr="00BA61B2">
        <w:rPr>
          <w:noProof w:val="0"/>
          <w:szCs w:val="16"/>
          <w:lang w:val="en-US"/>
        </w:rPr>
        <w:t xml:space="preserve">para. 201, and </w:t>
      </w:r>
      <w:r w:rsidRPr="00BA61B2">
        <w:rPr>
          <w:i/>
          <w:noProof w:val="0"/>
          <w:szCs w:val="16"/>
          <w:lang w:val="en-US"/>
        </w:rPr>
        <w:t>Case of Espinoza Gonzáles v. Peru. Preliminary objections, merits, reparations and costs</w:t>
      </w:r>
      <w:r w:rsidRPr="00BA61B2">
        <w:rPr>
          <w:noProof w:val="0"/>
          <w:szCs w:val="16"/>
          <w:lang w:val="en-US"/>
        </w:rPr>
        <w:t xml:space="preserve">, para. 220. </w:t>
      </w:r>
      <w:r>
        <w:rPr>
          <w:noProof w:val="0"/>
          <w:szCs w:val="16"/>
          <w:lang w:val="en-US"/>
        </w:rPr>
        <w:t>Also</w:t>
      </w:r>
      <w:r w:rsidRPr="00BA61B2">
        <w:rPr>
          <w:noProof w:val="0"/>
          <w:szCs w:val="16"/>
          <w:lang w:val="en-US"/>
        </w:rPr>
        <w:t>, United Nations, Human Rights Committee, General Comment No. 18, Non-discrimination, November 10, 1989, CCPR/C/37, para. 6.</w:t>
      </w:r>
    </w:p>
  </w:footnote>
  <w:footnote w:id="82">
    <w:p w14:paraId="77EC8B94" w14:textId="77777777" w:rsidR="00432906" w:rsidRPr="00BA61B2" w:rsidRDefault="00432906" w:rsidP="007B0DE4">
      <w:pPr>
        <w:pStyle w:val="Textonotapie"/>
        <w:rPr>
          <w:i/>
          <w:noProof w:val="0"/>
          <w:color w:val="00808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rPr>
        <w:t xml:space="preserve">Cf. </w:t>
      </w:r>
      <w:r w:rsidRPr="00BA61B2">
        <w:rPr>
          <w:noProof w:val="0"/>
          <w:szCs w:val="16"/>
          <w:lang w:val="en-US"/>
        </w:rPr>
        <w:t xml:space="preserve">Advisory Opinion OC-4/84, para. 53, and </w:t>
      </w:r>
      <w:r w:rsidRPr="00BA61B2">
        <w:rPr>
          <w:i/>
          <w:noProof w:val="0"/>
          <w:szCs w:val="16"/>
          <w:lang w:val="en-US"/>
        </w:rPr>
        <w:t xml:space="preserve">Case of Granier et al. (Radio Caracas Television) v. Venezuela. Preliminary objections, merits, reparations and costs. </w:t>
      </w:r>
      <w:r w:rsidRPr="00BA61B2">
        <w:rPr>
          <w:noProof w:val="0"/>
          <w:szCs w:val="16"/>
          <w:lang w:val="en-US"/>
        </w:rPr>
        <w:t>Judgment of June 22, 2015. Series C No. 293, para. 214.</w:t>
      </w:r>
    </w:p>
  </w:footnote>
  <w:footnote w:id="83">
    <w:p w14:paraId="48B3AC25" w14:textId="77777777" w:rsidR="00432906" w:rsidRPr="00BA61B2" w:rsidRDefault="00432906" w:rsidP="007B0DE4">
      <w:pPr>
        <w:pStyle w:val="Textonotapie"/>
        <w:ind w:right="-174"/>
        <w:rPr>
          <w:rFonts w:cs="Arial"/>
          <w:i/>
          <w:iCs/>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rPr>
        <w:t xml:space="preserve">Cf. </w:t>
      </w:r>
      <w:r w:rsidRPr="00BA61B2">
        <w:rPr>
          <w:rFonts w:cs="Arial"/>
          <w:noProof w:val="0"/>
          <w:szCs w:val="16"/>
          <w:lang w:val="en-US"/>
        </w:rPr>
        <w:t xml:space="preserve">Advisory Opinion OC-18/03, para. 85, and </w:t>
      </w:r>
      <w:r w:rsidRPr="00BA61B2">
        <w:rPr>
          <w:rFonts w:cs="Arial"/>
          <w:bCs/>
          <w:i/>
          <w:iCs/>
          <w:noProof w:val="0"/>
          <w:lang w:val="en-US"/>
        </w:rPr>
        <w:t xml:space="preserve">Case of Granier et al. (Radio Caracas Television) v. Venezuela, </w:t>
      </w:r>
      <w:r w:rsidRPr="00BA61B2">
        <w:rPr>
          <w:rFonts w:cs="Arial"/>
          <w:bCs/>
          <w:noProof w:val="0"/>
          <w:lang w:val="en-US"/>
        </w:rPr>
        <w:t>para. 214.</w:t>
      </w:r>
    </w:p>
  </w:footnote>
  <w:footnote w:id="84">
    <w:p w14:paraId="2FDFD931" w14:textId="77777777" w:rsidR="00432906" w:rsidRPr="00BA61B2" w:rsidRDefault="00432906" w:rsidP="007B0DE4">
      <w:pPr>
        <w:pStyle w:val="Textonotapie"/>
        <w:ind w:right="-174"/>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rPr>
        <w:t xml:space="preserve">Cf. </w:t>
      </w:r>
      <w:r w:rsidRPr="00BA61B2">
        <w:rPr>
          <w:rFonts w:cs="Arial"/>
          <w:iCs/>
          <w:noProof w:val="0"/>
          <w:szCs w:val="16"/>
          <w:lang w:val="en-US"/>
        </w:rPr>
        <w:t>Advisory Opinion OC-18/03</w:t>
      </w:r>
      <w:r w:rsidRPr="00BA61B2">
        <w:rPr>
          <w:rFonts w:cs="Arial"/>
          <w:i/>
          <w:iCs/>
          <w:noProof w:val="0"/>
          <w:szCs w:val="16"/>
          <w:lang w:val="en-US"/>
        </w:rPr>
        <w:t xml:space="preserve">, </w:t>
      </w:r>
      <w:r w:rsidRPr="00BA61B2">
        <w:rPr>
          <w:rFonts w:cs="Arial"/>
          <w:noProof w:val="0"/>
          <w:szCs w:val="16"/>
          <w:lang w:val="en-US"/>
        </w:rPr>
        <w:t xml:space="preserve">para. 85, and </w:t>
      </w:r>
      <w:r w:rsidRPr="00BA61B2">
        <w:rPr>
          <w:rFonts w:cs="Arial"/>
          <w:bCs/>
          <w:i/>
          <w:iCs/>
          <w:noProof w:val="0"/>
          <w:lang w:val="en-US"/>
        </w:rPr>
        <w:t xml:space="preserve">Case of Granier et al. (Radio Caracas Television) v. Venezuela, </w:t>
      </w:r>
      <w:r w:rsidRPr="00BA61B2">
        <w:rPr>
          <w:rFonts w:cs="Arial"/>
          <w:bCs/>
          <w:noProof w:val="0"/>
          <w:lang w:val="en-US"/>
        </w:rPr>
        <w:t>para. 214.</w:t>
      </w:r>
    </w:p>
  </w:footnote>
  <w:footnote w:id="85">
    <w:p w14:paraId="399BE6CC" w14:textId="77777777" w:rsidR="00432906" w:rsidRPr="00A2173F" w:rsidRDefault="00432906" w:rsidP="00B04ACD">
      <w:pPr>
        <w:pStyle w:val="Textonotapie"/>
        <w:rPr>
          <w:i/>
          <w:szCs w:val="16"/>
          <w:lang w:val="es-CR"/>
        </w:rPr>
      </w:pPr>
      <w:r w:rsidRPr="00A2173F">
        <w:rPr>
          <w:rStyle w:val="Refdenotaalpie"/>
          <w:szCs w:val="16"/>
          <w:lang w:val="es-CR"/>
        </w:rPr>
        <w:footnoteRef/>
      </w:r>
      <w:r w:rsidRPr="00A2173F">
        <w:rPr>
          <w:szCs w:val="16"/>
          <w:lang w:val="es-CR"/>
        </w:rPr>
        <w:t xml:space="preserve"> </w:t>
      </w:r>
      <w:r w:rsidRPr="00A2173F">
        <w:rPr>
          <w:szCs w:val="16"/>
          <w:lang w:val="es-CR"/>
        </w:rPr>
        <w:tab/>
      </w:r>
      <w:r w:rsidRPr="00122CB1">
        <w:rPr>
          <w:i/>
          <w:szCs w:val="16"/>
          <w:lang w:val="es-CR"/>
        </w:rPr>
        <w:t>Cf.</w:t>
      </w:r>
      <w:r w:rsidRPr="00122CB1">
        <w:rPr>
          <w:szCs w:val="16"/>
          <w:lang w:val="es-CR"/>
        </w:rPr>
        <w:t xml:space="preserve"> </w:t>
      </w:r>
      <w:r w:rsidRPr="00BA61B2">
        <w:rPr>
          <w:noProof w:val="0"/>
          <w:szCs w:val="16"/>
          <w:lang w:val="en-US"/>
        </w:rPr>
        <w:t>Advisory Opinion OC-4/84</w:t>
      </w:r>
      <w:r w:rsidRPr="00122CB1">
        <w:rPr>
          <w:szCs w:val="16"/>
        </w:rPr>
        <w:t xml:space="preserve">, </w:t>
      </w:r>
      <w:r w:rsidRPr="00122CB1">
        <w:rPr>
          <w:szCs w:val="16"/>
          <w:lang w:val="es-CR"/>
        </w:rPr>
        <w:t>paras. 53 and 54,</w:t>
      </w:r>
      <w:r>
        <w:rPr>
          <w:szCs w:val="16"/>
          <w:lang w:val="es-CR"/>
        </w:rPr>
        <w:t xml:space="preserve"> </w:t>
      </w:r>
      <w:r w:rsidRPr="00122CB1">
        <w:rPr>
          <w:szCs w:val="16"/>
          <w:lang w:val="es-CR"/>
        </w:rPr>
        <w:t>and</w:t>
      </w:r>
      <w:r w:rsidRPr="00122CB1">
        <w:t xml:space="preserve"> </w:t>
      </w:r>
      <w:r w:rsidRPr="00122CB1">
        <w:rPr>
          <w:i/>
          <w:szCs w:val="16"/>
        </w:rPr>
        <w:t xml:space="preserve">Case of Espinoza Gonzáles v. Peru. </w:t>
      </w:r>
      <w:r w:rsidRPr="00BA61B2">
        <w:rPr>
          <w:i/>
          <w:noProof w:val="0"/>
          <w:szCs w:val="16"/>
          <w:lang w:val="en-US"/>
        </w:rPr>
        <w:t>Preliminary objections, merits, reparations and costs</w:t>
      </w:r>
      <w:r w:rsidRPr="00122CB1">
        <w:rPr>
          <w:szCs w:val="16"/>
        </w:rPr>
        <w:t>, para. 217</w:t>
      </w:r>
      <w:r w:rsidRPr="00A2173F">
        <w:rPr>
          <w:szCs w:val="16"/>
        </w:rPr>
        <w:t>.</w:t>
      </w:r>
    </w:p>
  </w:footnote>
  <w:footnote w:id="86">
    <w:p w14:paraId="2CF1EA37" w14:textId="77777777" w:rsidR="00432906" w:rsidRPr="00BA61B2" w:rsidRDefault="00432906" w:rsidP="007B0DE4">
      <w:pPr>
        <w:pStyle w:val="Textonotapie"/>
        <w:rPr>
          <w:rFonts w:cs="Vrinda"/>
          <w:b/>
          <w:noProof w:val="0"/>
          <w:spacing w:val="-4"/>
          <w:szCs w:val="16"/>
          <w:lang w:val="en-US"/>
        </w:rPr>
      </w:pPr>
      <w:r w:rsidRPr="00BA61B2">
        <w:rPr>
          <w:rStyle w:val="Refdenotaalpie"/>
          <w:rFonts w:cs="Vrinda"/>
          <w:noProof w:val="0"/>
          <w:spacing w:val="-4"/>
          <w:szCs w:val="16"/>
          <w:lang w:val="en-US"/>
        </w:rPr>
        <w:footnoteRef/>
      </w:r>
      <w:r w:rsidRPr="00BA61B2">
        <w:rPr>
          <w:rFonts w:cs="Vrinda"/>
          <w:b/>
          <w:noProof w:val="0"/>
          <w:spacing w:val="-4"/>
          <w:szCs w:val="16"/>
          <w:lang w:val="en-US"/>
        </w:rPr>
        <w:t xml:space="preserve"> </w:t>
      </w:r>
      <w:r w:rsidRPr="00BA61B2">
        <w:rPr>
          <w:rFonts w:cs="Vrinda"/>
          <w:b/>
          <w:noProof w:val="0"/>
          <w:spacing w:val="-4"/>
          <w:szCs w:val="16"/>
          <w:lang w:val="en-US"/>
        </w:rPr>
        <w:tab/>
      </w:r>
      <w:r w:rsidRPr="00BA61B2">
        <w:rPr>
          <w:rFonts w:cs="Vrinda"/>
          <w:i/>
          <w:noProof w:val="0"/>
          <w:spacing w:val="-4"/>
          <w:szCs w:val="16"/>
          <w:lang w:val="en-US"/>
        </w:rPr>
        <w:t xml:space="preserve">Cf. Case of Yatama v. </w:t>
      </w:r>
      <w:r w:rsidRPr="00BA61B2">
        <w:rPr>
          <w:i/>
          <w:noProof w:val="0"/>
          <w:szCs w:val="16"/>
          <w:lang w:val="en-US"/>
        </w:rPr>
        <w:t>Nicaragua</w:t>
      </w:r>
      <w:r w:rsidRPr="00BA61B2">
        <w:rPr>
          <w:rStyle w:val="Textoennegrita"/>
          <w:rFonts w:cs="Vrinda"/>
          <w:i/>
          <w:noProof w:val="0"/>
          <w:color w:val="000000"/>
          <w:spacing w:val="-4"/>
          <w:szCs w:val="16"/>
          <w:lang w:val="en-US"/>
        </w:rPr>
        <w:t xml:space="preserve">. </w:t>
      </w:r>
      <w:r w:rsidRPr="00BA61B2">
        <w:rPr>
          <w:rStyle w:val="Textoennegrita"/>
          <w:rFonts w:cs="Vrinda"/>
          <w:b w:val="0"/>
          <w:i/>
          <w:noProof w:val="0"/>
          <w:color w:val="000000"/>
          <w:spacing w:val="-4"/>
          <w:szCs w:val="16"/>
          <w:lang w:val="en-US"/>
        </w:rPr>
        <w:t>Preliminary objections, merits, reparations and costs.</w:t>
      </w:r>
      <w:r w:rsidRPr="00BA61B2">
        <w:rPr>
          <w:rFonts w:cs="Vrinda"/>
          <w:noProof w:val="0"/>
          <w:spacing w:val="-4"/>
          <w:szCs w:val="16"/>
          <w:lang w:val="en-US"/>
        </w:rPr>
        <w:t xml:space="preserve"> Judgment of June 23, 2005</w:t>
      </w:r>
      <w:r w:rsidRPr="00BA61B2">
        <w:rPr>
          <w:rFonts w:cs="Vrinda"/>
          <w:b/>
          <w:noProof w:val="0"/>
          <w:spacing w:val="-4"/>
          <w:szCs w:val="16"/>
          <w:lang w:val="en-US"/>
        </w:rPr>
        <w:t>.</w:t>
      </w:r>
      <w:r w:rsidRPr="00BA61B2">
        <w:rPr>
          <w:rStyle w:val="Textoennegrita"/>
          <w:rFonts w:cs="Vrinda"/>
          <w:b w:val="0"/>
          <w:noProof w:val="0"/>
          <w:color w:val="000000"/>
          <w:spacing w:val="-4"/>
          <w:szCs w:val="16"/>
          <w:lang w:val="en-US"/>
        </w:rPr>
        <w:t xml:space="preserve"> Series C No. 127</w:t>
      </w:r>
      <w:r w:rsidRPr="00BA61B2">
        <w:rPr>
          <w:rFonts w:cs="Vrinda"/>
          <w:noProof w:val="0"/>
          <w:spacing w:val="-4"/>
          <w:szCs w:val="16"/>
          <w:lang w:val="en-US"/>
        </w:rPr>
        <w:t xml:space="preserve">, para. 186, </w:t>
      </w:r>
      <w:r w:rsidRPr="00BA61B2">
        <w:rPr>
          <w:rFonts w:cs="Vrinda"/>
          <w:i/>
          <w:noProof w:val="0"/>
          <w:spacing w:val="-4"/>
          <w:szCs w:val="16"/>
          <w:lang w:val="en-US"/>
        </w:rPr>
        <w:t>Case of Espinoza Gonzáles v. Peru. Preliminary objections, merits, reparations and costs</w:t>
      </w:r>
      <w:r w:rsidRPr="00BA61B2">
        <w:rPr>
          <w:rFonts w:cs="Vrinda"/>
          <w:noProof w:val="0"/>
          <w:spacing w:val="-4"/>
          <w:szCs w:val="16"/>
          <w:lang w:val="en-US"/>
        </w:rPr>
        <w:t>,</w:t>
      </w:r>
      <w:r w:rsidRPr="00BA61B2">
        <w:rPr>
          <w:rStyle w:val="Textoennegrita"/>
          <w:rFonts w:cs="Vrinda"/>
          <w:b w:val="0"/>
          <w:i/>
          <w:noProof w:val="0"/>
          <w:color w:val="000000"/>
          <w:spacing w:val="-4"/>
          <w:szCs w:val="16"/>
          <w:lang w:val="en-US"/>
        </w:rPr>
        <w:t xml:space="preserve"> </w:t>
      </w:r>
      <w:r w:rsidRPr="00BA61B2">
        <w:rPr>
          <w:rStyle w:val="Textoennegrita"/>
          <w:rFonts w:cs="Vrinda"/>
          <w:b w:val="0"/>
          <w:noProof w:val="0"/>
          <w:color w:val="000000"/>
          <w:spacing w:val="-4"/>
          <w:szCs w:val="16"/>
          <w:lang w:val="en-US"/>
        </w:rPr>
        <w:t>para. 217.</w:t>
      </w:r>
    </w:p>
  </w:footnote>
  <w:footnote w:id="87">
    <w:p w14:paraId="57B30C1B"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rPr>
        <w:t>Cf.</w:t>
      </w:r>
      <w:r w:rsidRPr="00BA61B2">
        <w:rPr>
          <w:noProof w:val="0"/>
          <w:szCs w:val="16"/>
          <w:lang w:val="en-US"/>
        </w:rPr>
        <w:t xml:space="preserve"> </w:t>
      </w:r>
      <w:r w:rsidRPr="00BA61B2">
        <w:rPr>
          <w:i/>
          <w:noProof w:val="0"/>
          <w:szCs w:val="16"/>
          <w:lang w:val="en-US"/>
        </w:rPr>
        <w:t xml:space="preserve">Case of Apitz Barbera et al. (“First </w:t>
      </w:r>
      <w:r>
        <w:rPr>
          <w:i/>
          <w:noProof w:val="0"/>
          <w:szCs w:val="16"/>
          <w:lang w:val="en-US"/>
        </w:rPr>
        <w:t>Contentious Administrative Court”) v</w:t>
      </w:r>
      <w:r w:rsidRPr="00BA61B2">
        <w:rPr>
          <w:i/>
          <w:noProof w:val="0"/>
          <w:szCs w:val="16"/>
          <w:lang w:val="en-US"/>
        </w:rPr>
        <w:t>. Ven</w:t>
      </w:r>
      <w:r>
        <w:rPr>
          <w:i/>
          <w:noProof w:val="0"/>
          <w:szCs w:val="16"/>
          <w:lang w:val="en-US"/>
        </w:rPr>
        <w:t>ezuela. Preliminary objection, m</w:t>
      </w:r>
      <w:r w:rsidRPr="00BA61B2">
        <w:rPr>
          <w:i/>
          <w:noProof w:val="0"/>
          <w:szCs w:val="16"/>
          <w:lang w:val="en-US"/>
        </w:rPr>
        <w:t xml:space="preserve">erits, reparations and costs. </w:t>
      </w:r>
      <w:r w:rsidRPr="00BA61B2">
        <w:rPr>
          <w:noProof w:val="0"/>
          <w:szCs w:val="16"/>
          <w:lang w:val="en-US"/>
        </w:rPr>
        <w:t xml:space="preserve">Judgment of August 5, 2008. Series C No. 182, para. 209, and </w:t>
      </w:r>
      <w:r w:rsidRPr="00BA61B2">
        <w:rPr>
          <w:i/>
          <w:noProof w:val="0"/>
          <w:szCs w:val="16"/>
          <w:lang w:val="en-US"/>
        </w:rPr>
        <w:t>Case of Gonzales Lluy et al. v. Ecuador. Preliminary objections, merits, reparations and costs.</w:t>
      </w:r>
      <w:r w:rsidRPr="00BA61B2">
        <w:rPr>
          <w:noProof w:val="0"/>
          <w:szCs w:val="16"/>
          <w:lang w:val="en-US"/>
        </w:rPr>
        <w:t xml:space="preserve"> Judgment of September 1, 2015. Series C No. 298, para.</w:t>
      </w:r>
      <w:r w:rsidRPr="00BA61B2" w:rsidDel="00B26264">
        <w:rPr>
          <w:noProof w:val="0"/>
          <w:szCs w:val="16"/>
          <w:lang w:val="en-US"/>
        </w:rPr>
        <w:t xml:space="preserve"> </w:t>
      </w:r>
      <w:r w:rsidRPr="00BA61B2">
        <w:rPr>
          <w:noProof w:val="0"/>
          <w:szCs w:val="16"/>
          <w:lang w:val="en-US"/>
        </w:rPr>
        <w:t>243.</w:t>
      </w:r>
    </w:p>
  </w:footnote>
  <w:footnote w:id="88">
    <w:p w14:paraId="0AE456A2" w14:textId="77777777" w:rsidR="00432906" w:rsidRPr="00BA61B2" w:rsidRDefault="00432906" w:rsidP="007B0DE4">
      <w:pPr>
        <w:pStyle w:val="Textonotapie"/>
        <w:rPr>
          <w:noProof w:val="0"/>
          <w:lang w:val="en-US"/>
        </w:rPr>
      </w:pPr>
      <w:r w:rsidRPr="00BA61B2">
        <w:rPr>
          <w:rStyle w:val="Refdenotaalpie"/>
          <w:noProof w:val="0"/>
          <w:lang w:val="en-US"/>
        </w:rPr>
        <w:footnoteRef/>
      </w:r>
      <w:r w:rsidRPr="00BA61B2">
        <w:rPr>
          <w:noProof w:val="0"/>
          <w:lang w:val="en-US"/>
        </w:rPr>
        <w:t xml:space="preserve"> </w:t>
      </w:r>
      <w:r w:rsidRPr="00BA61B2">
        <w:rPr>
          <w:noProof w:val="0"/>
          <w:lang w:val="en-US"/>
        </w:rPr>
        <w:tab/>
      </w:r>
      <w:r w:rsidRPr="00BA61B2">
        <w:rPr>
          <w:i/>
          <w:noProof w:val="0"/>
          <w:lang w:val="en-US"/>
        </w:rPr>
        <w:t>Cf.</w:t>
      </w:r>
      <w:r w:rsidRPr="00BA61B2">
        <w:rPr>
          <w:noProof w:val="0"/>
          <w:lang w:val="en-US"/>
        </w:rPr>
        <w:t xml:space="preserve"> </w:t>
      </w:r>
      <w:r>
        <w:rPr>
          <w:i/>
          <w:noProof w:val="0"/>
          <w:szCs w:val="16"/>
          <w:lang w:val="en-US"/>
        </w:rPr>
        <w:t>Case of Atala Riffo</w:t>
      </w:r>
      <w:r w:rsidRPr="00BA61B2">
        <w:rPr>
          <w:i/>
          <w:noProof w:val="0"/>
          <w:szCs w:val="16"/>
          <w:lang w:val="en-US"/>
        </w:rPr>
        <w:t xml:space="preserve"> and Daughters v. Chile. Merits, reparations and costs,</w:t>
      </w:r>
      <w:r w:rsidRPr="00BA61B2" w:rsidDel="000B1630">
        <w:rPr>
          <w:noProof w:val="0"/>
          <w:lang w:val="en-US"/>
        </w:rPr>
        <w:t xml:space="preserve"> </w:t>
      </w:r>
      <w:r w:rsidRPr="00BA61B2">
        <w:rPr>
          <w:noProof w:val="0"/>
          <w:lang w:val="en-US"/>
        </w:rPr>
        <w:t>para. 91.</w:t>
      </w:r>
    </w:p>
  </w:footnote>
  <w:footnote w:id="89">
    <w:p w14:paraId="74DC2AC3" w14:textId="77777777" w:rsidR="00432906" w:rsidRPr="00BA61B2" w:rsidRDefault="00432906" w:rsidP="007B0DE4">
      <w:pPr>
        <w:pStyle w:val="Textonotapie"/>
        <w:rPr>
          <w:noProof w:val="0"/>
          <w:lang w:val="en-US"/>
        </w:rPr>
      </w:pPr>
      <w:r w:rsidRPr="00BA61B2">
        <w:rPr>
          <w:rStyle w:val="Refdenotaalpie"/>
          <w:noProof w:val="0"/>
          <w:lang w:val="en-US"/>
        </w:rPr>
        <w:footnoteRef/>
      </w:r>
      <w:r w:rsidRPr="00BA61B2">
        <w:rPr>
          <w:noProof w:val="0"/>
          <w:lang w:val="en-US"/>
        </w:rPr>
        <w:t xml:space="preserve"> </w:t>
      </w:r>
      <w:r w:rsidRPr="00BA61B2">
        <w:rPr>
          <w:noProof w:val="0"/>
          <w:lang w:val="en-US"/>
        </w:rPr>
        <w:tab/>
      </w:r>
      <w:r w:rsidRPr="00BA61B2">
        <w:rPr>
          <w:i/>
          <w:noProof w:val="0"/>
          <w:lang w:val="en-US"/>
        </w:rPr>
        <w:t>Cf.</w:t>
      </w:r>
      <w:r w:rsidRPr="00BA61B2">
        <w:rPr>
          <w:noProof w:val="0"/>
          <w:lang w:val="en-US"/>
        </w:rPr>
        <w:t xml:space="preserve"> </w:t>
      </w:r>
      <w:r>
        <w:rPr>
          <w:i/>
          <w:noProof w:val="0"/>
          <w:szCs w:val="16"/>
          <w:lang w:val="en-US"/>
        </w:rPr>
        <w:t>Case of Atala Riffo</w:t>
      </w:r>
      <w:r w:rsidRPr="00BA61B2">
        <w:rPr>
          <w:i/>
          <w:noProof w:val="0"/>
          <w:szCs w:val="16"/>
          <w:lang w:val="en-US"/>
        </w:rPr>
        <w:t xml:space="preserve"> and Daughters v. Chile. Merits, reparations and costs, </w:t>
      </w:r>
      <w:r w:rsidRPr="00BA61B2">
        <w:rPr>
          <w:noProof w:val="0"/>
          <w:lang w:val="en-US"/>
        </w:rPr>
        <w:t>para. 93.</w:t>
      </w:r>
    </w:p>
  </w:footnote>
  <w:footnote w:id="90">
    <w:p w14:paraId="3D617799" w14:textId="77777777" w:rsidR="00432906" w:rsidRPr="00BA61B2" w:rsidRDefault="00432906" w:rsidP="007B0DE4">
      <w:pPr>
        <w:pStyle w:val="Textonotapie"/>
        <w:rPr>
          <w:rFonts w:cs="Vrinda"/>
          <w:noProof w:val="0"/>
          <w:spacing w:val="-4"/>
          <w:szCs w:val="16"/>
          <w:lang w:val="en-US"/>
        </w:rPr>
      </w:pPr>
      <w:r w:rsidRPr="00BA61B2">
        <w:rPr>
          <w:rStyle w:val="Refdenotaalpie"/>
          <w:rFonts w:cs="Vrinda"/>
          <w:noProof w:val="0"/>
          <w:spacing w:val="-4"/>
          <w:szCs w:val="16"/>
          <w:lang w:val="en-US"/>
        </w:rPr>
        <w:footnoteRef/>
      </w:r>
      <w:r w:rsidRPr="00BA61B2">
        <w:rPr>
          <w:rFonts w:cs="Vrinda"/>
          <w:noProof w:val="0"/>
          <w:spacing w:val="-4"/>
          <w:szCs w:val="16"/>
          <w:lang w:val="en-US"/>
        </w:rPr>
        <w:t xml:space="preserve"> </w:t>
      </w:r>
      <w:r w:rsidRPr="00BA61B2">
        <w:rPr>
          <w:rFonts w:cs="Vrinda"/>
          <w:noProof w:val="0"/>
          <w:spacing w:val="-4"/>
          <w:szCs w:val="16"/>
          <w:lang w:val="en-US"/>
        </w:rPr>
        <w:tab/>
      </w:r>
      <w:r w:rsidRPr="00BA61B2">
        <w:rPr>
          <w:rFonts w:cs="Vrinda"/>
          <w:i/>
          <w:noProof w:val="0"/>
          <w:spacing w:val="-4"/>
          <w:szCs w:val="16"/>
          <w:lang w:val="en-US"/>
        </w:rPr>
        <w:t xml:space="preserve">Cf. </w:t>
      </w:r>
      <w:r w:rsidRPr="00BA61B2">
        <w:rPr>
          <w:i/>
          <w:noProof w:val="0"/>
          <w:lang w:val="en-US"/>
        </w:rPr>
        <w:t xml:space="preserve">Juridical Condition and Human Rights of the Child. </w:t>
      </w:r>
      <w:r w:rsidRPr="00BA61B2">
        <w:rPr>
          <w:noProof w:val="0"/>
          <w:lang w:val="en-US"/>
        </w:rPr>
        <w:t>Advisory Opinion OC-17/02 of August 28, 2002. Series A No. 17</w:t>
      </w:r>
      <w:r w:rsidRPr="00BA61B2">
        <w:rPr>
          <w:i/>
          <w:noProof w:val="0"/>
          <w:lang w:val="en-US"/>
        </w:rPr>
        <w:t xml:space="preserve">, </w:t>
      </w:r>
      <w:r w:rsidRPr="00BA61B2">
        <w:rPr>
          <w:bCs/>
          <w:noProof w:val="0"/>
          <w:lang w:val="en-US"/>
        </w:rPr>
        <w:t>para.</w:t>
      </w:r>
      <w:r w:rsidRPr="00BA61B2">
        <w:rPr>
          <w:bCs/>
          <w:i/>
          <w:noProof w:val="0"/>
          <w:lang w:val="en-US"/>
        </w:rPr>
        <w:t xml:space="preserve"> </w:t>
      </w:r>
      <w:r w:rsidRPr="00BA61B2">
        <w:rPr>
          <w:rFonts w:cs="Vrinda"/>
          <w:noProof w:val="0"/>
          <w:spacing w:val="-4"/>
          <w:szCs w:val="16"/>
          <w:lang w:val="en-US"/>
        </w:rPr>
        <w:t xml:space="preserve">46, and </w:t>
      </w:r>
      <w:r w:rsidRPr="00BA61B2">
        <w:rPr>
          <w:i/>
          <w:noProof w:val="0"/>
          <w:szCs w:val="16"/>
          <w:lang w:val="en-US"/>
        </w:rPr>
        <w:t xml:space="preserve">Case of Espinoza Gonzáles v. Peru. Preliminary objections, merits, reparations and costs, </w:t>
      </w:r>
      <w:r w:rsidRPr="00BA61B2">
        <w:rPr>
          <w:bCs/>
          <w:noProof w:val="0"/>
          <w:lang w:val="en-US"/>
        </w:rPr>
        <w:t>para.</w:t>
      </w:r>
      <w:r w:rsidRPr="00BA61B2">
        <w:rPr>
          <w:bCs/>
          <w:i/>
          <w:noProof w:val="0"/>
          <w:lang w:val="en-US"/>
        </w:rPr>
        <w:t xml:space="preserve"> </w:t>
      </w:r>
      <w:r w:rsidRPr="00BA61B2">
        <w:rPr>
          <w:rFonts w:cs="Vrinda"/>
          <w:noProof w:val="0"/>
          <w:spacing w:val="-4"/>
          <w:szCs w:val="16"/>
          <w:lang w:val="en-US"/>
        </w:rPr>
        <w:t>219.</w:t>
      </w:r>
    </w:p>
  </w:footnote>
  <w:footnote w:id="91">
    <w:p w14:paraId="5F35ECB1" w14:textId="77777777" w:rsidR="00432906" w:rsidRPr="00BA61B2" w:rsidRDefault="00432906" w:rsidP="007B0DE4">
      <w:pPr>
        <w:pStyle w:val="Textonotapie"/>
        <w:rPr>
          <w:rFonts w:cs="Vrinda"/>
          <w:noProof w:val="0"/>
          <w:spacing w:val="-4"/>
          <w:szCs w:val="16"/>
          <w:lang w:val="en-US"/>
        </w:rPr>
      </w:pPr>
      <w:r w:rsidRPr="00BA61B2">
        <w:rPr>
          <w:rStyle w:val="Refdenotaalpie"/>
          <w:rFonts w:cs="Vrinda"/>
          <w:noProof w:val="0"/>
          <w:spacing w:val="-4"/>
          <w:szCs w:val="16"/>
          <w:lang w:val="en-US"/>
        </w:rPr>
        <w:footnoteRef/>
      </w:r>
      <w:r w:rsidRPr="00BA61B2">
        <w:rPr>
          <w:rFonts w:cs="Vrinda"/>
          <w:noProof w:val="0"/>
          <w:spacing w:val="-4"/>
          <w:szCs w:val="16"/>
          <w:lang w:val="en-US"/>
        </w:rPr>
        <w:t xml:space="preserve"> </w:t>
      </w:r>
      <w:r w:rsidRPr="00BA61B2">
        <w:rPr>
          <w:rFonts w:cs="Vrinda"/>
          <w:noProof w:val="0"/>
          <w:spacing w:val="-4"/>
          <w:szCs w:val="16"/>
          <w:lang w:val="en-US"/>
        </w:rPr>
        <w:tab/>
      </w:r>
      <w:r w:rsidRPr="00BA61B2">
        <w:rPr>
          <w:rFonts w:cs="Vrinda"/>
          <w:i/>
          <w:noProof w:val="0"/>
          <w:spacing w:val="-4"/>
          <w:szCs w:val="16"/>
          <w:lang w:val="en-US"/>
        </w:rPr>
        <w:t xml:space="preserve">Cf. </w:t>
      </w:r>
      <w:r w:rsidRPr="00BA61B2">
        <w:rPr>
          <w:rStyle w:val="Textoennegrita"/>
          <w:rFonts w:cs="Vrinda"/>
          <w:b w:val="0"/>
          <w:i/>
          <w:noProof w:val="0"/>
          <w:color w:val="000000"/>
          <w:spacing w:val="-4"/>
          <w:szCs w:val="16"/>
          <w:lang w:val="en-US"/>
        </w:rPr>
        <w:t>Case of Norín Catrimán (Leaders, Members and Activist of the Mapuche Indigenous People) and et al. v. Chile,</w:t>
      </w:r>
      <w:r w:rsidRPr="00BA61B2">
        <w:rPr>
          <w:rFonts w:cs="Vrinda"/>
          <w:i/>
          <w:noProof w:val="0"/>
          <w:spacing w:val="-4"/>
          <w:szCs w:val="16"/>
          <w:lang w:val="en-US"/>
        </w:rPr>
        <w:t xml:space="preserve"> </w:t>
      </w:r>
      <w:r w:rsidRPr="00BA61B2">
        <w:rPr>
          <w:rFonts w:cs="Vrinda"/>
          <w:noProof w:val="0"/>
          <w:spacing w:val="-4"/>
          <w:szCs w:val="16"/>
          <w:lang w:val="en-US"/>
        </w:rPr>
        <w:t xml:space="preserve">para. 200, and </w:t>
      </w:r>
      <w:r w:rsidRPr="00BA61B2">
        <w:rPr>
          <w:i/>
          <w:noProof w:val="0"/>
          <w:szCs w:val="16"/>
          <w:lang w:val="en-US"/>
        </w:rPr>
        <w:t>Case of Espinoza Gonzáles v.</w:t>
      </w:r>
      <w:r>
        <w:rPr>
          <w:i/>
          <w:noProof w:val="0"/>
          <w:szCs w:val="16"/>
          <w:lang w:val="en-US"/>
        </w:rPr>
        <w:t xml:space="preserve"> Peru. Preliminary objections, m</w:t>
      </w:r>
      <w:r w:rsidRPr="00BA61B2">
        <w:rPr>
          <w:i/>
          <w:noProof w:val="0"/>
          <w:szCs w:val="16"/>
          <w:lang w:val="en-US"/>
        </w:rPr>
        <w:t xml:space="preserve">erits, reparations and costs, </w:t>
      </w:r>
      <w:r w:rsidRPr="00BA61B2">
        <w:rPr>
          <w:bCs/>
          <w:noProof w:val="0"/>
          <w:lang w:val="en-US"/>
        </w:rPr>
        <w:t>para.</w:t>
      </w:r>
      <w:r w:rsidRPr="00BA61B2">
        <w:rPr>
          <w:bCs/>
          <w:i/>
          <w:noProof w:val="0"/>
          <w:lang w:val="en-US"/>
        </w:rPr>
        <w:t xml:space="preserve"> </w:t>
      </w:r>
      <w:r w:rsidRPr="00BA61B2">
        <w:rPr>
          <w:rFonts w:cs="Vrinda"/>
          <w:noProof w:val="0"/>
          <w:spacing w:val="-4"/>
          <w:szCs w:val="16"/>
          <w:lang w:val="en-US"/>
        </w:rPr>
        <w:t>219.</w:t>
      </w:r>
    </w:p>
  </w:footnote>
  <w:footnote w:id="92">
    <w:p w14:paraId="32C62069"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i/>
          <w:noProof w:val="0"/>
          <w:szCs w:val="16"/>
          <w:lang w:val="en-US"/>
        </w:rPr>
        <w:t xml:space="preserve"> </w:t>
      </w:r>
      <w:r w:rsidRPr="00BA61B2">
        <w:rPr>
          <w:i/>
          <w:noProof w:val="0"/>
          <w:szCs w:val="16"/>
          <w:lang w:val="en-US"/>
        </w:rPr>
        <w:tab/>
        <w:t>Cf.</w:t>
      </w:r>
      <w:r w:rsidRPr="00BA61B2">
        <w:rPr>
          <w:noProof w:val="0"/>
          <w:szCs w:val="16"/>
          <w:lang w:val="en-US"/>
        </w:rPr>
        <w:t xml:space="preserve"> </w:t>
      </w:r>
      <w:r w:rsidRPr="00BA61B2">
        <w:rPr>
          <w:i/>
          <w:noProof w:val="0"/>
          <w:szCs w:val="16"/>
          <w:lang w:val="en-US"/>
        </w:rPr>
        <w:t>Case of Gonzales Lluy et al. v. Ecuador</w:t>
      </w:r>
      <w:r w:rsidRPr="00BA61B2">
        <w:rPr>
          <w:noProof w:val="0"/>
          <w:szCs w:val="16"/>
          <w:lang w:val="en-US"/>
        </w:rPr>
        <w:t>, para.</w:t>
      </w:r>
      <w:r>
        <w:rPr>
          <w:noProof w:val="0"/>
          <w:szCs w:val="16"/>
          <w:lang w:val="en-US"/>
        </w:rPr>
        <w:t xml:space="preserve"> </w:t>
      </w:r>
      <w:r w:rsidRPr="00BA61B2">
        <w:rPr>
          <w:noProof w:val="0"/>
          <w:szCs w:val="16"/>
          <w:lang w:val="en-US"/>
        </w:rPr>
        <w:t xml:space="preserve">257. </w:t>
      </w:r>
      <w:r>
        <w:rPr>
          <w:noProof w:val="0"/>
          <w:szCs w:val="16"/>
          <w:lang w:val="en-US"/>
        </w:rPr>
        <w:t>Also</w:t>
      </w:r>
      <w:r w:rsidRPr="00BA61B2">
        <w:rPr>
          <w:noProof w:val="0"/>
          <w:szCs w:val="16"/>
          <w:lang w:val="en-US"/>
        </w:rPr>
        <w:t xml:space="preserve">, </w:t>
      </w:r>
      <w:r w:rsidRPr="00BA61B2">
        <w:rPr>
          <w:i/>
          <w:noProof w:val="0"/>
          <w:szCs w:val="16"/>
          <w:lang w:val="en-US"/>
        </w:rPr>
        <w:t>Mutatis mutandi</w:t>
      </w:r>
      <w:r>
        <w:rPr>
          <w:i/>
          <w:noProof w:val="0"/>
          <w:szCs w:val="16"/>
          <w:lang w:val="en-US"/>
        </w:rPr>
        <w:t>s</w:t>
      </w:r>
      <w:r w:rsidRPr="00BA61B2">
        <w:rPr>
          <w:noProof w:val="0"/>
          <w:szCs w:val="16"/>
          <w:lang w:val="en-US"/>
        </w:rPr>
        <w:t xml:space="preserve">, </w:t>
      </w:r>
      <w:r w:rsidRPr="00BA61B2">
        <w:rPr>
          <w:i/>
          <w:noProof w:val="0"/>
          <w:szCs w:val="16"/>
          <w:lang w:val="en-US"/>
        </w:rPr>
        <w:t>Case of Atala Riffo and Daughters v. Chile. Merits, reparations and costs</w:t>
      </w:r>
      <w:r w:rsidRPr="00BA61B2">
        <w:rPr>
          <w:bCs/>
          <w:i/>
          <w:noProof w:val="0"/>
          <w:lang w:val="en-US"/>
        </w:rPr>
        <w:t xml:space="preserve">, </w:t>
      </w:r>
      <w:r w:rsidRPr="00BA61B2">
        <w:rPr>
          <w:bCs/>
          <w:noProof w:val="0"/>
          <w:lang w:val="en-US"/>
        </w:rPr>
        <w:t>para. 124,</w:t>
      </w:r>
      <w:r w:rsidRPr="00BA61B2">
        <w:rPr>
          <w:b/>
          <w:noProof w:val="0"/>
          <w:szCs w:val="16"/>
          <w:lang w:val="en-US"/>
        </w:rPr>
        <w:t xml:space="preserve"> </w:t>
      </w:r>
      <w:r w:rsidRPr="002F1AB7">
        <w:rPr>
          <w:noProof w:val="0"/>
          <w:szCs w:val="16"/>
          <w:lang w:val="en-US"/>
        </w:rPr>
        <w:t>and</w:t>
      </w:r>
      <w:r w:rsidRPr="00BA61B2">
        <w:rPr>
          <w:b/>
          <w:noProof w:val="0"/>
          <w:szCs w:val="16"/>
          <w:lang w:val="en-US"/>
        </w:rPr>
        <w:t xml:space="preserve"> </w:t>
      </w:r>
      <w:r w:rsidRPr="00BA61B2">
        <w:rPr>
          <w:i/>
          <w:noProof w:val="0"/>
          <w:szCs w:val="16"/>
          <w:lang w:val="en-US"/>
        </w:rPr>
        <w:t>Case of Granier et al. (Radio Caracas Television) v. Venezuela,</w:t>
      </w:r>
      <w:r w:rsidRPr="00BA61B2">
        <w:rPr>
          <w:noProof w:val="0"/>
          <w:szCs w:val="16"/>
          <w:lang w:val="en-US"/>
        </w:rPr>
        <w:t xml:space="preserve"> para. 228.</w:t>
      </w:r>
    </w:p>
  </w:footnote>
  <w:footnote w:id="93">
    <w:p w14:paraId="75D63B60"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lang w:val="en-US"/>
        </w:rPr>
        <w:t>Cf.</w:t>
      </w:r>
      <w:r w:rsidRPr="00BA61B2">
        <w:rPr>
          <w:noProof w:val="0"/>
          <w:lang w:val="en-US"/>
        </w:rPr>
        <w:t xml:space="preserve"> </w:t>
      </w:r>
      <w:r>
        <w:rPr>
          <w:rFonts w:cs="Vrinda"/>
          <w:noProof w:val="0"/>
          <w:spacing w:val="-4"/>
          <w:szCs w:val="16"/>
          <w:lang w:val="en-US"/>
        </w:rPr>
        <w:t xml:space="preserve">Economic and Social Council </w:t>
      </w:r>
      <w:r w:rsidRPr="00BA61B2">
        <w:rPr>
          <w:noProof w:val="0"/>
          <w:szCs w:val="16"/>
          <w:lang w:val="en-US"/>
        </w:rPr>
        <w:t xml:space="preserve">(CESCR), </w:t>
      </w:r>
      <w:r>
        <w:rPr>
          <w:rFonts w:cs="TimesNewRoman,Bold"/>
          <w:bCs/>
          <w:i/>
          <w:noProof w:val="0"/>
          <w:szCs w:val="16"/>
          <w:lang w:val="en-US"/>
        </w:rPr>
        <w:t>General Comment Nº 19: The R</w:t>
      </w:r>
      <w:r w:rsidRPr="00BA61B2">
        <w:rPr>
          <w:rFonts w:cs="TimesNewRoman,Bold"/>
          <w:bCs/>
          <w:i/>
          <w:noProof w:val="0"/>
          <w:szCs w:val="16"/>
          <w:lang w:val="en-US"/>
        </w:rPr>
        <w:t xml:space="preserve">ight to </w:t>
      </w:r>
      <w:r>
        <w:rPr>
          <w:rFonts w:cs="TimesNewRoman,Bold"/>
          <w:bCs/>
          <w:i/>
          <w:noProof w:val="0"/>
          <w:szCs w:val="16"/>
          <w:lang w:val="en-US"/>
        </w:rPr>
        <w:t>Social Security (A</w:t>
      </w:r>
      <w:r w:rsidRPr="00BA61B2">
        <w:rPr>
          <w:rFonts w:cs="TimesNewRoman,Bold"/>
          <w:bCs/>
          <w:i/>
          <w:noProof w:val="0"/>
          <w:szCs w:val="16"/>
          <w:lang w:val="en-US"/>
        </w:rPr>
        <w:t>rticle 9)</w:t>
      </w:r>
      <w:r w:rsidRPr="00BA61B2">
        <w:rPr>
          <w:noProof w:val="0"/>
          <w:szCs w:val="16"/>
          <w:lang w:val="en-US"/>
        </w:rPr>
        <w:t xml:space="preserve">, </w:t>
      </w:r>
      <w:r w:rsidRPr="00BA61B2">
        <w:rPr>
          <w:rFonts w:cs="TimesNewRoman"/>
          <w:noProof w:val="0"/>
          <w:szCs w:val="16"/>
          <w:lang w:val="en-US"/>
        </w:rPr>
        <w:t xml:space="preserve">February </w:t>
      </w:r>
      <w:r>
        <w:rPr>
          <w:rFonts w:cs="TimesNewRoman"/>
          <w:noProof w:val="0"/>
          <w:szCs w:val="16"/>
          <w:lang w:val="en-US"/>
        </w:rPr>
        <w:t xml:space="preserve">4, </w:t>
      </w:r>
      <w:r w:rsidRPr="00BA61B2">
        <w:rPr>
          <w:rFonts w:cs="TimesNewRoman"/>
          <w:noProof w:val="0"/>
          <w:szCs w:val="16"/>
          <w:lang w:val="en-US"/>
        </w:rPr>
        <w:t>2008</w:t>
      </w:r>
      <w:r w:rsidRPr="00BA61B2">
        <w:rPr>
          <w:noProof w:val="0"/>
          <w:szCs w:val="16"/>
          <w:lang w:val="en-US"/>
        </w:rPr>
        <w:t xml:space="preserve">, E/C.12/GC/19, para. 29. </w:t>
      </w:r>
    </w:p>
  </w:footnote>
  <w:footnote w:id="94">
    <w:p w14:paraId="36B0CCE8" w14:textId="77777777" w:rsidR="00432906" w:rsidRPr="00BA61B2" w:rsidRDefault="00432906" w:rsidP="007B0DE4">
      <w:pPr>
        <w:pStyle w:val="Textonotapie"/>
        <w:jc w:val="left"/>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lang w:val="en-US"/>
        </w:rPr>
        <w:t>Cf.</w:t>
      </w:r>
      <w:r w:rsidRPr="00BA61B2">
        <w:rPr>
          <w:noProof w:val="0"/>
          <w:lang w:val="en-US"/>
        </w:rPr>
        <w:t xml:space="preserve"> </w:t>
      </w:r>
      <w:r w:rsidRPr="00BA61B2">
        <w:rPr>
          <w:rFonts w:cs="Arial"/>
          <w:bCs/>
          <w:noProof w:val="0"/>
          <w:szCs w:val="16"/>
          <w:lang w:val="en-US"/>
        </w:rPr>
        <w:t xml:space="preserve">Economic and Social Council </w:t>
      </w:r>
      <w:r w:rsidRPr="00BA61B2">
        <w:rPr>
          <w:noProof w:val="0"/>
          <w:szCs w:val="16"/>
          <w:lang w:val="en-US"/>
        </w:rPr>
        <w:t xml:space="preserve">(CESCR), </w:t>
      </w:r>
      <w:r>
        <w:rPr>
          <w:noProof w:val="0"/>
          <w:szCs w:val="16"/>
          <w:lang w:val="en-US"/>
        </w:rPr>
        <w:t xml:space="preserve"> </w:t>
      </w:r>
      <w:r w:rsidRPr="00BA61B2">
        <w:rPr>
          <w:rFonts w:cs="TimesNewRoman,Bold"/>
          <w:bCs/>
          <w:i/>
          <w:noProof w:val="0"/>
          <w:szCs w:val="16"/>
          <w:lang w:val="en-US" w:eastAsia="en-US"/>
        </w:rPr>
        <w:t>General Comment</w:t>
      </w:r>
      <w:r w:rsidRPr="00BA61B2">
        <w:rPr>
          <w:i/>
          <w:noProof w:val="0"/>
          <w:szCs w:val="16"/>
          <w:lang w:val="en-US"/>
        </w:rPr>
        <w:t xml:space="preserve"> Nº 20</w:t>
      </w:r>
      <w:r w:rsidRPr="00BA61B2">
        <w:rPr>
          <w:noProof w:val="0"/>
          <w:szCs w:val="16"/>
          <w:lang w:val="en-US"/>
        </w:rPr>
        <w:t xml:space="preserve">: </w:t>
      </w:r>
      <w:r w:rsidRPr="00BA61B2">
        <w:rPr>
          <w:rFonts w:eastAsia="Calibri"/>
          <w:i/>
          <w:noProof w:val="0"/>
          <w:szCs w:val="16"/>
          <w:lang w:val="en-US"/>
        </w:rPr>
        <w:t xml:space="preserve">Non-discrimination and Economic, Social and </w:t>
      </w:r>
      <w:r>
        <w:rPr>
          <w:rFonts w:eastAsia="Calibri"/>
          <w:i/>
          <w:noProof w:val="0"/>
          <w:szCs w:val="16"/>
          <w:lang w:val="en-US"/>
        </w:rPr>
        <w:t xml:space="preserve">Cultural Rights </w:t>
      </w:r>
      <w:r w:rsidRPr="00BA61B2">
        <w:rPr>
          <w:rFonts w:eastAsia="Calibri"/>
          <w:i/>
          <w:noProof w:val="0"/>
          <w:szCs w:val="16"/>
          <w:lang w:val="en-US"/>
        </w:rPr>
        <w:t xml:space="preserve">(Article 2, paragraph 2 </w:t>
      </w:r>
      <w:r>
        <w:rPr>
          <w:rFonts w:eastAsia="Calibri"/>
          <w:i/>
          <w:noProof w:val="0"/>
          <w:szCs w:val="16"/>
          <w:lang w:val="en-US"/>
        </w:rPr>
        <w:t>of the International Covenant on</w:t>
      </w:r>
      <w:r w:rsidRPr="00BA61B2">
        <w:rPr>
          <w:rFonts w:eastAsia="Calibri"/>
          <w:i/>
          <w:noProof w:val="0"/>
          <w:szCs w:val="16"/>
          <w:lang w:val="en-US"/>
        </w:rPr>
        <w:t xml:space="preserve"> Economic, Social and Cultural</w:t>
      </w:r>
      <w:r>
        <w:rPr>
          <w:rFonts w:eastAsia="Calibri"/>
          <w:i/>
          <w:noProof w:val="0"/>
          <w:szCs w:val="16"/>
          <w:lang w:val="en-US"/>
        </w:rPr>
        <w:t xml:space="preserve"> Rights</w:t>
      </w:r>
      <w:r w:rsidRPr="00BA61B2">
        <w:rPr>
          <w:rFonts w:eastAsia="Calibri"/>
          <w:i/>
          <w:noProof w:val="0"/>
          <w:szCs w:val="16"/>
          <w:lang w:val="en-US"/>
        </w:rPr>
        <w:t>),</w:t>
      </w:r>
      <w:r w:rsidRPr="00BA61B2">
        <w:rPr>
          <w:rFonts w:eastAsia="Calibri"/>
          <w:noProof w:val="0"/>
          <w:szCs w:val="16"/>
          <w:lang w:val="en-US"/>
        </w:rPr>
        <w:t xml:space="preserve"> July 2, 2009, </w:t>
      </w:r>
      <w:r w:rsidRPr="00BA61B2">
        <w:rPr>
          <w:noProof w:val="0"/>
          <w:szCs w:val="16"/>
          <w:lang w:val="en-US"/>
        </w:rPr>
        <w:t>E/C.12/GC/20. para. 32</w:t>
      </w:r>
    </w:p>
  </w:footnote>
  <w:footnote w:id="95">
    <w:p w14:paraId="37B1C403" w14:textId="77777777" w:rsidR="00432906" w:rsidRPr="009E538A" w:rsidRDefault="00432906" w:rsidP="007B0DE4">
      <w:pPr>
        <w:autoSpaceDE w:val="0"/>
        <w:autoSpaceDN w:val="0"/>
        <w:adjustRightInd w:val="0"/>
        <w:rPr>
          <w:rFonts w:cs="Times New Roman"/>
          <w:sz w:val="16"/>
          <w:szCs w:val="16"/>
          <w:lang w:val="en-US"/>
        </w:rPr>
      </w:pPr>
      <w:r w:rsidRPr="00BA61B2">
        <w:rPr>
          <w:rStyle w:val="Refdenotaalpie"/>
          <w:sz w:val="16"/>
          <w:szCs w:val="16"/>
          <w:lang w:val="en-US"/>
        </w:rPr>
        <w:footnoteRef/>
      </w:r>
      <w:r w:rsidRPr="00BA61B2">
        <w:rPr>
          <w:sz w:val="16"/>
          <w:szCs w:val="16"/>
          <w:lang w:val="en-US"/>
        </w:rPr>
        <w:t xml:space="preserve"> </w:t>
      </w:r>
      <w:r w:rsidRPr="00BA61B2">
        <w:rPr>
          <w:sz w:val="16"/>
          <w:szCs w:val="16"/>
          <w:lang w:val="en-US"/>
        </w:rPr>
        <w:tab/>
      </w:r>
      <w:r w:rsidRPr="00BA61B2">
        <w:rPr>
          <w:i/>
          <w:sz w:val="16"/>
          <w:szCs w:val="16"/>
          <w:lang w:val="en-US"/>
        </w:rPr>
        <w:t>Cf.</w:t>
      </w:r>
      <w:r w:rsidRPr="00BA61B2">
        <w:rPr>
          <w:sz w:val="16"/>
          <w:szCs w:val="16"/>
          <w:lang w:val="en-US"/>
        </w:rPr>
        <w:t xml:space="preserve"> </w:t>
      </w:r>
      <w:r>
        <w:rPr>
          <w:rFonts w:cs="Times New Roman"/>
          <w:i/>
          <w:iCs/>
          <w:sz w:val="16"/>
          <w:szCs w:val="16"/>
          <w:lang w:val="en-US"/>
        </w:rPr>
        <w:t>Yogyakarta</w:t>
      </w:r>
      <w:r w:rsidRPr="00BA61B2">
        <w:rPr>
          <w:rFonts w:cs="Times New Roman"/>
          <w:i/>
          <w:iCs/>
          <w:sz w:val="16"/>
          <w:szCs w:val="16"/>
          <w:lang w:val="en-US"/>
        </w:rPr>
        <w:t xml:space="preserve"> Principles - </w:t>
      </w:r>
      <w:r w:rsidRPr="009E538A">
        <w:rPr>
          <w:rFonts w:cs="Times New Roman"/>
          <w:i/>
          <w:iCs/>
          <w:sz w:val="16"/>
          <w:szCs w:val="16"/>
          <w:lang w:val="en-US"/>
        </w:rPr>
        <w:t>Principles on the application of international human rights law in relation to sexual orientation and gender identity</w:t>
      </w:r>
      <w:r w:rsidRPr="009E538A">
        <w:rPr>
          <w:rFonts w:cs="Times New Roman"/>
          <w:sz w:val="16"/>
          <w:szCs w:val="16"/>
          <w:lang w:val="en-US"/>
        </w:rPr>
        <w:t xml:space="preserve">, March 2007. Principle 13. </w:t>
      </w:r>
      <w:r w:rsidRPr="009E538A">
        <w:rPr>
          <w:sz w:val="16"/>
          <w:szCs w:val="16"/>
          <w:lang w:val="en-US"/>
        </w:rPr>
        <w:t>The Right to Social Security and to Other Social Protection Measures</w:t>
      </w:r>
      <w:r w:rsidRPr="009E538A">
        <w:rPr>
          <w:rFonts w:cs="Times New Roman"/>
          <w:sz w:val="16"/>
          <w:szCs w:val="16"/>
          <w:lang w:val="en-US"/>
        </w:rPr>
        <w:t xml:space="preserve">. </w:t>
      </w:r>
    </w:p>
  </w:footnote>
  <w:footnote w:id="96">
    <w:p w14:paraId="39B977DD" w14:textId="77777777" w:rsidR="00432906" w:rsidRPr="00BA61B2" w:rsidRDefault="00432906" w:rsidP="007B0DE4">
      <w:pPr>
        <w:pStyle w:val="Textonotapie"/>
        <w:rPr>
          <w:noProof w:val="0"/>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lang w:val="en-US"/>
        </w:rPr>
        <w:t>Cf.</w:t>
      </w:r>
      <w:r w:rsidRPr="00BA61B2">
        <w:rPr>
          <w:noProof w:val="0"/>
          <w:lang w:val="en-US"/>
        </w:rPr>
        <w:t xml:space="preserve"> </w:t>
      </w:r>
      <w:r w:rsidRPr="00BA61B2">
        <w:rPr>
          <w:bCs/>
          <w:noProof w:val="0"/>
          <w:szCs w:val="16"/>
          <w:lang w:val="en-US"/>
        </w:rPr>
        <w:t>Human Ri</w:t>
      </w:r>
      <w:r>
        <w:rPr>
          <w:bCs/>
          <w:noProof w:val="0"/>
          <w:szCs w:val="16"/>
          <w:lang w:val="en-US"/>
        </w:rPr>
        <w:t xml:space="preserve">ghts Committee, </w:t>
      </w:r>
      <w:r w:rsidRPr="00122CB1">
        <w:rPr>
          <w:bCs/>
          <w:i/>
          <w:noProof w:val="0"/>
          <w:szCs w:val="16"/>
          <w:lang w:val="en-US"/>
        </w:rPr>
        <w:t>Case of</w:t>
      </w:r>
      <w:r w:rsidRPr="00BA61B2">
        <w:rPr>
          <w:bCs/>
          <w:noProof w:val="0"/>
          <w:szCs w:val="16"/>
          <w:lang w:val="en-US"/>
        </w:rPr>
        <w:t xml:space="preserve"> </w:t>
      </w:r>
      <w:r w:rsidRPr="00BA61B2">
        <w:rPr>
          <w:i/>
          <w:noProof w:val="0"/>
          <w:szCs w:val="16"/>
          <w:lang w:val="en-US"/>
        </w:rPr>
        <w:t xml:space="preserve">Edward Young v. Australia, </w:t>
      </w:r>
      <w:r w:rsidRPr="00BA61B2">
        <w:rPr>
          <w:noProof w:val="0"/>
          <w:szCs w:val="16"/>
          <w:lang w:val="en-US"/>
        </w:rPr>
        <w:t>Communication No. 941/2000, U.N. Doc. CCPR/C/78/D/941/2000 (2003),</w:t>
      </w:r>
      <w:r w:rsidRPr="00BA61B2">
        <w:rPr>
          <w:i/>
          <w:noProof w:val="0"/>
          <w:szCs w:val="16"/>
          <w:lang w:val="en-US"/>
        </w:rPr>
        <w:t xml:space="preserve"> </w:t>
      </w:r>
      <w:r w:rsidRPr="00BA61B2">
        <w:rPr>
          <w:noProof w:val="0"/>
          <w:lang w:val="en-US"/>
        </w:rPr>
        <w:t>para. 10.4</w:t>
      </w:r>
      <w:r w:rsidRPr="00BA61B2">
        <w:rPr>
          <w:i/>
          <w:noProof w:val="0"/>
          <w:szCs w:val="16"/>
          <w:lang w:val="en-US"/>
        </w:rPr>
        <w:t xml:space="preserve"> “</w:t>
      </w:r>
      <w:r w:rsidRPr="00BA61B2">
        <w:rPr>
          <w:noProof w:val="0"/>
          <w:szCs w:val="16"/>
          <w:lang w:val="en-US"/>
        </w:rPr>
        <w:t xml:space="preserve">The State party provides no arguments on how this distinction between same-sex partners, who are excluded from pension benefits under law, and unmarried heterosexual partners, who are granted such benefits, is reasonable </w:t>
      </w:r>
      <w:r w:rsidRPr="00122CB1">
        <w:rPr>
          <w:noProof w:val="0"/>
          <w:szCs w:val="16"/>
          <w:lang w:val="en-US"/>
        </w:rPr>
        <w:t xml:space="preserve">and objective, </w:t>
      </w:r>
      <w:r w:rsidRPr="00926051">
        <w:rPr>
          <w:szCs w:val="16"/>
          <w:lang w:val="en-US"/>
        </w:rPr>
        <w:t>and no evidence which would point to the existence of factors justifying such a distinction has been advanced</w:t>
      </w:r>
      <w:r w:rsidRPr="00BA61B2">
        <w:rPr>
          <w:noProof w:val="0"/>
          <w:szCs w:val="16"/>
          <w:lang w:val="en-US"/>
        </w:rPr>
        <w:t>. In this context, the Committee finds that the State party has violated Article 26 of the Covenant by denying the author a pension on the basis of his sex or sexual orientation</w:t>
      </w:r>
      <w:r>
        <w:rPr>
          <w:noProof w:val="0"/>
          <w:szCs w:val="16"/>
          <w:lang w:val="en-US"/>
        </w:rPr>
        <w:t>.”</w:t>
      </w:r>
    </w:p>
  </w:footnote>
  <w:footnote w:id="97">
    <w:p w14:paraId="1B382BC9"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lang w:val="en-US"/>
        </w:rPr>
        <w:t>Cf.</w:t>
      </w:r>
      <w:r w:rsidRPr="00BA61B2">
        <w:rPr>
          <w:noProof w:val="0"/>
          <w:lang w:val="en-US"/>
        </w:rPr>
        <w:t xml:space="preserve"> </w:t>
      </w:r>
      <w:r w:rsidRPr="00BA61B2">
        <w:rPr>
          <w:noProof w:val="0"/>
          <w:szCs w:val="16"/>
          <w:lang w:val="en-US"/>
        </w:rPr>
        <w:t>Mexico</w:t>
      </w:r>
      <w:r>
        <w:rPr>
          <w:noProof w:val="0"/>
          <w:szCs w:val="16"/>
          <w:lang w:val="en-US"/>
        </w:rPr>
        <w:t xml:space="preserve"> City</w:t>
      </w:r>
      <w:r w:rsidRPr="00BA61B2">
        <w:rPr>
          <w:noProof w:val="0"/>
          <w:szCs w:val="16"/>
          <w:lang w:val="en-US"/>
        </w:rPr>
        <w:t xml:space="preserve">, </w:t>
      </w:r>
      <w:r>
        <w:rPr>
          <w:noProof w:val="0"/>
          <w:szCs w:val="16"/>
          <w:lang w:val="en-US"/>
        </w:rPr>
        <w:t>Legislative Assembly of the Federal District</w:t>
      </w:r>
      <w:r w:rsidRPr="00BA61B2">
        <w:rPr>
          <w:noProof w:val="0"/>
          <w:szCs w:val="16"/>
          <w:lang w:val="en-US"/>
        </w:rPr>
        <w:t>, L</w:t>
      </w:r>
      <w:r>
        <w:rPr>
          <w:noProof w:val="0"/>
          <w:szCs w:val="16"/>
          <w:lang w:val="en-US"/>
        </w:rPr>
        <w:t>aw on Domestic Partnerships of the Federal District</w:t>
      </w:r>
      <w:r w:rsidRPr="00BA61B2">
        <w:rPr>
          <w:noProof w:val="0"/>
          <w:szCs w:val="16"/>
          <w:lang w:val="en-US"/>
        </w:rPr>
        <w:t xml:space="preserve">, November </w:t>
      </w:r>
      <w:r>
        <w:rPr>
          <w:noProof w:val="0"/>
          <w:szCs w:val="16"/>
          <w:lang w:val="en-US"/>
        </w:rPr>
        <w:t xml:space="preserve">16, </w:t>
      </w:r>
      <w:r w:rsidRPr="00BA61B2">
        <w:rPr>
          <w:noProof w:val="0"/>
          <w:szCs w:val="16"/>
          <w:lang w:val="en-US"/>
        </w:rPr>
        <w:t xml:space="preserve">2006. </w:t>
      </w:r>
    </w:p>
  </w:footnote>
  <w:footnote w:id="98">
    <w:p w14:paraId="54F470F8"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lang w:val="en-US"/>
        </w:rPr>
        <w:t>Cf.</w:t>
      </w:r>
      <w:r w:rsidRPr="00BA61B2">
        <w:rPr>
          <w:noProof w:val="0"/>
          <w:lang w:val="en-US"/>
        </w:rPr>
        <w:t xml:space="preserve"> </w:t>
      </w:r>
      <w:r>
        <w:rPr>
          <w:noProof w:val="0"/>
          <w:szCs w:val="16"/>
          <w:lang w:val="en-US"/>
        </w:rPr>
        <w:t xml:space="preserve">Mexico City, </w:t>
      </w:r>
      <w:r w:rsidRPr="00BA61B2">
        <w:rPr>
          <w:noProof w:val="0"/>
          <w:szCs w:val="16"/>
          <w:lang w:val="en-US"/>
        </w:rPr>
        <w:t>C</w:t>
      </w:r>
      <w:r>
        <w:rPr>
          <w:noProof w:val="0"/>
          <w:szCs w:val="16"/>
          <w:lang w:val="en-US"/>
        </w:rPr>
        <w:t xml:space="preserve">ivil Code of </w:t>
      </w:r>
      <w:r w:rsidRPr="00BA61B2">
        <w:rPr>
          <w:noProof w:val="0"/>
          <w:szCs w:val="16"/>
          <w:lang w:val="en-US"/>
        </w:rPr>
        <w:t>the Federal</w:t>
      </w:r>
      <w:r>
        <w:rPr>
          <w:noProof w:val="0"/>
          <w:szCs w:val="16"/>
          <w:lang w:val="en-US"/>
        </w:rPr>
        <w:t xml:space="preserve"> District</w:t>
      </w:r>
      <w:r w:rsidRPr="00BA61B2">
        <w:rPr>
          <w:noProof w:val="0"/>
          <w:szCs w:val="16"/>
          <w:lang w:val="en-US"/>
        </w:rPr>
        <w:t>, modifi</w:t>
      </w:r>
      <w:r>
        <w:rPr>
          <w:noProof w:val="0"/>
          <w:szCs w:val="16"/>
          <w:lang w:val="en-US"/>
        </w:rPr>
        <w:t>ed</w:t>
      </w:r>
      <w:r w:rsidRPr="00BA61B2">
        <w:rPr>
          <w:noProof w:val="0"/>
          <w:szCs w:val="16"/>
          <w:lang w:val="en-US"/>
        </w:rPr>
        <w:t xml:space="preserve"> by Law of December </w:t>
      </w:r>
      <w:r>
        <w:rPr>
          <w:noProof w:val="0"/>
          <w:szCs w:val="16"/>
          <w:lang w:val="en-US"/>
        </w:rPr>
        <w:t xml:space="preserve">29, </w:t>
      </w:r>
      <w:r w:rsidRPr="00BA61B2">
        <w:rPr>
          <w:noProof w:val="0"/>
          <w:szCs w:val="16"/>
          <w:lang w:val="en-US"/>
        </w:rPr>
        <w:t xml:space="preserve">2009. </w:t>
      </w:r>
    </w:p>
  </w:footnote>
  <w:footnote w:id="99">
    <w:p w14:paraId="409EC7B7"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t xml:space="preserve">Mexico, Supreme Court of Justice, </w:t>
      </w:r>
      <w:r>
        <w:rPr>
          <w:noProof w:val="0"/>
          <w:szCs w:val="16"/>
          <w:lang w:val="en-US"/>
        </w:rPr>
        <w:t>First Chamber</w:t>
      </w:r>
      <w:r w:rsidRPr="00BA61B2">
        <w:rPr>
          <w:noProof w:val="0"/>
          <w:szCs w:val="16"/>
          <w:lang w:val="en-US"/>
        </w:rPr>
        <w:t xml:space="preserve">, June 19, 2015, 1a./J.43/2015. </w:t>
      </w:r>
    </w:p>
  </w:footnote>
  <w:footnote w:id="100">
    <w:p w14:paraId="2660875B"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lang w:val="en-US"/>
        </w:rPr>
        <w:t>Cf.</w:t>
      </w:r>
      <w:r w:rsidRPr="00BA61B2">
        <w:rPr>
          <w:noProof w:val="0"/>
          <w:lang w:val="en-US"/>
        </w:rPr>
        <w:t xml:space="preserve"> </w:t>
      </w:r>
      <w:r w:rsidRPr="00BA61B2">
        <w:rPr>
          <w:noProof w:val="0"/>
          <w:szCs w:val="16"/>
          <w:lang w:val="en-US"/>
        </w:rPr>
        <w:t xml:space="preserve">Mexico, Supreme Court of Justice, </w:t>
      </w:r>
      <w:r>
        <w:rPr>
          <w:noProof w:val="0"/>
          <w:szCs w:val="16"/>
          <w:lang w:val="en-US"/>
        </w:rPr>
        <w:t>First Chamber</w:t>
      </w:r>
      <w:r w:rsidRPr="00BA61B2">
        <w:rPr>
          <w:noProof w:val="0"/>
          <w:szCs w:val="16"/>
          <w:lang w:val="en-US"/>
        </w:rPr>
        <w:t xml:space="preserve">, June 19, 2015, 1a./J.43/2015. </w:t>
      </w:r>
    </w:p>
  </w:footnote>
  <w:footnote w:id="101">
    <w:p w14:paraId="603579A9" w14:textId="77777777" w:rsidR="00432906" w:rsidRPr="00BA61B2" w:rsidRDefault="00432906" w:rsidP="007B0DE4">
      <w:pPr>
        <w:rPr>
          <w:sz w:val="16"/>
          <w:szCs w:val="16"/>
          <w:lang w:val="en-US"/>
        </w:rPr>
      </w:pPr>
      <w:r w:rsidRPr="00BA61B2">
        <w:rPr>
          <w:rStyle w:val="Refdenotaalpie"/>
          <w:sz w:val="16"/>
          <w:szCs w:val="16"/>
          <w:lang w:val="en-US"/>
        </w:rPr>
        <w:footnoteRef/>
      </w:r>
      <w:r w:rsidRPr="00BA61B2">
        <w:rPr>
          <w:sz w:val="16"/>
          <w:szCs w:val="16"/>
          <w:lang w:val="en-US"/>
        </w:rPr>
        <w:t xml:space="preserve"> </w:t>
      </w:r>
      <w:r w:rsidRPr="00BA61B2">
        <w:rPr>
          <w:sz w:val="16"/>
          <w:szCs w:val="16"/>
          <w:lang w:val="en-US"/>
        </w:rPr>
        <w:tab/>
      </w:r>
      <w:r w:rsidRPr="00BA61B2">
        <w:rPr>
          <w:i/>
          <w:sz w:val="16"/>
          <w:szCs w:val="16"/>
          <w:lang w:val="en-US"/>
        </w:rPr>
        <w:t>Cf.</w:t>
      </w:r>
      <w:r>
        <w:rPr>
          <w:sz w:val="16"/>
          <w:szCs w:val="16"/>
          <w:lang w:val="en-US"/>
        </w:rPr>
        <w:t xml:space="preserve"> Uruguay, Senate and </w:t>
      </w:r>
      <w:r w:rsidRPr="00BA61B2">
        <w:rPr>
          <w:sz w:val="16"/>
          <w:szCs w:val="16"/>
          <w:lang w:val="en-US"/>
        </w:rPr>
        <w:t>C</w:t>
      </w:r>
      <w:r>
        <w:rPr>
          <w:sz w:val="16"/>
          <w:szCs w:val="16"/>
          <w:lang w:val="en-US"/>
        </w:rPr>
        <w:t xml:space="preserve">hamber </w:t>
      </w:r>
      <w:r w:rsidRPr="00BA61B2">
        <w:rPr>
          <w:sz w:val="16"/>
          <w:szCs w:val="16"/>
          <w:lang w:val="en-US"/>
        </w:rPr>
        <w:t xml:space="preserve">of Representatives of the </w:t>
      </w:r>
      <w:r>
        <w:rPr>
          <w:sz w:val="16"/>
          <w:szCs w:val="16"/>
          <w:lang w:val="en-US"/>
        </w:rPr>
        <w:t xml:space="preserve">Oriental </w:t>
      </w:r>
      <w:r w:rsidRPr="00BA61B2">
        <w:rPr>
          <w:sz w:val="16"/>
          <w:szCs w:val="16"/>
          <w:lang w:val="en-US"/>
        </w:rPr>
        <w:t xml:space="preserve">Republic of Uruguay, </w:t>
      </w:r>
      <w:r>
        <w:rPr>
          <w:sz w:val="16"/>
          <w:szCs w:val="16"/>
          <w:lang w:val="en-US"/>
        </w:rPr>
        <w:t>Law Nº</w:t>
      </w:r>
      <w:r w:rsidRPr="00BA61B2">
        <w:rPr>
          <w:sz w:val="16"/>
          <w:szCs w:val="16"/>
          <w:lang w:val="en-US"/>
        </w:rPr>
        <w:t xml:space="preserve"> 18.246, “</w:t>
      </w:r>
      <w:r w:rsidRPr="00377A20">
        <w:rPr>
          <w:sz w:val="16"/>
          <w:szCs w:val="16"/>
          <w:lang w:val="en-US"/>
        </w:rPr>
        <w:t>Concubinary</w:t>
      </w:r>
      <w:r>
        <w:rPr>
          <w:sz w:val="16"/>
          <w:szCs w:val="16"/>
          <w:lang w:val="en-US"/>
        </w:rPr>
        <w:t xml:space="preserve"> Union,”</w:t>
      </w:r>
      <w:r w:rsidRPr="00BA61B2">
        <w:rPr>
          <w:sz w:val="16"/>
          <w:szCs w:val="16"/>
          <w:lang w:val="en-US"/>
        </w:rPr>
        <w:t xml:space="preserve"> December </w:t>
      </w:r>
      <w:r>
        <w:rPr>
          <w:sz w:val="16"/>
          <w:szCs w:val="16"/>
          <w:lang w:val="en-US"/>
        </w:rPr>
        <w:t>27, 2007. Article 14- Addendum to A</w:t>
      </w:r>
      <w:r w:rsidRPr="00BA61B2">
        <w:rPr>
          <w:sz w:val="16"/>
          <w:szCs w:val="16"/>
          <w:lang w:val="en-US"/>
        </w:rPr>
        <w:t xml:space="preserve">rticle 25 of Law Nº 16.713, of </w:t>
      </w:r>
      <w:r>
        <w:rPr>
          <w:sz w:val="16"/>
          <w:szCs w:val="16"/>
          <w:lang w:val="en-US"/>
        </w:rPr>
        <w:t xml:space="preserve">September </w:t>
      </w:r>
      <w:r w:rsidRPr="00BA61B2">
        <w:rPr>
          <w:sz w:val="16"/>
          <w:szCs w:val="16"/>
          <w:lang w:val="en-US"/>
        </w:rPr>
        <w:t>3</w:t>
      </w:r>
      <w:r>
        <w:rPr>
          <w:sz w:val="16"/>
          <w:szCs w:val="16"/>
          <w:lang w:val="en-US"/>
        </w:rPr>
        <w:t>, 1995. T</w:t>
      </w:r>
      <w:r w:rsidRPr="00BA61B2">
        <w:rPr>
          <w:sz w:val="16"/>
          <w:szCs w:val="16"/>
          <w:lang w:val="en-US"/>
        </w:rPr>
        <w:t xml:space="preserve">he </w:t>
      </w:r>
      <w:r>
        <w:rPr>
          <w:sz w:val="16"/>
          <w:szCs w:val="16"/>
          <w:lang w:val="en-US"/>
        </w:rPr>
        <w:t>following clause is hereby added: common law spouses or partners</w:t>
      </w:r>
      <w:r w:rsidRPr="00BA61B2">
        <w:rPr>
          <w:sz w:val="16"/>
          <w:szCs w:val="16"/>
          <w:lang w:val="en-US"/>
        </w:rPr>
        <w:t xml:space="preserve"> </w:t>
      </w:r>
      <w:r>
        <w:rPr>
          <w:sz w:val="16"/>
          <w:szCs w:val="16"/>
          <w:lang w:val="en-US"/>
        </w:rPr>
        <w:t xml:space="preserve">are understood as those persons who, at the time of the proceedings, </w:t>
      </w:r>
      <w:r w:rsidRPr="00D20D86">
        <w:rPr>
          <w:sz w:val="16"/>
          <w:szCs w:val="16"/>
          <w:lang w:val="en-US"/>
        </w:rPr>
        <w:t xml:space="preserve">have lived together continuously for at least five years </w:t>
      </w:r>
      <w:r w:rsidRPr="00682B0A">
        <w:rPr>
          <w:sz w:val="16"/>
          <w:szCs w:val="16"/>
          <w:lang w:val="en-US"/>
        </w:rPr>
        <w:t>in a common law union of an exclusive, singular, stable and</w:t>
      </w:r>
      <w:r>
        <w:rPr>
          <w:sz w:val="16"/>
          <w:szCs w:val="16"/>
          <w:lang w:val="en-US"/>
        </w:rPr>
        <w:t xml:space="preserve"> permanent nature, regardless of their gender, sexual identity, orientation or</w:t>
      </w:r>
      <w:r w:rsidRPr="00BA61B2">
        <w:rPr>
          <w:sz w:val="16"/>
          <w:szCs w:val="16"/>
          <w:lang w:val="en-US"/>
        </w:rPr>
        <w:t xml:space="preserve"> </w:t>
      </w:r>
      <w:r>
        <w:rPr>
          <w:sz w:val="16"/>
          <w:szCs w:val="16"/>
          <w:lang w:val="en-US"/>
        </w:rPr>
        <w:t xml:space="preserve">preference, </w:t>
      </w:r>
      <w:r w:rsidRPr="00B57729">
        <w:rPr>
          <w:sz w:val="16"/>
          <w:szCs w:val="16"/>
          <w:lang w:val="en-US"/>
        </w:rPr>
        <w:t xml:space="preserve">and that are not </w:t>
      </w:r>
      <w:r>
        <w:rPr>
          <w:sz w:val="16"/>
          <w:szCs w:val="16"/>
          <w:lang w:val="en-US"/>
        </w:rPr>
        <w:t xml:space="preserve">subject to </w:t>
      </w:r>
      <w:r w:rsidRPr="00B57729">
        <w:rPr>
          <w:sz w:val="16"/>
          <w:szCs w:val="16"/>
          <w:lang w:val="en-US"/>
        </w:rPr>
        <w:t>the</w:t>
      </w:r>
      <w:r w:rsidRPr="003E2129">
        <w:rPr>
          <w:sz w:val="16"/>
          <w:szCs w:val="16"/>
          <w:lang w:val="en-US"/>
        </w:rPr>
        <w:t xml:space="preserve"> nullifying impediments </w:t>
      </w:r>
      <w:r w:rsidRPr="00BA61B2">
        <w:rPr>
          <w:sz w:val="16"/>
          <w:szCs w:val="16"/>
          <w:lang w:val="en-US"/>
        </w:rPr>
        <w:t>e</w:t>
      </w:r>
      <w:r>
        <w:rPr>
          <w:sz w:val="16"/>
          <w:szCs w:val="16"/>
          <w:lang w:val="en-US"/>
        </w:rPr>
        <w:t>stablished in paragraphs 1, 2, 4</w:t>
      </w:r>
      <w:r w:rsidRPr="00BA61B2">
        <w:rPr>
          <w:sz w:val="16"/>
          <w:szCs w:val="16"/>
          <w:lang w:val="en-US"/>
        </w:rPr>
        <w:t xml:space="preserve"> a</w:t>
      </w:r>
      <w:r>
        <w:rPr>
          <w:sz w:val="16"/>
          <w:szCs w:val="16"/>
          <w:lang w:val="en-US"/>
        </w:rPr>
        <w:t>nd 5</w:t>
      </w:r>
      <w:r w:rsidRPr="00BA61B2">
        <w:rPr>
          <w:sz w:val="16"/>
          <w:szCs w:val="16"/>
          <w:lang w:val="en-US"/>
        </w:rPr>
        <w:t xml:space="preserve"> of Article 91 of the </w:t>
      </w:r>
      <w:r>
        <w:rPr>
          <w:sz w:val="16"/>
          <w:szCs w:val="16"/>
          <w:lang w:val="en-US"/>
        </w:rPr>
        <w:t>Civil Code."</w:t>
      </w:r>
    </w:p>
  </w:footnote>
  <w:footnote w:id="102">
    <w:p w14:paraId="7E892CCC"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rFonts w:eastAsia="Times New Roman" w:cs="Tahoma"/>
          <w:bCs/>
          <w:noProof w:val="0"/>
          <w:szCs w:val="16"/>
          <w:lang w:val="en-US"/>
        </w:rPr>
        <w:t xml:space="preserve"> </w:t>
      </w:r>
      <w:r w:rsidRPr="00BA61B2">
        <w:rPr>
          <w:rFonts w:eastAsia="Times New Roman" w:cs="Tahoma"/>
          <w:bCs/>
          <w:noProof w:val="0"/>
          <w:szCs w:val="16"/>
          <w:lang w:val="en-US"/>
        </w:rPr>
        <w:tab/>
      </w:r>
      <w:r w:rsidRPr="00BA61B2">
        <w:rPr>
          <w:i/>
          <w:noProof w:val="0"/>
          <w:lang w:val="en-US"/>
        </w:rPr>
        <w:t>Cf.</w:t>
      </w:r>
      <w:r w:rsidRPr="00BA61B2">
        <w:rPr>
          <w:noProof w:val="0"/>
          <w:lang w:val="en-US"/>
        </w:rPr>
        <w:t xml:space="preserve"> </w:t>
      </w:r>
      <w:r>
        <w:rPr>
          <w:rFonts w:eastAsia="Times New Roman" w:cs="Tahoma"/>
          <w:bCs/>
          <w:noProof w:val="0"/>
          <w:szCs w:val="16"/>
          <w:lang w:val="en-US"/>
        </w:rPr>
        <w:t>Law Nº</w:t>
      </w:r>
      <w:r w:rsidRPr="00BA61B2">
        <w:rPr>
          <w:rFonts w:eastAsia="Times New Roman" w:cs="Tahoma"/>
          <w:bCs/>
          <w:noProof w:val="0"/>
          <w:szCs w:val="16"/>
          <w:lang w:val="en-US"/>
        </w:rPr>
        <w:t xml:space="preserve"> 19.075, </w:t>
      </w:r>
      <w:r>
        <w:rPr>
          <w:rFonts w:eastAsia="Times New Roman" w:cs="Tahoma"/>
          <w:bCs/>
          <w:noProof w:val="0"/>
          <w:szCs w:val="16"/>
          <w:lang w:val="en-US"/>
        </w:rPr>
        <w:t xml:space="preserve">approved by </w:t>
      </w:r>
      <w:r w:rsidRPr="00BA61B2">
        <w:rPr>
          <w:rFonts w:eastAsia="Times New Roman" w:cs="Tahoma"/>
          <w:bCs/>
          <w:noProof w:val="0"/>
          <w:szCs w:val="16"/>
          <w:lang w:val="en-US"/>
        </w:rPr>
        <w:t>Parl</w:t>
      </w:r>
      <w:r>
        <w:rPr>
          <w:rFonts w:eastAsia="Times New Roman" w:cs="Tahoma"/>
          <w:bCs/>
          <w:noProof w:val="0"/>
          <w:szCs w:val="16"/>
          <w:lang w:val="en-US"/>
        </w:rPr>
        <w:t>i</w:t>
      </w:r>
      <w:r w:rsidRPr="00BA61B2">
        <w:rPr>
          <w:rFonts w:eastAsia="Times New Roman" w:cs="Tahoma"/>
          <w:bCs/>
          <w:noProof w:val="0"/>
          <w:szCs w:val="16"/>
          <w:lang w:val="en-US"/>
        </w:rPr>
        <w:t xml:space="preserve">ament </w:t>
      </w:r>
      <w:r>
        <w:rPr>
          <w:rFonts w:eastAsia="Times New Roman" w:cs="Tahoma"/>
          <w:bCs/>
          <w:noProof w:val="0"/>
          <w:szCs w:val="16"/>
          <w:lang w:val="en-US"/>
        </w:rPr>
        <w:t xml:space="preserve">on </w:t>
      </w:r>
      <w:r w:rsidRPr="00BA61B2">
        <w:rPr>
          <w:rFonts w:eastAsia="Times New Roman" w:cs="Tahoma"/>
          <w:bCs/>
          <w:noProof w:val="0"/>
          <w:szCs w:val="16"/>
          <w:lang w:val="en-US"/>
        </w:rPr>
        <w:t>April 10, 2013, and promulga</w:t>
      </w:r>
      <w:r>
        <w:rPr>
          <w:rFonts w:eastAsia="Times New Roman" w:cs="Tahoma"/>
          <w:bCs/>
          <w:noProof w:val="0"/>
          <w:szCs w:val="16"/>
          <w:lang w:val="en-US"/>
        </w:rPr>
        <w:t xml:space="preserve">ted </w:t>
      </w:r>
      <w:r w:rsidRPr="00BA61B2">
        <w:rPr>
          <w:rFonts w:eastAsia="Times New Roman" w:cs="Tahoma"/>
          <w:bCs/>
          <w:noProof w:val="0"/>
          <w:szCs w:val="16"/>
          <w:lang w:val="en-US"/>
        </w:rPr>
        <w:t xml:space="preserve">by the </w:t>
      </w:r>
      <w:r>
        <w:rPr>
          <w:rFonts w:eastAsia="Times New Roman" w:cs="Tahoma"/>
          <w:bCs/>
          <w:noProof w:val="0"/>
          <w:szCs w:val="16"/>
          <w:lang w:val="en-US"/>
        </w:rPr>
        <w:t xml:space="preserve">Executive Branch </w:t>
      </w:r>
      <w:r w:rsidRPr="00BA61B2">
        <w:rPr>
          <w:rFonts w:eastAsia="Times New Roman" w:cs="Tahoma"/>
          <w:bCs/>
          <w:noProof w:val="0"/>
          <w:szCs w:val="16"/>
          <w:lang w:val="en-US"/>
        </w:rPr>
        <w:t xml:space="preserve">on May 3, 2013. </w:t>
      </w:r>
    </w:p>
  </w:footnote>
  <w:footnote w:id="103">
    <w:p w14:paraId="6F88773B"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lang w:val="en-US"/>
        </w:rPr>
        <w:t>Cf.</w:t>
      </w:r>
      <w:r w:rsidRPr="00BA61B2">
        <w:rPr>
          <w:noProof w:val="0"/>
          <w:lang w:val="en-US"/>
        </w:rPr>
        <w:t xml:space="preserve"> </w:t>
      </w:r>
      <w:r w:rsidRPr="00BA61B2">
        <w:rPr>
          <w:noProof w:val="0"/>
          <w:szCs w:val="16"/>
          <w:lang w:val="en-US"/>
        </w:rPr>
        <w:t xml:space="preserve">Argentina. </w:t>
      </w:r>
      <w:r>
        <w:rPr>
          <w:noProof w:val="0"/>
          <w:szCs w:val="16"/>
          <w:lang w:val="en-US"/>
        </w:rPr>
        <w:t>City</w:t>
      </w:r>
      <w:r w:rsidRPr="00BA61B2">
        <w:rPr>
          <w:noProof w:val="0"/>
          <w:szCs w:val="16"/>
          <w:lang w:val="en-US"/>
        </w:rPr>
        <w:t xml:space="preserve"> of Buenos Aires, </w:t>
      </w:r>
      <w:r>
        <w:rPr>
          <w:rFonts w:cs="Arial"/>
          <w:noProof w:val="0"/>
          <w:szCs w:val="16"/>
          <w:lang w:val="en-US"/>
        </w:rPr>
        <w:t>Law Nº</w:t>
      </w:r>
      <w:r w:rsidRPr="00BA61B2">
        <w:rPr>
          <w:rFonts w:cs="Arial"/>
          <w:noProof w:val="0"/>
          <w:szCs w:val="16"/>
          <w:lang w:val="en-US"/>
        </w:rPr>
        <w:t xml:space="preserve"> 1004, December 12, 2002</w:t>
      </w:r>
      <w:r w:rsidRPr="00BA61B2">
        <w:rPr>
          <w:rFonts w:cs="Arial"/>
          <w:noProof w:val="0"/>
          <w:szCs w:val="16"/>
          <w:shd w:val="clear" w:color="auto" w:fill="FFFFFF"/>
          <w:lang w:val="en-US"/>
        </w:rPr>
        <w:t xml:space="preserve"> </w:t>
      </w:r>
    </w:p>
  </w:footnote>
  <w:footnote w:id="104">
    <w:p w14:paraId="61530CA4"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F43CCE">
        <w:rPr>
          <w:i/>
          <w:noProof w:val="0"/>
          <w:szCs w:val="16"/>
          <w:lang w:val="en-US"/>
        </w:rPr>
        <w:t>Cf.</w:t>
      </w:r>
      <w:r>
        <w:rPr>
          <w:noProof w:val="0"/>
          <w:szCs w:val="16"/>
          <w:lang w:val="en-US"/>
        </w:rPr>
        <w:t xml:space="preserve"> </w:t>
      </w:r>
      <w:r w:rsidRPr="00BA61B2">
        <w:rPr>
          <w:noProof w:val="0"/>
          <w:szCs w:val="16"/>
          <w:lang w:val="en-US"/>
        </w:rPr>
        <w:t xml:space="preserve">Argentina. </w:t>
      </w:r>
      <w:r>
        <w:rPr>
          <w:noProof w:val="0"/>
          <w:szCs w:val="16"/>
          <w:lang w:val="en-US"/>
        </w:rPr>
        <w:t>City</w:t>
      </w:r>
      <w:r w:rsidRPr="00BA61B2">
        <w:rPr>
          <w:noProof w:val="0"/>
          <w:szCs w:val="16"/>
          <w:lang w:val="en-US"/>
        </w:rPr>
        <w:t xml:space="preserve"> of Buenos Aires, </w:t>
      </w:r>
      <w:r>
        <w:rPr>
          <w:rFonts w:cs="Arial"/>
          <w:noProof w:val="0"/>
          <w:szCs w:val="16"/>
          <w:lang w:val="en-US"/>
        </w:rPr>
        <w:t>Law Nº</w:t>
      </w:r>
      <w:r w:rsidRPr="00BA61B2">
        <w:rPr>
          <w:rFonts w:cs="Arial"/>
          <w:noProof w:val="0"/>
          <w:szCs w:val="16"/>
          <w:lang w:val="en-US"/>
        </w:rPr>
        <w:t xml:space="preserve"> </w:t>
      </w:r>
      <w:r w:rsidRPr="00BA61B2">
        <w:rPr>
          <w:noProof w:val="0"/>
          <w:szCs w:val="16"/>
          <w:lang w:val="en-US"/>
        </w:rPr>
        <w:t>1</w:t>
      </w:r>
      <w:r>
        <w:rPr>
          <w:noProof w:val="0"/>
          <w:szCs w:val="16"/>
          <w:lang w:val="en-US"/>
        </w:rPr>
        <w:t>004, December 12, 2002, A</w:t>
      </w:r>
      <w:r w:rsidRPr="00BA61B2">
        <w:rPr>
          <w:noProof w:val="0"/>
          <w:szCs w:val="16"/>
          <w:lang w:val="en-US"/>
        </w:rPr>
        <w:t>rticle 4.</w:t>
      </w:r>
      <w:r w:rsidRPr="00BA61B2">
        <w:rPr>
          <w:rFonts w:cs="Arial"/>
          <w:noProof w:val="0"/>
          <w:szCs w:val="16"/>
          <w:shd w:val="clear" w:color="auto" w:fill="FFFFFF"/>
          <w:lang w:val="en-US"/>
        </w:rPr>
        <w:t xml:space="preserve"> </w:t>
      </w:r>
    </w:p>
  </w:footnote>
  <w:footnote w:id="105">
    <w:p w14:paraId="4A18D34F" w14:textId="77777777" w:rsidR="00432906" w:rsidRPr="00BA61B2" w:rsidRDefault="00432906" w:rsidP="007B0DE4">
      <w:pPr>
        <w:rPr>
          <w:rFonts w:cs="Times New Roman"/>
          <w:sz w:val="16"/>
          <w:szCs w:val="16"/>
          <w:lang w:val="en-US"/>
        </w:rPr>
      </w:pPr>
      <w:r w:rsidRPr="00BA61B2">
        <w:rPr>
          <w:rStyle w:val="Refdenotaalpie"/>
          <w:sz w:val="16"/>
          <w:szCs w:val="16"/>
          <w:lang w:val="en-US"/>
        </w:rPr>
        <w:footnoteRef/>
      </w:r>
      <w:r w:rsidRPr="00BA61B2">
        <w:rPr>
          <w:sz w:val="16"/>
          <w:szCs w:val="16"/>
          <w:lang w:val="en-US"/>
        </w:rPr>
        <w:t xml:space="preserve"> </w:t>
      </w:r>
      <w:r w:rsidRPr="00BA61B2">
        <w:rPr>
          <w:sz w:val="16"/>
          <w:szCs w:val="16"/>
          <w:lang w:val="en-US"/>
        </w:rPr>
        <w:tab/>
      </w:r>
      <w:r w:rsidRPr="00BA61B2">
        <w:rPr>
          <w:i/>
          <w:sz w:val="16"/>
          <w:szCs w:val="16"/>
          <w:lang w:val="en-US"/>
        </w:rPr>
        <w:t>Cf.</w:t>
      </w:r>
      <w:r w:rsidRPr="00BA61B2">
        <w:rPr>
          <w:sz w:val="16"/>
          <w:szCs w:val="16"/>
          <w:lang w:val="en-US"/>
        </w:rPr>
        <w:t xml:space="preserve"> Argentina</w:t>
      </w:r>
      <w:r w:rsidRPr="00BA61B2">
        <w:rPr>
          <w:rFonts w:cs="Times New Roman"/>
          <w:sz w:val="16"/>
          <w:szCs w:val="16"/>
          <w:lang w:val="en-US"/>
        </w:rPr>
        <w:t>. The Senate and Chamber of Deputies of</w:t>
      </w:r>
      <w:r>
        <w:rPr>
          <w:rFonts w:cs="Times New Roman"/>
          <w:sz w:val="16"/>
          <w:szCs w:val="16"/>
          <w:lang w:val="en-US"/>
        </w:rPr>
        <w:t xml:space="preserve"> the Argentine Nation</w:t>
      </w:r>
      <w:r w:rsidRPr="00BA61B2">
        <w:rPr>
          <w:rFonts w:cs="Times New Roman"/>
          <w:sz w:val="16"/>
          <w:szCs w:val="16"/>
          <w:lang w:val="en-US"/>
        </w:rPr>
        <w:t xml:space="preserve"> </w:t>
      </w:r>
      <w:r>
        <w:rPr>
          <w:rFonts w:cs="Times New Roman"/>
          <w:sz w:val="16"/>
          <w:szCs w:val="16"/>
          <w:lang w:val="en-US"/>
        </w:rPr>
        <w:t xml:space="preserve">gathered in </w:t>
      </w:r>
      <w:r w:rsidRPr="00BA61B2">
        <w:rPr>
          <w:rFonts w:cs="Times New Roman"/>
          <w:sz w:val="16"/>
          <w:szCs w:val="16"/>
          <w:lang w:val="en-US"/>
        </w:rPr>
        <w:t xml:space="preserve">Congress, </w:t>
      </w:r>
      <w:r>
        <w:rPr>
          <w:rFonts w:cs="Times New Roman"/>
          <w:sz w:val="16"/>
          <w:szCs w:val="16"/>
          <w:lang w:val="en-US"/>
        </w:rPr>
        <w:t>Law 26.618 “C</w:t>
      </w:r>
      <w:r w:rsidRPr="00BA61B2">
        <w:rPr>
          <w:rFonts w:cs="Times New Roman"/>
          <w:sz w:val="16"/>
          <w:szCs w:val="16"/>
          <w:lang w:val="en-US"/>
        </w:rPr>
        <w:t>ivil</w:t>
      </w:r>
      <w:r>
        <w:rPr>
          <w:rFonts w:cs="Times New Roman"/>
          <w:sz w:val="16"/>
          <w:szCs w:val="16"/>
          <w:lang w:val="en-US"/>
        </w:rPr>
        <w:t xml:space="preserve"> Marriage,”</w:t>
      </w:r>
      <w:r w:rsidRPr="00BA61B2">
        <w:rPr>
          <w:rFonts w:cs="Times New Roman"/>
          <w:sz w:val="16"/>
          <w:szCs w:val="16"/>
          <w:lang w:val="en-US"/>
        </w:rPr>
        <w:t xml:space="preserve"> </w:t>
      </w:r>
      <w:r>
        <w:rPr>
          <w:rFonts w:cs="Times New Roman"/>
          <w:sz w:val="16"/>
          <w:szCs w:val="16"/>
          <w:lang w:val="en-US"/>
        </w:rPr>
        <w:t xml:space="preserve">approved </w:t>
      </w:r>
      <w:r w:rsidRPr="00BA61B2">
        <w:rPr>
          <w:rFonts w:cs="Times New Roman"/>
          <w:sz w:val="16"/>
          <w:szCs w:val="16"/>
          <w:lang w:val="en-US"/>
        </w:rPr>
        <w:t xml:space="preserve">on July 15, 2010, promulgated on July 21, 2010. </w:t>
      </w:r>
    </w:p>
  </w:footnote>
  <w:footnote w:id="106">
    <w:p w14:paraId="356F4E79"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t>Argentina. The Senate and Chamber of Dep</w:t>
      </w:r>
      <w:r>
        <w:rPr>
          <w:noProof w:val="0"/>
          <w:szCs w:val="16"/>
          <w:lang w:val="en-US"/>
        </w:rPr>
        <w:t xml:space="preserve">uties of </w:t>
      </w:r>
      <w:r>
        <w:rPr>
          <w:szCs w:val="16"/>
          <w:lang w:val="en-US"/>
        </w:rPr>
        <w:t>the Argentine Nation</w:t>
      </w:r>
      <w:r w:rsidRPr="00BA61B2">
        <w:rPr>
          <w:szCs w:val="16"/>
          <w:lang w:val="en-US"/>
        </w:rPr>
        <w:t xml:space="preserve"> </w:t>
      </w:r>
      <w:r>
        <w:rPr>
          <w:noProof w:val="0"/>
          <w:szCs w:val="16"/>
          <w:lang w:val="en-US"/>
        </w:rPr>
        <w:t xml:space="preserve">gathered in </w:t>
      </w:r>
      <w:r w:rsidRPr="00BA61B2">
        <w:rPr>
          <w:noProof w:val="0"/>
          <w:szCs w:val="16"/>
          <w:lang w:val="en-US"/>
        </w:rPr>
        <w:t xml:space="preserve">Congress, </w:t>
      </w:r>
      <w:r>
        <w:rPr>
          <w:noProof w:val="0"/>
          <w:szCs w:val="16"/>
          <w:lang w:val="en-US"/>
        </w:rPr>
        <w:t>Law 26.618, “C</w:t>
      </w:r>
      <w:r w:rsidRPr="00BA61B2">
        <w:rPr>
          <w:noProof w:val="0"/>
          <w:szCs w:val="16"/>
          <w:lang w:val="en-US"/>
        </w:rPr>
        <w:t>ivil</w:t>
      </w:r>
      <w:r>
        <w:rPr>
          <w:noProof w:val="0"/>
          <w:szCs w:val="16"/>
          <w:lang w:val="en-US"/>
        </w:rPr>
        <w:t xml:space="preserve"> Marriage,”</w:t>
      </w:r>
      <w:r w:rsidRPr="00BA61B2">
        <w:rPr>
          <w:noProof w:val="0"/>
          <w:szCs w:val="16"/>
          <w:lang w:val="en-US"/>
        </w:rPr>
        <w:t xml:space="preserve"> </w:t>
      </w:r>
      <w:r>
        <w:rPr>
          <w:noProof w:val="0"/>
          <w:szCs w:val="16"/>
          <w:lang w:val="en-US"/>
        </w:rPr>
        <w:t xml:space="preserve">approved </w:t>
      </w:r>
      <w:r w:rsidRPr="00BA61B2">
        <w:rPr>
          <w:noProof w:val="0"/>
          <w:szCs w:val="16"/>
          <w:lang w:val="en-US"/>
        </w:rPr>
        <w:t>on July 15, 2010,</w:t>
      </w:r>
      <w:r>
        <w:rPr>
          <w:noProof w:val="0"/>
          <w:szCs w:val="16"/>
          <w:lang w:val="en-US"/>
        </w:rPr>
        <w:t xml:space="preserve"> promulgated on July 21, 2010, A</w:t>
      </w:r>
      <w:r w:rsidRPr="00BA61B2">
        <w:rPr>
          <w:noProof w:val="0"/>
          <w:szCs w:val="16"/>
          <w:lang w:val="en-US"/>
        </w:rPr>
        <w:t>rticle 172.</w:t>
      </w:r>
      <w:r w:rsidRPr="00BA61B2">
        <w:rPr>
          <w:rStyle w:val="Hipervnculo"/>
          <w:noProof w:val="0"/>
          <w:szCs w:val="16"/>
          <w:lang w:val="en-US"/>
        </w:rPr>
        <w:t xml:space="preserve"> </w:t>
      </w:r>
    </w:p>
  </w:footnote>
  <w:footnote w:id="107">
    <w:p w14:paraId="0A224A75"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lang w:val="en-US"/>
        </w:rPr>
        <w:t>Cf.</w:t>
      </w:r>
      <w:r w:rsidRPr="00BA61B2">
        <w:rPr>
          <w:noProof w:val="0"/>
          <w:lang w:val="en-US"/>
        </w:rPr>
        <w:t xml:space="preserve"> Executive Director</w:t>
      </w:r>
      <w:r w:rsidRPr="00BA61B2">
        <w:rPr>
          <w:noProof w:val="0"/>
          <w:szCs w:val="16"/>
          <w:lang w:val="en-US"/>
        </w:rPr>
        <w:t xml:space="preserve"> of the </w:t>
      </w:r>
      <w:r>
        <w:rPr>
          <w:noProof w:val="0"/>
          <w:szCs w:val="16"/>
          <w:lang w:val="en-US"/>
        </w:rPr>
        <w:t>National Social Security A</w:t>
      </w:r>
      <w:r w:rsidRPr="00BA61B2">
        <w:rPr>
          <w:noProof w:val="0"/>
          <w:szCs w:val="16"/>
          <w:lang w:val="en-US"/>
        </w:rPr>
        <w:t xml:space="preserve">dministration, </w:t>
      </w:r>
      <w:r w:rsidRPr="00BA61B2">
        <w:rPr>
          <w:rFonts w:cs="Arial"/>
          <w:noProof w:val="0"/>
          <w:szCs w:val="16"/>
          <w:lang w:val="en-US"/>
        </w:rPr>
        <w:t xml:space="preserve">Resolution 671/2008, </w:t>
      </w:r>
      <w:r>
        <w:rPr>
          <w:rFonts w:cs="Arial"/>
          <w:noProof w:val="0"/>
          <w:szCs w:val="16"/>
          <w:lang w:val="en-US"/>
        </w:rPr>
        <w:t xml:space="preserve">of </w:t>
      </w:r>
      <w:r w:rsidRPr="00BA61B2">
        <w:rPr>
          <w:rFonts w:cs="Arial"/>
          <w:noProof w:val="0"/>
          <w:szCs w:val="16"/>
          <w:lang w:val="en-US"/>
        </w:rPr>
        <w:t>August</w:t>
      </w:r>
      <w:r>
        <w:rPr>
          <w:rFonts w:cs="Arial"/>
          <w:noProof w:val="0"/>
          <w:szCs w:val="16"/>
          <w:lang w:val="en-US"/>
        </w:rPr>
        <w:t xml:space="preserve"> 19,</w:t>
      </w:r>
      <w:r w:rsidRPr="00BA61B2">
        <w:rPr>
          <w:rFonts w:cs="Arial"/>
          <w:noProof w:val="0"/>
          <w:szCs w:val="16"/>
          <w:lang w:val="en-US"/>
        </w:rPr>
        <w:t xml:space="preserve"> 2008.</w:t>
      </w:r>
    </w:p>
  </w:footnote>
  <w:footnote w:id="108">
    <w:p w14:paraId="608F1D74"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lang w:val="en-US"/>
        </w:rPr>
        <w:t>Cf.</w:t>
      </w:r>
      <w:r w:rsidRPr="00BA61B2">
        <w:rPr>
          <w:noProof w:val="0"/>
          <w:lang w:val="en-US"/>
        </w:rPr>
        <w:t xml:space="preserve"> </w:t>
      </w:r>
      <w:r w:rsidRPr="00BA61B2">
        <w:rPr>
          <w:noProof w:val="0"/>
          <w:szCs w:val="16"/>
          <w:lang w:val="en-US"/>
        </w:rPr>
        <w:t xml:space="preserve">Argentina, Supreme Court of Justice, </w:t>
      </w:r>
      <w:r>
        <w:rPr>
          <w:noProof w:val="0"/>
          <w:szCs w:val="16"/>
          <w:lang w:val="en-US"/>
        </w:rPr>
        <w:t xml:space="preserve">June </w:t>
      </w:r>
      <w:r w:rsidRPr="00BA61B2">
        <w:rPr>
          <w:noProof w:val="0"/>
          <w:szCs w:val="16"/>
          <w:lang w:val="en-US"/>
        </w:rPr>
        <w:t>28</w:t>
      </w:r>
      <w:r>
        <w:rPr>
          <w:noProof w:val="0"/>
          <w:szCs w:val="16"/>
          <w:lang w:val="en-US"/>
        </w:rPr>
        <w:t>,</w:t>
      </w:r>
      <w:r w:rsidRPr="00BA61B2">
        <w:rPr>
          <w:noProof w:val="0"/>
          <w:szCs w:val="16"/>
          <w:lang w:val="en-US"/>
        </w:rPr>
        <w:t xml:space="preserve"> 2011. </w:t>
      </w:r>
    </w:p>
  </w:footnote>
  <w:footnote w:id="109">
    <w:p w14:paraId="6D69D8C2"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lang w:val="en-US"/>
        </w:rPr>
        <w:t>Cf.</w:t>
      </w:r>
      <w:r w:rsidRPr="00BA61B2">
        <w:rPr>
          <w:noProof w:val="0"/>
          <w:lang w:val="en-US"/>
        </w:rPr>
        <w:t xml:space="preserve"> </w:t>
      </w:r>
      <w:r w:rsidRPr="00BA61B2">
        <w:rPr>
          <w:noProof w:val="0"/>
          <w:szCs w:val="16"/>
          <w:lang w:val="en-US"/>
        </w:rPr>
        <w:t xml:space="preserve">Brazil, </w:t>
      </w:r>
      <w:r w:rsidRPr="00161FB9">
        <w:rPr>
          <w:i/>
          <w:noProof w:val="0"/>
          <w:szCs w:val="16"/>
          <w:lang w:val="en-US"/>
        </w:rPr>
        <w:t>Superintendência Nacional of Previdência Complementar</w:t>
      </w:r>
      <w:r>
        <w:rPr>
          <w:noProof w:val="0"/>
          <w:szCs w:val="16"/>
          <w:lang w:val="en-US"/>
        </w:rPr>
        <w:t xml:space="preserve">, Ordinance Nº 941, </w:t>
      </w:r>
      <w:r w:rsidRPr="00BA61B2">
        <w:rPr>
          <w:noProof w:val="0"/>
          <w:szCs w:val="16"/>
          <w:lang w:val="en-US"/>
        </w:rPr>
        <w:t xml:space="preserve">December </w:t>
      </w:r>
      <w:r>
        <w:rPr>
          <w:noProof w:val="0"/>
          <w:szCs w:val="16"/>
          <w:lang w:val="en-US"/>
        </w:rPr>
        <w:t xml:space="preserve">9, </w:t>
      </w:r>
      <w:r w:rsidRPr="00BA61B2">
        <w:rPr>
          <w:noProof w:val="0"/>
          <w:szCs w:val="16"/>
          <w:lang w:val="en-US"/>
        </w:rPr>
        <w:t xml:space="preserve">2010. </w:t>
      </w:r>
    </w:p>
  </w:footnote>
  <w:footnote w:id="110">
    <w:p w14:paraId="10AD80B7"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lang w:val="en-US"/>
        </w:rPr>
        <w:t xml:space="preserve"> </w:t>
      </w:r>
      <w:r w:rsidRPr="00BA61B2">
        <w:rPr>
          <w:noProof w:val="0"/>
          <w:lang w:val="en-US"/>
        </w:rPr>
        <w:tab/>
      </w:r>
      <w:r w:rsidRPr="00BA61B2">
        <w:rPr>
          <w:i/>
          <w:noProof w:val="0"/>
          <w:lang w:val="en-US"/>
        </w:rPr>
        <w:t>Cf.</w:t>
      </w:r>
      <w:r w:rsidRPr="00BA61B2">
        <w:rPr>
          <w:noProof w:val="0"/>
          <w:lang w:val="en-US"/>
        </w:rPr>
        <w:t xml:space="preserve"> </w:t>
      </w:r>
      <w:r>
        <w:rPr>
          <w:noProof w:val="0"/>
          <w:szCs w:val="16"/>
          <w:lang w:val="en-US"/>
        </w:rPr>
        <w:t>Brazil, Supreme Federal Court</w:t>
      </w:r>
      <w:r w:rsidRPr="00BA61B2">
        <w:rPr>
          <w:noProof w:val="0"/>
          <w:szCs w:val="16"/>
          <w:lang w:val="en-US"/>
        </w:rPr>
        <w:t>, Dire</w:t>
      </w:r>
      <w:r>
        <w:rPr>
          <w:noProof w:val="0"/>
          <w:szCs w:val="16"/>
          <w:lang w:val="en-US"/>
        </w:rPr>
        <w:t>ct Action of U</w:t>
      </w:r>
      <w:r w:rsidRPr="00BA61B2">
        <w:rPr>
          <w:noProof w:val="0"/>
          <w:szCs w:val="16"/>
          <w:lang w:val="en-US"/>
        </w:rPr>
        <w:t>nconstitutionali</w:t>
      </w:r>
      <w:r>
        <w:rPr>
          <w:noProof w:val="0"/>
          <w:szCs w:val="16"/>
          <w:lang w:val="en-US"/>
        </w:rPr>
        <w:t>ty (ADI) Nº 4277 of</w:t>
      </w:r>
      <w:r w:rsidRPr="00BA61B2">
        <w:rPr>
          <w:noProof w:val="0"/>
          <w:szCs w:val="16"/>
          <w:lang w:val="en-US"/>
        </w:rPr>
        <w:t xml:space="preserve"> May 5, 2011</w:t>
      </w:r>
      <w:r w:rsidRPr="00BA61B2">
        <w:rPr>
          <w:noProof w:val="0"/>
          <w:lang w:val="en-US"/>
        </w:rPr>
        <w:t>.</w:t>
      </w:r>
    </w:p>
  </w:footnote>
  <w:footnote w:id="111">
    <w:p w14:paraId="6B2FB83B"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lang w:val="en-US"/>
        </w:rPr>
        <w:t>Cf.</w:t>
      </w:r>
      <w:r w:rsidRPr="00BA61B2">
        <w:rPr>
          <w:noProof w:val="0"/>
          <w:lang w:val="en-US"/>
        </w:rPr>
        <w:t xml:space="preserve"> </w:t>
      </w:r>
      <w:r w:rsidRPr="00BA61B2">
        <w:rPr>
          <w:noProof w:val="0"/>
          <w:szCs w:val="16"/>
          <w:lang w:val="en-US"/>
        </w:rPr>
        <w:t xml:space="preserve">Brazil. National </w:t>
      </w:r>
      <w:r>
        <w:rPr>
          <w:noProof w:val="0"/>
          <w:szCs w:val="16"/>
          <w:lang w:val="en-US"/>
        </w:rPr>
        <w:t>Council of Justice</w:t>
      </w:r>
      <w:r w:rsidRPr="00BA61B2">
        <w:rPr>
          <w:noProof w:val="0"/>
          <w:szCs w:val="16"/>
          <w:lang w:val="en-US"/>
        </w:rPr>
        <w:t>, Resolu</w:t>
      </w:r>
      <w:r>
        <w:rPr>
          <w:noProof w:val="0"/>
          <w:szCs w:val="16"/>
          <w:lang w:val="en-US"/>
        </w:rPr>
        <w:t>tion</w:t>
      </w:r>
      <w:r w:rsidRPr="00BA61B2">
        <w:rPr>
          <w:noProof w:val="0"/>
          <w:szCs w:val="16"/>
          <w:lang w:val="en-US"/>
        </w:rPr>
        <w:t xml:space="preserve"> Nº 175, </w:t>
      </w:r>
      <w:r>
        <w:rPr>
          <w:noProof w:val="0"/>
          <w:szCs w:val="16"/>
          <w:lang w:val="en-US"/>
        </w:rPr>
        <w:t xml:space="preserve">May </w:t>
      </w:r>
      <w:r w:rsidRPr="00BA61B2">
        <w:rPr>
          <w:noProof w:val="0"/>
          <w:szCs w:val="16"/>
          <w:lang w:val="en-US"/>
        </w:rPr>
        <w:t>14</w:t>
      </w:r>
      <w:r>
        <w:rPr>
          <w:noProof w:val="0"/>
          <w:szCs w:val="16"/>
          <w:lang w:val="en-US"/>
        </w:rPr>
        <w:t>,</w:t>
      </w:r>
      <w:r w:rsidRPr="00BA61B2">
        <w:rPr>
          <w:noProof w:val="0"/>
          <w:szCs w:val="16"/>
          <w:lang w:val="en-US"/>
        </w:rPr>
        <w:t xml:space="preserve"> 2013. </w:t>
      </w:r>
    </w:p>
  </w:footnote>
  <w:footnote w:id="112">
    <w:p w14:paraId="20BBA1C7" w14:textId="77777777" w:rsidR="00432906" w:rsidRPr="00BA61B2" w:rsidRDefault="00432906" w:rsidP="007B0DE4">
      <w:pPr>
        <w:rPr>
          <w:rFonts w:cs="Times New Roman"/>
          <w:sz w:val="16"/>
          <w:szCs w:val="20"/>
          <w:lang w:val="en-US"/>
        </w:rPr>
      </w:pPr>
      <w:r w:rsidRPr="00BA61B2">
        <w:rPr>
          <w:rStyle w:val="Refdenotaalpie"/>
          <w:sz w:val="16"/>
          <w:szCs w:val="16"/>
          <w:lang w:val="en-US"/>
        </w:rPr>
        <w:footnoteRef/>
      </w:r>
      <w:r w:rsidRPr="00BA61B2">
        <w:rPr>
          <w:sz w:val="16"/>
          <w:szCs w:val="16"/>
          <w:lang w:val="en-US"/>
        </w:rPr>
        <w:t xml:space="preserve"> </w:t>
      </w:r>
      <w:r w:rsidRPr="00BA61B2">
        <w:rPr>
          <w:sz w:val="16"/>
          <w:szCs w:val="16"/>
          <w:lang w:val="en-US"/>
        </w:rPr>
        <w:tab/>
        <w:t>Chile, Minist</w:t>
      </w:r>
      <w:r>
        <w:rPr>
          <w:sz w:val="16"/>
          <w:szCs w:val="16"/>
          <w:lang w:val="en-US"/>
        </w:rPr>
        <w:t xml:space="preserve">ry </w:t>
      </w:r>
      <w:r w:rsidRPr="00D01ECF">
        <w:rPr>
          <w:sz w:val="16"/>
          <w:szCs w:val="16"/>
          <w:lang w:val="en-US"/>
        </w:rPr>
        <w:t xml:space="preserve">General Secretariat of Government, </w:t>
      </w:r>
      <w:r w:rsidRPr="00D01ECF">
        <w:rPr>
          <w:rFonts w:cs="Courier"/>
          <w:sz w:val="16"/>
          <w:szCs w:val="20"/>
          <w:lang w:val="en-US"/>
        </w:rPr>
        <w:t xml:space="preserve">Law No. 20.830, on Civil Union </w:t>
      </w:r>
      <w:r w:rsidRPr="00A82EFA">
        <w:rPr>
          <w:rFonts w:cs="Courier"/>
          <w:sz w:val="16"/>
          <w:szCs w:val="20"/>
          <w:lang w:val="en-US"/>
        </w:rPr>
        <w:t>and Civil Partnerships</w:t>
      </w:r>
      <w:r w:rsidRPr="00D01ECF">
        <w:rPr>
          <w:rFonts w:cs="Courier"/>
          <w:sz w:val="16"/>
          <w:szCs w:val="20"/>
          <w:lang w:val="en-US"/>
        </w:rPr>
        <w:t>,</w:t>
      </w:r>
      <w:r w:rsidRPr="00D01ECF">
        <w:rPr>
          <w:highlight w:val="yellow"/>
          <w:lang w:val="en-US"/>
        </w:rPr>
        <w:t xml:space="preserve"> </w:t>
      </w:r>
      <w:r w:rsidRPr="00A82EFA">
        <w:rPr>
          <w:sz w:val="16"/>
          <w:szCs w:val="16"/>
          <w:lang w:val="en-US"/>
        </w:rPr>
        <w:t>signed into law</w:t>
      </w:r>
      <w:r w:rsidRPr="00A82EFA">
        <w:rPr>
          <w:lang w:val="en-US"/>
        </w:rPr>
        <w:t xml:space="preserve"> </w:t>
      </w:r>
      <w:r w:rsidRPr="00A82EFA">
        <w:rPr>
          <w:rFonts w:cs="Courier"/>
          <w:sz w:val="16"/>
          <w:szCs w:val="20"/>
          <w:lang w:val="en-US"/>
        </w:rPr>
        <w:t>on April 13, 2015 an</w:t>
      </w:r>
      <w:r>
        <w:rPr>
          <w:rFonts w:cs="Courier"/>
          <w:sz w:val="16"/>
          <w:szCs w:val="20"/>
          <w:lang w:val="en-US"/>
        </w:rPr>
        <w:t>d published on April 21, 2015. “</w:t>
      </w:r>
      <w:r w:rsidRPr="00A82EFA">
        <w:rPr>
          <w:rFonts w:cs="Courier"/>
          <w:sz w:val="16"/>
          <w:szCs w:val="20"/>
          <w:lang w:val="en-US"/>
        </w:rPr>
        <w:t xml:space="preserve">Article 1. The civil union agreement is a contract between two persons who share a home, for the purpose of regulating the legal effects derived from their affective life in common, of a stable and permanent nature. Prospective spouses shall be termed civil partners and shall be considered </w:t>
      </w:r>
      <w:r>
        <w:rPr>
          <w:rFonts w:cs="Courier"/>
          <w:sz w:val="16"/>
          <w:szCs w:val="20"/>
          <w:lang w:val="en-US"/>
        </w:rPr>
        <w:t xml:space="preserve">next of kin </w:t>
      </w:r>
      <w:r w:rsidRPr="00A82EFA">
        <w:rPr>
          <w:rFonts w:cs="Courier"/>
          <w:sz w:val="16"/>
          <w:szCs w:val="20"/>
          <w:lang w:val="en-US"/>
        </w:rPr>
        <w:t xml:space="preserve">for the purposes of Article 42 of the Civil Code. </w:t>
      </w:r>
      <w:r>
        <w:rPr>
          <w:rFonts w:cs="Courier"/>
          <w:sz w:val="16"/>
          <w:szCs w:val="20"/>
          <w:lang w:val="en-US"/>
        </w:rPr>
        <w:t xml:space="preserve">Such a contract shall </w:t>
      </w:r>
      <w:r w:rsidRPr="00F15571">
        <w:rPr>
          <w:rFonts w:cs="Courier"/>
          <w:sz w:val="16"/>
          <w:szCs w:val="20"/>
          <w:lang w:val="en-US"/>
        </w:rPr>
        <w:t>confer the status of civil partner.</w:t>
      </w:r>
      <w:r>
        <w:rPr>
          <w:rFonts w:cs="Courier"/>
          <w:sz w:val="16"/>
          <w:szCs w:val="20"/>
          <w:lang w:val="en-US"/>
        </w:rPr>
        <w:t xml:space="preserve"> The terms of this </w:t>
      </w:r>
      <w:r w:rsidRPr="004F09C1">
        <w:rPr>
          <w:rFonts w:cs="Courier"/>
          <w:sz w:val="16"/>
          <w:szCs w:val="20"/>
          <w:lang w:val="en-US"/>
        </w:rPr>
        <w:t>agreement</w:t>
      </w:r>
      <w:r>
        <w:rPr>
          <w:rFonts w:cs="Courier"/>
          <w:sz w:val="16"/>
          <w:szCs w:val="20"/>
          <w:lang w:val="en-US"/>
        </w:rPr>
        <w:t xml:space="preserve"> shall restore to</w:t>
      </w:r>
      <w:r w:rsidRPr="00BA61B2">
        <w:rPr>
          <w:rFonts w:cs="Courier"/>
          <w:sz w:val="16"/>
          <w:szCs w:val="20"/>
          <w:lang w:val="en-US"/>
        </w:rPr>
        <w:t xml:space="preserve"> the </w:t>
      </w:r>
      <w:r>
        <w:rPr>
          <w:rFonts w:cs="Courier"/>
          <w:sz w:val="16"/>
          <w:szCs w:val="20"/>
          <w:lang w:val="en-US"/>
        </w:rPr>
        <w:t xml:space="preserve">prospective partners </w:t>
      </w:r>
      <w:r w:rsidRPr="00BA61B2">
        <w:rPr>
          <w:rFonts w:cs="Courier"/>
          <w:sz w:val="16"/>
          <w:szCs w:val="20"/>
          <w:lang w:val="en-US"/>
        </w:rPr>
        <w:t>the</w:t>
      </w:r>
      <w:r>
        <w:rPr>
          <w:rFonts w:cs="Courier"/>
          <w:sz w:val="16"/>
          <w:szCs w:val="20"/>
          <w:lang w:val="en-US"/>
        </w:rPr>
        <w:t>ir</w:t>
      </w:r>
      <w:r w:rsidRPr="00BA61B2">
        <w:rPr>
          <w:rFonts w:cs="Courier"/>
          <w:sz w:val="16"/>
          <w:szCs w:val="20"/>
          <w:lang w:val="en-US"/>
        </w:rPr>
        <w:t xml:space="preserve"> civil </w:t>
      </w:r>
      <w:r>
        <w:rPr>
          <w:rFonts w:cs="Courier"/>
          <w:sz w:val="16"/>
          <w:szCs w:val="20"/>
          <w:lang w:val="en-US"/>
        </w:rPr>
        <w:t xml:space="preserve">status prior to entering into this </w:t>
      </w:r>
      <w:r w:rsidRPr="00BA61B2">
        <w:rPr>
          <w:rFonts w:cs="Courier"/>
          <w:sz w:val="16"/>
          <w:szCs w:val="20"/>
          <w:lang w:val="en-US"/>
        </w:rPr>
        <w:t>contra</w:t>
      </w:r>
      <w:r>
        <w:rPr>
          <w:rFonts w:cs="Courier"/>
          <w:sz w:val="16"/>
          <w:szCs w:val="20"/>
          <w:lang w:val="en-US"/>
        </w:rPr>
        <w:t>ct</w:t>
      </w:r>
      <w:r w:rsidRPr="00BA61B2">
        <w:rPr>
          <w:rFonts w:cs="Courier"/>
          <w:sz w:val="16"/>
          <w:szCs w:val="20"/>
          <w:lang w:val="en-US"/>
        </w:rPr>
        <w:t xml:space="preserve">, </w:t>
      </w:r>
      <w:r>
        <w:rPr>
          <w:rFonts w:cs="Courier"/>
          <w:sz w:val="16"/>
          <w:szCs w:val="20"/>
          <w:lang w:val="en-US"/>
        </w:rPr>
        <w:t xml:space="preserve">except in </w:t>
      </w:r>
      <w:r w:rsidRPr="00BA61B2">
        <w:rPr>
          <w:rFonts w:cs="Courier"/>
          <w:sz w:val="16"/>
          <w:szCs w:val="20"/>
          <w:lang w:val="en-US"/>
        </w:rPr>
        <w:t xml:space="preserve">the </w:t>
      </w:r>
      <w:r>
        <w:rPr>
          <w:rFonts w:cs="Courier"/>
          <w:sz w:val="16"/>
          <w:szCs w:val="20"/>
          <w:lang w:val="en-US"/>
        </w:rPr>
        <w:t xml:space="preserve">circumstances provided in subparagraph </w:t>
      </w:r>
      <w:r w:rsidRPr="00BA61B2">
        <w:rPr>
          <w:rFonts w:cs="Courier"/>
          <w:sz w:val="16"/>
          <w:szCs w:val="20"/>
          <w:lang w:val="en-US"/>
        </w:rPr>
        <w:t>c) of Article 26</w:t>
      </w:r>
      <w:r>
        <w:rPr>
          <w:rFonts w:cs="Courier"/>
          <w:sz w:val="16"/>
          <w:szCs w:val="20"/>
          <w:lang w:val="en-US"/>
        </w:rPr>
        <w:t>.”</w:t>
      </w:r>
    </w:p>
  </w:footnote>
  <w:footnote w:id="113">
    <w:p w14:paraId="593A09F6" w14:textId="77777777" w:rsidR="00432906" w:rsidRPr="00BA61B2" w:rsidRDefault="00432906" w:rsidP="007B0DE4">
      <w:pPr>
        <w:pStyle w:val="Textonotapie"/>
        <w:rPr>
          <w:noProof w:val="0"/>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t>Supreme Court of Justice of the United States, Obergefell et al. v. Hodges, Director, Ohio Department of Health, et al. No. 14–556. Argued April 28, 2015— June 26, 2015.</w:t>
      </w:r>
    </w:p>
  </w:footnote>
  <w:footnote w:id="114">
    <w:p w14:paraId="229D04D3" w14:textId="77777777" w:rsidR="00432906" w:rsidRPr="00BA61B2" w:rsidRDefault="00432906" w:rsidP="007B0DE4">
      <w:pPr>
        <w:pStyle w:val="Textonotapie"/>
        <w:rPr>
          <w:noProof w:val="0"/>
          <w:lang w:val="en-US"/>
        </w:rPr>
      </w:pPr>
      <w:r w:rsidRPr="00BA61B2">
        <w:rPr>
          <w:rStyle w:val="Refdenotaalpie"/>
          <w:noProof w:val="0"/>
          <w:lang w:val="en-US"/>
        </w:rPr>
        <w:footnoteRef/>
      </w:r>
      <w:r w:rsidRPr="00BA61B2">
        <w:rPr>
          <w:noProof w:val="0"/>
          <w:lang w:val="en-US"/>
        </w:rPr>
        <w:t xml:space="preserve"> </w:t>
      </w:r>
      <w:r w:rsidRPr="00BA61B2">
        <w:rPr>
          <w:noProof w:val="0"/>
          <w:lang w:val="en-US"/>
        </w:rPr>
        <w:tab/>
      </w:r>
      <w:r w:rsidRPr="00BA61B2">
        <w:rPr>
          <w:i/>
          <w:noProof w:val="0"/>
          <w:lang w:val="en-US"/>
        </w:rPr>
        <w:t>Cf.</w:t>
      </w:r>
      <w:r w:rsidRPr="00BA61B2">
        <w:rPr>
          <w:noProof w:val="0"/>
          <w:lang w:val="en-US"/>
        </w:rPr>
        <w:t xml:space="preserve"> Constitutional Court </w:t>
      </w:r>
      <w:r>
        <w:rPr>
          <w:noProof w:val="0"/>
          <w:lang w:val="en-US"/>
        </w:rPr>
        <w:t xml:space="preserve">of Colombia, Judgment C-238 of </w:t>
      </w:r>
      <w:r w:rsidRPr="00BA61B2">
        <w:rPr>
          <w:noProof w:val="0"/>
          <w:lang w:val="en-US"/>
        </w:rPr>
        <w:t>March 22, 2012.</w:t>
      </w:r>
    </w:p>
  </w:footnote>
  <w:footnote w:id="115">
    <w:p w14:paraId="7CCEE00D" w14:textId="77777777" w:rsidR="00432906" w:rsidRPr="00BA61B2" w:rsidRDefault="00432906" w:rsidP="007B0DE4">
      <w:pPr>
        <w:pStyle w:val="Textonotapie"/>
        <w:rPr>
          <w:noProof w:val="0"/>
          <w:lang w:val="en-US"/>
        </w:rPr>
      </w:pPr>
      <w:r w:rsidRPr="00BA61B2">
        <w:rPr>
          <w:rStyle w:val="Refdenotaalpie"/>
          <w:noProof w:val="0"/>
          <w:lang w:val="en-US"/>
        </w:rPr>
        <w:footnoteRef/>
      </w:r>
      <w:r w:rsidRPr="00BA61B2">
        <w:rPr>
          <w:noProof w:val="0"/>
          <w:lang w:val="en-US"/>
        </w:rPr>
        <w:t xml:space="preserve"> </w:t>
      </w:r>
      <w:r w:rsidRPr="00BA61B2">
        <w:rPr>
          <w:noProof w:val="0"/>
          <w:lang w:val="en-US"/>
        </w:rPr>
        <w:tab/>
        <w:t>Constitutional Court of Colombia, Judgment C-336 of April 16, 2008 (evidence file, folio 1398).</w:t>
      </w:r>
    </w:p>
  </w:footnote>
  <w:footnote w:id="116">
    <w:p w14:paraId="277644EA" w14:textId="77777777" w:rsidR="00432906" w:rsidRPr="00BA61B2" w:rsidRDefault="00432906" w:rsidP="007B0DE4">
      <w:pPr>
        <w:pStyle w:val="Textonotapie"/>
        <w:rPr>
          <w:noProof w:val="0"/>
          <w:lang w:val="en-US"/>
        </w:rPr>
      </w:pPr>
      <w:r w:rsidRPr="00BA61B2">
        <w:rPr>
          <w:rStyle w:val="Refdenotaalpie"/>
          <w:noProof w:val="0"/>
          <w:lang w:val="en-US"/>
        </w:rPr>
        <w:footnoteRef/>
      </w:r>
      <w:r w:rsidRPr="00BA61B2">
        <w:rPr>
          <w:noProof w:val="0"/>
          <w:lang w:val="en-US"/>
        </w:rPr>
        <w:t xml:space="preserve"> </w:t>
      </w:r>
      <w:r w:rsidRPr="00BA61B2">
        <w:rPr>
          <w:noProof w:val="0"/>
          <w:lang w:val="en-US"/>
        </w:rPr>
        <w:tab/>
        <w:t>Constitutional Court of Colombia, Judgment C-336 of April 16, 2008 (evidence file, folio 1375 and 1376).</w:t>
      </w:r>
    </w:p>
  </w:footnote>
  <w:footnote w:id="117">
    <w:p w14:paraId="7F3E97F3"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rPr>
        <w:t xml:space="preserve">Case </w:t>
      </w:r>
      <w:r>
        <w:rPr>
          <w:i/>
          <w:noProof w:val="0"/>
          <w:szCs w:val="16"/>
          <w:lang w:val="en-US"/>
        </w:rPr>
        <w:t xml:space="preserve">of </w:t>
      </w:r>
      <w:r w:rsidRPr="00BA61B2">
        <w:rPr>
          <w:i/>
          <w:noProof w:val="0"/>
          <w:szCs w:val="16"/>
          <w:lang w:val="en-US"/>
        </w:rPr>
        <w:t>Atala Riffo and Daughters v. Chile. Merits, reparations and costs</w:t>
      </w:r>
      <w:r w:rsidRPr="00BA61B2">
        <w:rPr>
          <w:noProof w:val="0"/>
          <w:szCs w:val="16"/>
          <w:lang w:val="en-US"/>
        </w:rPr>
        <w:t>, para. 92.</w:t>
      </w:r>
    </w:p>
  </w:footnote>
  <w:footnote w:id="118">
    <w:p w14:paraId="1F584867"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lang w:val="en-US"/>
        </w:rPr>
        <w:t>Cf.</w:t>
      </w:r>
      <w:r w:rsidRPr="00BA61B2">
        <w:rPr>
          <w:noProof w:val="0"/>
          <w:lang w:val="en-US"/>
        </w:rPr>
        <w:t xml:space="preserve"> </w:t>
      </w:r>
      <w:r w:rsidRPr="00BA61B2">
        <w:rPr>
          <w:i/>
          <w:noProof w:val="0"/>
          <w:szCs w:val="16"/>
          <w:lang w:val="en-US"/>
        </w:rPr>
        <w:t xml:space="preserve">Case </w:t>
      </w:r>
      <w:r>
        <w:rPr>
          <w:i/>
          <w:noProof w:val="0"/>
          <w:szCs w:val="16"/>
          <w:lang w:val="en-US"/>
        </w:rPr>
        <w:t>of Las Palmeras v. Colombia. Merits</w:t>
      </w:r>
      <w:r>
        <w:rPr>
          <w:noProof w:val="0"/>
          <w:szCs w:val="16"/>
          <w:lang w:val="en-US"/>
        </w:rPr>
        <w:t xml:space="preserve">. Judgment of </w:t>
      </w:r>
      <w:r w:rsidRPr="00BA61B2">
        <w:rPr>
          <w:noProof w:val="0"/>
          <w:szCs w:val="16"/>
          <w:lang w:val="en-US"/>
        </w:rPr>
        <w:t>December</w:t>
      </w:r>
      <w:r>
        <w:rPr>
          <w:noProof w:val="0"/>
          <w:szCs w:val="16"/>
          <w:lang w:val="en-US"/>
        </w:rPr>
        <w:t xml:space="preserve"> 6,</w:t>
      </w:r>
      <w:r w:rsidRPr="00BA61B2">
        <w:rPr>
          <w:noProof w:val="0"/>
          <w:szCs w:val="16"/>
          <w:lang w:val="en-US"/>
        </w:rPr>
        <w:t xml:space="preserve"> 2001. Series C No. 90, para. 33, and </w:t>
      </w:r>
      <w:r w:rsidRPr="00BA61B2">
        <w:rPr>
          <w:i/>
          <w:noProof w:val="0"/>
          <w:szCs w:val="16"/>
          <w:lang w:val="en-US"/>
        </w:rPr>
        <w:t xml:space="preserve">Case </w:t>
      </w:r>
      <w:r>
        <w:rPr>
          <w:i/>
          <w:noProof w:val="0"/>
          <w:szCs w:val="16"/>
          <w:lang w:val="en-US"/>
        </w:rPr>
        <w:t xml:space="preserve">of </w:t>
      </w:r>
      <w:r w:rsidRPr="00BA61B2">
        <w:rPr>
          <w:i/>
          <w:noProof w:val="0"/>
          <w:szCs w:val="16"/>
          <w:lang w:val="en-US"/>
        </w:rPr>
        <w:t>Tarazona Arrieta et al. v</w:t>
      </w:r>
      <w:r>
        <w:rPr>
          <w:i/>
          <w:noProof w:val="0"/>
          <w:szCs w:val="16"/>
          <w:lang w:val="en-US"/>
        </w:rPr>
        <w:t>. Peru. Preliminary objection, m</w:t>
      </w:r>
      <w:r w:rsidRPr="00BA61B2">
        <w:rPr>
          <w:i/>
          <w:noProof w:val="0"/>
          <w:szCs w:val="16"/>
          <w:lang w:val="en-US"/>
        </w:rPr>
        <w:t>erits, reparations and costs</w:t>
      </w:r>
      <w:r>
        <w:rPr>
          <w:noProof w:val="0"/>
          <w:szCs w:val="16"/>
          <w:lang w:val="en-US"/>
        </w:rPr>
        <w:t xml:space="preserve">. Judgment of </w:t>
      </w:r>
      <w:r w:rsidRPr="00BA61B2">
        <w:rPr>
          <w:noProof w:val="0"/>
          <w:szCs w:val="16"/>
          <w:lang w:val="en-US"/>
        </w:rPr>
        <w:t xml:space="preserve">October </w:t>
      </w:r>
      <w:r>
        <w:rPr>
          <w:noProof w:val="0"/>
          <w:szCs w:val="16"/>
          <w:lang w:val="en-US"/>
        </w:rPr>
        <w:t xml:space="preserve">15, </w:t>
      </w:r>
      <w:r w:rsidRPr="00BA61B2">
        <w:rPr>
          <w:noProof w:val="0"/>
          <w:szCs w:val="16"/>
          <w:lang w:val="en-US"/>
        </w:rPr>
        <w:t>2014. Series C No. 286, para.</w:t>
      </w:r>
      <w:r w:rsidRPr="00BA61B2" w:rsidDel="00F66D4D">
        <w:rPr>
          <w:noProof w:val="0"/>
          <w:szCs w:val="16"/>
          <w:lang w:val="en-US"/>
        </w:rPr>
        <w:t xml:space="preserve"> </w:t>
      </w:r>
      <w:r w:rsidRPr="00BA61B2">
        <w:rPr>
          <w:noProof w:val="0"/>
          <w:szCs w:val="16"/>
          <w:lang w:val="en-US"/>
        </w:rPr>
        <w:t>136.</w:t>
      </w:r>
    </w:p>
  </w:footnote>
  <w:footnote w:id="119">
    <w:p w14:paraId="18DE6C77" w14:textId="77777777" w:rsidR="00432906" w:rsidRPr="00BA61B2" w:rsidRDefault="00432906" w:rsidP="007B0DE4">
      <w:pPr>
        <w:pStyle w:val="Textonotapie"/>
        <w:rPr>
          <w:noProof w:val="0"/>
          <w:szCs w:val="16"/>
          <w:lang w:val="en-US"/>
        </w:rPr>
      </w:pPr>
      <w:r w:rsidRPr="00BA61B2">
        <w:rPr>
          <w:rStyle w:val="Refdenotaalpie"/>
          <w:rFonts w:eastAsia="MS Mincho"/>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lang w:val="en-US"/>
        </w:rPr>
        <w:t>Cf.</w:t>
      </w:r>
      <w:r w:rsidRPr="00BA61B2">
        <w:rPr>
          <w:noProof w:val="0"/>
          <w:lang w:val="en-US"/>
        </w:rPr>
        <w:t xml:space="preserve"> </w:t>
      </w:r>
      <w:r w:rsidRPr="00BA61B2">
        <w:rPr>
          <w:i/>
          <w:noProof w:val="0"/>
          <w:szCs w:val="16"/>
          <w:lang w:val="en-US"/>
        </w:rPr>
        <w:t>Case Acevedo Jaramillo et al.</w:t>
      </w:r>
      <w:r>
        <w:rPr>
          <w:i/>
          <w:noProof w:val="0"/>
          <w:szCs w:val="16"/>
          <w:lang w:val="en-US"/>
        </w:rPr>
        <w:t xml:space="preserve"> v. Peru. Interpretation of </w:t>
      </w:r>
      <w:r w:rsidRPr="00BA61B2">
        <w:rPr>
          <w:i/>
          <w:noProof w:val="0"/>
          <w:szCs w:val="16"/>
          <w:lang w:val="en-US"/>
        </w:rPr>
        <w:t>Judgm</w:t>
      </w:r>
      <w:r>
        <w:rPr>
          <w:i/>
          <w:noProof w:val="0"/>
          <w:szCs w:val="16"/>
          <w:lang w:val="en-US"/>
        </w:rPr>
        <w:t>ent on Preliminary objections, m</w:t>
      </w:r>
      <w:r w:rsidRPr="00BA61B2">
        <w:rPr>
          <w:i/>
          <w:noProof w:val="0"/>
          <w:szCs w:val="16"/>
          <w:lang w:val="en-US"/>
        </w:rPr>
        <w:t>erits, reparations and costs</w:t>
      </w:r>
      <w:r w:rsidRPr="00BA61B2">
        <w:rPr>
          <w:noProof w:val="0"/>
          <w:szCs w:val="16"/>
          <w:lang w:val="en-US"/>
        </w:rPr>
        <w:t xml:space="preserve">. Judgment of November </w:t>
      </w:r>
      <w:r>
        <w:rPr>
          <w:noProof w:val="0"/>
          <w:szCs w:val="16"/>
          <w:lang w:val="en-US"/>
        </w:rPr>
        <w:t xml:space="preserve">24, </w:t>
      </w:r>
      <w:r w:rsidRPr="00BA61B2">
        <w:rPr>
          <w:noProof w:val="0"/>
          <w:szCs w:val="16"/>
          <w:lang w:val="en-US"/>
        </w:rPr>
        <w:t xml:space="preserve">2006. Series C No. 157, para. 66, and </w:t>
      </w:r>
      <w:r w:rsidRPr="00BA61B2">
        <w:rPr>
          <w:i/>
          <w:noProof w:val="0"/>
          <w:szCs w:val="16"/>
          <w:lang w:val="en-US"/>
        </w:rPr>
        <w:t xml:space="preserve">Case </w:t>
      </w:r>
      <w:r>
        <w:rPr>
          <w:i/>
          <w:noProof w:val="0"/>
          <w:szCs w:val="16"/>
          <w:lang w:val="en-US"/>
        </w:rPr>
        <w:t xml:space="preserve">of the Campesino </w:t>
      </w:r>
      <w:r w:rsidRPr="00BA61B2">
        <w:rPr>
          <w:i/>
          <w:noProof w:val="0"/>
          <w:szCs w:val="16"/>
          <w:lang w:val="en-US"/>
        </w:rPr>
        <w:t>Com</w:t>
      </w:r>
      <w:r>
        <w:rPr>
          <w:i/>
          <w:noProof w:val="0"/>
          <w:szCs w:val="16"/>
          <w:lang w:val="en-US"/>
        </w:rPr>
        <w:t>munity of Santa Bárbara v</w:t>
      </w:r>
      <w:r w:rsidRPr="00BA61B2">
        <w:rPr>
          <w:i/>
          <w:noProof w:val="0"/>
          <w:szCs w:val="16"/>
          <w:lang w:val="en-US"/>
        </w:rPr>
        <w:t>.</w:t>
      </w:r>
      <w:r>
        <w:rPr>
          <w:i/>
          <w:noProof w:val="0"/>
          <w:szCs w:val="16"/>
          <w:lang w:val="en-US"/>
        </w:rPr>
        <w:t xml:space="preserve"> Peru. Preliminary objections, m</w:t>
      </w:r>
      <w:r w:rsidRPr="00BA61B2">
        <w:rPr>
          <w:i/>
          <w:noProof w:val="0"/>
          <w:szCs w:val="16"/>
          <w:lang w:val="en-US"/>
        </w:rPr>
        <w:t>erits, reparations and costs</w:t>
      </w:r>
      <w:r>
        <w:rPr>
          <w:noProof w:val="0"/>
          <w:szCs w:val="16"/>
          <w:lang w:val="en-US"/>
        </w:rPr>
        <w:t xml:space="preserve">. Judgment of </w:t>
      </w:r>
      <w:r w:rsidRPr="00BA61B2">
        <w:rPr>
          <w:noProof w:val="0"/>
          <w:szCs w:val="16"/>
          <w:lang w:val="en-US"/>
        </w:rPr>
        <w:t>September</w:t>
      </w:r>
      <w:r>
        <w:rPr>
          <w:noProof w:val="0"/>
          <w:szCs w:val="16"/>
          <w:lang w:val="en-US"/>
        </w:rPr>
        <w:t xml:space="preserve"> 1, 2015. Series C No. 299, para</w:t>
      </w:r>
      <w:r w:rsidRPr="00BA61B2">
        <w:rPr>
          <w:noProof w:val="0"/>
          <w:szCs w:val="16"/>
          <w:lang w:val="en-US"/>
        </w:rPr>
        <w:t>. 159.</w:t>
      </w:r>
    </w:p>
  </w:footnote>
  <w:footnote w:id="120">
    <w:p w14:paraId="27F3CAED" w14:textId="77777777" w:rsidR="00432906" w:rsidRPr="00BA61B2" w:rsidRDefault="00432906" w:rsidP="007B0DE4">
      <w:pPr>
        <w:pStyle w:val="Textonotapie"/>
        <w:rPr>
          <w:noProof w:val="0"/>
          <w:lang w:val="en-US"/>
        </w:rPr>
      </w:pPr>
      <w:r w:rsidRPr="00BA61B2">
        <w:rPr>
          <w:rStyle w:val="Refdenotaalpie"/>
          <w:noProof w:val="0"/>
          <w:lang w:val="en-US"/>
        </w:rPr>
        <w:footnoteRef/>
      </w:r>
      <w:r w:rsidRPr="00BA61B2">
        <w:rPr>
          <w:noProof w:val="0"/>
          <w:lang w:val="en-US"/>
        </w:rPr>
        <w:t xml:space="preserve"> </w:t>
      </w:r>
      <w:r w:rsidRPr="00BA61B2">
        <w:rPr>
          <w:noProof w:val="0"/>
          <w:lang w:val="en-US"/>
        </w:rPr>
        <w:tab/>
      </w:r>
      <w:r w:rsidRPr="00BA61B2">
        <w:rPr>
          <w:i/>
          <w:noProof w:val="0"/>
          <w:lang w:val="en-US"/>
        </w:rPr>
        <w:t>Cf.</w:t>
      </w:r>
      <w:r w:rsidRPr="00BA61B2">
        <w:rPr>
          <w:noProof w:val="0"/>
          <w:lang w:val="en-US"/>
        </w:rPr>
        <w:t xml:space="preserve"> </w:t>
      </w:r>
      <w:r w:rsidRPr="00BA61B2">
        <w:rPr>
          <w:i/>
          <w:noProof w:val="0"/>
          <w:szCs w:val="16"/>
          <w:lang w:val="en-US"/>
        </w:rPr>
        <w:t xml:space="preserve">Case </w:t>
      </w:r>
      <w:r>
        <w:rPr>
          <w:i/>
          <w:noProof w:val="0"/>
          <w:szCs w:val="16"/>
          <w:lang w:val="en-US"/>
        </w:rPr>
        <w:t xml:space="preserve">of </w:t>
      </w:r>
      <w:r w:rsidRPr="00BA61B2">
        <w:rPr>
          <w:i/>
          <w:noProof w:val="0"/>
          <w:szCs w:val="16"/>
          <w:lang w:val="en-US"/>
        </w:rPr>
        <w:t>Tarazona Arrieta et al. v. Peru</w:t>
      </w:r>
      <w:r w:rsidRPr="00BA61B2">
        <w:rPr>
          <w:noProof w:val="0"/>
          <w:szCs w:val="16"/>
          <w:lang w:val="en-US"/>
        </w:rPr>
        <w:t>, para. 137.</w:t>
      </w:r>
      <w:r w:rsidRPr="00BA61B2">
        <w:rPr>
          <w:i/>
          <w:noProof w:val="0"/>
          <w:szCs w:val="16"/>
          <w:lang w:val="en-US"/>
        </w:rPr>
        <w:t xml:space="preserve"> Case </w:t>
      </w:r>
      <w:r>
        <w:rPr>
          <w:i/>
          <w:noProof w:val="0"/>
          <w:szCs w:val="16"/>
          <w:lang w:val="en-US"/>
        </w:rPr>
        <w:t>of the Campesino Community of Santa Bárbara v</w:t>
      </w:r>
      <w:r w:rsidRPr="00BA61B2">
        <w:rPr>
          <w:i/>
          <w:noProof w:val="0"/>
          <w:szCs w:val="16"/>
          <w:lang w:val="en-US"/>
        </w:rPr>
        <w:t xml:space="preserve">. Peru, </w:t>
      </w:r>
      <w:r w:rsidRPr="00BA61B2">
        <w:rPr>
          <w:noProof w:val="0"/>
          <w:szCs w:val="16"/>
          <w:lang w:val="en-US"/>
        </w:rPr>
        <w:t>para. 159.</w:t>
      </w:r>
    </w:p>
  </w:footnote>
  <w:footnote w:id="121">
    <w:p w14:paraId="4EBCBAB1" w14:textId="77777777" w:rsidR="00432906" w:rsidRPr="00BA61B2" w:rsidRDefault="00432906" w:rsidP="007B0DE4">
      <w:pPr>
        <w:pStyle w:val="Textonotapie"/>
        <w:rPr>
          <w:noProof w:val="0"/>
          <w:lang w:val="en-US"/>
        </w:rPr>
      </w:pPr>
      <w:r w:rsidRPr="00BA61B2">
        <w:rPr>
          <w:rStyle w:val="Refdenotaalpie"/>
          <w:noProof w:val="0"/>
          <w:lang w:val="en-US"/>
        </w:rPr>
        <w:footnoteRef/>
      </w:r>
      <w:r w:rsidRPr="00BA61B2">
        <w:rPr>
          <w:noProof w:val="0"/>
          <w:lang w:val="en-US"/>
        </w:rPr>
        <w:t xml:space="preserve"> </w:t>
      </w:r>
      <w:r w:rsidRPr="00BA61B2">
        <w:rPr>
          <w:noProof w:val="0"/>
          <w:lang w:val="en-US"/>
        </w:rPr>
        <w:tab/>
      </w:r>
      <w:r w:rsidRPr="00BA61B2">
        <w:rPr>
          <w:i/>
          <w:noProof w:val="0"/>
          <w:lang w:val="en-US"/>
        </w:rPr>
        <w:t>Cf.</w:t>
      </w:r>
      <w:r w:rsidRPr="00BA61B2">
        <w:rPr>
          <w:noProof w:val="0"/>
          <w:lang w:val="en-US"/>
        </w:rPr>
        <w:t xml:space="preserve"> Communications </w:t>
      </w:r>
      <w:r>
        <w:rPr>
          <w:noProof w:val="0"/>
          <w:lang w:val="en-US"/>
        </w:rPr>
        <w:t xml:space="preserve">forwarded </w:t>
      </w:r>
      <w:r w:rsidRPr="00BA61B2">
        <w:rPr>
          <w:noProof w:val="0"/>
          <w:lang w:val="en-US"/>
        </w:rPr>
        <w:t xml:space="preserve">by COLFONDOS </w:t>
      </w:r>
      <w:r>
        <w:rPr>
          <w:noProof w:val="0"/>
          <w:lang w:val="en-US"/>
        </w:rPr>
        <w:t xml:space="preserve">to Dr. </w:t>
      </w:r>
      <w:r w:rsidRPr="00BA61B2">
        <w:rPr>
          <w:noProof w:val="0"/>
          <w:lang w:val="en-US"/>
        </w:rPr>
        <w:t>German Rincón Perfetti</w:t>
      </w:r>
      <w:r>
        <w:rPr>
          <w:noProof w:val="0"/>
          <w:lang w:val="en-US"/>
        </w:rPr>
        <w:t xml:space="preserve">, October 7, 2014 and </w:t>
      </w:r>
      <w:r w:rsidRPr="00BA61B2">
        <w:rPr>
          <w:noProof w:val="0"/>
          <w:lang w:val="en-US"/>
        </w:rPr>
        <w:t xml:space="preserve">January </w:t>
      </w:r>
      <w:r>
        <w:rPr>
          <w:noProof w:val="0"/>
          <w:lang w:val="en-US"/>
        </w:rPr>
        <w:t xml:space="preserve">26, </w:t>
      </w:r>
      <w:r w:rsidRPr="00BA61B2">
        <w:rPr>
          <w:noProof w:val="0"/>
          <w:lang w:val="en-US"/>
        </w:rPr>
        <w:t xml:space="preserve">2015 (merits file, folios 2418 </w:t>
      </w:r>
      <w:r>
        <w:rPr>
          <w:noProof w:val="0"/>
          <w:lang w:val="en-US"/>
        </w:rPr>
        <w:t>et seq.</w:t>
      </w:r>
      <w:r w:rsidRPr="00BA61B2">
        <w:rPr>
          <w:noProof w:val="0"/>
          <w:lang w:val="en-US"/>
        </w:rPr>
        <w:t>).</w:t>
      </w:r>
    </w:p>
  </w:footnote>
  <w:footnote w:id="122">
    <w:p w14:paraId="3952F4EA" w14:textId="77777777" w:rsidR="00432906" w:rsidRPr="00BA61B2" w:rsidRDefault="00432906" w:rsidP="007B0DE4">
      <w:pPr>
        <w:pStyle w:val="Textonotapie"/>
        <w:rPr>
          <w:noProof w:val="0"/>
          <w:lang w:val="en-US"/>
        </w:rPr>
      </w:pPr>
      <w:r w:rsidRPr="00BA61B2">
        <w:rPr>
          <w:rStyle w:val="Refdenotaalpie"/>
          <w:noProof w:val="0"/>
          <w:lang w:val="en-US"/>
        </w:rPr>
        <w:footnoteRef/>
      </w:r>
      <w:r w:rsidRPr="00BA61B2">
        <w:rPr>
          <w:noProof w:val="0"/>
          <w:lang w:val="en-US"/>
        </w:rPr>
        <w:t xml:space="preserve"> </w:t>
      </w:r>
      <w:r w:rsidRPr="00BA61B2">
        <w:rPr>
          <w:noProof w:val="0"/>
          <w:lang w:val="en-US"/>
        </w:rPr>
        <w:tab/>
      </w:r>
      <w:r>
        <w:rPr>
          <w:noProof w:val="0"/>
          <w:lang w:val="en-US"/>
        </w:rPr>
        <w:t xml:space="preserve">Statement by the witness </w:t>
      </w:r>
      <w:r w:rsidRPr="00BA61B2">
        <w:rPr>
          <w:noProof w:val="0"/>
          <w:lang w:val="en-US"/>
        </w:rPr>
        <w:t xml:space="preserve">Juan Manuel Trujillo during the public hearing in </w:t>
      </w:r>
      <w:r>
        <w:rPr>
          <w:noProof w:val="0"/>
          <w:lang w:val="en-US"/>
        </w:rPr>
        <w:t>this case</w:t>
      </w:r>
      <w:r w:rsidRPr="00BA61B2">
        <w:rPr>
          <w:noProof w:val="0"/>
          <w:lang w:val="en-US"/>
        </w:rPr>
        <w:t>.</w:t>
      </w:r>
    </w:p>
  </w:footnote>
  <w:footnote w:id="123">
    <w:p w14:paraId="3E8A7BF7" w14:textId="77777777" w:rsidR="00432906" w:rsidRPr="00BA61B2" w:rsidRDefault="00432906" w:rsidP="007B0DE4">
      <w:pPr>
        <w:pStyle w:val="Footnotes"/>
        <w:spacing w:before="60" w:after="60"/>
        <w:rPr>
          <w:noProof w:val="0"/>
          <w:lang w:val="en-US"/>
        </w:rPr>
      </w:pPr>
      <w:r w:rsidRPr="00BA61B2">
        <w:rPr>
          <w:rStyle w:val="Refdenotaalpie"/>
          <w:noProof w:val="0"/>
          <w:szCs w:val="16"/>
          <w:lang w:val="en-US"/>
        </w:rPr>
        <w:footnoteRef/>
      </w:r>
      <w:r w:rsidRPr="00BA61B2">
        <w:rPr>
          <w:noProof w:val="0"/>
          <w:lang w:val="en-US"/>
        </w:rPr>
        <w:tab/>
      </w:r>
      <w:r w:rsidRPr="00BA61B2">
        <w:rPr>
          <w:rFonts w:cs="Arial"/>
          <w:i/>
          <w:noProof w:val="0"/>
          <w:lang w:val="en-US"/>
        </w:rPr>
        <w:t xml:space="preserve">Cf. </w:t>
      </w:r>
      <w:r w:rsidRPr="00BA61B2">
        <w:rPr>
          <w:i/>
          <w:noProof w:val="0"/>
          <w:lang w:val="en-US"/>
        </w:rPr>
        <w:t>Case of Velásquez Rodríguez v. Honduras. Preliminary objections</w:t>
      </w:r>
      <w:r w:rsidRPr="00BA61B2">
        <w:rPr>
          <w:noProof w:val="0"/>
          <w:lang w:val="en-US"/>
        </w:rPr>
        <w:t>, para. 91,</w:t>
      </w:r>
      <w:r w:rsidRPr="00BA61B2">
        <w:rPr>
          <w:rFonts w:cs="Arial"/>
          <w:noProof w:val="0"/>
          <w:lang w:val="en-US"/>
        </w:rPr>
        <w:t xml:space="preserve"> and </w:t>
      </w:r>
      <w:r w:rsidRPr="00BA61B2">
        <w:rPr>
          <w:rFonts w:cs="Arial"/>
          <w:i/>
          <w:noProof w:val="0"/>
          <w:lang w:val="en-US"/>
        </w:rPr>
        <w:t xml:space="preserve">Case </w:t>
      </w:r>
      <w:r>
        <w:rPr>
          <w:rFonts w:cs="Arial"/>
          <w:i/>
          <w:noProof w:val="0"/>
          <w:lang w:val="en-US"/>
        </w:rPr>
        <w:t xml:space="preserve">of </w:t>
      </w:r>
      <w:r w:rsidRPr="00BA61B2">
        <w:rPr>
          <w:rFonts w:cs="Arial"/>
          <w:i/>
          <w:noProof w:val="0"/>
          <w:lang w:val="en-US"/>
        </w:rPr>
        <w:t>Galindo Cárdenas et al. v. Peru. Preliminary objecti</w:t>
      </w:r>
      <w:r>
        <w:rPr>
          <w:rFonts w:cs="Arial"/>
          <w:i/>
          <w:noProof w:val="0"/>
          <w:lang w:val="en-US"/>
        </w:rPr>
        <w:t>ons, m</w:t>
      </w:r>
      <w:r w:rsidRPr="00BA61B2">
        <w:rPr>
          <w:rFonts w:cs="Arial"/>
          <w:i/>
          <w:noProof w:val="0"/>
          <w:lang w:val="en-US"/>
        </w:rPr>
        <w:t xml:space="preserve">erits, reparations and costs. </w:t>
      </w:r>
      <w:r>
        <w:rPr>
          <w:rFonts w:cs="Arial"/>
          <w:noProof w:val="0"/>
          <w:lang w:val="en-US"/>
        </w:rPr>
        <w:t xml:space="preserve">Judgment of </w:t>
      </w:r>
      <w:r w:rsidRPr="00BA61B2">
        <w:rPr>
          <w:rFonts w:cs="Arial"/>
          <w:noProof w:val="0"/>
          <w:lang w:val="en-US"/>
        </w:rPr>
        <w:t xml:space="preserve">October </w:t>
      </w:r>
      <w:r>
        <w:rPr>
          <w:rFonts w:cs="Arial"/>
          <w:noProof w:val="0"/>
          <w:lang w:val="en-US"/>
        </w:rPr>
        <w:t xml:space="preserve">2, </w:t>
      </w:r>
      <w:r w:rsidRPr="00BA61B2">
        <w:rPr>
          <w:rFonts w:cs="Arial"/>
          <w:noProof w:val="0"/>
          <w:lang w:val="en-US"/>
        </w:rPr>
        <w:t>2015. Series C No. 301, para. 258.</w:t>
      </w:r>
    </w:p>
  </w:footnote>
  <w:footnote w:id="124">
    <w:p w14:paraId="61C28D18" w14:textId="77777777" w:rsidR="00432906" w:rsidRPr="00BA61B2" w:rsidRDefault="00432906" w:rsidP="007B0DE4">
      <w:pPr>
        <w:pStyle w:val="Textonotapie"/>
        <w:spacing w:before="60" w:after="60"/>
        <w:rPr>
          <w:noProof w:val="0"/>
          <w:szCs w:val="16"/>
          <w:lang w:val="en-US"/>
        </w:rPr>
      </w:pPr>
      <w:r w:rsidRPr="00BA61B2">
        <w:rPr>
          <w:rStyle w:val="Refdenotaalpie"/>
          <w:rFonts w:eastAsia="Calibri"/>
          <w:noProof w:val="0"/>
          <w:szCs w:val="16"/>
          <w:lang w:val="en-US"/>
        </w:rPr>
        <w:footnoteRef/>
      </w:r>
      <w:r w:rsidRPr="00BA61B2">
        <w:rPr>
          <w:i/>
          <w:noProof w:val="0"/>
          <w:szCs w:val="16"/>
          <w:lang w:val="en-US"/>
        </w:rPr>
        <w:t xml:space="preserve"> </w:t>
      </w:r>
      <w:r w:rsidRPr="00BA61B2">
        <w:rPr>
          <w:i/>
          <w:noProof w:val="0"/>
          <w:szCs w:val="16"/>
          <w:lang w:val="en-US"/>
        </w:rPr>
        <w:tab/>
        <w:t>Cf. Case of Velásquez Rodríguez v. Honduras. Preliminary objections</w:t>
      </w:r>
      <w:r w:rsidRPr="00BA61B2">
        <w:rPr>
          <w:noProof w:val="0"/>
          <w:szCs w:val="16"/>
          <w:lang w:val="en-US"/>
        </w:rPr>
        <w:t xml:space="preserve">, para. 91, and </w:t>
      </w:r>
      <w:r w:rsidRPr="00BA61B2">
        <w:rPr>
          <w:rFonts w:cs="Arial"/>
          <w:i/>
          <w:noProof w:val="0"/>
          <w:lang w:val="en-US"/>
        </w:rPr>
        <w:t xml:space="preserve">Case </w:t>
      </w:r>
      <w:r>
        <w:rPr>
          <w:rFonts w:cs="Arial"/>
          <w:i/>
          <w:noProof w:val="0"/>
          <w:lang w:val="en-US"/>
        </w:rPr>
        <w:t xml:space="preserve">of </w:t>
      </w:r>
      <w:r w:rsidRPr="00BA61B2">
        <w:rPr>
          <w:rFonts w:cs="Arial"/>
          <w:i/>
          <w:noProof w:val="0"/>
          <w:lang w:val="en-US"/>
        </w:rPr>
        <w:t>Galindo Cárdenas et al. v.</w:t>
      </w:r>
      <w:r>
        <w:rPr>
          <w:rFonts w:cs="Arial"/>
          <w:i/>
          <w:noProof w:val="0"/>
          <w:lang w:val="en-US"/>
        </w:rPr>
        <w:t xml:space="preserve"> Peru. Preliminary objections, m</w:t>
      </w:r>
      <w:r w:rsidRPr="00BA61B2">
        <w:rPr>
          <w:rFonts w:cs="Arial"/>
          <w:i/>
          <w:noProof w:val="0"/>
          <w:lang w:val="en-US"/>
        </w:rPr>
        <w:t>erits, reparations and costs</w:t>
      </w:r>
      <w:r w:rsidRPr="00BA61B2">
        <w:rPr>
          <w:rFonts w:cs="Arial"/>
          <w:noProof w:val="0"/>
          <w:lang w:val="en-US"/>
        </w:rPr>
        <w:t>, para. 219</w:t>
      </w:r>
      <w:r w:rsidRPr="00BA61B2">
        <w:rPr>
          <w:noProof w:val="0"/>
          <w:szCs w:val="16"/>
          <w:lang w:val="en-US"/>
        </w:rPr>
        <w:t>.</w:t>
      </w:r>
    </w:p>
  </w:footnote>
  <w:footnote w:id="125">
    <w:p w14:paraId="7FABADCD" w14:textId="77777777" w:rsidR="00432906" w:rsidRPr="00BA61B2" w:rsidRDefault="00432906" w:rsidP="007B0DE4">
      <w:pPr>
        <w:pStyle w:val="Textonotapie"/>
        <w:spacing w:before="60" w:after="60"/>
        <w:rPr>
          <w:rStyle w:val="Textoennegrita"/>
          <w:noProof w:val="0"/>
          <w:lang w:val="en-US"/>
        </w:rPr>
      </w:pPr>
      <w:r w:rsidRPr="00BA61B2">
        <w:rPr>
          <w:rStyle w:val="Refdenotaalpie"/>
          <w:noProof w:val="0"/>
          <w:szCs w:val="16"/>
          <w:lang w:val="en-US"/>
        </w:rPr>
        <w:footnoteRef/>
      </w:r>
      <w:r w:rsidRPr="00BA61B2">
        <w:rPr>
          <w:i/>
          <w:noProof w:val="0"/>
          <w:szCs w:val="16"/>
          <w:lang w:val="en-US"/>
        </w:rPr>
        <w:tab/>
      </w:r>
      <w:r w:rsidRPr="00BA61B2">
        <w:rPr>
          <w:rStyle w:val="Textoennegrita"/>
          <w:b w:val="0"/>
          <w:i/>
          <w:noProof w:val="0"/>
          <w:szCs w:val="16"/>
          <w:lang w:val="en-US"/>
        </w:rPr>
        <w:t>Case of the “Street Chil</w:t>
      </w:r>
      <w:r>
        <w:rPr>
          <w:rStyle w:val="Textoennegrita"/>
          <w:b w:val="0"/>
          <w:i/>
          <w:noProof w:val="0"/>
          <w:szCs w:val="16"/>
          <w:lang w:val="en-US"/>
        </w:rPr>
        <w:t>dren” (Villagrán Morales et al.</w:t>
      </w:r>
      <w:r w:rsidRPr="00BA61B2">
        <w:rPr>
          <w:rStyle w:val="Textoennegrita"/>
          <w:b w:val="0"/>
          <w:i/>
          <w:noProof w:val="0"/>
          <w:szCs w:val="16"/>
          <w:lang w:val="en-US"/>
        </w:rPr>
        <w:t xml:space="preserve">) v. Guatemala. </w:t>
      </w:r>
      <w:r>
        <w:rPr>
          <w:rStyle w:val="Textoennegrita"/>
          <w:b w:val="0"/>
          <w:i/>
          <w:noProof w:val="0"/>
          <w:szCs w:val="16"/>
          <w:lang w:val="en-US"/>
        </w:rPr>
        <w:t>Merits</w:t>
      </w:r>
      <w:r w:rsidRPr="00BA61B2">
        <w:rPr>
          <w:rStyle w:val="Textoennegrita"/>
          <w:b w:val="0"/>
          <w:noProof w:val="0"/>
          <w:szCs w:val="16"/>
          <w:lang w:val="en-US"/>
        </w:rPr>
        <w:t xml:space="preserve">. Judgment of November </w:t>
      </w:r>
      <w:r>
        <w:rPr>
          <w:rStyle w:val="Textoennegrita"/>
          <w:b w:val="0"/>
          <w:noProof w:val="0"/>
          <w:szCs w:val="16"/>
          <w:lang w:val="en-US"/>
        </w:rPr>
        <w:t xml:space="preserve">19, </w:t>
      </w:r>
      <w:r w:rsidRPr="00BA61B2">
        <w:rPr>
          <w:rStyle w:val="Textoennegrita"/>
          <w:b w:val="0"/>
          <w:noProof w:val="0"/>
          <w:szCs w:val="16"/>
          <w:lang w:val="en-US"/>
        </w:rPr>
        <w:t xml:space="preserve">1999. Series C No. 63, </w:t>
      </w:r>
      <w:r w:rsidRPr="00BA61B2">
        <w:rPr>
          <w:noProof w:val="0"/>
          <w:szCs w:val="16"/>
          <w:lang w:val="en-US"/>
        </w:rPr>
        <w:t xml:space="preserve">para. 237, and </w:t>
      </w:r>
      <w:r w:rsidRPr="00BA61B2">
        <w:rPr>
          <w:rFonts w:cs="Arial"/>
          <w:i/>
          <w:noProof w:val="0"/>
          <w:lang w:val="en-US"/>
        </w:rPr>
        <w:t xml:space="preserve">Case </w:t>
      </w:r>
      <w:r>
        <w:rPr>
          <w:rFonts w:cs="Arial"/>
          <w:i/>
          <w:noProof w:val="0"/>
          <w:lang w:val="en-US"/>
        </w:rPr>
        <w:t xml:space="preserve">of </w:t>
      </w:r>
      <w:r w:rsidRPr="00BA61B2">
        <w:rPr>
          <w:rFonts w:cs="Arial"/>
          <w:i/>
          <w:noProof w:val="0"/>
          <w:lang w:val="en-US"/>
        </w:rPr>
        <w:t xml:space="preserve">Omar Humberto Maldonado Vargas </w:t>
      </w:r>
      <w:r>
        <w:rPr>
          <w:rFonts w:cs="Arial"/>
          <w:i/>
          <w:noProof w:val="0"/>
          <w:lang w:val="en-US"/>
        </w:rPr>
        <w:t>et al. v.</w:t>
      </w:r>
      <w:r w:rsidRPr="00BA61B2">
        <w:rPr>
          <w:rFonts w:cs="Arial"/>
          <w:i/>
          <w:noProof w:val="0"/>
          <w:lang w:val="en-US"/>
        </w:rPr>
        <w:t xml:space="preserve"> Chile. Merits, reparations and costs. </w:t>
      </w:r>
      <w:r w:rsidRPr="00BA61B2">
        <w:rPr>
          <w:rFonts w:cs="Arial"/>
          <w:noProof w:val="0"/>
          <w:lang w:val="en-US"/>
        </w:rPr>
        <w:t>Judgment of September</w:t>
      </w:r>
      <w:r>
        <w:rPr>
          <w:rFonts w:cs="Arial"/>
          <w:noProof w:val="0"/>
          <w:lang w:val="en-US"/>
        </w:rPr>
        <w:t xml:space="preserve"> 2, </w:t>
      </w:r>
      <w:r w:rsidRPr="00BA61B2">
        <w:rPr>
          <w:rFonts w:cs="Arial"/>
          <w:noProof w:val="0"/>
          <w:lang w:val="en-US"/>
        </w:rPr>
        <w:t>2015. Series C No. 300, para. 123</w:t>
      </w:r>
      <w:r w:rsidRPr="00BA61B2">
        <w:rPr>
          <w:rStyle w:val="Textoennegrita"/>
          <w:b w:val="0"/>
          <w:noProof w:val="0"/>
          <w:szCs w:val="16"/>
          <w:lang w:val="en-US"/>
        </w:rPr>
        <w:t>.</w:t>
      </w:r>
    </w:p>
  </w:footnote>
  <w:footnote w:id="126">
    <w:p w14:paraId="78379ABD" w14:textId="77777777" w:rsidR="00432906" w:rsidRPr="00BA61B2" w:rsidRDefault="00432906" w:rsidP="007B0DE4">
      <w:pPr>
        <w:pStyle w:val="Textonotapie"/>
        <w:spacing w:before="60" w:after="60"/>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rStyle w:val="Textoennegrita"/>
          <w:b w:val="0"/>
          <w:i/>
          <w:noProof w:val="0"/>
          <w:szCs w:val="16"/>
          <w:lang w:val="en-US"/>
        </w:rPr>
        <w:t>Judicia</w:t>
      </w:r>
      <w:r>
        <w:rPr>
          <w:rStyle w:val="Textoennegrita"/>
          <w:b w:val="0"/>
          <w:i/>
          <w:noProof w:val="0"/>
          <w:szCs w:val="16"/>
          <w:lang w:val="en-US"/>
        </w:rPr>
        <w:t>l Guarantees in States of Emergency (A</w:t>
      </w:r>
      <w:r w:rsidRPr="00BA61B2">
        <w:rPr>
          <w:rStyle w:val="Textoennegrita"/>
          <w:b w:val="0"/>
          <w:i/>
          <w:noProof w:val="0"/>
          <w:szCs w:val="16"/>
          <w:lang w:val="en-US"/>
        </w:rPr>
        <w:t xml:space="preserve">rts. 27.2, 25 and 8 </w:t>
      </w:r>
      <w:r>
        <w:rPr>
          <w:rStyle w:val="Textoennegrita"/>
          <w:b w:val="0"/>
          <w:i/>
          <w:noProof w:val="0"/>
          <w:szCs w:val="16"/>
          <w:lang w:val="en-US"/>
        </w:rPr>
        <w:t xml:space="preserve">of the </w:t>
      </w:r>
      <w:r w:rsidRPr="00BA61B2">
        <w:rPr>
          <w:rStyle w:val="Textoennegrita"/>
          <w:b w:val="0"/>
          <w:i/>
          <w:noProof w:val="0"/>
          <w:szCs w:val="16"/>
          <w:lang w:val="en-US"/>
        </w:rPr>
        <w:t>American Convention on Human Rights).</w:t>
      </w:r>
      <w:r w:rsidRPr="00BA61B2">
        <w:rPr>
          <w:rStyle w:val="Textoennegrita"/>
          <w:b w:val="0"/>
          <w:noProof w:val="0"/>
          <w:szCs w:val="16"/>
          <w:lang w:val="en-US"/>
        </w:rPr>
        <w:t xml:space="preserve"> Advisory Opinion OC-9/87 of October</w:t>
      </w:r>
      <w:r>
        <w:rPr>
          <w:rStyle w:val="Textoennegrita"/>
          <w:b w:val="0"/>
          <w:noProof w:val="0"/>
          <w:szCs w:val="16"/>
          <w:lang w:val="en-US"/>
        </w:rPr>
        <w:t xml:space="preserve"> 6,</w:t>
      </w:r>
      <w:r w:rsidRPr="00BA61B2">
        <w:rPr>
          <w:rStyle w:val="Textoennegrita"/>
          <w:b w:val="0"/>
          <w:noProof w:val="0"/>
          <w:szCs w:val="16"/>
          <w:lang w:val="en-US"/>
        </w:rPr>
        <w:t xml:space="preserve"> 1987. Series A No. 9</w:t>
      </w:r>
      <w:r w:rsidRPr="00BA61B2">
        <w:rPr>
          <w:noProof w:val="0"/>
          <w:szCs w:val="16"/>
          <w:lang w:val="en-US"/>
        </w:rPr>
        <w:t xml:space="preserve">, para. 24, and </w:t>
      </w:r>
      <w:r w:rsidRPr="00BA61B2">
        <w:rPr>
          <w:rFonts w:cs="Arial"/>
          <w:i/>
          <w:noProof w:val="0"/>
          <w:lang w:val="en-US"/>
        </w:rPr>
        <w:t xml:space="preserve">Case </w:t>
      </w:r>
      <w:r>
        <w:rPr>
          <w:rFonts w:cs="Arial"/>
          <w:i/>
          <w:noProof w:val="0"/>
          <w:lang w:val="en-US"/>
        </w:rPr>
        <w:t xml:space="preserve">of </w:t>
      </w:r>
      <w:r w:rsidRPr="00BA61B2">
        <w:rPr>
          <w:rFonts w:cs="Arial"/>
          <w:i/>
          <w:noProof w:val="0"/>
          <w:lang w:val="en-US"/>
        </w:rPr>
        <w:t xml:space="preserve">Omar Humberto Maldonado Vargas </w:t>
      </w:r>
      <w:r>
        <w:rPr>
          <w:rFonts w:cs="Arial"/>
          <w:i/>
          <w:noProof w:val="0"/>
          <w:lang w:val="en-US"/>
        </w:rPr>
        <w:t xml:space="preserve">et al. v. </w:t>
      </w:r>
      <w:r w:rsidRPr="00BA61B2">
        <w:rPr>
          <w:rFonts w:cs="Arial"/>
          <w:i/>
          <w:noProof w:val="0"/>
          <w:lang w:val="en-US"/>
        </w:rPr>
        <w:t>Chile</w:t>
      </w:r>
      <w:r w:rsidRPr="00BA61B2">
        <w:rPr>
          <w:rFonts w:cs="Arial"/>
          <w:noProof w:val="0"/>
          <w:lang w:val="en-US"/>
        </w:rPr>
        <w:t>, para. 123.</w:t>
      </w:r>
    </w:p>
  </w:footnote>
  <w:footnote w:id="127">
    <w:p w14:paraId="08383BE0" w14:textId="77777777" w:rsidR="00432906" w:rsidRPr="00BA61B2" w:rsidRDefault="00432906" w:rsidP="007B0DE4">
      <w:pPr>
        <w:pStyle w:val="Textonotapie"/>
        <w:spacing w:before="60" w:after="60"/>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rPr>
        <w:t xml:space="preserve">Cf. Case </w:t>
      </w:r>
      <w:r>
        <w:rPr>
          <w:i/>
          <w:noProof w:val="0"/>
          <w:szCs w:val="16"/>
          <w:lang w:val="en-US"/>
        </w:rPr>
        <w:t xml:space="preserve">of </w:t>
      </w:r>
      <w:r w:rsidRPr="00BA61B2">
        <w:rPr>
          <w:i/>
          <w:noProof w:val="0"/>
          <w:szCs w:val="16"/>
          <w:lang w:val="en-US"/>
        </w:rPr>
        <w:t xml:space="preserve">Fernández Ortega </w:t>
      </w:r>
      <w:r>
        <w:rPr>
          <w:i/>
          <w:noProof w:val="0"/>
          <w:szCs w:val="16"/>
          <w:lang w:val="en-US"/>
        </w:rPr>
        <w:t>et al. v</w:t>
      </w:r>
      <w:r w:rsidRPr="00BA61B2">
        <w:rPr>
          <w:i/>
          <w:noProof w:val="0"/>
          <w:szCs w:val="16"/>
          <w:lang w:val="en-US"/>
        </w:rPr>
        <w:t xml:space="preserve">. Mexico. </w:t>
      </w:r>
      <w:r>
        <w:rPr>
          <w:rStyle w:val="Textoennegrita"/>
          <w:b w:val="0"/>
          <w:i/>
          <w:noProof w:val="0"/>
          <w:szCs w:val="16"/>
          <w:lang w:val="en-US"/>
        </w:rPr>
        <w:t>Preliminary objection, m</w:t>
      </w:r>
      <w:r w:rsidRPr="00BA61B2">
        <w:rPr>
          <w:rStyle w:val="Textoennegrita"/>
          <w:b w:val="0"/>
          <w:i/>
          <w:noProof w:val="0"/>
          <w:szCs w:val="16"/>
          <w:lang w:val="en-US"/>
        </w:rPr>
        <w:t>erits, reparations and costs</w:t>
      </w:r>
      <w:r w:rsidRPr="00BA61B2">
        <w:rPr>
          <w:rStyle w:val="Textoennegrita"/>
          <w:b w:val="0"/>
          <w:noProof w:val="0"/>
          <w:szCs w:val="16"/>
          <w:lang w:val="en-US"/>
        </w:rPr>
        <w:t xml:space="preserve">. Judgment of August </w:t>
      </w:r>
      <w:r>
        <w:rPr>
          <w:rStyle w:val="Textoennegrita"/>
          <w:b w:val="0"/>
          <w:noProof w:val="0"/>
          <w:szCs w:val="16"/>
          <w:lang w:val="en-US"/>
        </w:rPr>
        <w:t xml:space="preserve">30, </w:t>
      </w:r>
      <w:r w:rsidRPr="00BA61B2">
        <w:rPr>
          <w:rStyle w:val="Textoennegrita"/>
          <w:b w:val="0"/>
          <w:noProof w:val="0"/>
          <w:szCs w:val="16"/>
          <w:lang w:val="en-US"/>
        </w:rPr>
        <w:t>2010 Series C No. 215,</w:t>
      </w:r>
      <w:r w:rsidRPr="00BA61B2">
        <w:rPr>
          <w:i/>
          <w:noProof w:val="0"/>
          <w:szCs w:val="16"/>
          <w:lang w:val="en-US"/>
        </w:rPr>
        <w:t xml:space="preserve"> </w:t>
      </w:r>
      <w:r w:rsidRPr="00BA61B2">
        <w:rPr>
          <w:noProof w:val="0"/>
          <w:szCs w:val="16"/>
          <w:lang w:val="en-US"/>
        </w:rPr>
        <w:t xml:space="preserve">para. 182, and </w:t>
      </w:r>
      <w:r w:rsidRPr="00BA61B2">
        <w:rPr>
          <w:rFonts w:cs="Arial"/>
          <w:i/>
          <w:noProof w:val="0"/>
          <w:lang w:val="en-US"/>
        </w:rPr>
        <w:t xml:space="preserve">Case </w:t>
      </w:r>
      <w:r>
        <w:rPr>
          <w:rFonts w:cs="Arial"/>
          <w:i/>
          <w:noProof w:val="0"/>
          <w:lang w:val="en-US"/>
        </w:rPr>
        <w:t xml:space="preserve">of </w:t>
      </w:r>
      <w:r w:rsidRPr="00BA61B2">
        <w:rPr>
          <w:rFonts w:cs="Arial"/>
          <w:i/>
          <w:noProof w:val="0"/>
          <w:lang w:val="en-US"/>
        </w:rPr>
        <w:t xml:space="preserve">Ruano Torres </w:t>
      </w:r>
      <w:r>
        <w:rPr>
          <w:rFonts w:cs="Arial"/>
          <w:i/>
          <w:noProof w:val="0"/>
          <w:lang w:val="en-US"/>
        </w:rPr>
        <w:t>et al. v.</w:t>
      </w:r>
      <w:r w:rsidRPr="00BA61B2">
        <w:rPr>
          <w:rFonts w:cs="Arial"/>
          <w:i/>
          <w:noProof w:val="0"/>
          <w:lang w:val="en-US"/>
        </w:rPr>
        <w:t xml:space="preserve"> </w:t>
      </w:r>
      <w:r>
        <w:rPr>
          <w:rFonts w:cs="Arial"/>
          <w:i/>
          <w:noProof w:val="0"/>
          <w:lang w:val="en-US"/>
        </w:rPr>
        <w:t>El Salvador</w:t>
      </w:r>
      <w:r w:rsidRPr="00BA61B2">
        <w:rPr>
          <w:rFonts w:cs="Arial"/>
          <w:i/>
          <w:noProof w:val="0"/>
          <w:lang w:val="en-US"/>
        </w:rPr>
        <w:t xml:space="preserve">. Merits, reparations and costs. </w:t>
      </w:r>
      <w:r w:rsidRPr="00BA61B2">
        <w:rPr>
          <w:rFonts w:cs="Arial"/>
          <w:noProof w:val="0"/>
          <w:lang w:val="en-US"/>
        </w:rPr>
        <w:t xml:space="preserve">Judgment of October </w:t>
      </w:r>
      <w:r>
        <w:rPr>
          <w:rFonts w:cs="Arial"/>
          <w:noProof w:val="0"/>
          <w:lang w:val="en-US"/>
        </w:rPr>
        <w:t xml:space="preserve">5, </w:t>
      </w:r>
      <w:r w:rsidRPr="00BA61B2">
        <w:rPr>
          <w:rFonts w:cs="Arial"/>
          <w:noProof w:val="0"/>
          <w:lang w:val="en-US"/>
        </w:rPr>
        <w:t>2015. Series C No. 303, para. 136.</w:t>
      </w:r>
    </w:p>
  </w:footnote>
  <w:footnote w:id="128">
    <w:p w14:paraId="705DB38C" w14:textId="77777777" w:rsidR="00432906" w:rsidRPr="00BA61B2" w:rsidRDefault="00432906" w:rsidP="007B0DE4">
      <w:pPr>
        <w:pStyle w:val="Textonotapie"/>
        <w:spacing w:before="60" w:after="60"/>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rPr>
        <w:t xml:space="preserve">Cf. Case </w:t>
      </w:r>
      <w:r>
        <w:rPr>
          <w:i/>
          <w:noProof w:val="0"/>
          <w:szCs w:val="16"/>
          <w:lang w:val="en-US"/>
        </w:rPr>
        <w:t>of Maritza Urrutia v</w:t>
      </w:r>
      <w:r w:rsidRPr="00BA61B2">
        <w:rPr>
          <w:i/>
          <w:noProof w:val="0"/>
          <w:szCs w:val="16"/>
          <w:lang w:val="en-US"/>
        </w:rPr>
        <w:t xml:space="preserve">. Guatemala. Merits, reparations and costs. </w:t>
      </w:r>
      <w:r w:rsidRPr="00BA61B2">
        <w:rPr>
          <w:noProof w:val="0"/>
          <w:szCs w:val="16"/>
          <w:lang w:val="en-US"/>
        </w:rPr>
        <w:t xml:space="preserve">Judgment of November </w:t>
      </w:r>
      <w:r>
        <w:rPr>
          <w:noProof w:val="0"/>
          <w:szCs w:val="16"/>
          <w:lang w:val="en-US"/>
        </w:rPr>
        <w:t xml:space="preserve">27, </w:t>
      </w:r>
      <w:r w:rsidRPr="00BA61B2">
        <w:rPr>
          <w:noProof w:val="0"/>
          <w:szCs w:val="16"/>
          <w:lang w:val="en-US"/>
        </w:rPr>
        <w:t xml:space="preserve">2003. Series C No. </w:t>
      </w:r>
      <w:r w:rsidRPr="00BA61B2">
        <w:rPr>
          <w:noProof w:val="0"/>
          <w:color w:val="000000"/>
          <w:szCs w:val="16"/>
          <w:lang w:val="en-US"/>
        </w:rPr>
        <w:t>103</w:t>
      </w:r>
      <w:r w:rsidRPr="00BA61B2">
        <w:rPr>
          <w:noProof w:val="0"/>
          <w:szCs w:val="16"/>
          <w:lang w:val="en-US"/>
        </w:rPr>
        <w:t xml:space="preserve">, para. 117, and </w:t>
      </w:r>
      <w:r w:rsidRPr="00BA61B2">
        <w:rPr>
          <w:rFonts w:cs="Arial"/>
          <w:i/>
          <w:noProof w:val="0"/>
          <w:lang w:val="en-US"/>
        </w:rPr>
        <w:t>Case</w:t>
      </w:r>
      <w:r>
        <w:rPr>
          <w:rFonts w:cs="Arial"/>
          <w:i/>
          <w:noProof w:val="0"/>
          <w:lang w:val="en-US"/>
        </w:rPr>
        <w:t xml:space="preserve"> of</w:t>
      </w:r>
      <w:r w:rsidRPr="00BA61B2">
        <w:rPr>
          <w:rFonts w:cs="Arial"/>
          <w:i/>
          <w:noProof w:val="0"/>
          <w:lang w:val="en-US"/>
        </w:rPr>
        <w:t xml:space="preserve"> Omar Humberto Maldonado Vargas </w:t>
      </w:r>
      <w:r>
        <w:rPr>
          <w:rFonts w:cs="Arial"/>
          <w:i/>
          <w:noProof w:val="0"/>
          <w:lang w:val="en-US"/>
        </w:rPr>
        <w:t>et al. v.</w:t>
      </w:r>
      <w:r w:rsidRPr="00BA61B2">
        <w:rPr>
          <w:rFonts w:cs="Arial"/>
          <w:i/>
          <w:noProof w:val="0"/>
          <w:lang w:val="en-US"/>
        </w:rPr>
        <w:t xml:space="preserve"> Chile</w:t>
      </w:r>
      <w:r w:rsidRPr="00BA61B2">
        <w:rPr>
          <w:rFonts w:cs="Arial"/>
          <w:noProof w:val="0"/>
          <w:lang w:val="en-US"/>
        </w:rPr>
        <w:t>, para. 123.</w:t>
      </w:r>
    </w:p>
  </w:footnote>
  <w:footnote w:id="129">
    <w:p w14:paraId="55BE0462" w14:textId="77777777" w:rsidR="00432906" w:rsidRPr="00BA61B2" w:rsidRDefault="00432906" w:rsidP="007B0DE4">
      <w:pPr>
        <w:pStyle w:val="Textonotapie"/>
        <w:spacing w:before="60" w:after="60"/>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rPr>
        <w:t>Cf. Case</w:t>
      </w:r>
      <w:r w:rsidRPr="00BA61B2">
        <w:rPr>
          <w:noProof w:val="0"/>
          <w:szCs w:val="16"/>
          <w:lang w:val="en-US"/>
        </w:rPr>
        <w:t xml:space="preserve"> </w:t>
      </w:r>
      <w:r w:rsidRPr="002043EA">
        <w:rPr>
          <w:i/>
          <w:noProof w:val="0"/>
          <w:szCs w:val="16"/>
          <w:lang w:val="en-US"/>
        </w:rPr>
        <w:t>of</w:t>
      </w:r>
      <w:r>
        <w:rPr>
          <w:noProof w:val="0"/>
          <w:szCs w:val="16"/>
          <w:lang w:val="en-US"/>
        </w:rPr>
        <w:t xml:space="preserve"> </w:t>
      </w:r>
      <w:r>
        <w:rPr>
          <w:i/>
          <w:noProof w:val="0"/>
          <w:szCs w:val="16"/>
          <w:lang w:val="en-US"/>
        </w:rPr>
        <w:t>López Álvarez v</w:t>
      </w:r>
      <w:r w:rsidRPr="00BA61B2">
        <w:rPr>
          <w:i/>
          <w:noProof w:val="0"/>
          <w:szCs w:val="16"/>
          <w:lang w:val="en-US"/>
        </w:rPr>
        <w:t>. Honduras. Merits, reparations and costs</w:t>
      </w:r>
      <w:r>
        <w:rPr>
          <w:noProof w:val="0"/>
          <w:szCs w:val="16"/>
          <w:lang w:val="en-US"/>
        </w:rPr>
        <w:t xml:space="preserve">. Judgment of </w:t>
      </w:r>
      <w:r w:rsidRPr="00BA61B2">
        <w:rPr>
          <w:noProof w:val="0"/>
          <w:szCs w:val="16"/>
          <w:lang w:val="en-US"/>
        </w:rPr>
        <w:t xml:space="preserve">February </w:t>
      </w:r>
      <w:r>
        <w:rPr>
          <w:noProof w:val="0"/>
          <w:szCs w:val="16"/>
          <w:lang w:val="en-US"/>
        </w:rPr>
        <w:t xml:space="preserve">1, </w:t>
      </w:r>
      <w:r w:rsidRPr="00BA61B2">
        <w:rPr>
          <w:noProof w:val="0"/>
          <w:szCs w:val="16"/>
          <w:lang w:val="en-US"/>
        </w:rPr>
        <w:t>2006. Se</w:t>
      </w:r>
      <w:r>
        <w:rPr>
          <w:noProof w:val="0"/>
          <w:szCs w:val="16"/>
          <w:lang w:val="en-US"/>
        </w:rPr>
        <w:t xml:space="preserve">ries C No. 141, para. 96, and </w:t>
      </w:r>
      <w:r w:rsidRPr="00BA61B2">
        <w:rPr>
          <w:rFonts w:cs="Arial"/>
          <w:i/>
          <w:noProof w:val="0"/>
          <w:lang w:val="en-US"/>
        </w:rPr>
        <w:t xml:space="preserve">Case </w:t>
      </w:r>
      <w:r>
        <w:rPr>
          <w:rFonts w:cs="Arial"/>
          <w:i/>
          <w:noProof w:val="0"/>
          <w:lang w:val="en-US"/>
        </w:rPr>
        <w:t xml:space="preserve">of </w:t>
      </w:r>
      <w:r w:rsidRPr="00BA61B2">
        <w:rPr>
          <w:rFonts w:cs="Arial"/>
          <w:i/>
          <w:noProof w:val="0"/>
          <w:lang w:val="en-US"/>
        </w:rPr>
        <w:t xml:space="preserve">Omar Humberto Maldonado Vargas </w:t>
      </w:r>
      <w:r>
        <w:rPr>
          <w:rFonts w:cs="Arial"/>
          <w:i/>
          <w:noProof w:val="0"/>
          <w:lang w:val="en-US"/>
        </w:rPr>
        <w:t>et al. v.</w:t>
      </w:r>
      <w:r w:rsidRPr="00BA61B2">
        <w:rPr>
          <w:rFonts w:cs="Arial"/>
          <w:i/>
          <w:noProof w:val="0"/>
          <w:lang w:val="en-US"/>
        </w:rPr>
        <w:t xml:space="preserve"> Chile</w:t>
      </w:r>
      <w:r w:rsidRPr="00BA61B2">
        <w:rPr>
          <w:rFonts w:cs="Arial"/>
          <w:noProof w:val="0"/>
          <w:lang w:val="en-US"/>
        </w:rPr>
        <w:t>, para. 123.</w:t>
      </w:r>
    </w:p>
  </w:footnote>
  <w:footnote w:id="130">
    <w:p w14:paraId="75BB0D9F" w14:textId="77777777" w:rsidR="00432906" w:rsidRPr="00BA61B2" w:rsidRDefault="00432906" w:rsidP="007B0DE4">
      <w:pPr>
        <w:pStyle w:val="Textonotapie"/>
        <w:spacing w:before="60" w:after="60"/>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rPr>
        <w:t>Cf.</w:t>
      </w:r>
      <w:r w:rsidRPr="00BA61B2">
        <w:rPr>
          <w:noProof w:val="0"/>
          <w:szCs w:val="16"/>
          <w:lang w:val="en-US"/>
        </w:rPr>
        <w:t xml:space="preserve"> Advisory Opinion OC-9/87, para. 24</w:t>
      </w:r>
      <w:r w:rsidRPr="00BA61B2">
        <w:rPr>
          <w:rFonts w:cs="Verdana"/>
          <w:i/>
          <w:noProof w:val="0"/>
          <w:szCs w:val="16"/>
          <w:lang w:val="en-US" w:bidi="en-US"/>
        </w:rPr>
        <w:t xml:space="preserve">, and </w:t>
      </w:r>
      <w:r w:rsidRPr="00BA61B2">
        <w:rPr>
          <w:i/>
          <w:noProof w:val="0"/>
          <w:szCs w:val="16"/>
          <w:lang w:val="en-US"/>
        </w:rPr>
        <w:t xml:space="preserve">Case of López Lone et al. v. Honduras, </w:t>
      </w:r>
      <w:r w:rsidRPr="00BA61B2">
        <w:rPr>
          <w:noProof w:val="0"/>
          <w:szCs w:val="16"/>
          <w:lang w:val="en-US"/>
        </w:rPr>
        <w:t>para. 247.</w:t>
      </w:r>
    </w:p>
  </w:footnote>
  <w:footnote w:id="131">
    <w:p w14:paraId="24068DCA" w14:textId="77777777" w:rsidR="00432906" w:rsidRPr="00BA61B2" w:rsidRDefault="00432906" w:rsidP="007B0DE4">
      <w:pPr>
        <w:pStyle w:val="Textonotapie"/>
        <w:spacing w:before="60" w:after="60"/>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rPr>
        <w:t>Cf. Case of the “Street Chil</w:t>
      </w:r>
      <w:r>
        <w:rPr>
          <w:i/>
          <w:noProof w:val="0"/>
          <w:szCs w:val="16"/>
          <w:lang w:val="en-US"/>
        </w:rPr>
        <w:t>dren” (Villagrán Morales et al.</w:t>
      </w:r>
      <w:r w:rsidRPr="00BA61B2">
        <w:rPr>
          <w:i/>
          <w:noProof w:val="0"/>
          <w:szCs w:val="16"/>
          <w:lang w:val="en-US"/>
        </w:rPr>
        <w:t xml:space="preserve">) v. Guatemala. </w:t>
      </w:r>
      <w:r>
        <w:rPr>
          <w:i/>
          <w:noProof w:val="0"/>
          <w:szCs w:val="16"/>
          <w:lang w:val="en-US"/>
        </w:rPr>
        <w:t>Merits</w:t>
      </w:r>
      <w:r w:rsidRPr="00BA61B2">
        <w:rPr>
          <w:noProof w:val="0"/>
          <w:szCs w:val="16"/>
          <w:lang w:val="en-US"/>
        </w:rPr>
        <w:t xml:space="preserve">. Judgment of November </w:t>
      </w:r>
      <w:r>
        <w:rPr>
          <w:noProof w:val="0"/>
          <w:szCs w:val="16"/>
          <w:lang w:val="en-US"/>
        </w:rPr>
        <w:t xml:space="preserve">19, </w:t>
      </w:r>
      <w:r w:rsidRPr="00BA61B2">
        <w:rPr>
          <w:noProof w:val="0"/>
          <w:szCs w:val="16"/>
          <w:lang w:val="en-US"/>
        </w:rPr>
        <w:t xml:space="preserve">1999. Series C No. 63, para. 237, and </w:t>
      </w:r>
      <w:r w:rsidRPr="00BA61B2">
        <w:rPr>
          <w:i/>
          <w:noProof w:val="0"/>
          <w:szCs w:val="16"/>
          <w:lang w:val="en-US"/>
        </w:rPr>
        <w:t>Case of Granier et al. (Radio Caracas Television) v. Venezuela,</w:t>
      </w:r>
      <w:r w:rsidRPr="00BA61B2">
        <w:rPr>
          <w:noProof w:val="0"/>
          <w:szCs w:val="16"/>
          <w:lang w:val="en-US"/>
        </w:rPr>
        <w:t xml:space="preserve"> para. 314.</w:t>
      </w:r>
    </w:p>
  </w:footnote>
  <w:footnote w:id="132">
    <w:p w14:paraId="2A7A5022" w14:textId="77777777" w:rsidR="00432906" w:rsidRPr="00BA61B2" w:rsidRDefault="00432906" w:rsidP="007B0DE4">
      <w:pPr>
        <w:pStyle w:val="Textonotapie"/>
        <w:rPr>
          <w:noProof w:val="0"/>
          <w:lang w:val="en-US"/>
        </w:rPr>
      </w:pPr>
      <w:r w:rsidRPr="00BA61B2">
        <w:rPr>
          <w:rStyle w:val="Refdenotaalpie"/>
          <w:noProof w:val="0"/>
          <w:lang w:val="en-US"/>
        </w:rPr>
        <w:footnoteRef/>
      </w:r>
      <w:r w:rsidRPr="00BA61B2">
        <w:rPr>
          <w:noProof w:val="0"/>
          <w:lang w:val="en-US"/>
        </w:rPr>
        <w:t xml:space="preserve"> </w:t>
      </w:r>
      <w:r w:rsidRPr="00BA61B2">
        <w:rPr>
          <w:noProof w:val="0"/>
          <w:lang w:val="en-US"/>
        </w:rPr>
        <w:tab/>
      </w:r>
      <w:r>
        <w:rPr>
          <w:noProof w:val="0"/>
          <w:lang w:val="en-US"/>
        </w:rPr>
        <w:t xml:space="preserve">In its ruling on the </w:t>
      </w:r>
      <w:r w:rsidRPr="007C7094">
        <w:rPr>
          <w:i/>
          <w:noProof w:val="0"/>
          <w:lang w:val="en-US"/>
        </w:rPr>
        <w:t>tutela</w:t>
      </w:r>
      <w:r w:rsidRPr="00BA61B2">
        <w:rPr>
          <w:noProof w:val="0"/>
          <w:lang w:val="en-US"/>
        </w:rPr>
        <w:t xml:space="preserve"> </w:t>
      </w:r>
      <w:r>
        <w:rPr>
          <w:noProof w:val="0"/>
          <w:lang w:val="en-US"/>
        </w:rPr>
        <w:t xml:space="preserve">action, </w:t>
      </w:r>
      <w:r w:rsidRPr="00BA61B2">
        <w:rPr>
          <w:noProof w:val="0"/>
          <w:lang w:val="en-US"/>
        </w:rPr>
        <w:t xml:space="preserve">the </w:t>
      </w:r>
      <w:r>
        <w:rPr>
          <w:noProof w:val="0"/>
          <w:lang w:val="en-US"/>
        </w:rPr>
        <w:t xml:space="preserve">Tenth Civil Court </w:t>
      </w:r>
      <w:r w:rsidRPr="00BA61B2">
        <w:rPr>
          <w:noProof w:val="0"/>
          <w:lang w:val="en-US"/>
        </w:rPr>
        <w:t xml:space="preserve">of Bogotá </w:t>
      </w:r>
      <w:r>
        <w:rPr>
          <w:noProof w:val="0"/>
          <w:lang w:val="en-US"/>
        </w:rPr>
        <w:t xml:space="preserve">informed Mr. </w:t>
      </w:r>
      <w:r w:rsidRPr="00BA61B2">
        <w:rPr>
          <w:noProof w:val="0"/>
          <w:lang w:val="en-US"/>
        </w:rPr>
        <w:t xml:space="preserve">Duque that </w:t>
      </w:r>
      <w:r>
        <w:rPr>
          <w:noProof w:val="0"/>
          <w:lang w:val="en-US"/>
        </w:rPr>
        <w:t xml:space="preserve">his complaint could be </w:t>
      </w:r>
      <w:r w:rsidRPr="00BA61B2">
        <w:rPr>
          <w:noProof w:val="0"/>
          <w:lang w:val="en-US"/>
        </w:rPr>
        <w:t>resolve</w:t>
      </w:r>
      <w:r>
        <w:rPr>
          <w:noProof w:val="0"/>
          <w:lang w:val="en-US"/>
        </w:rPr>
        <w:t xml:space="preserve">d through </w:t>
      </w:r>
      <w:r w:rsidRPr="00BA61B2">
        <w:rPr>
          <w:noProof w:val="0"/>
          <w:lang w:val="en-US"/>
        </w:rPr>
        <w:t>the proce</w:t>
      </w:r>
      <w:r>
        <w:rPr>
          <w:noProof w:val="0"/>
          <w:lang w:val="en-US"/>
        </w:rPr>
        <w:t>dures provided by law</w:t>
      </w:r>
      <w:r w:rsidRPr="00BA61B2">
        <w:rPr>
          <w:noProof w:val="0"/>
          <w:lang w:val="en-US"/>
        </w:rPr>
        <w:t xml:space="preserve">, </w:t>
      </w:r>
      <w:r>
        <w:rPr>
          <w:noProof w:val="0"/>
          <w:lang w:val="en-US"/>
        </w:rPr>
        <w:t xml:space="preserve">through </w:t>
      </w:r>
      <w:r w:rsidRPr="00BA61B2">
        <w:rPr>
          <w:noProof w:val="0"/>
          <w:lang w:val="en-US"/>
        </w:rPr>
        <w:t>th</w:t>
      </w:r>
      <w:r>
        <w:rPr>
          <w:noProof w:val="0"/>
          <w:lang w:val="en-US"/>
        </w:rPr>
        <w:t>e contentious-administrative courts</w:t>
      </w:r>
      <w:r w:rsidRPr="00BA61B2">
        <w:rPr>
          <w:noProof w:val="0"/>
          <w:lang w:val="en-US"/>
        </w:rPr>
        <w:t xml:space="preserve"> </w:t>
      </w:r>
      <w:r>
        <w:rPr>
          <w:noProof w:val="0"/>
          <w:lang w:val="en-US"/>
        </w:rPr>
        <w:t>and/or</w:t>
      </w:r>
      <w:r w:rsidRPr="00BA61B2">
        <w:rPr>
          <w:noProof w:val="0"/>
          <w:lang w:val="en-US"/>
        </w:rPr>
        <w:t xml:space="preserve"> the </w:t>
      </w:r>
      <w:r>
        <w:rPr>
          <w:noProof w:val="0"/>
          <w:lang w:val="en-US"/>
        </w:rPr>
        <w:t xml:space="preserve">filing </w:t>
      </w:r>
      <w:r w:rsidRPr="00BA61B2">
        <w:rPr>
          <w:noProof w:val="0"/>
          <w:lang w:val="en-US"/>
        </w:rPr>
        <w:t xml:space="preserve">of </w:t>
      </w:r>
      <w:r>
        <w:rPr>
          <w:noProof w:val="0"/>
          <w:lang w:val="en-US"/>
        </w:rPr>
        <w:t>petitions for reconsideration (</w:t>
      </w:r>
      <w:r w:rsidRPr="00E95D91">
        <w:rPr>
          <w:i/>
          <w:noProof w:val="0"/>
          <w:lang w:val="en-US"/>
        </w:rPr>
        <w:t>reposición</w:t>
      </w:r>
      <w:r>
        <w:rPr>
          <w:noProof w:val="0"/>
          <w:lang w:val="en-US"/>
        </w:rPr>
        <w:t>)</w:t>
      </w:r>
      <w:r w:rsidRPr="00BA61B2">
        <w:rPr>
          <w:noProof w:val="0"/>
          <w:lang w:val="en-US"/>
        </w:rPr>
        <w:t xml:space="preserve"> and ap</w:t>
      </w:r>
      <w:r>
        <w:rPr>
          <w:noProof w:val="0"/>
          <w:lang w:val="en-US"/>
        </w:rPr>
        <w:t>p</w:t>
      </w:r>
      <w:r w:rsidRPr="00BA61B2">
        <w:rPr>
          <w:noProof w:val="0"/>
          <w:lang w:val="en-US"/>
        </w:rPr>
        <w:t>e</w:t>
      </w:r>
      <w:r>
        <w:rPr>
          <w:noProof w:val="0"/>
          <w:lang w:val="en-US"/>
        </w:rPr>
        <w:t>al,</w:t>
      </w:r>
      <w:r w:rsidRPr="00BA61B2">
        <w:rPr>
          <w:noProof w:val="0"/>
          <w:lang w:val="en-US"/>
        </w:rPr>
        <w:t xml:space="preserve"> within the </w:t>
      </w:r>
      <w:r>
        <w:rPr>
          <w:noProof w:val="0"/>
          <w:lang w:val="en-US"/>
        </w:rPr>
        <w:t xml:space="preserve">statutory period, against the decision issued by </w:t>
      </w:r>
      <w:r w:rsidRPr="00BA61B2">
        <w:rPr>
          <w:noProof w:val="0"/>
          <w:lang w:val="en-US"/>
        </w:rPr>
        <w:t xml:space="preserve">COLFONDOS </w:t>
      </w:r>
      <w:r>
        <w:rPr>
          <w:noProof w:val="0"/>
          <w:lang w:val="en-US"/>
        </w:rPr>
        <w:t xml:space="preserve">on </w:t>
      </w:r>
      <w:r w:rsidRPr="00BA61B2">
        <w:rPr>
          <w:noProof w:val="0"/>
          <w:lang w:val="en-US"/>
        </w:rPr>
        <w:t xml:space="preserve">April </w:t>
      </w:r>
      <w:r>
        <w:rPr>
          <w:noProof w:val="0"/>
          <w:lang w:val="en-US"/>
        </w:rPr>
        <w:t xml:space="preserve">3, </w:t>
      </w:r>
      <w:r w:rsidRPr="00BA61B2">
        <w:rPr>
          <w:noProof w:val="0"/>
          <w:lang w:val="en-US"/>
        </w:rPr>
        <w:t xml:space="preserve">2002. </w:t>
      </w:r>
      <w:r>
        <w:rPr>
          <w:noProof w:val="0"/>
          <w:lang w:val="en-US"/>
        </w:rPr>
        <w:t xml:space="preserve">The court also advised Mr. </w:t>
      </w:r>
      <w:r w:rsidRPr="00BA61B2">
        <w:rPr>
          <w:noProof w:val="0"/>
          <w:lang w:val="en-US"/>
        </w:rPr>
        <w:t xml:space="preserve">Duque that </w:t>
      </w:r>
      <w:r>
        <w:rPr>
          <w:noProof w:val="0"/>
          <w:lang w:val="en-US"/>
        </w:rPr>
        <w:t>if his intention was to obtain some type of social security in</w:t>
      </w:r>
      <w:r w:rsidRPr="00BA61B2">
        <w:rPr>
          <w:noProof w:val="0"/>
          <w:lang w:val="en-US"/>
        </w:rPr>
        <w:t xml:space="preserve"> health, </w:t>
      </w:r>
      <w:r>
        <w:rPr>
          <w:noProof w:val="0"/>
          <w:lang w:val="en-US"/>
        </w:rPr>
        <w:t xml:space="preserve">he could apply to the public health </w:t>
      </w:r>
      <w:r w:rsidRPr="00BA61B2">
        <w:rPr>
          <w:noProof w:val="0"/>
          <w:lang w:val="en-US"/>
        </w:rPr>
        <w:t>institu</w:t>
      </w:r>
      <w:r>
        <w:rPr>
          <w:noProof w:val="0"/>
          <w:lang w:val="en-US"/>
        </w:rPr>
        <w:t>tions of the State that exist to</w:t>
      </w:r>
      <w:r w:rsidRPr="00BA61B2">
        <w:rPr>
          <w:noProof w:val="0"/>
          <w:lang w:val="en-US"/>
        </w:rPr>
        <w:t xml:space="preserve"> prote</w:t>
      </w:r>
      <w:r>
        <w:rPr>
          <w:noProof w:val="0"/>
          <w:lang w:val="en-US"/>
        </w:rPr>
        <w:t>ct those person</w:t>
      </w:r>
      <w:r w:rsidRPr="00BA61B2">
        <w:rPr>
          <w:noProof w:val="0"/>
          <w:lang w:val="en-US"/>
        </w:rPr>
        <w:t xml:space="preserve">s </w:t>
      </w:r>
      <w:r>
        <w:rPr>
          <w:noProof w:val="0"/>
          <w:lang w:val="en-US"/>
        </w:rPr>
        <w:t>without financial means</w:t>
      </w:r>
      <w:r w:rsidRPr="00BA61B2">
        <w:rPr>
          <w:noProof w:val="0"/>
          <w:lang w:val="en-US"/>
        </w:rPr>
        <w:t xml:space="preserve">, </w:t>
      </w:r>
      <w:r>
        <w:rPr>
          <w:noProof w:val="0"/>
          <w:lang w:val="en-US"/>
        </w:rPr>
        <w:t xml:space="preserve">such as the program offered by </w:t>
      </w:r>
      <w:r w:rsidRPr="00BA61B2">
        <w:rPr>
          <w:noProof w:val="0"/>
          <w:lang w:val="en-US"/>
        </w:rPr>
        <w:t>SISBEN.</w:t>
      </w:r>
      <w:r>
        <w:rPr>
          <w:noProof w:val="0"/>
          <w:lang w:val="en-US"/>
        </w:rPr>
        <w:t xml:space="preserve"> This </w:t>
      </w:r>
      <w:r w:rsidRPr="00BA61B2">
        <w:rPr>
          <w:noProof w:val="0"/>
          <w:lang w:val="en-US"/>
        </w:rPr>
        <w:t xml:space="preserve">information </w:t>
      </w:r>
      <w:r>
        <w:rPr>
          <w:noProof w:val="0"/>
          <w:lang w:val="en-US"/>
        </w:rPr>
        <w:t xml:space="preserve">was reiterated by the </w:t>
      </w:r>
      <w:r w:rsidRPr="00BA61B2">
        <w:rPr>
          <w:noProof w:val="0"/>
          <w:lang w:val="en-US"/>
        </w:rPr>
        <w:t xml:space="preserve">Twelfth Circuit Civil Court of Bogotá </w:t>
      </w:r>
      <w:r>
        <w:rPr>
          <w:noProof w:val="0"/>
          <w:lang w:val="en-US"/>
        </w:rPr>
        <w:t xml:space="preserve">in its ruling on the </w:t>
      </w:r>
      <w:r w:rsidRPr="00733935">
        <w:rPr>
          <w:i/>
          <w:noProof w:val="0"/>
          <w:lang w:val="en-US"/>
        </w:rPr>
        <w:t>tutela</w:t>
      </w:r>
      <w:r>
        <w:rPr>
          <w:noProof w:val="0"/>
          <w:lang w:val="en-US"/>
        </w:rPr>
        <w:t xml:space="preserve"> appeal</w:t>
      </w:r>
      <w:r w:rsidRPr="00BA61B2">
        <w:rPr>
          <w:noProof w:val="0"/>
          <w:lang w:val="en-US"/>
        </w:rPr>
        <w:t xml:space="preserve">. </w:t>
      </w:r>
    </w:p>
  </w:footnote>
  <w:footnote w:id="133">
    <w:p w14:paraId="3160E259"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rPr>
        <w:t>Cf.</w:t>
      </w:r>
      <w:r w:rsidRPr="00BA61B2">
        <w:rPr>
          <w:noProof w:val="0"/>
          <w:szCs w:val="16"/>
          <w:lang w:val="en-US"/>
        </w:rPr>
        <w:t xml:space="preserve"> </w:t>
      </w:r>
      <w:r w:rsidRPr="00BA61B2">
        <w:rPr>
          <w:i/>
          <w:noProof w:val="0"/>
          <w:szCs w:val="16"/>
          <w:lang w:val="en-US"/>
        </w:rPr>
        <w:t xml:space="preserve">Case </w:t>
      </w:r>
      <w:r>
        <w:rPr>
          <w:i/>
          <w:noProof w:val="0"/>
          <w:szCs w:val="16"/>
          <w:lang w:val="en-US"/>
        </w:rPr>
        <w:t xml:space="preserve">of </w:t>
      </w:r>
      <w:r w:rsidRPr="00BA61B2">
        <w:rPr>
          <w:i/>
          <w:noProof w:val="0"/>
          <w:szCs w:val="16"/>
          <w:lang w:val="en-US"/>
        </w:rPr>
        <w:t xml:space="preserve">Barbani Duarte </w:t>
      </w:r>
      <w:r>
        <w:rPr>
          <w:i/>
          <w:noProof w:val="0"/>
          <w:szCs w:val="16"/>
          <w:lang w:val="en-US"/>
        </w:rPr>
        <w:t>et al. v.</w:t>
      </w:r>
      <w:r w:rsidRPr="00BA61B2">
        <w:rPr>
          <w:i/>
          <w:noProof w:val="0"/>
          <w:szCs w:val="16"/>
          <w:lang w:val="en-US"/>
        </w:rPr>
        <w:t xml:space="preserve"> Uruguay. </w:t>
      </w:r>
      <w:r>
        <w:rPr>
          <w:i/>
          <w:noProof w:val="0"/>
          <w:szCs w:val="16"/>
          <w:lang w:val="en-US"/>
        </w:rPr>
        <w:t>Merits, reparations and c</w:t>
      </w:r>
      <w:r w:rsidRPr="00BA61B2">
        <w:rPr>
          <w:i/>
          <w:noProof w:val="0"/>
          <w:szCs w:val="16"/>
          <w:lang w:val="en-US"/>
        </w:rPr>
        <w:t xml:space="preserve">osts. </w:t>
      </w:r>
      <w:r w:rsidRPr="00BA61B2">
        <w:rPr>
          <w:noProof w:val="0"/>
          <w:szCs w:val="16"/>
          <w:lang w:val="en-US"/>
        </w:rPr>
        <w:t xml:space="preserve">Judgment of October </w:t>
      </w:r>
      <w:r>
        <w:rPr>
          <w:noProof w:val="0"/>
          <w:szCs w:val="16"/>
          <w:lang w:val="en-US"/>
        </w:rPr>
        <w:t xml:space="preserve">13, </w:t>
      </w:r>
      <w:r w:rsidRPr="00BA61B2">
        <w:rPr>
          <w:noProof w:val="0"/>
          <w:szCs w:val="16"/>
          <w:lang w:val="en-US"/>
        </w:rPr>
        <w:t>2011. Series C No. 234, para. 122,</w:t>
      </w:r>
      <w:r w:rsidRPr="00BA61B2">
        <w:rPr>
          <w:i/>
          <w:noProof w:val="0"/>
          <w:szCs w:val="16"/>
          <w:lang w:val="en-US"/>
        </w:rPr>
        <w:t xml:space="preserve"> and Case of Garífuna Triunfo de la Cruz Community and its Members v. Honduras. Merits, reparations and costs</w:t>
      </w:r>
      <w:r w:rsidRPr="00BA61B2">
        <w:rPr>
          <w:noProof w:val="0"/>
          <w:szCs w:val="16"/>
          <w:lang w:val="en-US"/>
        </w:rPr>
        <w:t xml:space="preserve">. Judgment of October </w:t>
      </w:r>
      <w:r>
        <w:rPr>
          <w:noProof w:val="0"/>
          <w:szCs w:val="16"/>
          <w:lang w:val="en-US"/>
        </w:rPr>
        <w:t>8, 2015. Series C No. 305, para. 23</w:t>
      </w:r>
      <w:r w:rsidRPr="00BA61B2">
        <w:rPr>
          <w:noProof w:val="0"/>
          <w:szCs w:val="16"/>
          <w:lang w:val="en-US"/>
        </w:rPr>
        <w:t>7.</w:t>
      </w:r>
    </w:p>
  </w:footnote>
  <w:footnote w:id="134">
    <w:p w14:paraId="6CD83A6F"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rPr>
        <w:t xml:space="preserve">Cf. Case of the </w:t>
      </w:r>
      <w:r>
        <w:rPr>
          <w:i/>
          <w:noProof w:val="0"/>
          <w:szCs w:val="16"/>
          <w:lang w:val="en-US"/>
        </w:rPr>
        <w:t xml:space="preserve">Supreme Court of Justice </w:t>
      </w:r>
      <w:r w:rsidRPr="00BA61B2">
        <w:rPr>
          <w:i/>
          <w:noProof w:val="0"/>
          <w:szCs w:val="16"/>
          <w:lang w:val="en-US"/>
        </w:rPr>
        <w:t xml:space="preserve">(Quintana Coello </w:t>
      </w:r>
      <w:r>
        <w:rPr>
          <w:i/>
          <w:noProof w:val="0"/>
          <w:szCs w:val="16"/>
          <w:lang w:val="en-US"/>
        </w:rPr>
        <w:t>et al.) v</w:t>
      </w:r>
      <w:r w:rsidRPr="00BA61B2">
        <w:rPr>
          <w:i/>
          <w:noProof w:val="0"/>
          <w:szCs w:val="16"/>
          <w:lang w:val="en-US"/>
        </w:rPr>
        <w:t>. E</w:t>
      </w:r>
      <w:r>
        <w:rPr>
          <w:i/>
          <w:noProof w:val="0"/>
          <w:szCs w:val="16"/>
          <w:lang w:val="en-US"/>
        </w:rPr>
        <w:t>cuador. Preliminary objection, m</w:t>
      </w:r>
      <w:r w:rsidRPr="00BA61B2">
        <w:rPr>
          <w:i/>
          <w:noProof w:val="0"/>
          <w:szCs w:val="16"/>
          <w:lang w:val="en-US"/>
        </w:rPr>
        <w:t xml:space="preserve">erits, reparations and costs. </w:t>
      </w:r>
      <w:r>
        <w:rPr>
          <w:noProof w:val="0"/>
          <w:szCs w:val="16"/>
          <w:lang w:val="en-US"/>
        </w:rPr>
        <w:t xml:space="preserve">Judgment of </w:t>
      </w:r>
      <w:r w:rsidRPr="00BA61B2">
        <w:rPr>
          <w:noProof w:val="0"/>
          <w:szCs w:val="16"/>
          <w:lang w:val="en-US"/>
        </w:rPr>
        <w:t xml:space="preserve">August </w:t>
      </w:r>
      <w:r>
        <w:rPr>
          <w:noProof w:val="0"/>
          <w:szCs w:val="16"/>
          <w:lang w:val="en-US"/>
        </w:rPr>
        <w:t xml:space="preserve">23, </w:t>
      </w:r>
      <w:r w:rsidRPr="00BA61B2">
        <w:rPr>
          <w:noProof w:val="0"/>
          <w:szCs w:val="16"/>
          <w:lang w:val="en-US"/>
        </w:rPr>
        <w:t xml:space="preserve">2013. Series C No. 266, para. 158, and </w:t>
      </w:r>
      <w:r w:rsidRPr="00BA61B2">
        <w:rPr>
          <w:rFonts w:cs="Arial"/>
          <w:bCs/>
          <w:i/>
          <w:iCs/>
          <w:noProof w:val="0"/>
          <w:lang w:val="en-US"/>
        </w:rPr>
        <w:t>Case of Granier et al. (Radio Caracas Television) v. Venezuela,</w:t>
      </w:r>
      <w:r w:rsidRPr="00BA61B2">
        <w:rPr>
          <w:noProof w:val="0"/>
          <w:szCs w:val="16"/>
          <w:lang w:val="en-US"/>
        </w:rPr>
        <w:t xml:space="preserve"> para. 243.</w:t>
      </w:r>
    </w:p>
  </w:footnote>
  <w:footnote w:id="135">
    <w:p w14:paraId="3E46A6D1"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rFonts w:cs="Arial"/>
          <w:i/>
          <w:iCs/>
          <w:noProof w:val="0"/>
          <w:szCs w:val="16"/>
          <w:lang w:val="en-US"/>
        </w:rPr>
        <w:t xml:space="preserve">Cf. </w:t>
      </w:r>
      <w:r>
        <w:rPr>
          <w:rFonts w:cs="Arial"/>
          <w:i/>
          <w:iCs/>
          <w:noProof w:val="0"/>
          <w:szCs w:val="16"/>
          <w:lang w:val="en-US"/>
        </w:rPr>
        <w:t>Case of Herrera Ulloa v. Costa Rica</w:t>
      </w:r>
      <w:r w:rsidRPr="00BA61B2">
        <w:rPr>
          <w:rFonts w:cs="Arial"/>
          <w:iCs/>
          <w:noProof w:val="0"/>
          <w:szCs w:val="16"/>
          <w:lang w:val="en-US"/>
        </w:rPr>
        <w:t xml:space="preserve">, para. 171, and </w:t>
      </w:r>
      <w:r w:rsidRPr="00BA61B2">
        <w:rPr>
          <w:rFonts w:cs="Arial"/>
          <w:bCs/>
          <w:i/>
          <w:iCs/>
          <w:noProof w:val="0"/>
          <w:lang w:val="en-US"/>
        </w:rPr>
        <w:t xml:space="preserve">Case of Granier et al. (Radio Caracas Television) v. Venezuela, </w:t>
      </w:r>
      <w:r w:rsidRPr="00BA61B2">
        <w:rPr>
          <w:rFonts w:cs="Arial"/>
          <w:bCs/>
          <w:iCs/>
          <w:noProof w:val="0"/>
          <w:lang w:val="en-US"/>
        </w:rPr>
        <w:t>para. 304</w:t>
      </w:r>
      <w:r w:rsidRPr="00BA61B2">
        <w:rPr>
          <w:rFonts w:cs="Arial"/>
          <w:bCs/>
          <w:i/>
          <w:iCs/>
          <w:noProof w:val="0"/>
          <w:lang w:val="en-US"/>
        </w:rPr>
        <w:t>.</w:t>
      </w:r>
    </w:p>
  </w:footnote>
  <w:footnote w:id="136">
    <w:p w14:paraId="377A6862" w14:textId="77777777" w:rsidR="00432906" w:rsidRPr="00BA61B2" w:rsidRDefault="00432906" w:rsidP="007B0DE4">
      <w:pPr>
        <w:pStyle w:val="Textonotapie"/>
        <w:rPr>
          <w:noProof w:val="0"/>
          <w:szCs w:val="16"/>
          <w:lang w:val="en-US"/>
        </w:rPr>
      </w:pPr>
      <w:r w:rsidRPr="00BA61B2">
        <w:rPr>
          <w:rStyle w:val="Refdenotaalpie"/>
          <w:rFonts w:eastAsia="Calibri"/>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rPr>
        <w:t xml:space="preserve">Cf. </w:t>
      </w:r>
      <w:r w:rsidRPr="006B301A">
        <w:rPr>
          <w:i/>
          <w:noProof w:val="0"/>
          <w:szCs w:val="16"/>
          <w:lang w:val="en-US"/>
        </w:rPr>
        <w:t>Case of Herrera Ulloa v. Costa Rica</w:t>
      </w:r>
      <w:r w:rsidRPr="00BA61B2">
        <w:rPr>
          <w:noProof w:val="0"/>
          <w:szCs w:val="16"/>
          <w:lang w:val="en-US"/>
        </w:rPr>
        <w:t xml:space="preserve">, para. 171, and </w:t>
      </w:r>
      <w:r w:rsidRPr="00BA61B2">
        <w:rPr>
          <w:rFonts w:cs="Arial"/>
          <w:bCs/>
          <w:i/>
          <w:iCs/>
          <w:noProof w:val="0"/>
          <w:lang w:val="en-US"/>
        </w:rPr>
        <w:t xml:space="preserve">Case of Granier et al. (Radio Caracas Television) v. Venezuela, </w:t>
      </w:r>
      <w:r>
        <w:rPr>
          <w:rFonts w:cs="Arial"/>
          <w:bCs/>
          <w:iCs/>
          <w:noProof w:val="0"/>
          <w:lang w:val="en-US"/>
        </w:rPr>
        <w:t>para.</w:t>
      </w:r>
      <w:r w:rsidRPr="00BA61B2" w:rsidDel="003B3D30">
        <w:rPr>
          <w:rFonts w:cs="Arial"/>
          <w:noProof w:val="0"/>
          <w:szCs w:val="16"/>
          <w:lang w:val="en-US"/>
        </w:rPr>
        <w:t xml:space="preserve"> </w:t>
      </w:r>
      <w:r w:rsidRPr="00BA61B2">
        <w:rPr>
          <w:rFonts w:cs="Arial"/>
          <w:noProof w:val="0"/>
          <w:szCs w:val="16"/>
          <w:lang w:val="en-US"/>
        </w:rPr>
        <w:t>304.</w:t>
      </w:r>
    </w:p>
  </w:footnote>
  <w:footnote w:id="137">
    <w:p w14:paraId="6E0343E0" w14:textId="77777777" w:rsidR="00432906" w:rsidRPr="00BA61B2" w:rsidRDefault="00432906" w:rsidP="007B0DE4">
      <w:pPr>
        <w:pStyle w:val="Textonotapie"/>
        <w:rPr>
          <w:rFonts w:cs="Arial"/>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rPr>
        <w:t>Cf.</w:t>
      </w:r>
      <w:r w:rsidRPr="00BA61B2">
        <w:rPr>
          <w:rFonts w:cs="Arial"/>
          <w:i/>
          <w:iCs/>
          <w:noProof w:val="0"/>
          <w:szCs w:val="16"/>
          <w:lang w:val="en-US"/>
        </w:rPr>
        <w:t xml:space="preserve"> Case </w:t>
      </w:r>
      <w:r>
        <w:rPr>
          <w:rFonts w:cs="Arial"/>
          <w:i/>
          <w:iCs/>
          <w:noProof w:val="0"/>
          <w:szCs w:val="16"/>
          <w:lang w:val="en-US"/>
        </w:rPr>
        <w:t xml:space="preserve">of </w:t>
      </w:r>
      <w:r w:rsidRPr="00BA61B2">
        <w:rPr>
          <w:rFonts w:cs="Arial"/>
          <w:i/>
          <w:iCs/>
          <w:noProof w:val="0"/>
          <w:szCs w:val="16"/>
          <w:lang w:val="en-US"/>
        </w:rPr>
        <w:t>Palamara Iribarne</w:t>
      </w:r>
      <w:r>
        <w:rPr>
          <w:rFonts w:cs="Arial"/>
          <w:i/>
          <w:iCs/>
          <w:noProof w:val="0"/>
          <w:szCs w:val="16"/>
          <w:lang w:val="en-US"/>
        </w:rPr>
        <w:t xml:space="preserve"> v</w:t>
      </w:r>
      <w:r w:rsidRPr="00BA61B2">
        <w:rPr>
          <w:rFonts w:cs="Arial"/>
          <w:i/>
          <w:iCs/>
          <w:noProof w:val="0"/>
          <w:szCs w:val="16"/>
          <w:lang w:val="en-US"/>
        </w:rPr>
        <w:t xml:space="preserve">. Chile. Merits, reparations and costs. </w:t>
      </w:r>
      <w:r>
        <w:rPr>
          <w:rFonts w:cs="Arial"/>
          <w:iCs/>
          <w:noProof w:val="0"/>
          <w:szCs w:val="16"/>
          <w:lang w:val="en-US"/>
        </w:rPr>
        <w:t xml:space="preserve">Judgment of </w:t>
      </w:r>
      <w:r w:rsidRPr="00BA61B2">
        <w:rPr>
          <w:rFonts w:cs="Arial"/>
          <w:iCs/>
          <w:noProof w:val="0"/>
          <w:szCs w:val="16"/>
          <w:lang w:val="en-US"/>
        </w:rPr>
        <w:t xml:space="preserve">November </w:t>
      </w:r>
      <w:r>
        <w:rPr>
          <w:rFonts w:cs="Arial"/>
          <w:iCs/>
          <w:noProof w:val="0"/>
          <w:szCs w:val="16"/>
          <w:lang w:val="en-US"/>
        </w:rPr>
        <w:t xml:space="preserve">22, </w:t>
      </w:r>
      <w:r w:rsidRPr="00BA61B2">
        <w:rPr>
          <w:rFonts w:cs="Arial"/>
          <w:iCs/>
          <w:noProof w:val="0"/>
          <w:szCs w:val="16"/>
          <w:lang w:val="en-US"/>
        </w:rPr>
        <w:t>2005. Series C No. 135,</w:t>
      </w:r>
      <w:r w:rsidRPr="00BA61B2">
        <w:rPr>
          <w:rFonts w:cs="Arial"/>
          <w:noProof w:val="0"/>
          <w:szCs w:val="16"/>
          <w:lang w:val="en-US"/>
        </w:rPr>
        <w:t xml:space="preserve"> para. 146, and </w:t>
      </w:r>
      <w:r w:rsidRPr="00BA61B2">
        <w:rPr>
          <w:rFonts w:cs="Arial"/>
          <w:i/>
          <w:noProof w:val="0"/>
          <w:szCs w:val="16"/>
          <w:lang w:val="en-US"/>
        </w:rPr>
        <w:t>Case of Granier et al. (Radio Caracas Television) v. Venezuela,</w:t>
      </w:r>
      <w:r w:rsidRPr="00BA61B2">
        <w:rPr>
          <w:rFonts w:cs="Arial"/>
          <w:noProof w:val="0"/>
          <w:szCs w:val="16"/>
          <w:lang w:val="en-US"/>
        </w:rPr>
        <w:t xml:space="preserve"> p</w:t>
      </w:r>
      <w:r>
        <w:rPr>
          <w:rFonts w:cs="Arial"/>
          <w:noProof w:val="0"/>
          <w:szCs w:val="16"/>
          <w:lang w:val="en-US"/>
        </w:rPr>
        <w:t>ara.</w:t>
      </w:r>
      <w:r w:rsidRPr="00BA61B2">
        <w:rPr>
          <w:rFonts w:cs="Arial"/>
          <w:noProof w:val="0"/>
          <w:szCs w:val="16"/>
          <w:lang w:val="en-US"/>
        </w:rPr>
        <w:t xml:space="preserve"> 304.</w:t>
      </w:r>
    </w:p>
  </w:footnote>
  <w:footnote w:id="138">
    <w:p w14:paraId="0E4FE522"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Pr>
          <w:noProof w:val="0"/>
          <w:szCs w:val="16"/>
          <w:lang w:val="en-US"/>
        </w:rPr>
        <w:t>Principle</w:t>
      </w:r>
      <w:r w:rsidRPr="00BA61B2">
        <w:rPr>
          <w:noProof w:val="0"/>
          <w:szCs w:val="16"/>
          <w:lang w:val="en-US"/>
        </w:rPr>
        <w:t xml:space="preserve"> 2 of the </w:t>
      </w:r>
      <w:r>
        <w:rPr>
          <w:noProof w:val="0"/>
          <w:szCs w:val="16"/>
          <w:lang w:val="en-US"/>
        </w:rPr>
        <w:t>United Nations Basic Principle</w:t>
      </w:r>
      <w:r w:rsidRPr="00BA61B2">
        <w:rPr>
          <w:noProof w:val="0"/>
          <w:szCs w:val="16"/>
          <w:lang w:val="en-US"/>
        </w:rPr>
        <w:t xml:space="preserve">s </w:t>
      </w:r>
      <w:r>
        <w:rPr>
          <w:noProof w:val="0"/>
          <w:szCs w:val="16"/>
          <w:lang w:val="en-US"/>
        </w:rPr>
        <w:t>on the Independence</w:t>
      </w:r>
      <w:r w:rsidRPr="00BA61B2">
        <w:rPr>
          <w:noProof w:val="0"/>
          <w:szCs w:val="16"/>
          <w:lang w:val="en-US"/>
        </w:rPr>
        <w:t xml:space="preserve"> of the Judic</w:t>
      </w:r>
      <w:r>
        <w:rPr>
          <w:noProof w:val="0"/>
          <w:szCs w:val="16"/>
          <w:lang w:val="en-US"/>
        </w:rPr>
        <w:t>iary</w:t>
      </w:r>
      <w:r w:rsidRPr="00BA61B2">
        <w:rPr>
          <w:noProof w:val="0"/>
          <w:szCs w:val="16"/>
          <w:lang w:val="en-US"/>
        </w:rPr>
        <w:t>.</w:t>
      </w:r>
    </w:p>
  </w:footnote>
  <w:footnote w:id="139">
    <w:p w14:paraId="2A160D77"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rPr>
        <w:t>Cf.</w:t>
      </w:r>
      <w:r w:rsidRPr="00BA61B2">
        <w:rPr>
          <w:noProof w:val="0"/>
          <w:szCs w:val="16"/>
          <w:lang w:val="en-US"/>
        </w:rPr>
        <w:t xml:space="preserve"> </w:t>
      </w:r>
      <w:r w:rsidRPr="00BA61B2">
        <w:rPr>
          <w:i/>
          <w:noProof w:val="0"/>
          <w:szCs w:val="16"/>
          <w:lang w:val="en-US"/>
        </w:rPr>
        <w:t xml:space="preserve">Case </w:t>
      </w:r>
      <w:r>
        <w:rPr>
          <w:i/>
          <w:noProof w:val="0"/>
          <w:szCs w:val="16"/>
          <w:lang w:val="en-US"/>
        </w:rPr>
        <w:t xml:space="preserve">of </w:t>
      </w:r>
      <w:r w:rsidRPr="00BA61B2">
        <w:rPr>
          <w:i/>
          <w:noProof w:val="0"/>
          <w:szCs w:val="16"/>
          <w:lang w:val="en-US"/>
        </w:rPr>
        <w:t xml:space="preserve">Apitz Barbera </w:t>
      </w:r>
      <w:r>
        <w:rPr>
          <w:i/>
          <w:noProof w:val="0"/>
          <w:szCs w:val="16"/>
          <w:lang w:val="en-US"/>
        </w:rPr>
        <w:t xml:space="preserve">et al. </w:t>
      </w:r>
      <w:r w:rsidRPr="00BA61B2">
        <w:rPr>
          <w:i/>
          <w:noProof w:val="0"/>
          <w:szCs w:val="16"/>
          <w:lang w:val="en-US"/>
        </w:rPr>
        <w:t>(“</w:t>
      </w:r>
      <w:r>
        <w:rPr>
          <w:i/>
          <w:noProof w:val="0"/>
          <w:szCs w:val="16"/>
          <w:lang w:val="en-US"/>
        </w:rPr>
        <w:t xml:space="preserve">First </w:t>
      </w:r>
      <w:r w:rsidRPr="00BA61B2">
        <w:rPr>
          <w:i/>
          <w:noProof w:val="0"/>
          <w:szCs w:val="16"/>
          <w:lang w:val="en-US"/>
        </w:rPr>
        <w:t>Co</w:t>
      </w:r>
      <w:r>
        <w:rPr>
          <w:i/>
          <w:noProof w:val="0"/>
          <w:szCs w:val="16"/>
          <w:lang w:val="en-US"/>
        </w:rPr>
        <w:t>urt</w:t>
      </w:r>
      <w:r w:rsidRPr="00BA61B2">
        <w:rPr>
          <w:i/>
          <w:noProof w:val="0"/>
          <w:szCs w:val="16"/>
          <w:lang w:val="en-US"/>
        </w:rPr>
        <w:t xml:space="preserve"> of </w:t>
      </w:r>
      <w:r>
        <w:rPr>
          <w:i/>
          <w:noProof w:val="0"/>
          <w:szCs w:val="16"/>
          <w:lang w:val="en-US"/>
        </w:rPr>
        <w:t>Administrative Disputes”) v</w:t>
      </w:r>
      <w:r w:rsidRPr="00BA61B2">
        <w:rPr>
          <w:i/>
          <w:noProof w:val="0"/>
          <w:szCs w:val="16"/>
          <w:lang w:val="en-US"/>
        </w:rPr>
        <w:t xml:space="preserve">. Venezuela. Preliminary objection, Merits, reparations and costs. </w:t>
      </w:r>
      <w:r w:rsidRPr="00BA61B2">
        <w:rPr>
          <w:noProof w:val="0"/>
          <w:szCs w:val="16"/>
          <w:lang w:val="en-US"/>
        </w:rPr>
        <w:t xml:space="preserve">Judgment of August </w:t>
      </w:r>
      <w:r>
        <w:rPr>
          <w:noProof w:val="0"/>
          <w:szCs w:val="16"/>
          <w:lang w:val="en-US"/>
        </w:rPr>
        <w:t xml:space="preserve">5, </w:t>
      </w:r>
      <w:r w:rsidRPr="00BA61B2">
        <w:rPr>
          <w:noProof w:val="0"/>
          <w:szCs w:val="16"/>
          <w:lang w:val="en-US"/>
        </w:rPr>
        <w:t xml:space="preserve">2008. Series C No. 182, para. 56, and </w:t>
      </w:r>
      <w:r w:rsidRPr="00BA61B2">
        <w:rPr>
          <w:rFonts w:eastAsia="Verdana" w:cs="Verdana"/>
          <w:i/>
          <w:noProof w:val="0"/>
          <w:spacing w:val="2"/>
          <w:szCs w:val="16"/>
          <w:lang w:val="en-US"/>
        </w:rPr>
        <w:t xml:space="preserve">Case of López Lone et al. v. Honduras, </w:t>
      </w:r>
      <w:r w:rsidRPr="00BA61B2">
        <w:rPr>
          <w:rFonts w:eastAsia="Verdana" w:cs="Verdana"/>
          <w:noProof w:val="0"/>
          <w:spacing w:val="2"/>
          <w:szCs w:val="16"/>
          <w:lang w:val="en-US"/>
        </w:rPr>
        <w:t>para. 233</w:t>
      </w:r>
      <w:r w:rsidRPr="00BA61B2">
        <w:rPr>
          <w:noProof w:val="0"/>
          <w:szCs w:val="16"/>
          <w:lang w:val="en-US"/>
        </w:rPr>
        <w:t>.</w:t>
      </w:r>
    </w:p>
  </w:footnote>
  <w:footnote w:id="140">
    <w:p w14:paraId="2B0F45FB"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Pr>
          <w:noProof w:val="0"/>
          <w:szCs w:val="16"/>
          <w:lang w:val="en-US"/>
        </w:rPr>
        <w:t>Similarly, in European case law</w:t>
      </w:r>
      <w:r w:rsidRPr="00BA61B2">
        <w:rPr>
          <w:noProof w:val="0"/>
          <w:szCs w:val="16"/>
          <w:lang w:val="en-US"/>
        </w:rPr>
        <w:t xml:space="preserve">, </w:t>
      </w:r>
      <w:r>
        <w:rPr>
          <w:noProof w:val="0"/>
          <w:szCs w:val="16"/>
          <w:lang w:val="en-US"/>
        </w:rPr>
        <w:t>see ECHR</w:t>
      </w:r>
      <w:r w:rsidRPr="00BA61B2">
        <w:rPr>
          <w:noProof w:val="0"/>
          <w:szCs w:val="16"/>
          <w:lang w:val="en-US"/>
        </w:rPr>
        <w:t xml:space="preserve">, </w:t>
      </w:r>
      <w:r>
        <w:rPr>
          <w:i/>
          <w:noProof w:val="0"/>
          <w:szCs w:val="16"/>
          <w:lang w:val="en-US"/>
        </w:rPr>
        <w:t>Case of Kyprianou v. Cyprus</w:t>
      </w:r>
      <w:r>
        <w:rPr>
          <w:noProof w:val="0"/>
          <w:szCs w:val="16"/>
          <w:lang w:val="en-US"/>
        </w:rPr>
        <w:t>, (No. 73797/01), J</w:t>
      </w:r>
      <w:r w:rsidRPr="00BA61B2">
        <w:rPr>
          <w:noProof w:val="0"/>
          <w:szCs w:val="16"/>
          <w:lang w:val="en-US"/>
        </w:rPr>
        <w:t xml:space="preserve">udgment of January </w:t>
      </w:r>
      <w:r>
        <w:rPr>
          <w:noProof w:val="0"/>
          <w:szCs w:val="16"/>
          <w:lang w:val="en-US"/>
        </w:rPr>
        <w:t xml:space="preserve">27, </w:t>
      </w:r>
      <w:r w:rsidRPr="00BA61B2">
        <w:rPr>
          <w:noProof w:val="0"/>
          <w:szCs w:val="16"/>
          <w:lang w:val="en-US"/>
        </w:rPr>
        <w:t>2004, para. 119 (“In applying the subjective test, the Court has consistently held that the personal impartiality of a judge must be presumed until there is proof to the contrary”), cit</w:t>
      </w:r>
      <w:r>
        <w:rPr>
          <w:noProof w:val="0"/>
          <w:szCs w:val="16"/>
          <w:lang w:val="en-US"/>
        </w:rPr>
        <w:t>ing ECHR</w:t>
      </w:r>
      <w:r w:rsidRPr="00BA61B2">
        <w:rPr>
          <w:noProof w:val="0"/>
          <w:szCs w:val="16"/>
          <w:lang w:val="en-US"/>
        </w:rPr>
        <w:t xml:space="preserve">, </w:t>
      </w:r>
      <w:r w:rsidRPr="00BA61B2">
        <w:rPr>
          <w:i/>
          <w:noProof w:val="0"/>
          <w:szCs w:val="16"/>
          <w:lang w:val="en-US"/>
        </w:rPr>
        <w:t xml:space="preserve">Case </w:t>
      </w:r>
      <w:r>
        <w:rPr>
          <w:i/>
          <w:noProof w:val="0"/>
          <w:szCs w:val="16"/>
          <w:lang w:val="en-US"/>
        </w:rPr>
        <w:t xml:space="preserve">of </w:t>
      </w:r>
      <w:r>
        <w:rPr>
          <w:rStyle w:val="ju-005fpara--char"/>
          <w:i/>
          <w:noProof w:val="0"/>
          <w:szCs w:val="16"/>
          <w:lang w:val="en-US"/>
        </w:rPr>
        <w:t>Hauschildt v</w:t>
      </w:r>
      <w:r w:rsidRPr="00BA61B2">
        <w:rPr>
          <w:rStyle w:val="ju-005fpara--char"/>
          <w:i/>
          <w:noProof w:val="0"/>
          <w:szCs w:val="16"/>
          <w:lang w:val="en-US"/>
        </w:rPr>
        <w:t>. D</w:t>
      </w:r>
      <w:r>
        <w:rPr>
          <w:rStyle w:val="ju-005fpara--char"/>
          <w:i/>
          <w:noProof w:val="0"/>
          <w:szCs w:val="16"/>
          <w:lang w:val="en-US"/>
        </w:rPr>
        <w:t>enmark</w:t>
      </w:r>
      <w:r>
        <w:rPr>
          <w:noProof w:val="0"/>
          <w:szCs w:val="16"/>
          <w:lang w:val="en-US"/>
        </w:rPr>
        <w:t>, (No. 10486/83), J</w:t>
      </w:r>
      <w:r w:rsidRPr="00BA61B2">
        <w:rPr>
          <w:noProof w:val="0"/>
          <w:szCs w:val="16"/>
          <w:lang w:val="en-US"/>
        </w:rPr>
        <w:t xml:space="preserve">udgment of </w:t>
      </w:r>
      <w:r>
        <w:rPr>
          <w:noProof w:val="0"/>
          <w:szCs w:val="16"/>
          <w:lang w:val="en-US"/>
        </w:rPr>
        <w:t xml:space="preserve">May </w:t>
      </w:r>
      <w:r w:rsidRPr="00BA61B2">
        <w:rPr>
          <w:noProof w:val="0"/>
          <w:szCs w:val="16"/>
          <w:lang w:val="en-US"/>
        </w:rPr>
        <w:t>24</w:t>
      </w:r>
      <w:r>
        <w:rPr>
          <w:noProof w:val="0"/>
          <w:szCs w:val="16"/>
          <w:lang w:val="en-US"/>
        </w:rPr>
        <w:t>,</w:t>
      </w:r>
      <w:r w:rsidRPr="00BA61B2">
        <w:rPr>
          <w:noProof w:val="0"/>
          <w:szCs w:val="16"/>
          <w:lang w:val="en-US"/>
        </w:rPr>
        <w:t xml:space="preserve"> 1989, para. 47.</w:t>
      </w:r>
    </w:p>
  </w:footnote>
  <w:footnote w:id="141">
    <w:p w14:paraId="03FC670F" w14:textId="77777777" w:rsidR="00432906" w:rsidRPr="00BA61B2" w:rsidRDefault="00432906" w:rsidP="007B0DE4">
      <w:pPr>
        <w:pStyle w:val="ju-005fpara"/>
        <w:spacing w:before="0" w:beforeAutospacing="0" w:after="120" w:afterAutospacing="0"/>
        <w:jc w:val="both"/>
        <w:rPr>
          <w:rFonts w:ascii="Verdana" w:hAnsi="Verdana"/>
          <w:sz w:val="16"/>
          <w:szCs w:val="16"/>
          <w:lang w:val="en-US"/>
        </w:rPr>
      </w:pPr>
      <w:r w:rsidRPr="00BA61B2">
        <w:rPr>
          <w:rStyle w:val="Refdenotaalpie"/>
          <w:rFonts w:ascii="Verdana" w:hAnsi="Verdana"/>
          <w:sz w:val="16"/>
          <w:szCs w:val="16"/>
          <w:lang w:val="en-US"/>
        </w:rPr>
        <w:footnoteRef/>
      </w:r>
      <w:r w:rsidRPr="00BA61B2">
        <w:rPr>
          <w:rFonts w:ascii="Verdana" w:hAnsi="Verdana"/>
          <w:sz w:val="16"/>
          <w:szCs w:val="16"/>
          <w:lang w:val="en-US"/>
        </w:rPr>
        <w:t xml:space="preserve"> </w:t>
      </w:r>
      <w:r w:rsidRPr="00BA61B2">
        <w:rPr>
          <w:rFonts w:ascii="Verdana" w:hAnsi="Verdana"/>
          <w:sz w:val="16"/>
          <w:szCs w:val="16"/>
          <w:lang w:val="en-US"/>
        </w:rPr>
        <w:tab/>
      </w:r>
      <w:r w:rsidRPr="00BA61B2">
        <w:rPr>
          <w:rFonts w:ascii="Verdana" w:hAnsi="Verdana"/>
          <w:i/>
          <w:sz w:val="16"/>
          <w:szCs w:val="16"/>
          <w:lang w:val="en-US"/>
        </w:rPr>
        <w:t>Cf.</w:t>
      </w:r>
      <w:r w:rsidRPr="00BA61B2">
        <w:rPr>
          <w:rFonts w:ascii="Verdana" w:hAnsi="Verdana"/>
          <w:sz w:val="16"/>
          <w:szCs w:val="16"/>
          <w:lang w:val="en-US"/>
        </w:rPr>
        <w:t xml:space="preserve"> </w:t>
      </w:r>
      <w:r>
        <w:rPr>
          <w:rFonts w:ascii="Verdana" w:hAnsi="Verdana"/>
          <w:sz w:val="16"/>
          <w:szCs w:val="16"/>
          <w:lang w:val="en-US"/>
        </w:rPr>
        <w:t>ECHR</w:t>
      </w:r>
      <w:r w:rsidRPr="00BA61B2">
        <w:rPr>
          <w:rFonts w:ascii="Verdana" w:hAnsi="Verdana"/>
          <w:sz w:val="16"/>
          <w:szCs w:val="16"/>
          <w:lang w:val="en-US"/>
        </w:rPr>
        <w:t xml:space="preserve">, </w:t>
      </w:r>
      <w:r>
        <w:rPr>
          <w:rFonts w:ascii="Verdana" w:hAnsi="Verdana"/>
          <w:i/>
          <w:sz w:val="16"/>
          <w:szCs w:val="16"/>
          <w:lang w:val="en-US"/>
        </w:rPr>
        <w:t>Case Kyprianou v</w:t>
      </w:r>
      <w:r w:rsidRPr="00BA61B2">
        <w:rPr>
          <w:rFonts w:ascii="Verdana" w:hAnsi="Verdana"/>
          <w:i/>
          <w:sz w:val="16"/>
          <w:szCs w:val="16"/>
          <w:lang w:val="en-US"/>
        </w:rPr>
        <w:t>. C</w:t>
      </w:r>
      <w:r>
        <w:rPr>
          <w:rFonts w:ascii="Verdana" w:hAnsi="Verdana"/>
          <w:i/>
          <w:sz w:val="16"/>
          <w:szCs w:val="16"/>
          <w:lang w:val="en-US"/>
        </w:rPr>
        <w:t>yprus</w:t>
      </w:r>
      <w:r>
        <w:rPr>
          <w:rFonts w:ascii="Verdana" w:hAnsi="Verdana"/>
          <w:sz w:val="16"/>
          <w:szCs w:val="16"/>
          <w:lang w:val="en-US"/>
        </w:rPr>
        <w:t xml:space="preserve">, No. 73797/01, </w:t>
      </w:r>
      <w:r w:rsidRPr="00BA61B2">
        <w:rPr>
          <w:rFonts w:ascii="Verdana" w:hAnsi="Verdana"/>
          <w:sz w:val="16"/>
          <w:szCs w:val="16"/>
          <w:lang w:val="en-US"/>
        </w:rPr>
        <w:t xml:space="preserve">December </w:t>
      </w:r>
      <w:r>
        <w:rPr>
          <w:rFonts w:ascii="Verdana" w:hAnsi="Verdana"/>
          <w:sz w:val="16"/>
          <w:szCs w:val="16"/>
          <w:lang w:val="en-US"/>
        </w:rPr>
        <w:t xml:space="preserve">15, </w:t>
      </w:r>
      <w:r w:rsidRPr="00BA61B2">
        <w:rPr>
          <w:rFonts w:ascii="Verdana" w:hAnsi="Verdana"/>
          <w:sz w:val="16"/>
          <w:szCs w:val="16"/>
          <w:lang w:val="en-US"/>
        </w:rPr>
        <w:t>2005, para. 118 (“a subje</w:t>
      </w:r>
      <w:r>
        <w:rPr>
          <w:rFonts w:ascii="Verdana" w:hAnsi="Verdana"/>
          <w:sz w:val="16"/>
          <w:szCs w:val="16"/>
          <w:lang w:val="en-US"/>
        </w:rPr>
        <w:t>ctive approach, that is endeavo</w:t>
      </w:r>
      <w:r w:rsidRPr="00BA61B2">
        <w:rPr>
          <w:rFonts w:ascii="Verdana" w:hAnsi="Verdana"/>
          <w:sz w:val="16"/>
          <w:szCs w:val="16"/>
          <w:lang w:val="en-US"/>
        </w:rPr>
        <w:t>ring to ascertain the personal conviction or interest of a given judge in a particular case”).</w:t>
      </w:r>
    </w:p>
  </w:footnote>
  <w:footnote w:id="142">
    <w:p w14:paraId="050A58C2"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rPr>
        <w:t>Cf.</w:t>
      </w:r>
      <w:r w:rsidRPr="00BA61B2">
        <w:rPr>
          <w:noProof w:val="0"/>
          <w:szCs w:val="16"/>
          <w:lang w:val="en-US"/>
        </w:rPr>
        <w:t xml:space="preserve"> </w:t>
      </w:r>
      <w:r>
        <w:rPr>
          <w:noProof w:val="0"/>
          <w:szCs w:val="16"/>
          <w:lang w:val="en-US"/>
        </w:rPr>
        <w:t>ECHR</w:t>
      </w:r>
      <w:r w:rsidRPr="00BA61B2">
        <w:rPr>
          <w:noProof w:val="0"/>
          <w:szCs w:val="16"/>
          <w:lang w:val="en-US"/>
        </w:rPr>
        <w:t xml:space="preserve">, </w:t>
      </w:r>
      <w:r w:rsidRPr="00BA61B2">
        <w:rPr>
          <w:i/>
          <w:noProof w:val="0"/>
          <w:szCs w:val="16"/>
          <w:lang w:val="en-US"/>
        </w:rPr>
        <w:t xml:space="preserve">Case </w:t>
      </w:r>
      <w:r>
        <w:rPr>
          <w:i/>
          <w:noProof w:val="0"/>
          <w:szCs w:val="16"/>
          <w:lang w:val="en-US"/>
        </w:rPr>
        <w:t>of Kyprianou v</w:t>
      </w:r>
      <w:r w:rsidRPr="00BA61B2">
        <w:rPr>
          <w:i/>
          <w:noProof w:val="0"/>
          <w:szCs w:val="16"/>
          <w:lang w:val="en-US"/>
        </w:rPr>
        <w:t>. C</w:t>
      </w:r>
      <w:r>
        <w:rPr>
          <w:i/>
          <w:noProof w:val="0"/>
          <w:szCs w:val="16"/>
          <w:lang w:val="en-US"/>
        </w:rPr>
        <w:t>yprus</w:t>
      </w:r>
      <w:r w:rsidRPr="00BA61B2">
        <w:rPr>
          <w:rStyle w:val="normal--char"/>
          <w:noProof w:val="0"/>
          <w:szCs w:val="16"/>
          <w:lang w:val="en-US"/>
        </w:rPr>
        <w:t>,</w:t>
      </w:r>
      <w:r w:rsidRPr="00BA61B2">
        <w:rPr>
          <w:noProof w:val="0"/>
          <w:szCs w:val="16"/>
          <w:lang w:val="en-US"/>
        </w:rPr>
        <w:t xml:space="preserve"> No. 73797/01, December </w:t>
      </w:r>
      <w:r>
        <w:rPr>
          <w:noProof w:val="0"/>
          <w:szCs w:val="16"/>
          <w:lang w:val="en-US"/>
        </w:rPr>
        <w:t xml:space="preserve">15, </w:t>
      </w:r>
      <w:r w:rsidRPr="00BA61B2">
        <w:rPr>
          <w:noProof w:val="0"/>
          <w:szCs w:val="16"/>
          <w:lang w:val="en-US"/>
        </w:rPr>
        <w:t>2005,</w:t>
      </w:r>
      <w:r w:rsidRPr="00BA61B2">
        <w:rPr>
          <w:rStyle w:val="normal--char"/>
          <w:noProof w:val="0"/>
          <w:szCs w:val="16"/>
          <w:lang w:val="en-US"/>
        </w:rPr>
        <w:t xml:space="preserve"> para. 119 (“</w:t>
      </w:r>
      <w:r w:rsidRPr="00BA61B2">
        <w:rPr>
          <w:noProof w:val="0"/>
          <w:szCs w:val="16"/>
          <w:lang w:val="en-US"/>
        </w:rPr>
        <w:t xml:space="preserve">As regards the type of proof required, the Court has, for example, sought to ascertain whether a judge has displayed hostility or ill will or has arranged to have a case assigned to himself for personal”). </w:t>
      </w:r>
      <w:r>
        <w:rPr>
          <w:noProof w:val="0"/>
          <w:szCs w:val="16"/>
          <w:lang w:val="en-US"/>
        </w:rPr>
        <w:t xml:space="preserve">See </w:t>
      </w:r>
      <w:r w:rsidRPr="00BA61B2">
        <w:rPr>
          <w:noProof w:val="0"/>
          <w:szCs w:val="16"/>
          <w:lang w:val="en-US"/>
        </w:rPr>
        <w:t xml:space="preserve">likewise, </w:t>
      </w:r>
      <w:r>
        <w:rPr>
          <w:rStyle w:val="normal--char"/>
          <w:noProof w:val="0"/>
          <w:szCs w:val="16"/>
          <w:lang w:val="en-US"/>
        </w:rPr>
        <w:t>ECHR</w:t>
      </w:r>
      <w:r w:rsidRPr="00BA61B2">
        <w:rPr>
          <w:rStyle w:val="normal--char"/>
          <w:noProof w:val="0"/>
          <w:szCs w:val="16"/>
          <w:lang w:val="en-US"/>
        </w:rPr>
        <w:t xml:space="preserve">, </w:t>
      </w:r>
      <w:r w:rsidRPr="00BA61B2">
        <w:rPr>
          <w:rStyle w:val="normal--char"/>
          <w:i/>
          <w:noProof w:val="0"/>
          <w:szCs w:val="16"/>
          <w:lang w:val="en-US"/>
        </w:rPr>
        <w:t xml:space="preserve">Case </w:t>
      </w:r>
      <w:r>
        <w:rPr>
          <w:rStyle w:val="normal--char"/>
          <w:i/>
          <w:noProof w:val="0"/>
          <w:szCs w:val="16"/>
          <w:lang w:val="en-US"/>
        </w:rPr>
        <w:t xml:space="preserve">of </w:t>
      </w:r>
      <w:r w:rsidRPr="00BA61B2">
        <w:rPr>
          <w:rStyle w:val="normal--char"/>
          <w:i/>
          <w:noProof w:val="0"/>
          <w:szCs w:val="16"/>
          <w:lang w:val="en-US"/>
        </w:rPr>
        <w:t>Bel</w:t>
      </w:r>
      <w:r>
        <w:rPr>
          <w:rStyle w:val="normal--char"/>
          <w:i/>
          <w:noProof w:val="0"/>
          <w:szCs w:val="16"/>
          <w:lang w:val="en-US"/>
        </w:rPr>
        <w:t>lizzi v</w:t>
      </w:r>
      <w:r w:rsidRPr="00BA61B2">
        <w:rPr>
          <w:rStyle w:val="normal--char"/>
          <w:i/>
          <w:noProof w:val="0"/>
          <w:szCs w:val="16"/>
          <w:lang w:val="en-US"/>
        </w:rPr>
        <w:t>. Malta</w:t>
      </w:r>
      <w:r w:rsidRPr="00BA61B2">
        <w:rPr>
          <w:rStyle w:val="normal--char"/>
          <w:noProof w:val="0"/>
          <w:szCs w:val="16"/>
          <w:lang w:val="en-US"/>
        </w:rPr>
        <w:t xml:space="preserve">, No. 46575/09, </w:t>
      </w:r>
      <w:r>
        <w:rPr>
          <w:rStyle w:val="normal--char"/>
          <w:noProof w:val="0"/>
          <w:szCs w:val="16"/>
          <w:lang w:val="en-US"/>
        </w:rPr>
        <w:t xml:space="preserve">June </w:t>
      </w:r>
      <w:r w:rsidRPr="00BA61B2">
        <w:rPr>
          <w:rStyle w:val="normal--char"/>
          <w:noProof w:val="0"/>
          <w:szCs w:val="16"/>
          <w:lang w:val="en-US"/>
        </w:rPr>
        <w:t>21</w:t>
      </w:r>
      <w:r>
        <w:rPr>
          <w:rStyle w:val="normal--char"/>
          <w:noProof w:val="0"/>
          <w:szCs w:val="16"/>
          <w:lang w:val="en-US"/>
        </w:rPr>
        <w:t>,</w:t>
      </w:r>
      <w:r w:rsidRPr="00BA61B2">
        <w:rPr>
          <w:rStyle w:val="normal--char"/>
          <w:noProof w:val="0"/>
          <w:szCs w:val="16"/>
          <w:lang w:val="en-US"/>
        </w:rPr>
        <w:t xml:space="preserve"> </w:t>
      </w:r>
      <w:r>
        <w:rPr>
          <w:rStyle w:val="normal--char"/>
          <w:noProof w:val="0"/>
          <w:szCs w:val="16"/>
          <w:lang w:val="en-US"/>
        </w:rPr>
        <w:t xml:space="preserve">2011, para. 52; </w:t>
      </w:r>
      <w:r w:rsidRPr="00BA61B2">
        <w:rPr>
          <w:rStyle w:val="normal--char"/>
          <w:noProof w:val="0"/>
          <w:szCs w:val="16"/>
          <w:lang w:val="en-US"/>
        </w:rPr>
        <w:t xml:space="preserve">and </w:t>
      </w:r>
      <w:r w:rsidRPr="00BA61B2">
        <w:rPr>
          <w:rStyle w:val="normal--char"/>
          <w:i/>
          <w:noProof w:val="0"/>
          <w:szCs w:val="16"/>
          <w:lang w:val="en-US"/>
        </w:rPr>
        <w:t xml:space="preserve">Case of Cubber </w:t>
      </w:r>
      <w:r>
        <w:rPr>
          <w:rStyle w:val="normal--char"/>
          <w:i/>
          <w:noProof w:val="0"/>
          <w:szCs w:val="16"/>
          <w:lang w:val="en-US"/>
        </w:rPr>
        <w:t>v. Belgium</w:t>
      </w:r>
      <w:r w:rsidRPr="00BA61B2">
        <w:rPr>
          <w:rStyle w:val="normal--char"/>
          <w:noProof w:val="0"/>
          <w:szCs w:val="16"/>
          <w:lang w:val="en-US"/>
        </w:rPr>
        <w:t>, No.</w:t>
      </w:r>
      <w:r w:rsidRPr="00BA61B2">
        <w:rPr>
          <w:noProof w:val="0"/>
          <w:szCs w:val="16"/>
          <w:lang w:val="en-US"/>
        </w:rPr>
        <w:t xml:space="preserve"> </w:t>
      </w:r>
      <w:r w:rsidRPr="00BA61B2">
        <w:rPr>
          <w:rStyle w:val="normal--char"/>
          <w:noProof w:val="0"/>
          <w:szCs w:val="16"/>
          <w:lang w:val="en-US"/>
        </w:rPr>
        <w:t xml:space="preserve">9186/80, October </w:t>
      </w:r>
      <w:r>
        <w:rPr>
          <w:rStyle w:val="normal--char"/>
          <w:noProof w:val="0"/>
          <w:szCs w:val="16"/>
          <w:lang w:val="en-US"/>
        </w:rPr>
        <w:t xml:space="preserve">26, </w:t>
      </w:r>
      <w:r w:rsidRPr="00BA61B2">
        <w:rPr>
          <w:rStyle w:val="normal--char"/>
          <w:noProof w:val="0"/>
          <w:szCs w:val="16"/>
          <w:lang w:val="en-US"/>
        </w:rPr>
        <w:t>1996, para. 25.</w:t>
      </w:r>
      <w:r>
        <w:rPr>
          <w:noProof w:val="0"/>
          <w:szCs w:val="16"/>
          <w:lang w:val="en-US"/>
        </w:rPr>
        <w:t xml:space="preserve"> The European Court</w:t>
      </w:r>
      <w:r w:rsidRPr="00BA61B2">
        <w:rPr>
          <w:noProof w:val="0"/>
          <w:szCs w:val="16"/>
          <w:lang w:val="en-US"/>
        </w:rPr>
        <w:t xml:space="preserve"> </w:t>
      </w:r>
      <w:r>
        <w:rPr>
          <w:noProof w:val="0"/>
          <w:szCs w:val="16"/>
          <w:lang w:val="en-US"/>
        </w:rPr>
        <w:t xml:space="preserve">also indicated that </w:t>
      </w:r>
      <w:r w:rsidRPr="00BA61B2">
        <w:rPr>
          <w:rFonts w:eastAsia="Times"/>
          <w:noProof w:val="0"/>
          <w:szCs w:val="16"/>
          <w:lang w:val="en-US"/>
        </w:rPr>
        <w:t xml:space="preserve">the </w:t>
      </w:r>
      <w:r>
        <w:rPr>
          <w:rFonts w:eastAsia="Times"/>
          <w:noProof w:val="0"/>
          <w:szCs w:val="16"/>
          <w:lang w:val="en-US"/>
        </w:rPr>
        <w:t>subjective impartiality</w:t>
      </w:r>
      <w:r w:rsidRPr="00BA61B2">
        <w:rPr>
          <w:rFonts w:eastAsia="Times"/>
          <w:noProof w:val="0"/>
          <w:szCs w:val="16"/>
          <w:lang w:val="en-US"/>
        </w:rPr>
        <w:t xml:space="preserve"> of a judge </w:t>
      </w:r>
      <w:r>
        <w:rPr>
          <w:rFonts w:eastAsia="Times"/>
          <w:noProof w:val="0"/>
          <w:szCs w:val="16"/>
          <w:lang w:val="en-US"/>
        </w:rPr>
        <w:t xml:space="preserve">can be determined, according to </w:t>
      </w:r>
      <w:r w:rsidRPr="00221075">
        <w:rPr>
          <w:rFonts w:eastAsia="Times"/>
          <w:noProof w:val="0"/>
          <w:szCs w:val="16"/>
          <w:lang w:val="en-US"/>
        </w:rPr>
        <w:t xml:space="preserve">the specific circumstances of the case, based on the judge’s conduct during the proceedings, the content, the arguments and the language used in the decision, or the reasons for undertaking the investigation, </w:t>
      </w:r>
      <w:r>
        <w:rPr>
          <w:rFonts w:eastAsia="Times"/>
          <w:noProof w:val="0"/>
          <w:szCs w:val="16"/>
          <w:lang w:val="en-US"/>
        </w:rPr>
        <w:t xml:space="preserve">which would </w:t>
      </w:r>
      <w:r w:rsidRPr="007E17F7">
        <w:rPr>
          <w:rFonts w:eastAsia="Times"/>
          <w:noProof w:val="0"/>
          <w:szCs w:val="16"/>
          <w:lang w:val="en-US"/>
        </w:rPr>
        <w:t>indicate</w:t>
      </w:r>
      <w:r w:rsidRPr="00221075">
        <w:rPr>
          <w:rFonts w:eastAsia="Times"/>
          <w:noProof w:val="0"/>
          <w:szCs w:val="16"/>
          <w:lang w:val="en-US"/>
        </w:rPr>
        <w:t xml:space="preserve"> </w:t>
      </w:r>
      <w:r w:rsidRPr="00BA61B2">
        <w:rPr>
          <w:rFonts w:eastAsia="Times"/>
          <w:noProof w:val="0"/>
          <w:szCs w:val="16"/>
          <w:lang w:val="en-US"/>
        </w:rPr>
        <w:t xml:space="preserve">a </w:t>
      </w:r>
      <w:r>
        <w:rPr>
          <w:rFonts w:eastAsia="Times"/>
          <w:noProof w:val="0"/>
          <w:szCs w:val="16"/>
          <w:lang w:val="en-US"/>
        </w:rPr>
        <w:t xml:space="preserve">lack </w:t>
      </w:r>
      <w:r w:rsidRPr="00BA61B2">
        <w:rPr>
          <w:rFonts w:eastAsia="Times"/>
          <w:noProof w:val="0"/>
          <w:szCs w:val="16"/>
          <w:lang w:val="en-US"/>
        </w:rPr>
        <w:t>of profe</w:t>
      </w:r>
      <w:r>
        <w:rPr>
          <w:rFonts w:eastAsia="Times"/>
          <w:noProof w:val="0"/>
          <w:szCs w:val="16"/>
          <w:lang w:val="en-US"/>
        </w:rPr>
        <w:t>s</w:t>
      </w:r>
      <w:r w:rsidRPr="00BA61B2">
        <w:rPr>
          <w:rFonts w:eastAsia="Times"/>
          <w:noProof w:val="0"/>
          <w:szCs w:val="16"/>
          <w:lang w:val="en-US"/>
        </w:rPr>
        <w:t xml:space="preserve">sional </w:t>
      </w:r>
      <w:r>
        <w:rPr>
          <w:rFonts w:eastAsia="Times"/>
          <w:noProof w:val="0"/>
          <w:szCs w:val="16"/>
          <w:lang w:val="en-US"/>
        </w:rPr>
        <w:t xml:space="preserve">distance in relation to </w:t>
      </w:r>
      <w:r w:rsidRPr="00BA61B2">
        <w:rPr>
          <w:rFonts w:eastAsia="Times"/>
          <w:noProof w:val="0"/>
          <w:szCs w:val="16"/>
          <w:lang w:val="en-US"/>
        </w:rPr>
        <w:t>the decision</w:t>
      </w:r>
      <w:r w:rsidRPr="00BA61B2">
        <w:rPr>
          <w:rStyle w:val="normal--char"/>
          <w:noProof w:val="0"/>
          <w:szCs w:val="16"/>
          <w:lang w:val="en-US"/>
        </w:rPr>
        <w:t xml:space="preserve">. </w:t>
      </w:r>
      <w:r w:rsidRPr="00BA61B2">
        <w:rPr>
          <w:rStyle w:val="normal--char"/>
          <w:i/>
          <w:noProof w:val="0"/>
          <w:szCs w:val="16"/>
          <w:lang w:val="en-US"/>
        </w:rPr>
        <w:t>Cf.</w:t>
      </w:r>
      <w:r w:rsidRPr="00BA61B2">
        <w:rPr>
          <w:rStyle w:val="normal--char"/>
          <w:noProof w:val="0"/>
          <w:szCs w:val="16"/>
          <w:lang w:val="en-US"/>
        </w:rPr>
        <w:t xml:space="preserve"> </w:t>
      </w:r>
      <w:r>
        <w:rPr>
          <w:rStyle w:val="normal--char"/>
          <w:noProof w:val="0"/>
          <w:szCs w:val="16"/>
          <w:lang w:val="en-US"/>
        </w:rPr>
        <w:t>ECHR</w:t>
      </w:r>
      <w:r w:rsidRPr="00BA61B2">
        <w:rPr>
          <w:rStyle w:val="normal--char"/>
          <w:noProof w:val="0"/>
          <w:szCs w:val="16"/>
          <w:lang w:val="en-US"/>
        </w:rPr>
        <w:t xml:space="preserve">, </w:t>
      </w:r>
      <w:r>
        <w:rPr>
          <w:rStyle w:val="normal--char"/>
          <w:i/>
          <w:noProof w:val="0"/>
          <w:szCs w:val="16"/>
          <w:lang w:val="en-US"/>
        </w:rPr>
        <w:t>Case of Kyprianou v. Cyprus</w:t>
      </w:r>
      <w:r w:rsidRPr="00BA61B2">
        <w:rPr>
          <w:rStyle w:val="normal--char"/>
          <w:noProof w:val="0"/>
          <w:szCs w:val="16"/>
          <w:lang w:val="en-US"/>
        </w:rPr>
        <w:t xml:space="preserve">, No. 73797/01, G.C., December </w:t>
      </w:r>
      <w:r>
        <w:rPr>
          <w:rStyle w:val="normal--char"/>
          <w:noProof w:val="0"/>
          <w:szCs w:val="16"/>
          <w:lang w:val="en-US"/>
        </w:rPr>
        <w:t>15, 2005, paras. 130 to</w:t>
      </w:r>
      <w:r w:rsidRPr="00BA61B2">
        <w:rPr>
          <w:rStyle w:val="normal--char"/>
          <w:noProof w:val="0"/>
          <w:szCs w:val="16"/>
          <w:lang w:val="en-US"/>
        </w:rPr>
        <w:t xml:space="preserve"> 133.</w:t>
      </w:r>
    </w:p>
  </w:footnote>
  <w:footnote w:id="143">
    <w:p w14:paraId="78FBC7B1"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rPr>
        <w:t>Cf.</w:t>
      </w:r>
      <w:r w:rsidRPr="00BA61B2">
        <w:rPr>
          <w:noProof w:val="0"/>
          <w:szCs w:val="16"/>
          <w:lang w:val="en-US"/>
        </w:rPr>
        <w:t xml:space="preserve"> </w:t>
      </w:r>
      <w:r>
        <w:rPr>
          <w:i/>
          <w:noProof w:val="0"/>
          <w:szCs w:val="16"/>
          <w:lang w:val="en-US"/>
        </w:rPr>
        <w:t>Case of Atala Riffo</w:t>
      </w:r>
      <w:r w:rsidRPr="00BA61B2">
        <w:rPr>
          <w:i/>
          <w:noProof w:val="0"/>
          <w:szCs w:val="16"/>
          <w:lang w:val="en-US"/>
        </w:rPr>
        <w:t xml:space="preserve"> and Daughters v. Chile. Merits, reparations and costs</w:t>
      </w:r>
      <w:r w:rsidRPr="00BA61B2">
        <w:rPr>
          <w:noProof w:val="0"/>
          <w:szCs w:val="16"/>
          <w:lang w:val="en-US"/>
        </w:rPr>
        <w:t>, para. 190.</w:t>
      </w:r>
    </w:p>
  </w:footnote>
  <w:footnote w:id="144">
    <w:p w14:paraId="6E28BA7F" w14:textId="77777777" w:rsidR="00432906" w:rsidRPr="00BA61B2" w:rsidRDefault="00432906" w:rsidP="007B0DE4">
      <w:pPr>
        <w:pStyle w:val="Textonotapie"/>
        <w:spacing w:beforeLines="60" w:before="144" w:after="60"/>
        <w:rPr>
          <w:noProof w:val="0"/>
          <w:szCs w:val="16"/>
          <w:lang w:val="en-US"/>
        </w:rPr>
      </w:pPr>
      <w:r w:rsidRPr="00BA61B2">
        <w:rPr>
          <w:rStyle w:val="Refdenotaalpie"/>
          <w:noProof w:val="0"/>
          <w:szCs w:val="16"/>
          <w:lang w:val="en-US"/>
        </w:rPr>
        <w:footnoteRef/>
      </w:r>
      <w:r w:rsidRPr="00BA61B2">
        <w:rPr>
          <w:noProof w:val="0"/>
          <w:vertAlign w:val="superscript"/>
          <w:lang w:val="en-US"/>
        </w:rPr>
        <w:t xml:space="preserve"> </w:t>
      </w:r>
      <w:r w:rsidRPr="00BA61B2">
        <w:rPr>
          <w:noProof w:val="0"/>
          <w:szCs w:val="16"/>
          <w:lang w:val="en-US"/>
        </w:rPr>
        <w:tab/>
      </w:r>
      <w:r w:rsidRPr="00BA61B2">
        <w:rPr>
          <w:bCs/>
          <w:noProof w:val="0"/>
          <w:szCs w:val="16"/>
          <w:lang w:val="en-US"/>
        </w:rPr>
        <w:t>Article 26 of the American Convention</w:t>
      </w:r>
      <w:r>
        <w:rPr>
          <w:bCs/>
          <w:noProof w:val="0"/>
          <w:szCs w:val="16"/>
          <w:lang w:val="en-US"/>
        </w:rPr>
        <w:t xml:space="preserve"> (Pact</w:t>
      </w:r>
      <w:r w:rsidRPr="00BA61B2">
        <w:rPr>
          <w:bCs/>
          <w:noProof w:val="0"/>
          <w:szCs w:val="16"/>
          <w:lang w:val="en-US"/>
        </w:rPr>
        <w:t xml:space="preserve"> of San José) ref</w:t>
      </w:r>
      <w:r>
        <w:rPr>
          <w:bCs/>
          <w:noProof w:val="0"/>
          <w:szCs w:val="16"/>
          <w:lang w:val="en-US"/>
        </w:rPr>
        <w:t xml:space="preserve">ers to the progressive development </w:t>
      </w:r>
      <w:r w:rsidRPr="00BA61B2">
        <w:rPr>
          <w:bCs/>
          <w:noProof w:val="0"/>
          <w:szCs w:val="16"/>
          <w:lang w:val="en-US"/>
        </w:rPr>
        <w:t>“</w:t>
      </w:r>
      <w:r>
        <w:rPr>
          <w:bCs/>
          <w:noProof w:val="0"/>
          <w:szCs w:val="16"/>
          <w:lang w:val="en-US"/>
        </w:rPr>
        <w:t xml:space="preserve">of </w:t>
      </w:r>
      <w:r w:rsidRPr="00BA61B2">
        <w:rPr>
          <w:bCs/>
          <w:noProof w:val="0"/>
          <w:szCs w:val="16"/>
          <w:lang w:val="en-US"/>
        </w:rPr>
        <w:t xml:space="preserve">the rights </w:t>
      </w:r>
      <w:r>
        <w:rPr>
          <w:bCs/>
          <w:noProof w:val="0"/>
          <w:szCs w:val="16"/>
          <w:lang w:val="en-US"/>
        </w:rPr>
        <w:t>derived from the economic [and] s</w:t>
      </w:r>
      <w:r w:rsidRPr="00BA61B2">
        <w:rPr>
          <w:bCs/>
          <w:noProof w:val="0"/>
          <w:szCs w:val="16"/>
          <w:lang w:val="en-US"/>
        </w:rPr>
        <w:t>ocial […]</w:t>
      </w:r>
      <w:r>
        <w:rPr>
          <w:bCs/>
          <w:noProof w:val="0"/>
          <w:szCs w:val="16"/>
          <w:lang w:val="en-US"/>
        </w:rPr>
        <w:t xml:space="preserve"> standards</w:t>
      </w:r>
      <w:r w:rsidRPr="00BA61B2">
        <w:rPr>
          <w:bCs/>
          <w:noProof w:val="0"/>
          <w:szCs w:val="16"/>
          <w:lang w:val="en-US"/>
        </w:rPr>
        <w:t xml:space="preserve">, </w:t>
      </w:r>
      <w:r>
        <w:rPr>
          <w:bCs/>
          <w:noProof w:val="0"/>
          <w:szCs w:val="16"/>
          <w:lang w:val="en-US"/>
        </w:rPr>
        <w:t>contained in the [O</w:t>
      </w:r>
      <w:r w:rsidRPr="00BA61B2">
        <w:rPr>
          <w:bCs/>
          <w:noProof w:val="0"/>
          <w:szCs w:val="16"/>
          <w:lang w:val="en-US"/>
        </w:rPr>
        <w:t>A</w:t>
      </w:r>
      <w:r>
        <w:rPr>
          <w:bCs/>
          <w:noProof w:val="0"/>
          <w:szCs w:val="16"/>
          <w:lang w:val="en-US"/>
        </w:rPr>
        <w:t>S</w:t>
      </w:r>
      <w:r w:rsidRPr="00BA61B2">
        <w:rPr>
          <w:bCs/>
          <w:noProof w:val="0"/>
          <w:szCs w:val="16"/>
          <w:lang w:val="en-US"/>
        </w:rPr>
        <w:t>]</w:t>
      </w:r>
      <w:r>
        <w:rPr>
          <w:bCs/>
          <w:noProof w:val="0"/>
          <w:szCs w:val="16"/>
          <w:lang w:val="en-US"/>
        </w:rPr>
        <w:t xml:space="preserve"> Charter […] </w:t>
      </w:r>
      <w:r w:rsidRPr="00E560CA">
        <w:rPr>
          <w:bCs/>
          <w:noProof w:val="0"/>
          <w:szCs w:val="16"/>
          <w:lang w:val="en-US"/>
        </w:rPr>
        <w:t xml:space="preserve">subject to available resources, by </w:t>
      </w:r>
      <w:r>
        <w:rPr>
          <w:bCs/>
          <w:noProof w:val="0"/>
          <w:szCs w:val="16"/>
          <w:lang w:val="en-US"/>
        </w:rPr>
        <w:t>legislation</w:t>
      </w:r>
      <w:r w:rsidRPr="00E560CA">
        <w:rPr>
          <w:bCs/>
          <w:noProof w:val="0"/>
          <w:szCs w:val="16"/>
          <w:lang w:val="en-US"/>
        </w:rPr>
        <w:t xml:space="preserve"> or other appropriate means</w:t>
      </w:r>
      <w:r>
        <w:rPr>
          <w:bCs/>
          <w:noProof w:val="0"/>
          <w:szCs w:val="16"/>
          <w:lang w:val="en-US"/>
        </w:rPr>
        <w:t xml:space="preserve">.” That reference includes </w:t>
      </w:r>
      <w:r w:rsidRPr="00BA61B2">
        <w:rPr>
          <w:bCs/>
          <w:noProof w:val="0"/>
          <w:szCs w:val="16"/>
          <w:lang w:val="en-US"/>
        </w:rPr>
        <w:t>the right to health.  Re</w:t>
      </w:r>
      <w:r>
        <w:rPr>
          <w:bCs/>
          <w:noProof w:val="0"/>
          <w:szCs w:val="16"/>
          <w:lang w:val="en-US"/>
        </w:rPr>
        <w:t xml:space="preserve">garding </w:t>
      </w:r>
      <w:r w:rsidRPr="00BA61B2">
        <w:rPr>
          <w:bCs/>
          <w:noProof w:val="0"/>
          <w:szCs w:val="16"/>
          <w:lang w:val="en-US"/>
        </w:rPr>
        <w:t xml:space="preserve">the </w:t>
      </w:r>
      <w:r>
        <w:rPr>
          <w:bCs/>
          <w:noProof w:val="0"/>
          <w:szCs w:val="16"/>
          <w:lang w:val="en-US"/>
        </w:rPr>
        <w:t xml:space="preserve">State’s </w:t>
      </w:r>
      <w:r w:rsidRPr="00BA61B2">
        <w:rPr>
          <w:bCs/>
          <w:noProof w:val="0"/>
          <w:szCs w:val="16"/>
          <w:lang w:val="en-US"/>
        </w:rPr>
        <w:t xml:space="preserve">obligations </w:t>
      </w:r>
      <w:r>
        <w:rPr>
          <w:bCs/>
          <w:noProof w:val="0"/>
          <w:szCs w:val="16"/>
          <w:lang w:val="en-US"/>
        </w:rPr>
        <w:t xml:space="preserve">in relation to </w:t>
      </w:r>
      <w:r w:rsidRPr="00BA61B2">
        <w:rPr>
          <w:bCs/>
          <w:noProof w:val="0"/>
          <w:szCs w:val="16"/>
          <w:lang w:val="en-US"/>
        </w:rPr>
        <w:t>Economic, Social and Cultural</w:t>
      </w:r>
      <w:r>
        <w:rPr>
          <w:bCs/>
          <w:noProof w:val="0"/>
          <w:szCs w:val="16"/>
          <w:lang w:val="en-US"/>
        </w:rPr>
        <w:t xml:space="preserve"> </w:t>
      </w:r>
      <w:r w:rsidRPr="00BA61B2">
        <w:rPr>
          <w:bCs/>
          <w:noProof w:val="0"/>
          <w:szCs w:val="16"/>
          <w:lang w:val="en-US"/>
        </w:rPr>
        <w:t xml:space="preserve">Rights, the </w:t>
      </w:r>
      <w:r>
        <w:rPr>
          <w:bCs/>
          <w:noProof w:val="0"/>
          <w:szCs w:val="16"/>
          <w:lang w:val="en-US"/>
        </w:rPr>
        <w:t>Committee on</w:t>
      </w:r>
      <w:r w:rsidRPr="00BA61B2">
        <w:rPr>
          <w:bCs/>
          <w:noProof w:val="0"/>
          <w:szCs w:val="16"/>
          <w:lang w:val="en-US"/>
        </w:rPr>
        <w:t xml:space="preserve"> Economic, Social and Cultural Rights ha</w:t>
      </w:r>
      <w:r>
        <w:rPr>
          <w:bCs/>
          <w:noProof w:val="0"/>
          <w:szCs w:val="16"/>
          <w:lang w:val="en-US"/>
        </w:rPr>
        <w:t>s stated</w:t>
      </w:r>
      <w:r w:rsidRPr="00BA61B2">
        <w:rPr>
          <w:bCs/>
          <w:noProof w:val="0"/>
          <w:szCs w:val="16"/>
          <w:lang w:val="en-US"/>
        </w:rPr>
        <w:t xml:space="preserve"> that </w:t>
      </w:r>
      <w:r w:rsidRPr="00BA61B2">
        <w:rPr>
          <w:noProof w:val="0"/>
          <w:lang w:val="en-US"/>
        </w:rPr>
        <w:t>“</w:t>
      </w:r>
      <w:r>
        <w:t>while the full realization of the relevant rights may be achieved progressively, steps towards that goal must be taken within a reasonably short time after the Covenant’s entry into force for the States concerned</w:t>
      </w:r>
      <w:r w:rsidRPr="00BA61B2">
        <w:rPr>
          <w:noProof w:val="0"/>
          <w:lang w:val="en-US"/>
        </w:rPr>
        <w:t xml:space="preserve">. </w:t>
      </w:r>
      <w:r>
        <w:t>Such steps should be deliberate, concrete and targeted as clearly as possible towards meeting the obligations recognized in the Covenant</w:t>
      </w:r>
      <w:r>
        <w:rPr>
          <w:noProof w:val="0"/>
          <w:lang w:val="en-US"/>
        </w:rPr>
        <w:t>.”</w:t>
      </w:r>
      <w:r w:rsidRPr="00BA61B2">
        <w:rPr>
          <w:noProof w:val="0"/>
          <w:lang w:val="en-US"/>
        </w:rPr>
        <w:t xml:space="preserve"> Likewise, </w:t>
      </w:r>
      <w:r>
        <w:rPr>
          <w:noProof w:val="0"/>
          <w:lang w:val="en-US"/>
        </w:rPr>
        <w:t xml:space="preserve">it </w:t>
      </w:r>
      <w:r w:rsidRPr="00E560CA">
        <w:rPr>
          <w:noProof w:val="0"/>
          <w:lang w:val="en-US"/>
        </w:rPr>
        <w:t xml:space="preserve">indicated </w:t>
      </w:r>
      <w:r w:rsidRPr="00BA61B2">
        <w:rPr>
          <w:noProof w:val="0"/>
          <w:lang w:val="en-US"/>
        </w:rPr>
        <w:t>that “</w:t>
      </w:r>
      <w:r>
        <w:rPr>
          <w:lang w:val="en-GB"/>
        </w:rPr>
        <w:t>[</w:t>
      </w:r>
      <w:r>
        <w:t>a]mong the measures which might be considered appropriate, in addition to legislation, is the provision of judicial remedies with respect to rights which may, in accordance with the national legal system, be considered justiciable</w:t>
      </w:r>
      <w:r>
        <w:rPr>
          <w:noProof w:val="0"/>
          <w:lang w:val="en-US"/>
        </w:rPr>
        <w:t xml:space="preserve">. </w:t>
      </w:r>
      <w:r>
        <w:t>The Committee notes, for example, that the enjoyment of the rights recognized, without discrimination, will often be appropriately promoted, in part, through the provision of judicial or other effective remedies.</w:t>
      </w:r>
      <w:r>
        <w:rPr>
          <w:noProof w:val="0"/>
          <w:lang w:val="en-US"/>
        </w:rPr>
        <w:t>”</w:t>
      </w:r>
      <w:r w:rsidRPr="00BA61B2">
        <w:rPr>
          <w:i/>
          <w:noProof w:val="0"/>
          <w:lang w:val="en-US"/>
        </w:rPr>
        <w:t xml:space="preserve"> Cf. </w:t>
      </w:r>
      <w:r w:rsidRPr="00BA61B2">
        <w:rPr>
          <w:noProof w:val="0"/>
          <w:szCs w:val="16"/>
          <w:lang w:val="en-US"/>
        </w:rPr>
        <w:t xml:space="preserve">United Nations, </w:t>
      </w:r>
      <w:r>
        <w:rPr>
          <w:noProof w:val="0"/>
          <w:szCs w:val="16"/>
          <w:lang w:val="en-US"/>
        </w:rPr>
        <w:t>Economic and Social Council</w:t>
      </w:r>
      <w:r w:rsidRPr="00BA61B2">
        <w:rPr>
          <w:noProof w:val="0"/>
          <w:szCs w:val="16"/>
          <w:lang w:val="en-US"/>
        </w:rPr>
        <w:t xml:space="preserve">, </w:t>
      </w:r>
      <w:r>
        <w:rPr>
          <w:noProof w:val="0"/>
          <w:szCs w:val="16"/>
          <w:lang w:val="en-US"/>
        </w:rPr>
        <w:t>Committee on</w:t>
      </w:r>
      <w:r w:rsidRPr="00BA61B2">
        <w:rPr>
          <w:noProof w:val="0"/>
          <w:szCs w:val="16"/>
          <w:lang w:val="en-US"/>
        </w:rPr>
        <w:t xml:space="preserve"> Economic, Social and Cultural</w:t>
      </w:r>
      <w:r>
        <w:rPr>
          <w:noProof w:val="0"/>
          <w:szCs w:val="16"/>
          <w:lang w:val="en-US"/>
        </w:rPr>
        <w:t xml:space="preserve"> </w:t>
      </w:r>
      <w:r w:rsidRPr="00BA61B2">
        <w:rPr>
          <w:noProof w:val="0"/>
          <w:szCs w:val="16"/>
          <w:lang w:val="en-US"/>
        </w:rPr>
        <w:t xml:space="preserve">Rights. General Comment No. 3, </w:t>
      </w:r>
      <w:r w:rsidRPr="00BA61B2">
        <w:rPr>
          <w:bCs/>
          <w:noProof w:val="0"/>
          <w:lang w:val="en-US"/>
        </w:rPr>
        <w:t>E/1991/23</w:t>
      </w:r>
      <w:r w:rsidRPr="00BA61B2">
        <w:rPr>
          <w:noProof w:val="0"/>
          <w:szCs w:val="16"/>
          <w:lang w:val="en-US"/>
        </w:rPr>
        <w:t>, December</w:t>
      </w:r>
      <w:r>
        <w:rPr>
          <w:noProof w:val="0"/>
          <w:szCs w:val="16"/>
          <w:lang w:val="en-US"/>
        </w:rPr>
        <w:t xml:space="preserve"> 14,</w:t>
      </w:r>
      <w:r w:rsidRPr="00BA61B2">
        <w:rPr>
          <w:noProof w:val="0"/>
          <w:szCs w:val="16"/>
          <w:lang w:val="en-US"/>
        </w:rPr>
        <w:t xml:space="preserve"> 1990, </w:t>
      </w:r>
      <w:r w:rsidRPr="00BA61B2">
        <w:rPr>
          <w:bCs/>
          <w:noProof w:val="0"/>
          <w:lang w:val="en-US"/>
        </w:rPr>
        <w:t>paras. 2 and 5.</w:t>
      </w:r>
    </w:p>
  </w:footnote>
  <w:footnote w:id="145">
    <w:p w14:paraId="2B879B3D" w14:textId="77777777" w:rsidR="00432906" w:rsidRPr="00BA61B2" w:rsidRDefault="00432906" w:rsidP="007B0DE4">
      <w:pPr>
        <w:pStyle w:val="Textonotapie"/>
        <w:spacing w:beforeLines="60" w:before="144" w:after="60"/>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Pr>
          <w:noProof w:val="0"/>
          <w:szCs w:val="16"/>
          <w:lang w:val="en-US"/>
        </w:rPr>
        <w:t xml:space="preserve">This </w:t>
      </w:r>
      <w:r w:rsidRPr="00BA61B2">
        <w:rPr>
          <w:noProof w:val="0"/>
          <w:szCs w:val="16"/>
          <w:lang w:val="en-US"/>
        </w:rPr>
        <w:t>article establ</w:t>
      </w:r>
      <w:r>
        <w:rPr>
          <w:noProof w:val="0"/>
          <w:szCs w:val="16"/>
          <w:lang w:val="en-US"/>
        </w:rPr>
        <w:t>ishes that</w:t>
      </w:r>
      <w:r w:rsidRPr="00BA61B2">
        <w:rPr>
          <w:noProof w:val="0"/>
          <w:szCs w:val="16"/>
          <w:lang w:val="en-US"/>
        </w:rPr>
        <w:t xml:space="preserve">: “1. </w:t>
      </w:r>
      <w:r>
        <w:t>Everyone shall have the right to health, understood to mean the enjoyment of the highest level of physical, mental and social well-being</w:t>
      </w:r>
      <w:r w:rsidRPr="00BA61B2">
        <w:rPr>
          <w:noProof w:val="0"/>
          <w:szCs w:val="16"/>
          <w:lang w:val="en-US"/>
        </w:rPr>
        <w:t xml:space="preserve">. 2. </w:t>
      </w:r>
      <w:r>
        <w:t>In order to ensure the exercise of the right to health, the States Parties agree to</w:t>
      </w:r>
      <w:r w:rsidRPr="00BA61B2">
        <w:rPr>
          <w:noProof w:val="0"/>
          <w:szCs w:val="16"/>
          <w:lang w:val="en-US"/>
        </w:rPr>
        <w:t xml:space="preserve"> re</w:t>
      </w:r>
      <w:r>
        <w:t>cognize health as a public good and, particularly, to adopt the following measures to ensure that right</w:t>
      </w:r>
      <w:r w:rsidRPr="00BA61B2">
        <w:rPr>
          <w:noProof w:val="0"/>
          <w:szCs w:val="16"/>
          <w:lang w:val="en-US"/>
        </w:rPr>
        <w:t xml:space="preserve">: a. </w:t>
      </w:r>
      <w:r>
        <w:t>Primary health care, that is, essential health care made available to all individuals and families in the community</w:t>
      </w:r>
      <w:r>
        <w:rPr>
          <w:noProof w:val="0"/>
          <w:szCs w:val="16"/>
          <w:lang w:val="en-US"/>
        </w:rPr>
        <w:t>; [and</w:t>
      </w:r>
      <w:r w:rsidRPr="00BA61B2">
        <w:rPr>
          <w:noProof w:val="0"/>
          <w:szCs w:val="16"/>
          <w:lang w:val="en-US"/>
        </w:rPr>
        <w:t xml:space="preserve">] b. </w:t>
      </w:r>
      <w:r>
        <w:t>Extension of the benefits of health services to all individuals subject to the State's jurisdiction</w:t>
      </w:r>
      <w:r>
        <w:rPr>
          <w:noProof w:val="0"/>
          <w:szCs w:val="16"/>
          <w:lang w:val="en-US"/>
        </w:rPr>
        <w:t>.”</w:t>
      </w:r>
    </w:p>
  </w:footnote>
  <w:footnote w:id="146">
    <w:p w14:paraId="0C5B4BCE" w14:textId="77777777" w:rsidR="00432906" w:rsidRPr="00BA61B2" w:rsidRDefault="00432906" w:rsidP="007B0DE4">
      <w:pPr>
        <w:pStyle w:val="Textonotapie"/>
        <w:spacing w:beforeLines="60" w:before="144" w:after="60"/>
        <w:rPr>
          <w:noProof w:val="0"/>
          <w:color w:val="FFFFFF"/>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rPr>
        <w:t>Cf.</w:t>
      </w:r>
      <w:r w:rsidRPr="00BA61B2">
        <w:rPr>
          <w:noProof w:val="0"/>
          <w:szCs w:val="16"/>
          <w:lang w:val="en-US"/>
        </w:rPr>
        <w:t xml:space="preserve"> </w:t>
      </w:r>
      <w:r w:rsidRPr="00BA61B2">
        <w:rPr>
          <w:i/>
          <w:noProof w:val="0"/>
          <w:szCs w:val="16"/>
          <w:lang w:val="en-US"/>
        </w:rPr>
        <w:t>Case of Gonzales Lluy et al. v. Ecuador</w:t>
      </w:r>
      <w:r w:rsidRPr="00BA61B2">
        <w:rPr>
          <w:noProof w:val="0"/>
          <w:szCs w:val="16"/>
          <w:lang w:val="en-US"/>
        </w:rPr>
        <w:t>, para. 172, and O</w:t>
      </w:r>
      <w:r>
        <w:rPr>
          <w:noProof w:val="0"/>
          <w:szCs w:val="16"/>
          <w:lang w:val="en-US"/>
        </w:rPr>
        <w:t>AS</w:t>
      </w:r>
      <w:r w:rsidRPr="00BA61B2">
        <w:rPr>
          <w:noProof w:val="0"/>
          <w:szCs w:val="16"/>
          <w:lang w:val="en-US"/>
        </w:rPr>
        <w:t xml:space="preserve">, </w:t>
      </w:r>
      <w:r w:rsidRPr="00BF544A">
        <w:rPr>
          <w:rStyle w:val="nfasis"/>
          <w:rFonts w:cs="Arial"/>
          <w:bCs/>
          <w:iCs w:val="0"/>
          <w:szCs w:val="16"/>
          <w:shd w:val="clear" w:color="auto" w:fill="FFFFFF"/>
        </w:rPr>
        <w:t>Progress Indicators</w:t>
      </w:r>
      <w:r w:rsidRPr="00BF544A">
        <w:rPr>
          <w:rFonts w:cs="Arial"/>
          <w:szCs w:val="16"/>
          <w:shd w:val="clear" w:color="auto" w:fill="FFFFFF"/>
        </w:rPr>
        <w:t> for Measuring </w:t>
      </w:r>
      <w:r w:rsidRPr="00BF544A">
        <w:rPr>
          <w:rStyle w:val="nfasis"/>
          <w:rFonts w:cs="Arial"/>
          <w:bCs/>
          <w:iCs w:val="0"/>
          <w:szCs w:val="16"/>
          <w:shd w:val="clear" w:color="auto" w:fill="FFFFFF"/>
        </w:rPr>
        <w:t>Rights</w:t>
      </w:r>
      <w:r>
        <w:rPr>
          <w:rFonts w:cs="Arial"/>
          <w:szCs w:val="16"/>
          <w:shd w:val="clear" w:color="auto" w:fill="FFFFFF"/>
        </w:rPr>
        <w:t xml:space="preserve"> under </w:t>
      </w:r>
      <w:r w:rsidRPr="00BF544A">
        <w:rPr>
          <w:rFonts w:cs="Arial"/>
          <w:szCs w:val="16"/>
          <w:shd w:val="clear" w:color="auto" w:fill="FFFFFF"/>
        </w:rPr>
        <w:t>the </w:t>
      </w:r>
      <w:r w:rsidRPr="00BF544A">
        <w:rPr>
          <w:rStyle w:val="nfasis"/>
          <w:rFonts w:cs="Arial"/>
          <w:bCs/>
          <w:iCs w:val="0"/>
          <w:szCs w:val="16"/>
          <w:shd w:val="clear" w:color="auto" w:fill="FFFFFF"/>
        </w:rPr>
        <w:t>Protocol</w:t>
      </w:r>
      <w:r w:rsidRPr="00BF544A">
        <w:rPr>
          <w:rFonts w:cs="Arial"/>
          <w:szCs w:val="16"/>
          <w:shd w:val="clear" w:color="auto" w:fill="FFFFFF"/>
        </w:rPr>
        <w:t> of </w:t>
      </w:r>
      <w:r w:rsidRPr="00BF544A">
        <w:rPr>
          <w:rStyle w:val="nfasis"/>
          <w:rFonts w:cs="Arial"/>
          <w:bCs/>
          <w:iCs w:val="0"/>
          <w:szCs w:val="16"/>
          <w:shd w:val="clear" w:color="auto" w:fill="FFFFFF"/>
        </w:rPr>
        <w:t>San Salvador</w:t>
      </w:r>
      <w:r w:rsidRPr="00BA61B2">
        <w:rPr>
          <w:noProof w:val="0"/>
          <w:szCs w:val="16"/>
          <w:lang w:val="en-US"/>
        </w:rPr>
        <w:t xml:space="preserve">, OEA/Ser.L/XXV.2.1, Doc 2/11 rev.2, December </w:t>
      </w:r>
      <w:r>
        <w:rPr>
          <w:noProof w:val="0"/>
          <w:szCs w:val="16"/>
          <w:lang w:val="en-US"/>
        </w:rPr>
        <w:t xml:space="preserve">16, </w:t>
      </w:r>
      <w:r w:rsidRPr="00BA61B2">
        <w:rPr>
          <w:noProof w:val="0"/>
          <w:szCs w:val="16"/>
          <w:lang w:val="en-US"/>
        </w:rPr>
        <w:t>2011, paras. 66 and 67. This document establishes that: “</w:t>
      </w:r>
      <w:r>
        <w:t>The Protocol refers to observance of the right (to health) in the framework of a health system that, however basic it may be, should ensure access to primary health care and the progressive development of a system that provides coverage to the country’s entire population</w:t>
      </w:r>
      <w:r w:rsidRPr="00BA61B2">
        <w:rPr>
          <w:noProof w:val="0"/>
          <w:szCs w:val="16"/>
          <w:lang w:val="en-US"/>
        </w:rPr>
        <w:t xml:space="preserve"> […]</w:t>
      </w:r>
      <w:r>
        <w:rPr>
          <w:noProof w:val="0"/>
          <w:szCs w:val="16"/>
          <w:lang w:val="en-US"/>
        </w:rPr>
        <w:t xml:space="preserve">. </w:t>
      </w:r>
      <w:r>
        <w:t xml:space="preserve">As well as being culturally acceptable, health facilities, goods and services must also be scientifically and medically appropriate and of good quality. This requires, </w:t>
      </w:r>
      <w:r w:rsidRPr="0093103F">
        <w:rPr>
          <w:i/>
        </w:rPr>
        <w:t>inter alia</w:t>
      </w:r>
      <w:r>
        <w:t>, skilled medical personnel, scientifically approved and unexpired drugs and hospital equipment, safe and potable water, and adequate and adequate sanitation</w:t>
      </w:r>
      <w:r w:rsidRPr="0093103F">
        <w:t>.</w:t>
      </w:r>
      <w:r w:rsidRPr="0093103F">
        <w:rPr>
          <w:noProof w:val="0"/>
          <w:szCs w:val="16"/>
          <w:lang w:val="en-US"/>
        </w:rPr>
        <w:t>” T</w:t>
      </w:r>
      <w:r w:rsidRPr="00A20172">
        <w:rPr>
          <w:noProof w:val="0"/>
          <w:szCs w:val="16"/>
          <w:lang w:val="en-US"/>
        </w:rPr>
        <w:t>hese indicators include: “</w:t>
      </w:r>
      <w:r>
        <w:t>Existence of administrative recourse to submit complaints concerning the violation of obligations connected with the right to health</w:t>
      </w:r>
      <w:r w:rsidRPr="00B3194C">
        <w:rPr>
          <w:noProof w:val="0"/>
          <w:szCs w:val="16"/>
          <w:lang w:val="en-US"/>
        </w:rPr>
        <w:t xml:space="preserve">. </w:t>
      </w:r>
      <w:r>
        <w:t>Competencies of ministries or oversight agencies in terms of receiving complaints from health system users</w:t>
      </w:r>
      <w:r w:rsidRPr="00B3194C">
        <w:rPr>
          <w:noProof w:val="0"/>
          <w:szCs w:val="16"/>
          <w:lang w:val="en-US"/>
        </w:rPr>
        <w:t xml:space="preserve">. </w:t>
      </w:r>
      <w:r>
        <w:t>Training policies for judges and lawyers on the right to health</w:t>
      </w:r>
      <w:r w:rsidRPr="00B3194C">
        <w:t>.</w:t>
      </w:r>
      <w:r w:rsidRPr="00B3194C">
        <w:rPr>
          <w:noProof w:val="0"/>
          <w:szCs w:val="16"/>
          <w:lang w:val="en-US"/>
        </w:rPr>
        <w:t>” Also see United Nations, Economic and Social Council, Committee on</w:t>
      </w:r>
      <w:r>
        <w:rPr>
          <w:noProof w:val="0"/>
          <w:szCs w:val="16"/>
          <w:lang w:val="en-US"/>
        </w:rPr>
        <w:t xml:space="preserve"> Economic, Social and Cultural Rights</w:t>
      </w:r>
      <w:r w:rsidRPr="00BA61B2">
        <w:rPr>
          <w:noProof w:val="0"/>
          <w:szCs w:val="16"/>
          <w:lang w:val="en-US"/>
        </w:rPr>
        <w:t xml:space="preserve">. General Comment No. 9, E/C.12/1998/24, 3 December 1998, para. 10. </w:t>
      </w:r>
      <w:r>
        <w:rPr>
          <w:noProof w:val="0"/>
          <w:szCs w:val="16"/>
          <w:lang w:val="en-US"/>
        </w:rPr>
        <w:t xml:space="preserve">Also see </w:t>
      </w:r>
      <w:r w:rsidRPr="00BA61B2">
        <w:rPr>
          <w:noProof w:val="0"/>
          <w:szCs w:val="16"/>
          <w:lang w:val="en-US"/>
        </w:rPr>
        <w:t>OAS, Social Charter of the Americas, approved by the OAS General Assembly on June 4, 2012, AG/doc.5242/12 rev. 2.</w:t>
      </w:r>
    </w:p>
  </w:footnote>
  <w:footnote w:id="147">
    <w:p w14:paraId="2577CCBE" w14:textId="77777777" w:rsidR="00432906" w:rsidRPr="00BA61B2" w:rsidRDefault="00432906" w:rsidP="007B0DE4">
      <w:pPr>
        <w:pStyle w:val="Textonotapie"/>
        <w:spacing w:beforeLines="60" w:before="144" w:after="0"/>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t xml:space="preserve">Article 10(2) of the Protocol of San Salvador. </w:t>
      </w:r>
    </w:p>
  </w:footnote>
  <w:footnote w:id="148">
    <w:p w14:paraId="7FF6639F" w14:textId="77777777" w:rsidR="00432906" w:rsidRPr="00BA61B2" w:rsidRDefault="00432906" w:rsidP="007B0DE4">
      <w:pPr>
        <w:pStyle w:val="Textonotapie"/>
        <w:spacing w:beforeLines="60" w:before="144" w:after="0"/>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rPr>
        <w:t>Cf.</w:t>
      </w:r>
      <w:r w:rsidRPr="00BA61B2">
        <w:rPr>
          <w:noProof w:val="0"/>
          <w:szCs w:val="16"/>
          <w:lang w:val="en-US"/>
        </w:rPr>
        <w:t xml:space="preserve"> </w:t>
      </w:r>
      <w:r w:rsidRPr="00BA61B2">
        <w:rPr>
          <w:i/>
          <w:noProof w:val="0"/>
          <w:szCs w:val="16"/>
          <w:lang w:val="en-US"/>
        </w:rPr>
        <w:t>Case of Gonzales Lluy et al. v. Ecuador</w:t>
      </w:r>
      <w:r w:rsidRPr="00BA61B2">
        <w:rPr>
          <w:noProof w:val="0"/>
          <w:szCs w:val="16"/>
          <w:lang w:val="en-US"/>
        </w:rPr>
        <w:t>, para.</w:t>
      </w:r>
      <w:r>
        <w:rPr>
          <w:noProof w:val="0"/>
          <w:szCs w:val="16"/>
          <w:lang w:val="en-US"/>
        </w:rPr>
        <w:t xml:space="preserve"> </w:t>
      </w:r>
      <w:r w:rsidRPr="00BA61B2">
        <w:rPr>
          <w:noProof w:val="0"/>
          <w:szCs w:val="16"/>
          <w:lang w:val="en-US"/>
        </w:rPr>
        <w:t xml:space="preserve">163, and United Nations, </w:t>
      </w:r>
      <w:r>
        <w:rPr>
          <w:noProof w:val="0"/>
          <w:szCs w:val="16"/>
          <w:lang w:val="en-US"/>
        </w:rPr>
        <w:t>Economic and Social Council</w:t>
      </w:r>
      <w:r w:rsidRPr="00BA61B2">
        <w:rPr>
          <w:noProof w:val="0"/>
          <w:szCs w:val="16"/>
          <w:lang w:val="en-US"/>
        </w:rPr>
        <w:t xml:space="preserve">, </w:t>
      </w:r>
      <w:r>
        <w:rPr>
          <w:noProof w:val="0"/>
          <w:szCs w:val="16"/>
          <w:lang w:val="en-US"/>
        </w:rPr>
        <w:t>Committee on</w:t>
      </w:r>
      <w:r w:rsidRPr="00BA61B2">
        <w:rPr>
          <w:noProof w:val="0"/>
          <w:szCs w:val="16"/>
          <w:lang w:val="en-US"/>
        </w:rPr>
        <w:t xml:space="preserve"> Economic, Social and Cultural</w:t>
      </w:r>
      <w:r>
        <w:rPr>
          <w:noProof w:val="0"/>
          <w:szCs w:val="16"/>
          <w:lang w:val="en-US"/>
        </w:rPr>
        <w:t xml:space="preserve"> </w:t>
      </w:r>
      <w:r w:rsidRPr="00BA61B2">
        <w:rPr>
          <w:noProof w:val="0"/>
          <w:szCs w:val="16"/>
          <w:lang w:val="en-US"/>
        </w:rPr>
        <w:t>Rights. General Comment No. 14, E/C.12/2000/4, 11 August 2000, para. 43(d).</w:t>
      </w:r>
    </w:p>
  </w:footnote>
  <w:footnote w:id="149">
    <w:p w14:paraId="2A58B95C" w14:textId="77777777" w:rsidR="00432906" w:rsidRPr="00BA61B2" w:rsidRDefault="00432906" w:rsidP="007B0DE4">
      <w:pPr>
        <w:pStyle w:val="Textonotapie"/>
        <w:spacing w:beforeLines="60" w:before="144" w:after="0"/>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rPr>
        <w:t>Cf. Case of Gonzales Lluy et al. v. Ecuador</w:t>
      </w:r>
      <w:r w:rsidRPr="00BA61B2">
        <w:rPr>
          <w:noProof w:val="0"/>
          <w:szCs w:val="16"/>
          <w:lang w:val="en-US"/>
        </w:rPr>
        <w:t xml:space="preserve">, para. 164, and Human Rights Council of the United Nations, Resolution </w:t>
      </w:r>
      <w:r>
        <w:rPr>
          <w:noProof w:val="0"/>
          <w:szCs w:val="16"/>
          <w:lang w:val="en-US"/>
        </w:rPr>
        <w:t xml:space="preserve">on </w:t>
      </w:r>
      <w:r w:rsidRPr="00BA61B2">
        <w:rPr>
          <w:noProof w:val="0"/>
          <w:szCs w:val="16"/>
          <w:lang w:val="en-US"/>
        </w:rPr>
        <w:t>‘</w:t>
      </w:r>
      <w:r>
        <w:rPr>
          <w:noProof w:val="0"/>
          <w:szCs w:val="16"/>
          <w:lang w:val="en-US"/>
        </w:rPr>
        <w:t xml:space="preserve">Access to medication in </w:t>
      </w:r>
      <w:r w:rsidRPr="00BA61B2">
        <w:rPr>
          <w:noProof w:val="0"/>
          <w:szCs w:val="16"/>
          <w:lang w:val="en-US"/>
        </w:rPr>
        <w:t xml:space="preserve">the context of the </w:t>
      </w:r>
      <w:r>
        <w:rPr>
          <w:noProof w:val="0"/>
          <w:szCs w:val="16"/>
          <w:lang w:val="en-US"/>
        </w:rPr>
        <w:t xml:space="preserve">right </w:t>
      </w:r>
      <w:r w:rsidRPr="00BA61B2">
        <w:rPr>
          <w:noProof w:val="0"/>
          <w:szCs w:val="16"/>
          <w:lang w:val="en-US"/>
        </w:rPr>
        <w:t xml:space="preserve">of </w:t>
      </w:r>
      <w:r w:rsidRPr="002B0F43">
        <w:rPr>
          <w:color w:val="000000"/>
          <w:szCs w:val="16"/>
          <w:shd w:val="clear" w:color="auto" w:fill="FFFFFF"/>
        </w:rPr>
        <w:t>everyone to the enjoyment of the highest attainable standard of physical and mental health</w:t>
      </w:r>
      <w:r w:rsidRPr="00BA61B2">
        <w:rPr>
          <w:noProof w:val="0"/>
          <w:szCs w:val="16"/>
          <w:lang w:val="en-US"/>
        </w:rPr>
        <w:t>’ (</w:t>
      </w:r>
      <w:r>
        <w:rPr>
          <w:noProof w:val="0"/>
          <w:szCs w:val="16"/>
          <w:lang w:val="en-US"/>
        </w:rPr>
        <w:t xml:space="preserve">June </w:t>
      </w:r>
      <w:r w:rsidRPr="00BA61B2">
        <w:rPr>
          <w:noProof w:val="0"/>
          <w:szCs w:val="16"/>
          <w:lang w:val="en-US"/>
        </w:rPr>
        <w:t>11</w:t>
      </w:r>
      <w:r>
        <w:rPr>
          <w:noProof w:val="0"/>
          <w:szCs w:val="16"/>
          <w:lang w:val="en-US"/>
        </w:rPr>
        <w:t xml:space="preserve">, 2013) </w:t>
      </w:r>
      <w:r w:rsidRPr="00BA61B2">
        <w:rPr>
          <w:noProof w:val="0"/>
          <w:szCs w:val="16"/>
          <w:lang w:val="en-US"/>
        </w:rPr>
        <w:t>Doc A/HRC/23/L.10/Rev.</w:t>
      </w:r>
      <w:r>
        <w:rPr>
          <w:noProof w:val="0"/>
          <w:szCs w:val="16"/>
          <w:lang w:val="en-US"/>
        </w:rPr>
        <w:t xml:space="preserve"> </w:t>
      </w:r>
      <w:r w:rsidRPr="00BA61B2">
        <w:rPr>
          <w:noProof w:val="0"/>
          <w:szCs w:val="16"/>
          <w:lang w:val="en-US"/>
        </w:rPr>
        <w:t>l para. 2; United Nations</w:t>
      </w:r>
      <w:r>
        <w:rPr>
          <w:noProof w:val="0"/>
          <w:szCs w:val="16"/>
          <w:lang w:val="en-US"/>
        </w:rPr>
        <w:t xml:space="preserve"> General Assembly</w:t>
      </w:r>
      <w:r w:rsidRPr="00BA61B2">
        <w:rPr>
          <w:noProof w:val="0"/>
          <w:szCs w:val="16"/>
          <w:lang w:val="en-US"/>
        </w:rPr>
        <w:t xml:space="preserve">, ‘Report of the </w:t>
      </w:r>
      <w:r>
        <w:rPr>
          <w:noProof w:val="0"/>
          <w:szCs w:val="16"/>
          <w:lang w:val="en-US"/>
        </w:rPr>
        <w:t>S</w:t>
      </w:r>
      <w:r w:rsidRPr="00BA61B2">
        <w:rPr>
          <w:noProof w:val="0"/>
          <w:szCs w:val="16"/>
          <w:lang w:val="en-US"/>
        </w:rPr>
        <w:t xml:space="preserve">pecial </w:t>
      </w:r>
      <w:r>
        <w:rPr>
          <w:noProof w:val="0"/>
          <w:szCs w:val="16"/>
          <w:lang w:val="en-US"/>
        </w:rPr>
        <w:t xml:space="preserve">Rapporteur on </w:t>
      </w:r>
      <w:r w:rsidRPr="00BA61B2">
        <w:rPr>
          <w:noProof w:val="0"/>
          <w:szCs w:val="16"/>
          <w:lang w:val="en-US"/>
        </w:rPr>
        <w:t xml:space="preserve">the </w:t>
      </w:r>
      <w:r>
        <w:rPr>
          <w:noProof w:val="0"/>
          <w:szCs w:val="16"/>
          <w:lang w:val="en-US"/>
        </w:rPr>
        <w:t xml:space="preserve">right </w:t>
      </w:r>
      <w:r w:rsidRPr="00BA61B2">
        <w:rPr>
          <w:noProof w:val="0"/>
          <w:szCs w:val="16"/>
          <w:lang w:val="en-US"/>
        </w:rPr>
        <w:t xml:space="preserve">of </w:t>
      </w:r>
      <w:r w:rsidRPr="002B0F43">
        <w:rPr>
          <w:color w:val="000000"/>
          <w:szCs w:val="16"/>
          <w:shd w:val="clear" w:color="auto" w:fill="FFFFFF"/>
        </w:rPr>
        <w:t>everyone to the enjoyment of the highest attainable standard of physical and mental health</w:t>
      </w:r>
      <w:r w:rsidRPr="00BA61B2">
        <w:rPr>
          <w:noProof w:val="0"/>
          <w:szCs w:val="16"/>
          <w:lang w:val="en-US"/>
        </w:rPr>
        <w:t>’</w:t>
      </w:r>
      <w:r>
        <w:rPr>
          <w:noProof w:val="0"/>
          <w:szCs w:val="16"/>
          <w:lang w:val="en-US"/>
        </w:rPr>
        <w:t>. Paul Hunt’ (</w:t>
      </w:r>
      <w:r w:rsidRPr="00BA61B2">
        <w:rPr>
          <w:noProof w:val="0"/>
          <w:szCs w:val="16"/>
          <w:lang w:val="en-US"/>
        </w:rPr>
        <w:t>September</w:t>
      </w:r>
      <w:r>
        <w:rPr>
          <w:noProof w:val="0"/>
          <w:szCs w:val="16"/>
          <w:lang w:val="en-US"/>
        </w:rPr>
        <w:t xml:space="preserve"> 13, </w:t>
      </w:r>
      <w:r w:rsidRPr="00BA61B2">
        <w:rPr>
          <w:noProof w:val="0"/>
          <w:szCs w:val="16"/>
          <w:lang w:val="en-US"/>
        </w:rPr>
        <w:t xml:space="preserve">2006) </w:t>
      </w:r>
      <w:r>
        <w:rPr>
          <w:noProof w:val="0"/>
          <w:szCs w:val="16"/>
          <w:lang w:val="en-US"/>
        </w:rPr>
        <w:t>UN</w:t>
      </w:r>
      <w:r w:rsidRPr="00BA61B2">
        <w:rPr>
          <w:noProof w:val="0"/>
          <w:szCs w:val="16"/>
          <w:lang w:val="en-US"/>
        </w:rPr>
        <w:t xml:space="preserve"> Doc A/61/338 para. 40, and United Nations Human Rights Council, ‘Report of the </w:t>
      </w:r>
      <w:r>
        <w:rPr>
          <w:noProof w:val="0"/>
          <w:szCs w:val="16"/>
          <w:lang w:val="en-US"/>
        </w:rPr>
        <w:t>S</w:t>
      </w:r>
      <w:r w:rsidRPr="00BA61B2">
        <w:rPr>
          <w:noProof w:val="0"/>
          <w:szCs w:val="16"/>
          <w:lang w:val="en-US"/>
        </w:rPr>
        <w:t xml:space="preserve">pecial </w:t>
      </w:r>
      <w:r>
        <w:rPr>
          <w:noProof w:val="0"/>
          <w:szCs w:val="16"/>
          <w:lang w:val="en-US"/>
        </w:rPr>
        <w:t xml:space="preserve">Rapporteur on </w:t>
      </w:r>
      <w:r w:rsidRPr="00BA61B2">
        <w:rPr>
          <w:noProof w:val="0"/>
          <w:szCs w:val="16"/>
          <w:lang w:val="en-US"/>
        </w:rPr>
        <w:t xml:space="preserve">the </w:t>
      </w:r>
      <w:r>
        <w:rPr>
          <w:noProof w:val="0"/>
          <w:szCs w:val="16"/>
          <w:lang w:val="en-US"/>
        </w:rPr>
        <w:t xml:space="preserve">right of </w:t>
      </w:r>
      <w:r w:rsidRPr="002B0F43">
        <w:rPr>
          <w:color w:val="000000"/>
          <w:szCs w:val="16"/>
          <w:shd w:val="clear" w:color="auto" w:fill="FFFFFF"/>
        </w:rPr>
        <w:t>everyone to the enjoyment of the highest attainable standard of physical and mental health</w:t>
      </w:r>
      <w:r w:rsidRPr="00BA61B2">
        <w:rPr>
          <w:noProof w:val="0"/>
          <w:szCs w:val="16"/>
          <w:lang w:val="en-US"/>
        </w:rPr>
        <w:t xml:space="preserve">’, Anand Grover, </w:t>
      </w:r>
      <w:r>
        <w:rPr>
          <w:noProof w:val="0"/>
          <w:szCs w:val="16"/>
          <w:lang w:val="en-US"/>
        </w:rPr>
        <w:t>on access to medicines</w:t>
      </w:r>
      <w:r w:rsidRPr="00BA61B2">
        <w:rPr>
          <w:noProof w:val="0"/>
          <w:szCs w:val="16"/>
          <w:lang w:val="en-US"/>
        </w:rPr>
        <w:t>’ (</w:t>
      </w:r>
      <w:r>
        <w:rPr>
          <w:noProof w:val="0"/>
          <w:szCs w:val="16"/>
          <w:lang w:val="en-US"/>
        </w:rPr>
        <w:t xml:space="preserve">May </w:t>
      </w:r>
      <w:r w:rsidRPr="00BA61B2">
        <w:rPr>
          <w:noProof w:val="0"/>
          <w:szCs w:val="16"/>
          <w:lang w:val="en-US"/>
        </w:rPr>
        <w:t>1</w:t>
      </w:r>
      <w:r>
        <w:rPr>
          <w:noProof w:val="0"/>
          <w:szCs w:val="16"/>
          <w:lang w:val="en-US"/>
        </w:rPr>
        <w:t>,</w:t>
      </w:r>
      <w:r w:rsidRPr="00BA61B2">
        <w:rPr>
          <w:noProof w:val="0"/>
          <w:szCs w:val="16"/>
          <w:lang w:val="en-US"/>
        </w:rPr>
        <w:t xml:space="preserve"> 2013) </w:t>
      </w:r>
      <w:r>
        <w:rPr>
          <w:noProof w:val="0"/>
          <w:szCs w:val="16"/>
          <w:lang w:val="en-US"/>
        </w:rPr>
        <w:t>UN</w:t>
      </w:r>
      <w:r w:rsidRPr="00BA61B2">
        <w:rPr>
          <w:noProof w:val="0"/>
          <w:szCs w:val="16"/>
          <w:lang w:val="en-US"/>
        </w:rPr>
        <w:t xml:space="preserve"> Doc A/HRC/23/42 para. 3.</w:t>
      </w:r>
    </w:p>
  </w:footnote>
  <w:footnote w:id="150">
    <w:p w14:paraId="28CBB5CC" w14:textId="77777777" w:rsidR="00432906" w:rsidRPr="00BA61B2" w:rsidRDefault="00432906" w:rsidP="007B0DE4">
      <w:pPr>
        <w:spacing w:beforeLines="60" w:before="144"/>
        <w:rPr>
          <w:sz w:val="16"/>
          <w:szCs w:val="16"/>
          <w:lang w:val="en-US"/>
        </w:rPr>
      </w:pPr>
      <w:r w:rsidRPr="00BA61B2">
        <w:rPr>
          <w:rStyle w:val="Refdenotaalpie"/>
          <w:sz w:val="16"/>
          <w:szCs w:val="16"/>
          <w:lang w:val="en-US"/>
        </w:rPr>
        <w:footnoteRef/>
      </w:r>
      <w:r w:rsidRPr="00BA61B2">
        <w:rPr>
          <w:sz w:val="16"/>
          <w:szCs w:val="16"/>
          <w:lang w:val="en-US"/>
        </w:rPr>
        <w:t xml:space="preserve"> </w:t>
      </w:r>
      <w:r w:rsidRPr="00BA61B2">
        <w:rPr>
          <w:sz w:val="16"/>
          <w:szCs w:val="16"/>
          <w:lang w:val="en-US"/>
        </w:rPr>
        <w:tab/>
      </w:r>
      <w:r w:rsidRPr="00BA61B2">
        <w:rPr>
          <w:i/>
          <w:sz w:val="16"/>
          <w:szCs w:val="16"/>
          <w:lang w:val="en-US"/>
        </w:rPr>
        <w:t>Case of Gonzales Lluy et al. v. Ecuador</w:t>
      </w:r>
      <w:r>
        <w:rPr>
          <w:sz w:val="16"/>
          <w:szCs w:val="16"/>
          <w:lang w:val="en-US"/>
        </w:rPr>
        <w:t>, para. 164, and</w:t>
      </w:r>
      <w:r w:rsidRPr="00BA61B2">
        <w:rPr>
          <w:sz w:val="16"/>
          <w:szCs w:val="16"/>
          <w:lang w:val="en-US"/>
        </w:rPr>
        <w:t xml:space="preserve">, </w:t>
      </w:r>
      <w:r>
        <w:rPr>
          <w:sz w:val="16"/>
          <w:szCs w:val="16"/>
          <w:lang w:val="en-US"/>
        </w:rPr>
        <w:t>for example</w:t>
      </w:r>
      <w:r w:rsidRPr="00BA61B2">
        <w:rPr>
          <w:sz w:val="16"/>
          <w:szCs w:val="16"/>
          <w:lang w:val="en-US"/>
        </w:rPr>
        <w:t xml:space="preserve">, Resolutions of the </w:t>
      </w:r>
      <w:r>
        <w:rPr>
          <w:sz w:val="16"/>
          <w:szCs w:val="16"/>
          <w:lang w:val="en-US"/>
        </w:rPr>
        <w:t xml:space="preserve">United Nations Commission on </w:t>
      </w:r>
      <w:r w:rsidRPr="00B57729">
        <w:rPr>
          <w:sz w:val="16"/>
          <w:szCs w:val="16"/>
          <w:lang w:val="en-US"/>
        </w:rPr>
        <w:t>Human Rights</w:t>
      </w:r>
      <w:r>
        <w:rPr>
          <w:sz w:val="16"/>
          <w:szCs w:val="16"/>
          <w:lang w:val="en-US"/>
        </w:rPr>
        <w:t>, ‘Access to</w:t>
      </w:r>
      <w:r w:rsidRPr="00BA61B2">
        <w:rPr>
          <w:sz w:val="16"/>
          <w:szCs w:val="16"/>
          <w:lang w:val="en-US"/>
        </w:rPr>
        <w:t xml:space="preserve"> medica</w:t>
      </w:r>
      <w:r>
        <w:rPr>
          <w:sz w:val="16"/>
          <w:szCs w:val="16"/>
          <w:lang w:val="en-US"/>
        </w:rPr>
        <w:t>tion in the context of pandemic</w:t>
      </w:r>
      <w:r w:rsidRPr="00BA61B2">
        <w:rPr>
          <w:sz w:val="16"/>
          <w:szCs w:val="16"/>
          <w:lang w:val="en-US"/>
        </w:rPr>
        <w:t xml:space="preserve">s </w:t>
      </w:r>
      <w:r>
        <w:rPr>
          <w:sz w:val="16"/>
          <w:szCs w:val="16"/>
          <w:lang w:val="en-US"/>
        </w:rPr>
        <w:t xml:space="preserve">such as </w:t>
      </w:r>
      <w:r w:rsidRPr="00BA61B2">
        <w:rPr>
          <w:sz w:val="16"/>
          <w:szCs w:val="16"/>
          <w:lang w:val="en-US"/>
        </w:rPr>
        <w:t xml:space="preserve">HIV/AIDS, tuberculosis and </w:t>
      </w:r>
      <w:r>
        <w:rPr>
          <w:sz w:val="16"/>
          <w:szCs w:val="16"/>
          <w:lang w:val="en-US"/>
        </w:rPr>
        <w:t>malaria,’</w:t>
      </w:r>
      <w:r w:rsidRPr="00BA61B2">
        <w:rPr>
          <w:sz w:val="16"/>
          <w:szCs w:val="16"/>
          <w:lang w:val="en-US"/>
        </w:rPr>
        <w:t xml:space="preserve"> Resolutions 2001/33, 2002/32, 2004/26 and 2005/23. </w:t>
      </w:r>
      <w:r w:rsidRPr="00B57729">
        <w:rPr>
          <w:sz w:val="16"/>
          <w:szCs w:val="16"/>
          <w:lang w:val="en-US"/>
        </w:rPr>
        <w:t xml:space="preserve">Similarly the Human Rights Council has </w:t>
      </w:r>
      <w:r>
        <w:rPr>
          <w:sz w:val="16"/>
          <w:szCs w:val="16"/>
          <w:lang w:val="en-US"/>
        </w:rPr>
        <w:t xml:space="preserve">commented on </w:t>
      </w:r>
      <w:r w:rsidRPr="00B57729">
        <w:rPr>
          <w:sz w:val="16"/>
          <w:szCs w:val="16"/>
          <w:lang w:val="en-US"/>
        </w:rPr>
        <w:t xml:space="preserve">HIV/AIDS. </w:t>
      </w:r>
      <w:r w:rsidRPr="00B57729">
        <w:rPr>
          <w:i/>
          <w:sz w:val="16"/>
          <w:szCs w:val="16"/>
          <w:lang w:val="en-US"/>
        </w:rPr>
        <w:t xml:space="preserve">Cf. </w:t>
      </w:r>
      <w:r w:rsidRPr="00B57729">
        <w:rPr>
          <w:sz w:val="16"/>
          <w:szCs w:val="16"/>
          <w:lang w:val="en-US"/>
        </w:rPr>
        <w:t>United Nations Human Rights Council</w:t>
      </w:r>
      <w:r w:rsidRPr="003E4261">
        <w:rPr>
          <w:sz w:val="16"/>
          <w:szCs w:val="16"/>
          <w:lang w:val="en-US"/>
        </w:rPr>
        <w:t>, Resolution on ‘The protection of human rights</w:t>
      </w:r>
      <w:r>
        <w:rPr>
          <w:sz w:val="16"/>
          <w:szCs w:val="16"/>
          <w:lang w:val="en-US"/>
        </w:rPr>
        <w:t xml:space="preserve"> in </w:t>
      </w:r>
      <w:r w:rsidRPr="00BA61B2">
        <w:rPr>
          <w:sz w:val="16"/>
          <w:szCs w:val="16"/>
          <w:lang w:val="en-US"/>
        </w:rPr>
        <w:t xml:space="preserve">the context of </w:t>
      </w:r>
      <w:r>
        <w:rPr>
          <w:sz w:val="16"/>
          <w:szCs w:val="16"/>
          <w:lang w:val="en-US"/>
        </w:rPr>
        <w:t>human im</w:t>
      </w:r>
      <w:r w:rsidRPr="00BA61B2">
        <w:rPr>
          <w:sz w:val="16"/>
          <w:szCs w:val="16"/>
          <w:lang w:val="en-US"/>
        </w:rPr>
        <w:t>munodeficienc</w:t>
      </w:r>
      <w:r>
        <w:rPr>
          <w:sz w:val="16"/>
          <w:szCs w:val="16"/>
          <w:lang w:val="en-US"/>
        </w:rPr>
        <w:t xml:space="preserve">y virus </w:t>
      </w:r>
      <w:r w:rsidRPr="00BA61B2">
        <w:rPr>
          <w:sz w:val="16"/>
          <w:szCs w:val="16"/>
          <w:lang w:val="en-US"/>
        </w:rPr>
        <w:t>(</w:t>
      </w:r>
      <w:r>
        <w:rPr>
          <w:sz w:val="16"/>
          <w:szCs w:val="16"/>
          <w:lang w:val="en-US"/>
        </w:rPr>
        <w:t>HI</w:t>
      </w:r>
      <w:r w:rsidRPr="00BA61B2">
        <w:rPr>
          <w:sz w:val="16"/>
          <w:szCs w:val="16"/>
          <w:lang w:val="en-US"/>
        </w:rPr>
        <w:t xml:space="preserve">V) and </w:t>
      </w:r>
      <w:r>
        <w:rPr>
          <w:sz w:val="16"/>
          <w:szCs w:val="16"/>
          <w:lang w:val="en-US"/>
        </w:rPr>
        <w:t xml:space="preserve">acquired immunodeficiency syndrome </w:t>
      </w:r>
      <w:r w:rsidRPr="00BA61B2">
        <w:rPr>
          <w:sz w:val="16"/>
          <w:szCs w:val="16"/>
          <w:lang w:val="en-US"/>
        </w:rPr>
        <w:t>(</w:t>
      </w:r>
      <w:r>
        <w:rPr>
          <w:sz w:val="16"/>
          <w:szCs w:val="16"/>
          <w:lang w:val="en-US"/>
        </w:rPr>
        <w:t>AIDS)’ (</w:t>
      </w:r>
      <w:r w:rsidRPr="00BA61B2">
        <w:rPr>
          <w:sz w:val="16"/>
          <w:szCs w:val="16"/>
          <w:lang w:val="en-US"/>
        </w:rPr>
        <w:t xml:space="preserve">April </w:t>
      </w:r>
      <w:r>
        <w:rPr>
          <w:sz w:val="16"/>
          <w:szCs w:val="16"/>
          <w:lang w:val="en-US"/>
        </w:rPr>
        <w:t xml:space="preserve">13, 2011) UN </w:t>
      </w:r>
      <w:r w:rsidRPr="00BA61B2">
        <w:rPr>
          <w:sz w:val="16"/>
          <w:szCs w:val="16"/>
          <w:lang w:val="en-US"/>
        </w:rPr>
        <w:t xml:space="preserve">Doc A/HRC/RES/16/28, para. 1. </w:t>
      </w:r>
      <w:r>
        <w:rPr>
          <w:sz w:val="16"/>
          <w:szCs w:val="16"/>
          <w:lang w:val="en-US"/>
        </w:rPr>
        <w:t>Also</w:t>
      </w:r>
      <w:r w:rsidRPr="00BA61B2">
        <w:rPr>
          <w:sz w:val="16"/>
          <w:szCs w:val="16"/>
          <w:lang w:val="en-US"/>
        </w:rPr>
        <w:t xml:space="preserve">, the </w:t>
      </w:r>
      <w:r>
        <w:rPr>
          <w:sz w:val="16"/>
          <w:szCs w:val="16"/>
          <w:lang w:val="en-US"/>
        </w:rPr>
        <w:t xml:space="preserve">Constitutional Court of Peru, in </w:t>
      </w:r>
      <w:r w:rsidRPr="00BA61B2">
        <w:rPr>
          <w:sz w:val="16"/>
          <w:szCs w:val="16"/>
          <w:lang w:val="en-US"/>
        </w:rPr>
        <w:t xml:space="preserve">the </w:t>
      </w:r>
      <w:r>
        <w:rPr>
          <w:sz w:val="16"/>
          <w:szCs w:val="16"/>
          <w:lang w:val="en-US"/>
        </w:rPr>
        <w:t xml:space="preserve">context </w:t>
      </w:r>
      <w:r w:rsidRPr="00BA61B2">
        <w:rPr>
          <w:sz w:val="16"/>
          <w:szCs w:val="16"/>
          <w:lang w:val="en-US"/>
        </w:rPr>
        <w:t xml:space="preserve">of </w:t>
      </w:r>
      <w:r>
        <w:rPr>
          <w:sz w:val="16"/>
          <w:szCs w:val="16"/>
          <w:lang w:val="en-US"/>
        </w:rPr>
        <w:t xml:space="preserve">recognizing persons with HIV as subjects of </w:t>
      </w:r>
      <w:r w:rsidRPr="00BA61B2">
        <w:rPr>
          <w:sz w:val="16"/>
          <w:szCs w:val="16"/>
          <w:lang w:val="en-US"/>
        </w:rPr>
        <w:t>special protection, ha</w:t>
      </w:r>
      <w:r>
        <w:rPr>
          <w:sz w:val="16"/>
          <w:szCs w:val="16"/>
          <w:lang w:val="en-US"/>
        </w:rPr>
        <w:t>s</w:t>
      </w:r>
      <w:r w:rsidRPr="00BA61B2">
        <w:rPr>
          <w:sz w:val="16"/>
          <w:szCs w:val="16"/>
          <w:lang w:val="en-US"/>
        </w:rPr>
        <w:t xml:space="preserve"> s</w:t>
      </w:r>
      <w:r>
        <w:rPr>
          <w:sz w:val="16"/>
          <w:szCs w:val="16"/>
          <w:lang w:val="en-US"/>
        </w:rPr>
        <w:t xml:space="preserve">tated </w:t>
      </w:r>
      <w:r w:rsidRPr="00BA61B2">
        <w:rPr>
          <w:sz w:val="16"/>
          <w:szCs w:val="16"/>
          <w:lang w:val="en-US"/>
        </w:rPr>
        <w:t xml:space="preserve">that </w:t>
      </w:r>
      <w:r>
        <w:rPr>
          <w:sz w:val="16"/>
          <w:szCs w:val="16"/>
          <w:lang w:val="en-US"/>
        </w:rPr>
        <w:t xml:space="preserve">their life </w:t>
      </w:r>
      <w:r w:rsidRPr="00BA61B2">
        <w:rPr>
          <w:sz w:val="16"/>
          <w:szCs w:val="16"/>
          <w:lang w:val="en-US"/>
        </w:rPr>
        <w:t>“</w:t>
      </w:r>
      <w:r>
        <w:rPr>
          <w:color w:val="000000"/>
          <w:sz w:val="16"/>
          <w:szCs w:val="16"/>
          <w:lang w:val="en-US"/>
        </w:rPr>
        <w:t>depends on</w:t>
      </w:r>
      <w:r w:rsidRPr="00BA61B2">
        <w:rPr>
          <w:color w:val="000000"/>
          <w:sz w:val="16"/>
          <w:szCs w:val="16"/>
          <w:lang w:val="en-US"/>
        </w:rPr>
        <w:t xml:space="preserve"> </w:t>
      </w:r>
      <w:r>
        <w:rPr>
          <w:color w:val="000000"/>
          <w:sz w:val="16"/>
          <w:szCs w:val="16"/>
          <w:lang w:val="en-US"/>
        </w:rPr>
        <w:t xml:space="preserve">the specific </w:t>
      </w:r>
      <w:r w:rsidRPr="00BA61B2">
        <w:rPr>
          <w:color w:val="000000"/>
          <w:sz w:val="16"/>
          <w:szCs w:val="16"/>
          <w:lang w:val="en-US"/>
        </w:rPr>
        <w:t xml:space="preserve">actions </w:t>
      </w:r>
      <w:r>
        <w:rPr>
          <w:color w:val="000000"/>
          <w:sz w:val="16"/>
          <w:szCs w:val="16"/>
          <w:lang w:val="en-US"/>
        </w:rPr>
        <w:t xml:space="preserve">undertaken by </w:t>
      </w:r>
      <w:r w:rsidRPr="00BA61B2">
        <w:rPr>
          <w:color w:val="000000"/>
          <w:sz w:val="16"/>
          <w:szCs w:val="16"/>
          <w:lang w:val="en-US"/>
        </w:rPr>
        <w:t xml:space="preserve">the State </w:t>
      </w:r>
      <w:r>
        <w:rPr>
          <w:color w:val="000000"/>
          <w:sz w:val="16"/>
          <w:szCs w:val="16"/>
          <w:lang w:val="en-US"/>
        </w:rPr>
        <w:t xml:space="preserve">in conjunction with </w:t>
      </w:r>
      <w:r w:rsidRPr="00BA61B2">
        <w:rPr>
          <w:color w:val="000000"/>
          <w:sz w:val="16"/>
          <w:szCs w:val="16"/>
          <w:lang w:val="en-US"/>
        </w:rPr>
        <w:t xml:space="preserve">the </w:t>
      </w:r>
      <w:r>
        <w:rPr>
          <w:color w:val="000000"/>
          <w:sz w:val="16"/>
          <w:szCs w:val="16"/>
          <w:lang w:val="en-US"/>
        </w:rPr>
        <w:t xml:space="preserve">community </w:t>
      </w:r>
      <w:r w:rsidRPr="00BA61B2">
        <w:rPr>
          <w:color w:val="000000"/>
          <w:sz w:val="16"/>
          <w:szCs w:val="16"/>
          <w:lang w:val="en-US"/>
        </w:rPr>
        <w:t>and the n</w:t>
      </w:r>
      <w:r>
        <w:rPr>
          <w:color w:val="000000"/>
          <w:sz w:val="16"/>
          <w:szCs w:val="16"/>
          <w:lang w:val="en-US"/>
        </w:rPr>
        <w:t>uclear family</w:t>
      </w:r>
      <w:r w:rsidRPr="00BA61B2">
        <w:rPr>
          <w:color w:val="000000"/>
          <w:sz w:val="16"/>
          <w:szCs w:val="16"/>
          <w:lang w:val="en-US"/>
        </w:rPr>
        <w:t xml:space="preserve">, </w:t>
      </w:r>
      <w:r>
        <w:rPr>
          <w:color w:val="000000"/>
          <w:sz w:val="16"/>
          <w:szCs w:val="16"/>
          <w:lang w:val="en-US"/>
        </w:rPr>
        <w:t xml:space="preserve">both in </w:t>
      </w:r>
      <w:r w:rsidRPr="00BA61B2">
        <w:rPr>
          <w:color w:val="000000"/>
          <w:sz w:val="16"/>
          <w:szCs w:val="16"/>
          <w:lang w:val="en-US"/>
        </w:rPr>
        <w:t xml:space="preserve">health </w:t>
      </w:r>
      <w:r>
        <w:rPr>
          <w:color w:val="000000"/>
          <w:sz w:val="16"/>
          <w:szCs w:val="16"/>
          <w:lang w:val="en-US"/>
        </w:rPr>
        <w:t xml:space="preserve">matters and regarding </w:t>
      </w:r>
      <w:r w:rsidRPr="00BA61B2">
        <w:rPr>
          <w:color w:val="000000"/>
          <w:sz w:val="16"/>
          <w:szCs w:val="16"/>
          <w:lang w:val="en-US"/>
        </w:rPr>
        <w:t>acces</w:t>
      </w:r>
      <w:r>
        <w:rPr>
          <w:color w:val="000000"/>
          <w:sz w:val="16"/>
          <w:szCs w:val="16"/>
          <w:lang w:val="en-US"/>
        </w:rPr>
        <w:t>s to highly active anti-</w:t>
      </w:r>
      <w:r w:rsidRPr="00BA61B2">
        <w:rPr>
          <w:color w:val="000000"/>
          <w:sz w:val="16"/>
          <w:szCs w:val="16"/>
          <w:lang w:val="en-US"/>
        </w:rPr>
        <w:t xml:space="preserve">retroviral </w:t>
      </w:r>
      <w:r>
        <w:rPr>
          <w:color w:val="000000"/>
          <w:sz w:val="16"/>
          <w:szCs w:val="16"/>
          <w:lang w:val="en-US"/>
        </w:rPr>
        <w:t>treatment</w:t>
      </w:r>
      <w:r w:rsidRPr="00BA61B2">
        <w:rPr>
          <w:color w:val="000000"/>
          <w:sz w:val="16"/>
          <w:szCs w:val="16"/>
          <w:lang w:val="en-US"/>
        </w:rPr>
        <w:t xml:space="preserve">, as </w:t>
      </w:r>
      <w:r>
        <w:rPr>
          <w:color w:val="000000"/>
          <w:sz w:val="16"/>
          <w:szCs w:val="16"/>
          <w:lang w:val="en-US"/>
        </w:rPr>
        <w:t>well as in other</w:t>
      </w:r>
      <w:r w:rsidRPr="00BA61B2">
        <w:rPr>
          <w:color w:val="000000"/>
          <w:sz w:val="16"/>
          <w:szCs w:val="16"/>
          <w:lang w:val="en-US"/>
        </w:rPr>
        <w:t xml:space="preserve"> aspects </w:t>
      </w:r>
      <w:r>
        <w:rPr>
          <w:color w:val="000000"/>
          <w:sz w:val="16"/>
          <w:szCs w:val="16"/>
          <w:lang w:val="en-US"/>
        </w:rPr>
        <w:t xml:space="preserve">of </w:t>
      </w:r>
      <w:r w:rsidRPr="00BA61B2">
        <w:rPr>
          <w:color w:val="000000"/>
          <w:sz w:val="16"/>
          <w:szCs w:val="16"/>
          <w:lang w:val="en-US"/>
        </w:rPr>
        <w:t xml:space="preserve">prevention, </w:t>
      </w:r>
      <w:r>
        <w:rPr>
          <w:color w:val="000000"/>
          <w:sz w:val="16"/>
          <w:szCs w:val="16"/>
          <w:lang w:val="en-US"/>
        </w:rPr>
        <w:t xml:space="preserve">comprehensive quality assurance, social security and </w:t>
      </w:r>
      <w:r w:rsidRPr="00BA61B2">
        <w:rPr>
          <w:color w:val="000000"/>
          <w:sz w:val="16"/>
          <w:szCs w:val="16"/>
          <w:lang w:val="en-US"/>
        </w:rPr>
        <w:t>pension</w:t>
      </w:r>
      <w:r>
        <w:rPr>
          <w:color w:val="000000"/>
          <w:sz w:val="16"/>
          <w:szCs w:val="16"/>
          <w:lang w:val="en-US"/>
        </w:rPr>
        <w:t>s.”</w:t>
      </w:r>
      <w:r w:rsidRPr="00BA61B2">
        <w:rPr>
          <w:color w:val="000000"/>
          <w:sz w:val="16"/>
          <w:szCs w:val="16"/>
          <w:lang w:val="en-US"/>
        </w:rPr>
        <w:t xml:space="preserve"> </w:t>
      </w:r>
      <w:r w:rsidRPr="00BA61B2">
        <w:rPr>
          <w:i/>
          <w:color w:val="000000"/>
          <w:sz w:val="16"/>
          <w:szCs w:val="16"/>
          <w:lang w:val="en-US"/>
        </w:rPr>
        <w:t xml:space="preserve">Cf. </w:t>
      </w:r>
      <w:r w:rsidRPr="00BA61B2">
        <w:rPr>
          <w:color w:val="000000"/>
          <w:sz w:val="16"/>
          <w:szCs w:val="16"/>
          <w:lang w:val="en-US"/>
        </w:rPr>
        <w:t xml:space="preserve">Judgment of the Constitutional </w:t>
      </w:r>
      <w:r>
        <w:rPr>
          <w:color w:val="000000"/>
          <w:sz w:val="16"/>
          <w:szCs w:val="16"/>
          <w:lang w:val="en-US"/>
        </w:rPr>
        <w:t xml:space="preserve">Court of </w:t>
      </w:r>
      <w:r w:rsidRPr="00BA61B2">
        <w:rPr>
          <w:color w:val="000000"/>
          <w:sz w:val="16"/>
          <w:szCs w:val="16"/>
          <w:lang w:val="en-US"/>
        </w:rPr>
        <w:t xml:space="preserve">August </w:t>
      </w:r>
      <w:r>
        <w:rPr>
          <w:color w:val="000000"/>
          <w:sz w:val="16"/>
          <w:szCs w:val="16"/>
          <w:lang w:val="en-US"/>
        </w:rPr>
        <w:t xml:space="preserve">9, </w:t>
      </w:r>
      <w:r w:rsidRPr="00BA61B2">
        <w:rPr>
          <w:color w:val="000000"/>
          <w:sz w:val="16"/>
          <w:szCs w:val="16"/>
          <w:lang w:val="en-US"/>
        </w:rPr>
        <w:t>2011, file number 0479-2009-PA/TC, para. 29</w:t>
      </w:r>
      <w:r w:rsidRPr="00BA61B2">
        <w:rPr>
          <w:sz w:val="16"/>
          <w:szCs w:val="16"/>
          <w:lang w:val="en-US"/>
        </w:rPr>
        <w:t>.</w:t>
      </w:r>
    </w:p>
  </w:footnote>
  <w:footnote w:id="151">
    <w:p w14:paraId="2A0A0F81" w14:textId="77777777" w:rsidR="00432906" w:rsidRPr="00BA61B2" w:rsidRDefault="00432906" w:rsidP="007B0DE4">
      <w:pPr>
        <w:pStyle w:val="Textonotapie"/>
        <w:rPr>
          <w:noProof w:val="0"/>
          <w:lang w:val="en-US"/>
        </w:rPr>
      </w:pPr>
      <w:r w:rsidRPr="00BA61B2">
        <w:rPr>
          <w:rStyle w:val="Refdenotaalpie"/>
          <w:noProof w:val="0"/>
          <w:lang w:val="en-US"/>
        </w:rPr>
        <w:footnoteRef/>
      </w:r>
      <w:r w:rsidRPr="00BA61B2">
        <w:rPr>
          <w:noProof w:val="0"/>
          <w:lang w:val="en-US"/>
        </w:rPr>
        <w:t xml:space="preserve"> </w:t>
      </w:r>
      <w:r w:rsidRPr="00BA61B2">
        <w:rPr>
          <w:noProof w:val="0"/>
          <w:lang w:val="en-US"/>
        </w:rPr>
        <w:tab/>
      </w:r>
      <w:r w:rsidRPr="00BA61B2">
        <w:rPr>
          <w:i/>
          <w:noProof w:val="0"/>
          <w:szCs w:val="16"/>
          <w:lang w:val="en-US"/>
        </w:rPr>
        <w:t>Case of Gonzales Lluy et al. v. Ecuador</w:t>
      </w:r>
      <w:r w:rsidRPr="00BA61B2">
        <w:rPr>
          <w:noProof w:val="0"/>
          <w:szCs w:val="16"/>
          <w:lang w:val="en-US"/>
        </w:rPr>
        <w:t xml:space="preserve">, para. </w:t>
      </w:r>
      <w:r w:rsidRPr="00BA61B2">
        <w:rPr>
          <w:noProof w:val="0"/>
          <w:lang w:val="en-US"/>
        </w:rPr>
        <w:t>195, and Of</w:t>
      </w:r>
      <w:r>
        <w:rPr>
          <w:noProof w:val="0"/>
          <w:lang w:val="en-US"/>
        </w:rPr>
        <w:t>f</w:t>
      </w:r>
      <w:r w:rsidRPr="00BA61B2">
        <w:rPr>
          <w:noProof w:val="0"/>
          <w:lang w:val="en-US"/>
        </w:rPr>
        <w:t>ic</w:t>
      </w:r>
      <w:r>
        <w:rPr>
          <w:noProof w:val="0"/>
          <w:lang w:val="en-US"/>
        </w:rPr>
        <w:t xml:space="preserve">e </w:t>
      </w:r>
      <w:r w:rsidRPr="00BA61B2">
        <w:rPr>
          <w:noProof w:val="0"/>
          <w:lang w:val="en-US"/>
        </w:rPr>
        <w:t>of the United Nations High Commissioner for Human Rights (</w:t>
      </w:r>
      <w:r>
        <w:rPr>
          <w:noProof w:val="0"/>
          <w:lang w:val="en-US"/>
        </w:rPr>
        <w:t>OHCHR</w:t>
      </w:r>
      <w:r w:rsidRPr="00BA61B2">
        <w:rPr>
          <w:noProof w:val="0"/>
          <w:lang w:val="en-US"/>
        </w:rPr>
        <w:t xml:space="preserve">) and the </w:t>
      </w:r>
      <w:r>
        <w:rPr>
          <w:noProof w:val="0"/>
          <w:lang w:val="en-US"/>
        </w:rPr>
        <w:t xml:space="preserve">Joint </w:t>
      </w:r>
      <w:r w:rsidRPr="00BA61B2">
        <w:rPr>
          <w:noProof w:val="0"/>
          <w:lang w:val="en-US"/>
        </w:rPr>
        <w:t xml:space="preserve">United Nations </w:t>
      </w:r>
      <w:r>
        <w:rPr>
          <w:noProof w:val="0"/>
          <w:lang w:val="en-US"/>
        </w:rPr>
        <w:t xml:space="preserve">Programme on </w:t>
      </w:r>
      <w:r w:rsidRPr="00BA61B2">
        <w:rPr>
          <w:noProof w:val="0"/>
          <w:lang w:val="en-US"/>
        </w:rPr>
        <w:t>HIV/</w:t>
      </w:r>
      <w:r>
        <w:rPr>
          <w:noProof w:val="0"/>
          <w:lang w:val="en-US"/>
        </w:rPr>
        <w:t>AIDS</w:t>
      </w:r>
      <w:r w:rsidRPr="00BA61B2">
        <w:rPr>
          <w:noProof w:val="0"/>
          <w:lang w:val="en-US"/>
        </w:rPr>
        <w:t xml:space="preserve"> (</w:t>
      </w:r>
      <w:r>
        <w:rPr>
          <w:noProof w:val="0"/>
          <w:lang w:val="en-US"/>
        </w:rPr>
        <w:t>UNAIDS</w:t>
      </w:r>
      <w:r w:rsidRPr="00BA61B2">
        <w:rPr>
          <w:noProof w:val="0"/>
          <w:lang w:val="en-US"/>
        </w:rPr>
        <w:t>)</w:t>
      </w:r>
      <w:r w:rsidRPr="00BA61B2">
        <w:rPr>
          <w:noProof w:val="0"/>
          <w:szCs w:val="16"/>
          <w:lang w:val="en-US"/>
        </w:rPr>
        <w:t xml:space="preserve">, </w:t>
      </w:r>
      <w:r>
        <w:rPr>
          <w:i/>
          <w:iCs/>
          <w:noProof w:val="0"/>
          <w:lang w:val="en-US"/>
        </w:rPr>
        <w:t>I</w:t>
      </w:r>
      <w:r w:rsidRPr="00BA61B2">
        <w:rPr>
          <w:i/>
          <w:iCs/>
          <w:noProof w:val="0"/>
          <w:lang w:val="en-US"/>
        </w:rPr>
        <w:t xml:space="preserve">nternational </w:t>
      </w:r>
      <w:r>
        <w:rPr>
          <w:i/>
          <w:iCs/>
          <w:noProof w:val="0"/>
          <w:lang w:val="en-US"/>
        </w:rPr>
        <w:t xml:space="preserve">Guidelines on </w:t>
      </w:r>
      <w:r w:rsidRPr="00BA61B2">
        <w:rPr>
          <w:i/>
          <w:iCs/>
          <w:noProof w:val="0"/>
          <w:lang w:val="en-US"/>
        </w:rPr>
        <w:t>HIV/</w:t>
      </w:r>
      <w:r>
        <w:rPr>
          <w:i/>
          <w:iCs/>
          <w:noProof w:val="0"/>
          <w:lang w:val="en-US"/>
        </w:rPr>
        <w:t>AID</w:t>
      </w:r>
      <w:r w:rsidRPr="00BA61B2">
        <w:rPr>
          <w:i/>
          <w:iCs/>
          <w:noProof w:val="0"/>
          <w:lang w:val="en-US"/>
        </w:rPr>
        <w:t>S</w:t>
      </w:r>
      <w:r>
        <w:rPr>
          <w:i/>
          <w:iCs/>
          <w:noProof w:val="0"/>
          <w:lang w:val="en-US"/>
        </w:rPr>
        <w:t xml:space="preserve"> and Human R</w:t>
      </w:r>
      <w:r w:rsidRPr="00BA61B2">
        <w:rPr>
          <w:i/>
          <w:iCs/>
          <w:noProof w:val="0"/>
          <w:lang w:val="en-US"/>
        </w:rPr>
        <w:t xml:space="preserve">ights. </w:t>
      </w:r>
      <w:r>
        <w:rPr>
          <w:iCs/>
          <w:noProof w:val="0"/>
          <w:lang w:val="en-US"/>
        </w:rPr>
        <w:t>C</w:t>
      </w:r>
      <w:r w:rsidRPr="00BA61B2">
        <w:rPr>
          <w:iCs/>
          <w:noProof w:val="0"/>
          <w:lang w:val="en-US"/>
        </w:rPr>
        <w:t>onsolida</w:t>
      </w:r>
      <w:r>
        <w:rPr>
          <w:iCs/>
          <w:noProof w:val="0"/>
          <w:lang w:val="en-US"/>
        </w:rPr>
        <w:t xml:space="preserve">ted version, </w:t>
      </w:r>
      <w:r w:rsidRPr="00BA61B2">
        <w:rPr>
          <w:iCs/>
          <w:noProof w:val="0"/>
          <w:lang w:val="en-US"/>
        </w:rPr>
        <w:t xml:space="preserve">2006, </w:t>
      </w:r>
      <w:r>
        <w:rPr>
          <w:iCs/>
          <w:noProof w:val="0"/>
          <w:lang w:val="en-US"/>
        </w:rPr>
        <w:t>Guideline Six</w:t>
      </w:r>
      <w:r w:rsidRPr="00BA61B2">
        <w:rPr>
          <w:iCs/>
          <w:noProof w:val="0"/>
          <w:lang w:val="en-US"/>
        </w:rPr>
        <w:t xml:space="preserve">. </w:t>
      </w:r>
    </w:p>
  </w:footnote>
  <w:footnote w:id="152">
    <w:p w14:paraId="5F018AC6" w14:textId="77777777" w:rsidR="00432906" w:rsidRPr="00BA61B2" w:rsidRDefault="00432906" w:rsidP="007B0DE4">
      <w:pPr>
        <w:pStyle w:val="Textonotapie"/>
        <w:rPr>
          <w:noProof w:val="0"/>
          <w:lang w:val="en-US"/>
        </w:rPr>
      </w:pPr>
      <w:r w:rsidRPr="00BA61B2">
        <w:rPr>
          <w:rStyle w:val="Refdenotaalpie"/>
          <w:noProof w:val="0"/>
          <w:lang w:val="en-US"/>
        </w:rPr>
        <w:footnoteRef/>
      </w:r>
      <w:r w:rsidRPr="00BA61B2">
        <w:rPr>
          <w:noProof w:val="0"/>
          <w:lang w:val="en-US"/>
        </w:rPr>
        <w:t xml:space="preserve"> </w:t>
      </w:r>
      <w:r w:rsidRPr="00BA61B2">
        <w:rPr>
          <w:noProof w:val="0"/>
          <w:lang w:val="en-US"/>
        </w:rPr>
        <w:tab/>
      </w:r>
      <w:r w:rsidRPr="00BA61B2">
        <w:rPr>
          <w:i/>
          <w:noProof w:val="0"/>
          <w:szCs w:val="16"/>
          <w:lang w:val="en-US"/>
        </w:rPr>
        <w:t>Case of Gonzales Lluy et al. v. Ecuador</w:t>
      </w:r>
      <w:r w:rsidRPr="00BA61B2">
        <w:rPr>
          <w:noProof w:val="0"/>
          <w:szCs w:val="16"/>
          <w:lang w:val="en-US"/>
        </w:rPr>
        <w:t xml:space="preserve">, para. </w:t>
      </w:r>
      <w:r w:rsidRPr="00BA61B2">
        <w:rPr>
          <w:noProof w:val="0"/>
          <w:lang w:val="en-US"/>
        </w:rPr>
        <w:t xml:space="preserve">196, and </w:t>
      </w:r>
      <w:r>
        <w:rPr>
          <w:noProof w:val="0"/>
          <w:szCs w:val="16"/>
          <w:lang w:val="en-US"/>
        </w:rPr>
        <w:t>OHCHR</w:t>
      </w:r>
      <w:r w:rsidRPr="00BA61B2">
        <w:rPr>
          <w:noProof w:val="0"/>
          <w:szCs w:val="16"/>
          <w:lang w:val="en-US"/>
        </w:rPr>
        <w:t xml:space="preserve"> and </w:t>
      </w:r>
      <w:r>
        <w:rPr>
          <w:noProof w:val="0"/>
          <w:szCs w:val="16"/>
          <w:lang w:val="en-US"/>
        </w:rPr>
        <w:t>UNAIDS</w:t>
      </w:r>
      <w:r w:rsidRPr="00BA61B2">
        <w:rPr>
          <w:noProof w:val="0"/>
          <w:szCs w:val="16"/>
          <w:lang w:val="en-US"/>
        </w:rPr>
        <w:t xml:space="preserve">, </w:t>
      </w:r>
      <w:r>
        <w:rPr>
          <w:i/>
          <w:iCs/>
          <w:noProof w:val="0"/>
          <w:lang w:val="en-US"/>
        </w:rPr>
        <w:t>International Guidelines on HIV/AIDS and Human Rights</w:t>
      </w:r>
      <w:r w:rsidRPr="00BA61B2">
        <w:rPr>
          <w:i/>
          <w:iCs/>
          <w:noProof w:val="0"/>
          <w:lang w:val="en-US"/>
        </w:rPr>
        <w:t xml:space="preserve">. </w:t>
      </w:r>
      <w:r>
        <w:t>2006 Consolidated Version</w:t>
      </w:r>
      <w:r w:rsidRPr="00BA61B2">
        <w:rPr>
          <w:iCs/>
          <w:noProof w:val="0"/>
          <w:lang w:val="en-US"/>
        </w:rPr>
        <w:t xml:space="preserve">, </w:t>
      </w:r>
      <w:r>
        <w:rPr>
          <w:iCs/>
          <w:noProof w:val="0"/>
          <w:lang w:val="en-US"/>
        </w:rPr>
        <w:t>Commentary on Guideline Six</w:t>
      </w:r>
      <w:r w:rsidRPr="00BA61B2">
        <w:rPr>
          <w:iCs/>
          <w:noProof w:val="0"/>
          <w:lang w:val="en-US"/>
        </w:rPr>
        <w:t xml:space="preserve">, para. 26. </w:t>
      </w:r>
    </w:p>
  </w:footnote>
  <w:footnote w:id="153">
    <w:p w14:paraId="5935AFA3" w14:textId="77777777" w:rsidR="00432906" w:rsidRPr="00BA61B2" w:rsidRDefault="00432906" w:rsidP="007B0DE4">
      <w:pPr>
        <w:pStyle w:val="Textonotapie"/>
        <w:spacing w:beforeLines="60" w:before="144" w:after="0"/>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Pr>
          <w:noProof w:val="0"/>
          <w:szCs w:val="16"/>
          <w:lang w:val="en-US"/>
        </w:rPr>
        <w:t>The Guidelines</w:t>
      </w:r>
      <w:r w:rsidRPr="00BA61B2">
        <w:rPr>
          <w:noProof w:val="0"/>
          <w:szCs w:val="16"/>
          <w:lang w:val="en-US"/>
        </w:rPr>
        <w:t xml:space="preserve"> also indicate that “</w:t>
      </w:r>
      <w:r>
        <w:t>States should also ensure access to adequate treatment and drugs, within the overall context of their public health policies, so that people living with HIV can live as long and as successfully as possible. People living with HIV should also have access to clinical trials and should be free to choose amongst all available drugs and therapies, including alternative therapies</w:t>
      </w:r>
      <w:r>
        <w:rPr>
          <w:noProof w:val="0"/>
          <w:szCs w:val="16"/>
          <w:lang w:val="en-US"/>
        </w:rPr>
        <w:t>.”</w:t>
      </w:r>
      <w:r w:rsidRPr="00BA61B2">
        <w:rPr>
          <w:noProof w:val="0"/>
          <w:szCs w:val="16"/>
          <w:lang w:val="en-US"/>
        </w:rPr>
        <w:t xml:space="preserve"> </w:t>
      </w:r>
      <w:r>
        <w:rPr>
          <w:noProof w:val="0"/>
          <w:szCs w:val="16"/>
          <w:lang w:val="en-US"/>
        </w:rPr>
        <w:t>OHCHR</w:t>
      </w:r>
      <w:r w:rsidRPr="00BA61B2">
        <w:rPr>
          <w:noProof w:val="0"/>
          <w:szCs w:val="16"/>
          <w:lang w:val="en-US"/>
        </w:rPr>
        <w:t xml:space="preserve"> and </w:t>
      </w:r>
      <w:r>
        <w:rPr>
          <w:noProof w:val="0"/>
          <w:szCs w:val="16"/>
          <w:lang w:val="en-US"/>
        </w:rPr>
        <w:t>UNAIDS</w:t>
      </w:r>
      <w:r w:rsidRPr="00BA61B2">
        <w:rPr>
          <w:noProof w:val="0"/>
          <w:szCs w:val="16"/>
          <w:lang w:val="en-US"/>
        </w:rPr>
        <w:t xml:space="preserve">, </w:t>
      </w:r>
      <w:r>
        <w:rPr>
          <w:i/>
          <w:iCs/>
          <w:noProof w:val="0"/>
          <w:lang w:val="en-US"/>
        </w:rPr>
        <w:t>International Guidelines on HIV/AIDS and Human Rights</w:t>
      </w:r>
      <w:r w:rsidRPr="00BA61B2">
        <w:rPr>
          <w:i/>
          <w:iCs/>
          <w:noProof w:val="0"/>
          <w:lang w:val="en-US"/>
        </w:rPr>
        <w:t xml:space="preserve">. </w:t>
      </w:r>
      <w:r>
        <w:t>2006 Consolidated Version</w:t>
      </w:r>
      <w:r w:rsidRPr="00BA61B2">
        <w:rPr>
          <w:iCs/>
          <w:noProof w:val="0"/>
          <w:lang w:val="en-US"/>
        </w:rPr>
        <w:t xml:space="preserve">, para. 145. </w:t>
      </w:r>
      <w:r>
        <w:rPr>
          <w:iCs/>
          <w:noProof w:val="0"/>
          <w:lang w:val="en-US"/>
        </w:rPr>
        <w:t xml:space="preserve">With regard to </w:t>
      </w:r>
      <w:r w:rsidRPr="003E4261">
        <w:rPr>
          <w:noProof w:val="0"/>
          <w:szCs w:val="16"/>
          <w:lang w:val="en-US"/>
        </w:rPr>
        <w:t xml:space="preserve">the protection of the right to health of persons with HIV/AIDS, </w:t>
      </w:r>
      <w:r>
        <w:rPr>
          <w:iCs/>
          <w:noProof w:val="0"/>
          <w:lang w:val="en-US"/>
        </w:rPr>
        <w:t>t</w:t>
      </w:r>
      <w:r w:rsidRPr="00BA61B2">
        <w:rPr>
          <w:noProof w:val="0"/>
          <w:szCs w:val="16"/>
          <w:lang w:val="en-US"/>
        </w:rPr>
        <w:t>he Constitutional Court</w:t>
      </w:r>
      <w:r>
        <w:rPr>
          <w:noProof w:val="0"/>
          <w:szCs w:val="16"/>
          <w:lang w:val="en-US"/>
        </w:rPr>
        <w:t xml:space="preserve"> of Colombia </w:t>
      </w:r>
      <w:r w:rsidRPr="003E4261">
        <w:rPr>
          <w:noProof w:val="0"/>
          <w:szCs w:val="16"/>
          <w:lang w:val="en-US"/>
        </w:rPr>
        <w:t xml:space="preserve">has stated that </w:t>
      </w:r>
      <w:r w:rsidRPr="00D55F42">
        <w:rPr>
          <w:noProof w:val="0"/>
          <w:szCs w:val="16"/>
          <w:lang w:val="en-US"/>
        </w:rPr>
        <w:t>“in order to ensure equality and human dignity to those persons in matters of health, the State must provide comprehensive protection, given the high costs entailed by the disease and to prevent discriminatory treatment.</w:t>
      </w:r>
      <w:r>
        <w:rPr>
          <w:noProof w:val="0"/>
          <w:szCs w:val="16"/>
          <w:lang w:val="en-US"/>
        </w:rPr>
        <w:t>”</w:t>
      </w:r>
      <w:r w:rsidRPr="00BA61B2">
        <w:rPr>
          <w:noProof w:val="0"/>
          <w:szCs w:val="16"/>
          <w:lang w:val="en-US"/>
        </w:rPr>
        <w:t xml:space="preserve"> </w:t>
      </w:r>
      <w:r>
        <w:rPr>
          <w:noProof w:val="0"/>
          <w:szCs w:val="16"/>
          <w:lang w:val="en-US"/>
        </w:rPr>
        <w:t xml:space="preserve">It has also held that </w:t>
      </w:r>
      <w:r w:rsidRPr="00BA61B2">
        <w:rPr>
          <w:noProof w:val="0"/>
          <w:szCs w:val="16"/>
          <w:lang w:val="en-US"/>
        </w:rPr>
        <w:t>“</w:t>
      </w:r>
      <w:r>
        <w:rPr>
          <w:noProof w:val="0"/>
          <w:szCs w:val="16"/>
          <w:lang w:val="en-US"/>
        </w:rPr>
        <w:t xml:space="preserve">this </w:t>
      </w:r>
      <w:r w:rsidRPr="006C06F6">
        <w:rPr>
          <w:noProof w:val="0"/>
          <w:szCs w:val="16"/>
          <w:lang w:val="en-US"/>
        </w:rPr>
        <w:t xml:space="preserve">constitutional duty [of protection] </w:t>
      </w:r>
      <w:r>
        <w:rPr>
          <w:noProof w:val="0"/>
          <w:szCs w:val="16"/>
          <w:lang w:val="en-US"/>
        </w:rPr>
        <w:t xml:space="preserve">guarantees </w:t>
      </w:r>
      <w:r w:rsidRPr="006C06F6">
        <w:rPr>
          <w:noProof w:val="0"/>
          <w:szCs w:val="16"/>
          <w:lang w:val="en-US"/>
        </w:rPr>
        <w:t xml:space="preserve">that AIDS patients receive comprehensive </w:t>
      </w:r>
      <w:r>
        <w:rPr>
          <w:noProof w:val="0"/>
          <w:szCs w:val="16"/>
          <w:lang w:val="en-US"/>
        </w:rPr>
        <w:t xml:space="preserve">health </w:t>
      </w:r>
      <w:r w:rsidRPr="006C06F6">
        <w:rPr>
          <w:noProof w:val="0"/>
          <w:szCs w:val="16"/>
          <w:lang w:val="en-US"/>
        </w:rPr>
        <w:t xml:space="preserve">care, free of charge, from the State, </w:t>
      </w:r>
      <w:r>
        <w:rPr>
          <w:noProof w:val="0"/>
          <w:szCs w:val="16"/>
          <w:lang w:val="en-US"/>
        </w:rPr>
        <w:t xml:space="preserve">in order to ensure </w:t>
      </w:r>
      <w:r w:rsidRPr="007E17F7">
        <w:rPr>
          <w:noProof w:val="0"/>
          <w:szCs w:val="16"/>
          <w:lang w:val="en-US"/>
        </w:rPr>
        <w:t xml:space="preserve">that a lack of financial means does not prevent </w:t>
      </w:r>
      <w:r>
        <w:rPr>
          <w:noProof w:val="0"/>
          <w:szCs w:val="16"/>
          <w:lang w:val="en-US"/>
        </w:rPr>
        <w:t xml:space="preserve">such patients from treating their </w:t>
      </w:r>
      <w:r w:rsidRPr="004F09C1">
        <w:rPr>
          <w:noProof w:val="0"/>
          <w:szCs w:val="16"/>
          <w:lang w:val="en-US"/>
        </w:rPr>
        <w:t xml:space="preserve">disease and alleviating their suffering, </w:t>
      </w:r>
      <w:r>
        <w:rPr>
          <w:noProof w:val="0"/>
          <w:szCs w:val="16"/>
          <w:lang w:val="en-US"/>
        </w:rPr>
        <w:t xml:space="preserve">or being exposed to </w:t>
      </w:r>
      <w:r w:rsidRPr="004F09C1">
        <w:rPr>
          <w:noProof w:val="0"/>
          <w:szCs w:val="16"/>
          <w:lang w:val="en-US"/>
        </w:rPr>
        <w:t xml:space="preserve">discrimination”. </w:t>
      </w:r>
      <w:r>
        <w:rPr>
          <w:noProof w:val="0"/>
          <w:szCs w:val="16"/>
          <w:lang w:val="en-US"/>
        </w:rPr>
        <w:t>Cf. J</w:t>
      </w:r>
      <w:r w:rsidRPr="00895EE3">
        <w:rPr>
          <w:noProof w:val="0"/>
          <w:szCs w:val="16"/>
          <w:lang w:val="en-US"/>
        </w:rPr>
        <w:t xml:space="preserve">udgment T-843 of the Constitutional Court of Colombia of </w:t>
      </w:r>
      <w:r w:rsidRPr="00895EE3">
        <w:rPr>
          <w:noProof w:val="0"/>
          <w:lang w:val="en-US"/>
        </w:rPr>
        <w:t>September 2, 2004</w:t>
      </w:r>
      <w:r>
        <w:rPr>
          <w:noProof w:val="0"/>
          <w:lang w:val="en-US"/>
        </w:rPr>
        <w:t xml:space="preserve">. See also </w:t>
      </w:r>
      <w:r>
        <w:rPr>
          <w:noProof w:val="0"/>
          <w:szCs w:val="16"/>
          <w:lang w:val="en-US"/>
        </w:rPr>
        <w:t xml:space="preserve">expert opinion of Paul Hunt </w:t>
      </w:r>
      <w:r w:rsidRPr="00BA61B2">
        <w:rPr>
          <w:noProof w:val="0"/>
          <w:szCs w:val="16"/>
          <w:lang w:val="en-US"/>
        </w:rPr>
        <w:t xml:space="preserve">March </w:t>
      </w:r>
      <w:r>
        <w:rPr>
          <w:noProof w:val="0"/>
          <w:szCs w:val="16"/>
          <w:lang w:val="en-US"/>
        </w:rPr>
        <w:t xml:space="preserve">6, </w:t>
      </w:r>
      <w:r w:rsidRPr="00BA61B2">
        <w:rPr>
          <w:noProof w:val="0"/>
          <w:szCs w:val="16"/>
          <w:lang w:val="en-US"/>
        </w:rPr>
        <w:t>20</w:t>
      </w:r>
      <w:r>
        <w:rPr>
          <w:noProof w:val="0"/>
          <w:szCs w:val="16"/>
          <w:lang w:val="en-US"/>
        </w:rPr>
        <w:t>15 (evidence file, folios 3706 to</w:t>
      </w:r>
      <w:r w:rsidRPr="00BA61B2">
        <w:rPr>
          <w:noProof w:val="0"/>
          <w:szCs w:val="16"/>
          <w:lang w:val="en-US"/>
        </w:rPr>
        <w:t xml:space="preserve"> 3734). </w:t>
      </w:r>
    </w:p>
  </w:footnote>
  <w:footnote w:id="154">
    <w:p w14:paraId="7B9FD4A8"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t xml:space="preserve">Congress of the Republic of Colombia, Law 972 of 2005, July </w:t>
      </w:r>
      <w:r>
        <w:rPr>
          <w:noProof w:val="0"/>
          <w:szCs w:val="16"/>
          <w:lang w:val="en-US"/>
        </w:rPr>
        <w:t xml:space="preserve">15, </w:t>
      </w:r>
      <w:r w:rsidRPr="00BA61B2">
        <w:rPr>
          <w:noProof w:val="0"/>
          <w:szCs w:val="16"/>
          <w:lang w:val="en-US"/>
        </w:rPr>
        <w:t xml:space="preserve">2005, Amended by Art. 36, National Decree 126 of 2010, Official Gazette 45.970, </w:t>
      </w:r>
      <w:r>
        <w:rPr>
          <w:noProof w:val="0"/>
          <w:szCs w:val="16"/>
          <w:lang w:val="en-US"/>
        </w:rPr>
        <w:t>related to “Adoption of norm</w:t>
      </w:r>
      <w:r w:rsidRPr="00BA61B2">
        <w:rPr>
          <w:noProof w:val="0"/>
          <w:szCs w:val="16"/>
          <w:lang w:val="en-US"/>
        </w:rPr>
        <w:t xml:space="preserve">s </w:t>
      </w:r>
      <w:r>
        <w:rPr>
          <w:noProof w:val="0"/>
          <w:szCs w:val="16"/>
          <w:lang w:val="en-US"/>
        </w:rPr>
        <w:t xml:space="preserve">to improve health care </w:t>
      </w:r>
      <w:r w:rsidRPr="00BA61B2">
        <w:rPr>
          <w:noProof w:val="0"/>
          <w:szCs w:val="16"/>
          <w:lang w:val="en-US"/>
        </w:rPr>
        <w:t xml:space="preserve">by the Colombian State of </w:t>
      </w:r>
      <w:r>
        <w:rPr>
          <w:noProof w:val="0"/>
          <w:szCs w:val="16"/>
          <w:lang w:val="en-US"/>
        </w:rPr>
        <w:t xml:space="preserve">people suffering from </w:t>
      </w:r>
      <w:r w:rsidRPr="00BA61B2">
        <w:rPr>
          <w:noProof w:val="0"/>
          <w:szCs w:val="16"/>
          <w:lang w:val="en-US"/>
        </w:rPr>
        <w:t>ruino</w:t>
      </w:r>
      <w:r>
        <w:rPr>
          <w:noProof w:val="0"/>
          <w:szCs w:val="16"/>
          <w:lang w:val="en-US"/>
        </w:rPr>
        <w:t>us</w:t>
      </w:r>
      <w:r w:rsidRPr="00BA61B2">
        <w:rPr>
          <w:noProof w:val="0"/>
          <w:szCs w:val="16"/>
          <w:lang w:val="en-US"/>
        </w:rPr>
        <w:t xml:space="preserve"> or catastrophic</w:t>
      </w:r>
      <w:r>
        <w:rPr>
          <w:noProof w:val="0"/>
          <w:szCs w:val="16"/>
          <w:lang w:val="en-US"/>
        </w:rPr>
        <w:t xml:space="preserve"> diseases</w:t>
      </w:r>
      <w:r w:rsidRPr="00BA61B2">
        <w:rPr>
          <w:noProof w:val="0"/>
          <w:szCs w:val="16"/>
          <w:lang w:val="en-US"/>
        </w:rPr>
        <w:t>, especial</w:t>
      </w:r>
      <w:r>
        <w:rPr>
          <w:noProof w:val="0"/>
          <w:szCs w:val="16"/>
          <w:lang w:val="en-US"/>
        </w:rPr>
        <w:t xml:space="preserve">ly </w:t>
      </w:r>
      <w:r w:rsidRPr="00BA61B2">
        <w:rPr>
          <w:noProof w:val="0"/>
          <w:szCs w:val="16"/>
          <w:lang w:val="en-US"/>
        </w:rPr>
        <w:t>HIV/</w:t>
      </w:r>
      <w:r>
        <w:rPr>
          <w:noProof w:val="0"/>
          <w:szCs w:val="16"/>
          <w:lang w:val="en-US"/>
        </w:rPr>
        <w:t>AIDS</w:t>
      </w:r>
      <w:r w:rsidRPr="00BA61B2">
        <w:rPr>
          <w:noProof w:val="0"/>
          <w:szCs w:val="16"/>
          <w:lang w:val="en-US"/>
        </w:rPr>
        <w:t xml:space="preserve">” (evidence file, folio 2793). </w:t>
      </w:r>
    </w:p>
  </w:footnote>
  <w:footnote w:id="155">
    <w:p w14:paraId="3DAE2612"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t xml:space="preserve">Constitutional Court of Colombia, </w:t>
      </w:r>
      <w:r>
        <w:rPr>
          <w:noProof w:val="0"/>
          <w:szCs w:val="16"/>
          <w:lang w:val="en-US"/>
        </w:rPr>
        <w:t>Judgment T</w:t>
      </w:r>
      <w:r w:rsidRPr="00BA61B2">
        <w:rPr>
          <w:noProof w:val="0"/>
          <w:szCs w:val="16"/>
          <w:lang w:val="en-US"/>
        </w:rPr>
        <w:t xml:space="preserve">-228 of April </w:t>
      </w:r>
      <w:r>
        <w:rPr>
          <w:noProof w:val="0"/>
          <w:szCs w:val="16"/>
          <w:lang w:val="en-US"/>
        </w:rPr>
        <w:t xml:space="preserve">18, </w:t>
      </w:r>
      <w:r w:rsidRPr="00BA61B2">
        <w:rPr>
          <w:noProof w:val="0"/>
          <w:szCs w:val="16"/>
          <w:lang w:val="en-US"/>
        </w:rPr>
        <w:t xml:space="preserve">2013.  </w:t>
      </w:r>
    </w:p>
  </w:footnote>
  <w:footnote w:id="156">
    <w:p w14:paraId="5CF74FE3"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t xml:space="preserve">Constitutional Court of Colombia, </w:t>
      </w:r>
      <w:r>
        <w:rPr>
          <w:noProof w:val="0"/>
          <w:szCs w:val="16"/>
          <w:lang w:val="en-US"/>
        </w:rPr>
        <w:t>Judgment T</w:t>
      </w:r>
      <w:r w:rsidRPr="00BA61B2">
        <w:rPr>
          <w:noProof w:val="0"/>
          <w:szCs w:val="16"/>
          <w:lang w:val="en-US"/>
        </w:rPr>
        <w:t xml:space="preserve">-027 of January </w:t>
      </w:r>
      <w:r>
        <w:rPr>
          <w:noProof w:val="0"/>
          <w:szCs w:val="16"/>
          <w:lang w:val="en-US"/>
        </w:rPr>
        <w:t xml:space="preserve">25, </w:t>
      </w:r>
      <w:r w:rsidRPr="00BA61B2">
        <w:rPr>
          <w:noProof w:val="0"/>
          <w:szCs w:val="16"/>
          <w:lang w:val="en-US"/>
        </w:rPr>
        <w:t xml:space="preserve">2013.  </w:t>
      </w:r>
    </w:p>
  </w:footnote>
  <w:footnote w:id="157">
    <w:p w14:paraId="16C09F05"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t xml:space="preserve">Constitutional Court of Colombia, </w:t>
      </w:r>
      <w:r>
        <w:rPr>
          <w:noProof w:val="0"/>
          <w:szCs w:val="16"/>
          <w:lang w:val="en-US"/>
        </w:rPr>
        <w:t>Judgment T</w:t>
      </w:r>
      <w:r w:rsidRPr="00BA61B2">
        <w:rPr>
          <w:noProof w:val="0"/>
          <w:szCs w:val="16"/>
          <w:lang w:val="en-US"/>
        </w:rPr>
        <w:t xml:space="preserve">-579 of July </w:t>
      </w:r>
      <w:r>
        <w:rPr>
          <w:noProof w:val="0"/>
          <w:szCs w:val="16"/>
          <w:lang w:val="en-US"/>
        </w:rPr>
        <w:t xml:space="preserve">27, </w:t>
      </w:r>
      <w:r w:rsidRPr="00BA61B2">
        <w:rPr>
          <w:noProof w:val="0"/>
          <w:szCs w:val="16"/>
          <w:lang w:val="en-US"/>
        </w:rPr>
        <w:t xml:space="preserve">2011.  </w:t>
      </w:r>
    </w:p>
  </w:footnote>
  <w:footnote w:id="158">
    <w:p w14:paraId="76A13757" w14:textId="77777777" w:rsidR="00432906" w:rsidRPr="00BA61B2" w:rsidRDefault="00432906" w:rsidP="007B0DE4">
      <w:pPr>
        <w:pStyle w:val="Textonotapie"/>
        <w:rPr>
          <w:noProof w:val="0"/>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t xml:space="preserve">National </w:t>
      </w:r>
      <w:r>
        <w:rPr>
          <w:noProof w:val="0"/>
          <w:szCs w:val="16"/>
          <w:lang w:val="en-US"/>
        </w:rPr>
        <w:t xml:space="preserve">Council of Social Security in </w:t>
      </w:r>
      <w:r w:rsidRPr="00BA61B2">
        <w:rPr>
          <w:noProof w:val="0"/>
          <w:szCs w:val="16"/>
          <w:lang w:val="en-US"/>
        </w:rPr>
        <w:t>Health, A</w:t>
      </w:r>
      <w:r>
        <w:rPr>
          <w:noProof w:val="0"/>
          <w:szCs w:val="16"/>
          <w:lang w:val="en-US"/>
        </w:rPr>
        <w:t xml:space="preserve">greement </w:t>
      </w:r>
      <w:r w:rsidRPr="00BA61B2">
        <w:rPr>
          <w:noProof w:val="0"/>
          <w:szCs w:val="16"/>
          <w:lang w:val="en-US"/>
        </w:rPr>
        <w:t xml:space="preserve">000260 </w:t>
      </w:r>
      <w:r>
        <w:rPr>
          <w:noProof w:val="0"/>
          <w:szCs w:val="16"/>
          <w:lang w:val="en-US"/>
        </w:rPr>
        <w:t xml:space="preserve">which </w:t>
      </w:r>
      <w:r w:rsidRPr="00BA61B2">
        <w:rPr>
          <w:noProof w:val="0"/>
          <w:szCs w:val="16"/>
          <w:lang w:val="en-US"/>
        </w:rPr>
        <w:t>“</w:t>
      </w:r>
      <w:r>
        <w:rPr>
          <w:noProof w:val="0"/>
          <w:szCs w:val="16"/>
          <w:lang w:val="en-US"/>
        </w:rPr>
        <w:t xml:space="preserve">Defines </w:t>
      </w:r>
      <w:r w:rsidRPr="00ED2CF4">
        <w:rPr>
          <w:noProof w:val="0"/>
          <w:szCs w:val="16"/>
          <w:lang w:val="en-US"/>
        </w:rPr>
        <w:t xml:space="preserve">the </w:t>
      </w:r>
      <w:r>
        <w:rPr>
          <w:noProof w:val="0"/>
          <w:szCs w:val="16"/>
          <w:lang w:val="en-US"/>
        </w:rPr>
        <w:t xml:space="preserve">system </w:t>
      </w:r>
      <w:r w:rsidRPr="00ED2CF4">
        <w:rPr>
          <w:noProof w:val="0"/>
          <w:szCs w:val="16"/>
          <w:lang w:val="en-US"/>
        </w:rPr>
        <w:t>of co-payments and moderating fees within the General Social Security System</w:t>
      </w:r>
      <w:r>
        <w:rPr>
          <w:noProof w:val="0"/>
          <w:szCs w:val="16"/>
          <w:lang w:val="en-US"/>
        </w:rPr>
        <w:t xml:space="preserve"> in </w:t>
      </w:r>
      <w:r w:rsidRPr="00BA61B2">
        <w:rPr>
          <w:noProof w:val="0"/>
          <w:szCs w:val="16"/>
          <w:lang w:val="en-US"/>
        </w:rPr>
        <w:t xml:space="preserve">Health, 4 February 2004 (evidence file, folios 2798 </w:t>
      </w:r>
      <w:r>
        <w:rPr>
          <w:noProof w:val="0"/>
          <w:szCs w:val="16"/>
          <w:lang w:val="en-US"/>
        </w:rPr>
        <w:t>et seq.</w:t>
      </w:r>
      <w:r w:rsidRPr="00BA61B2">
        <w:rPr>
          <w:noProof w:val="0"/>
          <w:szCs w:val="16"/>
          <w:lang w:val="en-US"/>
        </w:rPr>
        <w:t>.).</w:t>
      </w:r>
      <w:r w:rsidRPr="00BA61B2">
        <w:rPr>
          <w:noProof w:val="0"/>
          <w:sz w:val="20"/>
          <w:lang w:val="en-US"/>
        </w:rPr>
        <w:t xml:space="preserve"> </w:t>
      </w:r>
      <w:r w:rsidRPr="00BA61B2">
        <w:rPr>
          <w:noProof w:val="0"/>
          <w:lang w:val="en-US"/>
        </w:rPr>
        <w:t xml:space="preserve"> </w:t>
      </w:r>
    </w:p>
  </w:footnote>
  <w:footnote w:id="159">
    <w:p w14:paraId="21D4EB1C" w14:textId="77777777" w:rsidR="00432906" w:rsidRPr="00BA61B2" w:rsidRDefault="00432906" w:rsidP="007B0DE4">
      <w:pPr>
        <w:pStyle w:val="Textonotapie"/>
        <w:rPr>
          <w:noProof w:val="0"/>
          <w:lang w:val="en-US"/>
        </w:rPr>
      </w:pPr>
      <w:r w:rsidRPr="00BA61B2">
        <w:rPr>
          <w:rStyle w:val="Refdenotaalpie"/>
          <w:noProof w:val="0"/>
          <w:lang w:val="en-US"/>
        </w:rPr>
        <w:footnoteRef/>
      </w:r>
      <w:r w:rsidRPr="00BA61B2">
        <w:rPr>
          <w:noProof w:val="0"/>
          <w:lang w:val="en-US"/>
        </w:rPr>
        <w:t xml:space="preserve"> </w:t>
      </w:r>
      <w:r w:rsidRPr="00BA61B2">
        <w:rPr>
          <w:noProof w:val="0"/>
          <w:lang w:val="en-US"/>
        </w:rPr>
        <w:tab/>
      </w:r>
      <w:r w:rsidRPr="00BA61B2">
        <w:rPr>
          <w:rFonts w:cs="Calibri"/>
          <w:noProof w:val="0"/>
          <w:szCs w:val="22"/>
          <w:lang w:val="en-US"/>
        </w:rPr>
        <w:t>Official Letter from the Ministry of Health of March 25, 2015 (evidence file, folio 2808).</w:t>
      </w:r>
    </w:p>
  </w:footnote>
  <w:footnote w:id="160">
    <w:p w14:paraId="004C573C" w14:textId="77777777" w:rsidR="00432906" w:rsidRPr="00BA61B2" w:rsidRDefault="00432906" w:rsidP="007B0DE4">
      <w:pPr>
        <w:autoSpaceDE w:val="0"/>
        <w:autoSpaceDN w:val="0"/>
        <w:adjustRightInd w:val="0"/>
        <w:spacing w:before="120" w:after="120"/>
        <w:rPr>
          <w:rFonts w:cs="Times New Roman"/>
          <w:color w:val="0D0D0D"/>
          <w:sz w:val="16"/>
          <w:szCs w:val="16"/>
          <w:lang w:val="en-US"/>
        </w:rPr>
      </w:pPr>
      <w:r w:rsidRPr="00BA61B2">
        <w:rPr>
          <w:rStyle w:val="Refdenotaalpie"/>
          <w:lang w:val="en-US"/>
        </w:rPr>
        <w:footnoteRef/>
      </w:r>
      <w:r w:rsidRPr="00BA61B2">
        <w:rPr>
          <w:lang w:val="en-US"/>
        </w:rPr>
        <w:t xml:space="preserve"> </w:t>
      </w:r>
      <w:r w:rsidRPr="00BA61B2">
        <w:rPr>
          <w:lang w:val="en-US"/>
        </w:rPr>
        <w:tab/>
      </w:r>
      <w:r w:rsidRPr="00BA61B2">
        <w:rPr>
          <w:sz w:val="16"/>
          <w:szCs w:val="16"/>
          <w:lang w:val="en-US"/>
        </w:rPr>
        <w:t xml:space="preserve">The State </w:t>
      </w:r>
      <w:r>
        <w:rPr>
          <w:sz w:val="16"/>
          <w:szCs w:val="16"/>
          <w:lang w:val="en-US"/>
        </w:rPr>
        <w:t>referred to certain provisions</w:t>
      </w:r>
      <w:r w:rsidRPr="00BA61B2">
        <w:rPr>
          <w:sz w:val="16"/>
          <w:szCs w:val="16"/>
          <w:lang w:val="en-US"/>
        </w:rPr>
        <w:t xml:space="preserve">, such as: a) </w:t>
      </w:r>
      <w:r w:rsidRPr="00BA61B2">
        <w:rPr>
          <w:rFonts w:cs="Times New Roman"/>
          <w:color w:val="0D0D0D"/>
          <w:sz w:val="16"/>
          <w:szCs w:val="16"/>
          <w:lang w:val="en-US"/>
        </w:rPr>
        <w:t xml:space="preserve">Decree 559 </w:t>
      </w:r>
      <w:r>
        <w:rPr>
          <w:rFonts w:cs="Times New Roman"/>
          <w:color w:val="0D0D0D"/>
          <w:sz w:val="16"/>
          <w:szCs w:val="16"/>
          <w:lang w:val="en-US"/>
        </w:rPr>
        <w:t xml:space="preserve">of </w:t>
      </w:r>
      <w:r w:rsidRPr="00BA61B2">
        <w:rPr>
          <w:rFonts w:cs="Times New Roman"/>
          <w:color w:val="0D0D0D"/>
          <w:sz w:val="16"/>
          <w:szCs w:val="16"/>
          <w:lang w:val="en-US"/>
        </w:rPr>
        <w:t xml:space="preserve">February 1991: </w:t>
      </w:r>
      <w:r>
        <w:rPr>
          <w:rFonts w:cs="Times New Roman"/>
          <w:color w:val="0D0D0D"/>
          <w:sz w:val="16"/>
          <w:szCs w:val="16"/>
          <w:lang w:val="en-US"/>
        </w:rPr>
        <w:t xml:space="preserve">Concerning </w:t>
      </w:r>
      <w:r w:rsidRPr="00BA61B2">
        <w:rPr>
          <w:rFonts w:cs="Times New Roman"/>
          <w:color w:val="0D0D0D"/>
          <w:sz w:val="16"/>
          <w:szCs w:val="16"/>
          <w:lang w:val="en-US"/>
        </w:rPr>
        <w:t xml:space="preserve">the </w:t>
      </w:r>
      <w:r>
        <w:rPr>
          <w:rFonts w:cs="Times New Roman"/>
          <w:color w:val="0D0D0D"/>
          <w:sz w:val="16"/>
          <w:szCs w:val="16"/>
          <w:lang w:val="en-US"/>
        </w:rPr>
        <w:t xml:space="preserve">care of persons </w:t>
      </w:r>
      <w:r w:rsidRPr="00BA61B2">
        <w:rPr>
          <w:rFonts w:cs="Times New Roman"/>
          <w:color w:val="0D0D0D"/>
          <w:sz w:val="16"/>
          <w:szCs w:val="16"/>
          <w:lang w:val="en-US"/>
        </w:rPr>
        <w:t>infect</w:t>
      </w:r>
      <w:r>
        <w:rPr>
          <w:rFonts w:cs="Times New Roman"/>
          <w:color w:val="0D0D0D"/>
          <w:sz w:val="16"/>
          <w:szCs w:val="16"/>
          <w:lang w:val="en-US"/>
        </w:rPr>
        <w:t>ed with HIV</w:t>
      </w:r>
      <w:r>
        <w:rPr>
          <w:rFonts w:cs="Times New Roman"/>
          <w:color w:val="0D0D0D"/>
          <w:sz w:val="16"/>
          <w:szCs w:val="16"/>
          <w:lang w:val="en-GB"/>
        </w:rPr>
        <w:t>/</w:t>
      </w:r>
      <w:r>
        <w:rPr>
          <w:rFonts w:cs="Times New Roman"/>
          <w:color w:val="0D0D0D"/>
          <w:sz w:val="16"/>
          <w:szCs w:val="16"/>
          <w:lang w:val="en-US"/>
        </w:rPr>
        <w:t>AIDS</w:t>
      </w:r>
      <w:r w:rsidRPr="00BA61B2">
        <w:rPr>
          <w:rFonts w:cs="Times New Roman"/>
          <w:color w:val="0D0D0D"/>
          <w:sz w:val="16"/>
          <w:szCs w:val="16"/>
          <w:lang w:val="en-US"/>
        </w:rPr>
        <w:t xml:space="preserve">, </w:t>
      </w:r>
      <w:r>
        <w:rPr>
          <w:rFonts w:cs="Times New Roman"/>
          <w:color w:val="0D0D0D"/>
          <w:sz w:val="16"/>
          <w:szCs w:val="16"/>
          <w:lang w:val="en-US"/>
        </w:rPr>
        <w:t>which must be provided in accordance with a medical opinion</w:t>
      </w:r>
      <w:r w:rsidRPr="00BA61B2">
        <w:rPr>
          <w:rFonts w:cs="Times New Roman"/>
          <w:color w:val="0D0D0D"/>
          <w:sz w:val="16"/>
          <w:szCs w:val="16"/>
          <w:lang w:val="en-US"/>
        </w:rPr>
        <w:t xml:space="preserve"> and </w:t>
      </w:r>
      <w:r>
        <w:rPr>
          <w:rFonts w:cs="Times New Roman"/>
          <w:color w:val="0D0D0D"/>
          <w:sz w:val="16"/>
          <w:szCs w:val="16"/>
          <w:lang w:val="en-US"/>
        </w:rPr>
        <w:t>subject to the technical– administrative rules</w:t>
      </w:r>
      <w:r w:rsidRPr="00BA61B2">
        <w:rPr>
          <w:rFonts w:cs="Times New Roman"/>
          <w:color w:val="0D0D0D"/>
          <w:sz w:val="16"/>
          <w:szCs w:val="16"/>
          <w:lang w:val="en-US"/>
        </w:rPr>
        <w:t xml:space="preserve"> </w:t>
      </w:r>
      <w:r>
        <w:rPr>
          <w:rFonts w:cs="Times New Roman"/>
          <w:color w:val="0D0D0D"/>
          <w:sz w:val="16"/>
          <w:szCs w:val="16"/>
          <w:lang w:val="en-US"/>
        </w:rPr>
        <w:t xml:space="preserve">issued </w:t>
      </w:r>
      <w:r w:rsidRPr="00BA61B2">
        <w:rPr>
          <w:rFonts w:cs="Times New Roman"/>
          <w:color w:val="0D0D0D"/>
          <w:sz w:val="16"/>
          <w:szCs w:val="16"/>
          <w:lang w:val="en-US"/>
        </w:rPr>
        <w:t xml:space="preserve">by the Ministry of Health, and </w:t>
      </w:r>
      <w:r>
        <w:rPr>
          <w:rFonts w:cs="Times New Roman"/>
          <w:color w:val="0D0D0D"/>
          <w:sz w:val="16"/>
          <w:szCs w:val="16"/>
          <w:lang w:val="en-US"/>
        </w:rPr>
        <w:t>must be delivered through ambulatory, hospital</w:t>
      </w:r>
      <w:r w:rsidRPr="00BA61B2">
        <w:rPr>
          <w:rFonts w:cs="Times New Roman"/>
          <w:color w:val="0D0D0D"/>
          <w:sz w:val="16"/>
          <w:szCs w:val="16"/>
          <w:lang w:val="en-US"/>
        </w:rPr>
        <w:t xml:space="preserve">, </w:t>
      </w:r>
      <w:r>
        <w:rPr>
          <w:rFonts w:cs="Times New Roman"/>
          <w:color w:val="0D0D0D"/>
          <w:sz w:val="16"/>
          <w:szCs w:val="16"/>
          <w:lang w:val="en-US"/>
        </w:rPr>
        <w:t xml:space="preserve">home </w:t>
      </w:r>
      <w:r w:rsidRPr="00BA61B2">
        <w:rPr>
          <w:rFonts w:cs="Times New Roman"/>
          <w:color w:val="0D0D0D"/>
          <w:sz w:val="16"/>
          <w:szCs w:val="16"/>
          <w:lang w:val="en-US"/>
        </w:rPr>
        <w:t xml:space="preserve">or </w:t>
      </w:r>
      <w:r>
        <w:rPr>
          <w:rFonts w:cs="Times New Roman"/>
          <w:color w:val="0D0D0D"/>
          <w:sz w:val="16"/>
          <w:szCs w:val="16"/>
          <w:lang w:val="en-US"/>
        </w:rPr>
        <w:t>community-based services; b) Agreement 8 of 1994: R</w:t>
      </w:r>
      <w:r w:rsidRPr="00BA61B2">
        <w:rPr>
          <w:rFonts w:cs="Times New Roman"/>
          <w:color w:val="0D0D0D"/>
          <w:sz w:val="16"/>
          <w:szCs w:val="16"/>
          <w:lang w:val="en-US"/>
        </w:rPr>
        <w:t>eco</w:t>
      </w:r>
      <w:r>
        <w:rPr>
          <w:rFonts w:cs="Times New Roman"/>
          <w:color w:val="0D0D0D"/>
          <w:sz w:val="16"/>
          <w:szCs w:val="16"/>
          <w:lang w:val="en-US"/>
        </w:rPr>
        <w:t>gnized that person</w:t>
      </w:r>
      <w:r w:rsidRPr="00BA61B2">
        <w:rPr>
          <w:rFonts w:cs="Times New Roman"/>
          <w:color w:val="0D0D0D"/>
          <w:sz w:val="16"/>
          <w:szCs w:val="16"/>
          <w:lang w:val="en-US"/>
        </w:rPr>
        <w:t xml:space="preserve">s </w:t>
      </w:r>
      <w:r>
        <w:rPr>
          <w:rFonts w:cs="Times New Roman"/>
          <w:color w:val="0D0D0D"/>
          <w:sz w:val="16"/>
          <w:szCs w:val="16"/>
          <w:lang w:val="en-US"/>
        </w:rPr>
        <w:t xml:space="preserve">enrolled in </w:t>
      </w:r>
      <w:r w:rsidRPr="00BA61B2">
        <w:rPr>
          <w:rFonts w:cs="Times New Roman"/>
          <w:color w:val="0D0D0D"/>
          <w:sz w:val="16"/>
          <w:szCs w:val="16"/>
          <w:lang w:val="en-US"/>
        </w:rPr>
        <w:t xml:space="preserve">the </w:t>
      </w:r>
      <w:r>
        <w:rPr>
          <w:rFonts w:cs="Times New Roman"/>
          <w:color w:val="0D0D0D"/>
          <w:sz w:val="16"/>
          <w:szCs w:val="16"/>
          <w:lang w:val="en-US"/>
        </w:rPr>
        <w:t xml:space="preserve">contributions-based system are entitled to </w:t>
      </w:r>
      <w:r w:rsidRPr="00BA61B2">
        <w:rPr>
          <w:rFonts w:cs="Times New Roman"/>
          <w:color w:val="0D0D0D"/>
          <w:sz w:val="16"/>
          <w:szCs w:val="16"/>
          <w:lang w:val="en-US"/>
        </w:rPr>
        <w:t xml:space="preserve">treatment for AIDS and </w:t>
      </w:r>
      <w:r>
        <w:rPr>
          <w:rFonts w:cs="Times New Roman"/>
          <w:color w:val="0D0D0D"/>
          <w:sz w:val="16"/>
          <w:szCs w:val="16"/>
          <w:lang w:val="en-US"/>
        </w:rPr>
        <w:t xml:space="preserve">its </w:t>
      </w:r>
      <w:r w:rsidRPr="00BA61B2">
        <w:rPr>
          <w:rFonts w:cs="Times New Roman"/>
          <w:color w:val="0D0D0D"/>
          <w:sz w:val="16"/>
          <w:szCs w:val="16"/>
          <w:lang w:val="en-US"/>
        </w:rPr>
        <w:t xml:space="preserve">complications, under the </w:t>
      </w:r>
      <w:r>
        <w:rPr>
          <w:rFonts w:cs="Times New Roman"/>
          <w:color w:val="0D0D0D"/>
          <w:sz w:val="16"/>
          <w:szCs w:val="16"/>
          <w:lang w:val="en-US"/>
        </w:rPr>
        <w:t xml:space="preserve">category </w:t>
      </w:r>
      <w:r w:rsidRPr="00BA61B2">
        <w:rPr>
          <w:rFonts w:cs="Times New Roman"/>
          <w:color w:val="0D0D0D"/>
          <w:sz w:val="16"/>
          <w:szCs w:val="16"/>
          <w:lang w:val="en-US"/>
        </w:rPr>
        <w:t xml:space="preserve">of </w:t>
      </w:r>
      <w:r>
        <w:rPr>
          <w:rFonts w:cs="Times New Roman"/>
          <w:color w:val="0D0D0D"/>
          <w:sz w:val="16"/>
          <w:szCs w:val="16"/>
          <w:lang w:val="en-US"/>
        </w:rPr>
        <w:t>high cost treatment of ruinous or catastrophic diseases. T</w:t>
      </w:r>
      <w:r w:rsidRPr="00BA61B2">
        <w:rPr>
          <w:rFonts w:cs="Times New Roman"/>
          <w:color w:val="0D0D0D"/>
          <w:sz w:val="16"/>
          <w:szCs w:val="16"/>
          <w:lang w:val="en-US"/>
        </w:rPr>
        <w:t xml:space="preserve">his </w:t>
      </w:r>
      <w:r>
        <w:rPr>
          <w:rFonts w:cs="Times New Roman"/>
          <w:color w:val="0D0D0D"/>
          <w:sz w:val="16"/>
          <w:szCs w:val="16"/>
          <w:lang w:val="en-US"/>
        </w:rPr>
        <w:t>agreement</w:t>
      </w:r>
      <w:r w:rsidRPr="00BA61B2">
        <w:rPr>
          <w:rFonts w:cs="Times New Roman"/>
          <w:color w:val="0D0D0D"/>
          <w:sz w:val="16"/>
          <w:szCs w:val="16"/>
          <w:lang w:val="en-US"/>
        </w:rPr>
        <w:t xml:space="preserve"> expres</w:t>
      </w:r>
      <w:r>
        <w:rPr>
          <w:rFonts w:cs="Times New Roman"/>
          <w:color w:val="0D0D0D"/>
          <w:sz w:val="16"/>
          <w:szCs w:val="16"/>
          <w:lang w:val="en-US"/>
        </w:rPr>
        <w:t xml:space="preserve">sly mentions </w:t>
      </w:r>
      <w:r w:rsidRPr="00BA61B2">
        <w:rPr>
          <w:rFonts w:cs="Times New Roman"/>
          <w:color w:val="0D0D0D"/>
          <w:sz w:val="16"/>
          <w:szCs w:val="16"/>
          <w:lang w:val="en-US"/>
        </w:rPr>
        <w:t xml:space="preserve">treatment for AIDS and </w:t>
      </w:r>
      <w:r>
        <w:rPr>
          <w:rFonts w:cs="Times New Roman"/>
          <w:color w:val="0D0D0D"/>
          <w:sz w:val="16"/>
          <w:szCs w:val="16"/>
          <w:lang w:val="en-US"/>
        </w:rPr>
        <w:t xml:space="preserve">its </w:t>
      </w:r>
      <w:r w:rsidRPr="00BA61B2">
        <w:rPr>
          <w:rFonts w:cs="Times New Roman"/>
          <w:color w:val="0D0D0D"/>
          <w:sz w:val="16"/>
          <w:szCs w:val="16"/>
          <w:lang w:val="en-US"/>
        </w:rPr>
        <w:t xml:space="preserve">complications; c) </w:t>
      </w:r>
      <w:r w:rsidRPr="00BA61B2">
        <w:rPr>
          <w:rFonts w:cs="Symbol"/>
          <w:color w:val="0D0D0D"/>
          <w:sz w:val="16"/>
          <w:szCs w:val="16"/>
          <w:lang w:val="en-US"/>
        </w:rPr>
        <w:t xml:space="preserve">Resolution 526 of August </w:t>
      </w:r>
      <w:r>
        <w:rPr>
          <w:rFonts w:cs="Symbol"/>
          <w:color w:val="0D0D0D"/>
          <w:sz w:val="16"/>
          <w:szCs w:val="16"/>
          <w:lang w:val="en-US"/>
        </w:rPr>
        <w:t xml:space="preserve">5, </w:t>
      </w:r>
      <w:r w:rsidRPr="00BA61B2">
        <w:rPr>
          <w:rFonts w:cs="Symbol"/>
          <w:color w:val="0D0D0D"/>
          <w:sz w:val="16"/>
          <w:szCs w:val="16"/>
          <w:lang w:val="en-US"/>
        </w:rPr>
        <w:t>1994</w:t>
      </w:r>
      <w:r>
        <w:rPr>
          <w:rFonts w:cs="Symbol"/>
          <w:color w:val="0D0D0D"/>
          <w:sz w:val="16"/>
          <w:szCs w:val="16"/>
          <w:lang w:val="en-US"/>
        </w:rPr>
        <w:t>:</w:t>
      </w:r>
      <w:r w:rsidRPr="00BA61B2">
        <w:rPr>
          <w:rFonts w:cs="Symbol"/>
          <w:color w:val="0D0D0D"/>
          <w:sz w:val="16"/>
          <w:szCs w:val="16"/>
          <w:lang w:val="en-US"/>
        </w:rPr>
        <w:t xml:space="preserve"> </w:t>
      </w:r>
      <w:r>
        <w:rPr>
          <w:rFonts w:cs="Symbol"/>
          <w:color w:val="0D0D0D"/>
          <w:sz w:val="16"/>
          <w:szCs w:val="16"/>
          <w:lang w:val="en-US"/>
        </w:rPr>
        <w:t>E</w:t>
      </w:r>
      <w:r w:rsidRPr="00BA61B2">
        <w:rPr>
          <w:rFonts w:cs="Times New Roman"/>
          <w:color w:val="0D0D0D"/>
          <w:sz w:val="16"/>
          <w:szCs w:val="16"/>
          <w:lang w:val="en-US"/>
        </w:rPr>
        <w:t>stabl</w:t>
      </w:r>
      <w:r>
        <w:rPr>
          <w:rFonts w:cs="Times New Roman"/>
          <w:color w:val="0D0D0D"/>
          <w:sz w:val="16"/>
          <w:szCs w:val="16"/>
          <w:lang w:val="en-US"/>
        </w:rPr>
        <w:t xml:space="preserve">ished </w:t>
      </w:r>
      <w:r w:rsidRPr="00BA61B2">
        <w:rPr>
          <w:rFonts w:cs="Times New Roman"/>
          <w:color w:val="0D0D0D"/>
          <w:sz w:val="16"/>
          <w:szCs w:val="16"/>
          <w:lang w:val="en-US"/>
        </w:rPr>
        <w:t>the Manual of Activities, Interventions and Proced</w:t>
      </w:r>
      <w:r>
        <w:rPr>
          <w:rFonts w:cs="Times New Roman"/>
          <w:color w:val="0D0D0D"/>
          <w:sz w:val="16"/>
          <w:szCs w:val="16"/>
          <w:lang w:val="en-US"/>
        </w:rPr>
        <w:t xml:space="preserve">ures </w:t>
      </w:r>
      <w:r w:rsidRPr="00BA61B2">
        <w:rPr>
          <w:rFonts w:cs="Times New Roman"/>
          <w:color w:val="0D0D0D"/>
          <w:sz w:val="16"/>
          <w:szCs w:val="16"/>
          <w:lang w:val="en-US"/>
        </w:rPr>
        <w:t>o</w:t>
      </w:r>
      <w:r>
        <w:rPr>
          <w:rFonts w:cs="Times New Roman"/>
          <w:color w:val="0D0D0D"/>
          <w:sz w:val="16"/>
          <w:szCs w:val="16"/>
          <w:lang w:val="en-US"/>
        </w:rPr>
        <w:t xml:space="preserve">f the Mandatory Health Plan of </w:t>
      </w:r>
      <w:r w:rsidRPr="00BA61B2">
        <w:rPr>
          <w:rFonts w:cs="Times New Roman"/>
          <w:color w:val="0D0D0D"/>
          <w:sz w:val="16"/>
          <w:szCs w:val="16"/>
          <w:lang w:val="en-US"/>
        </w:rPr>
        <w:t>the General Soc</w:t>
      </w:r>
      <w:r>
        <w:rPr>
          <w:rFonts w:cs="Times New Roman"/>
          <w:color w:val="0D0D0D"/>
          <w:sz w:val="16"/>
          <w:szCs w:val="16"/>
          <w:lang w:val="en-US"/>
        </w:rPr>
        <w:t>ial Security System in Health. The M</w:t>
      </w:r>
      <w:r w:rsidRPr="00BA61B2">
        <w:rPr>
          <w:rFonts w:cs="Times New Roman"/>
          <w:color w:val="0D0D0D"/>
          <w:sz w:val="16"/>
          <w:szCs w:val="16"/>
          <w:lang w:val="en-US"/>
        </w:rPr>
        <w:t xml:space="preserve">anual </w:t>
      </w:r>
      <w:r>
        <w:rPr>
          <w:rFonts w:cs="Times New Roman"/>
          <w:color w:val="0D0D0D"/>
          <w:sz w:val="16"/>
          <w:szCs w:val="16"/>
          <w:lang w:val="en-US"/>
        </w:rPr>
        <w:t xml:space="preserve">was issued with the aim of unifying criteria for </w:t>
      </w:r>
      <w:r w:rsidRPr="00BA61B2">
        <w:rPr>
          <w:rFonts w:cs="Times New Roman"/>
          <w:color w:val="0D0D0D"/>
          <w:sz w:val="16"/>
          <w:szCs w:val="16"/>
          <w:lang w:val="en-US"/>
        </w:rPr>
        <w:t>the pr</w:t>
      </w:r>
      <w:r>
        <w:rPr>
          <w:rFonts w:cs="Times New Roman"/>
          <w:color w:val="0D0D0D"/>
          <w:sz w:val="16"/>
          <w:szCs w:val="16"/>
          <w:lang w:val="en-US"/>
        </w:rPr>
        <w:t xml:space="preserve">ovision </w:t>
      </w:r>
      <w:r w:rsidRPr="00BA61B2">
        <w:rPr>
          <w:rFonts w:cs="Times New Roman"/>
          <w:color w:val="0D0D0D"/>
          <w:sz w:val="16"/>
          <w:szCs w:val="16"/>
          <w:lang w:val="en-US"/>
        </w:rPr>
        <w:t xml:space="preserve">of </w:t>
      </w:r>
      <w:r>
        <w:rPr>
          <w:rFonts w:cs="Times New Roman"/>
          <w:color w:val="0D0D0D"/>
          <w:sz w:val="16"/>
          <w:szCs w:val="16"/>
          <w:lang w:val="en-US"/>
        </w:rPr>
        <w:t>health services within the Social S</w:t>
      </w:r>
      <w:r w:rsidRPr="00BA61B2">
        <w:rPr>
          <w:rFonts w:cs="Times New Roman"/>
          <w:color w:val="0D0D0D"/>
          <w:sz w:val="16"/>
          <w:szCs w:val="16"/>
          <w:lang w:val="en-US"/>
        </w:rPr>
        <w:t xml:space="preserve">ecurity </w:t>
      </w:r>
      <w:r>
        <w:rPr>
          <w:rFonts w:cs="Times New Roman"/>
          <w:color w:val="0D0D0D"/>
          <w:sz w:val="16"/>
          <w:szCs w:val="16"/>
          <w:lang w:val="en-US"/>
        </w:rPr>
        <w:t>System, to ensure access</w:t>
      </w:r>
      <w:r w:rsidRPr="00BA61B2">
        <w:rPr>
          <w:rFonts w:cs="Times New Roman"/>
          <w:color w:val="0D0D0D"/>
          <w:sz w:val="16"/>
          <w:szCs w:val="16"/>
          <w:lang w:val="en-US"/>
        </w:rPr>
        <w:t xml:space="preserve">, </w:t>
      </w:r>
      <w:r>
        <w:rPr>
          <w:rFonts w:cs="Times New Roman"/>
          <w:color w:val="0D0D0D"/>
          <w:sz w:val="16"/>
          <w:szCs w:val="16"/>
          <w:lang w:val="en-US"/>
        </w:rPr>
        <w:t>quality</w:t>
      </w:r>
      <w:r w:rsidRPr="00BA61B2">
        <w:rPr>
          <w:rFonts w:cs="Times New Roman"/>
          <w:color w:val="0D0D0D"/>
          <w:sz w:val="16"/>
          <w:szCs w:val="16"/>
          <w:lang w:val="en-US"/>
        </w:rPr>
        <w:t xml:space="preserve"> an</w:t>
      </w:r>
      <w:r>
        <w:rPr>
          <w:rFonts w:cs="Times New Roman"/>
          <w:color w:val="0D0D0D"/>
          <w:sz w:val="16"/>
          <w:szCs w:val="16"/>
          <w:lang w:val="en-US"/>
        </w:rPr>
        <w:t>d efficiency. U</w:t>
      </w:r>
      <w:r w:rsidRPr="00BA61B2">
        <w:rPr>
          <w:rFonts w:cs="Times New Roman"/>
          <w:color w:val="0D0D0D"/>
          <w:sz w:val="16"/>
          <w:szCs w:val="16"/>
          <w:lang w:val="en-US"/>
        </w:rPr>
        <w:t>nder</w:t>
      </w:r>
      <w:r>
        <w:rPr>
          <w:rFonts w:cs="Times New Roman"/>
          <w:color w:val="0D0D0D"/>
          <w:sz w:val="16"/>
          <w:szCs w:val="16"/>
          <w:lang w:val="en-US"/>
        </w:rPr>
        <w:t xml:space="preserve"> this provision,</w:t>
      </w:r>
      <w:r w:rsidRPr="00BA61B2">
        <w:rPr>
          <w:rFonts w:cs="Times New Roman"/>
          <w:color w:val="0D0D0D"/>
          <w:sz w:val="16"/>
          <w:szCs w:val="16"/>
          <w:lang w:val="en-US"/>
        </w:rPr>
        <w:t xml:space="preserve"> the Mandatory Health Plan </w:t>
      </w:r>
      <w:r>
        <w:rPr>
          <w:rFonts w:cs="Times New Roman"/>
          <w:color w:val="0D0D0D"/>
          <w:sz w:val="16"/>
          <w:szCs w:val="16"/>
          <w:lang w:val="en-US"/>
        </w:rPr>
        <w:t xml:space="preserve">includes </w:t>
      </w:r>
      <w:r w:rsidRPr="00BA61B2">
        <w:rPr>
          <w:rFonts w:cs="Times New Roman"/>
          <w:color w:val="0D0D0D"/>
          <w:sz w:val="16"/>
          <w:szCs w:val="16"/>
          <w:lang w:val="en-US"/>
        </w:rPr>
        <w:t>treatments for ruino</w:t>
      </w:r>
      <w:r>
        <w:rPr>
          <w:rFonts w:cs="Times New Roman"/>
          <w:color w:val="0D0D0D"/>
          <w:sz w:val="16"/>
          <w:szCs w:val="16"/>
          <w:lang w:val="en-US"/>
        </w:rPr>
        <w:t>us</w:t>
      </w:r>
      <w:r w:rsidRPr="00BA61B2">
        <w:rPr>
          <w:rFonts w:cs="Times New Roman"/>
          <w:color w:val="0D0D0D"/>
          <w:sz w:val="16"/>
          <w:szCs w:val="16"/>
          <w:lang w:val="en-US"/>
        </w:rPr>
        <w:t xml:space="preserve"> or catastrophic</w:t>
      </w:r>
      <w:r>
        <w:rPr>
          <w:rFonts w:cs="Times New Roman"/>
          <w:color w:val="0D0D0D"/>
          <w:sz w:val="16"/>
          <w:szCs w:val="16"/>
          <w:lang w:val="en-US"/>
        </w:rPr>
        <w:t xml:space="preserve"> diseases</w:t>
      </w:r>
      <w:r w:rsidRPr="00BA61B2">
        <w:rPr>
          <w:rFonts w:cs="Times New Roman"/>
          <w:color w:val="0D0D0D"/>
          <w:sz w:val="16"/>
          <w:szCs w:val="16"/>
          <w:lang w:val="en-US"/>
        </w:rPr>
        <w:t xml:space="preserve">, </w:t>
      </w:r>
      <w:r>
        <w:rPr>
          <w:rFonts w:cs="Times New Roman"/>
          <w:color w:val="0D0D0D"/>
          <w:sz w:val="16"/>
          <w:szCs w:val="16"/>
          <w:lang w:val="en-US"/>
        </w:rPr>
        <w:t xml:space="preserve">including </w:t>
      </w:r>
      <w:r w:rsidRPr="00BA61B2">
        <w:rPr>
          <w:rFonts w:cs="Times New Roman"/>
          <w:color w:val="0D0D0D"/>
          <w:sz w:val="16"/>
          <w:szCs w:val="16"/>
          <w:lang w:val="en-US"/>
        </w:rPr>
        <w:t xml:space="preserve">treatment for AIDS and </w:t>
      </w:r>
      <w:r>
        <w:rPr>
          <w:rFonts w:cs="Times New Roman"/>
          <w:color w:val="0D0D0D"/>
          <w:sz w:val="16"/>
          <w:szCs w:val="16"/>
          <w:lang w:val="en-US"/>
        </w:rPr>
        <w:t xml:space="preserve">its </w:t>
      </w:r>
      <w:r w:rsidRPr="00BA61B2">
        <w:rPr>
          <w:rFonts w:cs="Times New Roman"/>
          <w:color w:val="0D0D0D"/>
          <w:sz w:val="16"/>
          <w:szCs w:val="16"/>
          <w:lang w:val="en-US"/>
        </w:rPr>
        <w:t>complications; d) Decree 1543 of 1997</w:t>
      </w:r>
      <w:r>
        <w:rPr>
          <w:rFonts w:cs="Times New Roman"/>
          <w:color w:val="0D0D0D"/>
          <w:sz w:val="16"/>
          <w:szCs w:val="16"/>
          <w:lang w:val="en-US"/>
        </w:rPr>
        <w:t>, updated</w:t>
      </w:r>
      <w:r w:rsidRPr="00BA61B2">
        <w:rPr>
          <w:rFonts w:cs="Times New Roman"/>
          <w:color w:val="0D0D0D"/>
          <w:sz w:val="16"/>
          <w:szCs w:val="16"/>
          <w:lang w:val="en-US"/>
        </w:rPr>
        <w:t xml:space="preserve"> Decree 559 of 1991: </w:t>
      </w:r>
      <w:r>
        <w:rPr>
          <w:rFonts w:cs="Times New Roman"/>
          <w:color w:val="0D0D0D"/>
          <w:sz w:val="16"/>
          <w:szCs w:val="16"/>
          <w:lang w:val="en-US"/>
        </w:rPr>
        <w:t>Established mandatory care for person</w:t>
      </w:r>
      <w:r w:rsidRPr="00BA61B2">
        <w:rPr>
          <w:rFonts w:cs="Times New Roman"/>
          <w:color w:val="0D0D0D"/>
          <w:sz w:val="16"/>
          <w:szCs w:val="16"/>
          <w:lang w:val="en-US"/>
        </w:rPr>
        <w:t>s infect</w:t>
      </w:r>
      <w:r>
        <w:rPr>
          <w:rFonts w:cs="Times New Roman"/>
          <w:color w:val="0D0D0D"/>
          <w:sz w:val="16"/>
          <w:szCs w:val="16"/>
          <w:lang w:val="en-US"/>
        </w:rPr>
        <w:t xml:space="preserve">ed </w:t>
      </w:r>
      <w:r w:rsidRPr="00BA61B2">
        <w:rPr>
          <w:rFonts w:cs="Times New Roman"/>
          <w:color w:val="0D0D0D"/>
          <w:sz w:val="16"/>
          <w:szCs w:val="16"/>
          <w:lang w:val="en-US"/>
        </w:rPr>
        <w:t>with the HIV virus</w:t>
      </w:r>
      <w:r>
        <w:rPr>
          <w:rFonts w:cs="Times New Roman"/>
          <w:color w:val="0D0D0D"/>
          <w:sz w:val="16"/>
          <w:szCs w:val="16"/>
          <w:lang w:val="en-US"/>
        </w:rPr>
        <w:t>,</w:t>
      </w:r>
      <w:r w:rsidRPr="00BA61B2">
        <w:rPr>
          <w:rFonts w:cs="Times New Roman"/>
          <w:color w:val="0D0D0D"/>
          <w:sz w:val="16"/>
          <w:szCs w:val="16"/>
          <w:lang w:val="en-US"/>
        </w:rPr>
        <w:t xml:space="preserve"> </w:t>
      </w:r>
      <w:r>
        <w:rPr>
          <w:rFonts w:cs="Times New Roman"/>
          <w:color w:val="0D0D0D"/>
          <w:sz w:val="16"/>
          <w:szCs w:val="16"/>
          <w:lang w:val="en-US"/>
        </w:rPr>
        <w:t xml:space="preserve">guaranteeing </w:t>
      </w:r>
      <w:r w:rsidRPr="00BA61B2">
        <w:rPr>
          <w:rFonts w:cs="Times New Roman"/>
          <w:color w:val="0D0D0D"/>
          <w:sz w:val="16"/>
          <w:szCs w:val="16"/>
          <w:lang w:val="en-US"/>
        </w:rPr>
        <w:t xml:space="preserve">health </w:t>
      </w:r>
      <w:r>
        <w:rPr>
          <w:rFonts w:cs="Times New Roman"/>
          <w:color w:val="0D0D0D"/>
          <w:sz w:val="16"/>
          <w:szCs w:val="16"/>
          <w:lang w:val="en-US"/>
        </w:rPr>
        <w:t xml:space="preserve">care </w:t>
      </w:r>
      <w:r w:rsidRPr="00BA61B2">
        <w:rPr>
          <w:rFonts w:cs="Times New Roman"/>
          <w:color w:val="0D0D0D"/>
          <w:sz w:val="16"/>
          <w:szCs w:val="16"/>
          <w:lang w:val="en-US"/>
        </w:rPr>
        <w:t>that inclu</w:t>
      </w:r>
      <w:r>
        <w:rPr>
          <w:rFonts w:cs="Times New Roman"/>
          <w:color w:val="0D0D0D"/>
          <w:sz w:val="16"/>
          <w:szCs w:val="16"/>
          <w:lang w:val="en-US"/>
        </w:rPr>
        <w:t xml:space="preserve">ded </w:t>
      </w:r>
      <w:r w:rsidRPr="00BA61B2">
        <w:rPr>
          <w:rFonts w:cs="Times New Roman"/>
          <w:color w:val="0D0D0D"/>
          <w:sz w:val="16"/>
          <w:szCs w:val="16"/>
          <w:lang w:val="en-US"/>
        </w:rPr>
        <w:t>medica</w:t>
      </w:r>
      <w:r>
        <w:rPr>
          <w:rFonts w:cs="Times New Roman"/>
          <w:color w:val="0D0D0D"/>
          <w:sz w:val="16"/>
          <w:szCs w:val="16"/>
          <w:lang w:val="en-US"/>
        </w:rPr>
        <w:t xml:space="preserve">tions to control </w:t>
      </w:r>
      <w:r w:rsidRPr="00BA61B2">
        <w:rPr>
          <w:rFonts w:cs="Times New Roman"/>
          <w:color w:val="0D0D0D"/>
          <w:sz w:val="16"/>
          <w:szCs w:val="16"/>
          <w:lang w:val="en-US"/>
        </w:rPr>
        <w:t xml:space="preserve">the infection. </w:t>
      </w:r>
      <w:r>
        <w:rPr>
          <w:rFonts w:cs="Times New Roman"/>
          <w:color w:val="0D0D0D"/>
          <w:sz w:val="16"/>
          <w:szCs w:val="16"/>
          <w:lang w:val="en-US"/>
        </w:rPr>
        <w:t>This d</w:t>
      </w:r>
      <w:r w:rsidRPr="00BA61B2">
        <w:rPr>
          <w:rFonts w:cs="Times New Roman"/>
          <w:color w:val="0D0D0D"/>
          <w:sz w:val="16"/>
          <w:szCs w:val="16"/>
          <w:lang w:val="en-US"/>
        </w:rPr>
        <w:t xml:space="preserve">ecree </w:t>
      </w:r>
      <w:r>
        <w:rPr>
          <w:rFonts w:cs="Times New Roman"/>
          <w:color w:val="0D0D0D"/>
          <w:sz w:val="16"/>
          <w:szCs w:val="16"/>
          <w:lang w:val="en-US"/>
        </w:rPr>
        <w:t>also emphasized the duties of the IPS and the health care teams in ensuring comprehensive health care for persons living with the virus;</w:t>
      </w:r>
      <w:r w:rsidRPr="00BA61B2">
        <w:rPr>
          <w:rFonts w:cs="Times New Roman"/>
          <w:color w:val="0D0D0D"/>
          <w:sz w:val="16"/>
          <w:szCs w:val="16"/>
          <w:lang w:val="en-US"/>
        </w:rPr>
        <w:t xml:space="preserve"> </w:t>
      </w:r>
      <w:r>
        <w:rPr>
          <w:rFonts w:cs="Times New Roman"/>
          <w:color w:val="0D0D0D"/>
          <w:sz w:val="16"/>
          <w:szCs w:val="16"/>
          <w:lang w:val="en-US"/>
        </w:rPr>
        <w:t xml:space="preserve">such care </w:t>
      </w:r>
      <w:r w:rsidRPr="00BA61B2">
        <w:rPr>
          <w:rFonts w:cs="Times New Roman"/>
          <w:color w:val="0D0D0D"/>
          <w:sz w:val="16"/>
          <w:szCs w:val="16"/>
          <w:lang w:val="en-US"/>
        </w:rPr>
        <w:t xml:space="preserve">must be </w:t>
      </w:r>
      <w:r>
        <w:rPr>
          <w:rFonts w:cs="Times New Roman"/>
          <w:color w:val="0D0D0D"/>
          <w:sz w:val="16"/>
          <w:szCs w:val="16"/>
          <w:lang w:val="en-US"/>
        </w:rPr>
        <w:t xml:space="preserve">provided with </w:t>
      </w:r>
      <w:r w:rsidRPr="00BA61B2">
        <w:rPr>
          <w:rFonts w:cs="Times New Roman"/>
          <w:color w:val="0D0D0D"/>
          <w:sz w:val="16"/>
          <w:szCs w:val="16"/>
          <w:lang w:val="en-US"/>
        </w:rPr>
        <w:t>respe</w:t>
      </w:r>
      <w:r>
        <w:rPr>
          <w:rFonts w:cs="Times New Roman"/>
          <w:color w:val="0D0D0D"/>
          <w:sz w:val="16"/>
          <w:szCs w:val="16"/>
          <w:lang w:val="en-US"/>
        </w:rPr>
        <w:t xml:space="preserve">ct for the person’s </w:t>
      </w:r>
      <w:r w:rsidRPr="00BA61B2">
        <w:rPr>
          <w:rFonts w:cs="Times New Roman"/>
          <w:color w:val="0D0D0D"/>
          <w:sz w:val="16"/>
          <w:szCs w:val="16"/>
          <w:lang w:val="en-US"/>
        </w:rPr>
        <w:t>digni</w:t>
      </w:r>
      <w:r>
        <w:rPr>
          <w:rFonts w:cs="Times New Roman"/>
          <w:color w:val="0D0D0D"/>
          <w:sz w:val="16"/>
          <w:szCs w:val="16"/>
          <w:lang w:val="en-US"/>
        </w:rPr>
        <w:t xml:space="preserve">ty </w:t>
      </w:r>
      <w:r w:rsidRPr="00BA61B2">
        <w:rPr>
          <w:rFonts w:cs="Times New Roman"/>
          <w:color w:val="0D0D0D"/>
          <w:sz w:val="16"/>
          <w:szCs w:val="16"/>
          <w:lang w:val="en-US"/>
        </w:rPr>
        <w:t>and</w:t>
      </w:r>
      <w:r>
        <w:rPr>
          <w:rFonts w:cs="Times New Roman"/>
          <w:color w:val="0D0D0D"/>
          <w:sz w:val="16"/>
          <w:szCs w:val="16"/>
          <w:lang w:val="en-US"/>
        </w:rPr>
        <w:t xml:space="preserve"> without discrimination; e)</w:t>
      </w:r>
      <w:r w:rsidRPr="00BA61B2">
        <w:rPr>
          <w:rFonts w:cs="Times New Roman"/>
          <w:color w:val="0D0D0D"/>
          <w:sz w:val="16"/>
          <w:szCs w:val="16"/>
          <w:lang w:val="en-US"/>
        </w:rPr>
        <w:t xml:space="preserve"> </w:t>
      </w:r>
      <w:r>
        <w:rPr>
          <w:rFonts w:cs="Times New Roman"/>
          <w:color w:val="0D0D0D"/>
          <w:sz w:val="16"/>
          <w:szCs w:val="16"/>
          <w:lang w:val="en-US"/>
        </w:rPr>
        <w:t>Agreement</w:t>
      </w:r>
      <w:r w:rsidRPr="00BA61B2">
        <w:rPr>
          <w:rFonts w:cs="Times New Roman"/>
          <w:color w:val="0D0D0D"/>
          <w:sz w:val="16"/>
          <w:szCs w:val="16"/>
          <w:lang w:val="en-US"/>
        </w:rPr>
        <w:t xml:space="preserve"> 72 of 1997</w:t>
      </w:r>
      <w:r>
        <w:rPr>
          <w:rFonts w:cs="Times New Roman"/>
          <w:color w:val="0D0D0D"/>
          <w:sz w:val="16"/>
          <w:szCs w:val="16"/>
          <w:lang w:val="en-US"/>
        </w:rPr>
        <w:t>: Included, for the first time, antiretroviral drug treatment for person</w:t>
      </w:r>
      <w:r w:rsidRPr="00BA61B2">
        <w:rPr>
          <w:rFonts w:cs="Times New Roman"/>
          <w:color w:val="0D0D0D"/>
          <w:sz w:val="16"/>
          <w:szCs w:val="16"/>
          <w:lang w:val="en-US"/>
        </w:rPr>
        <w:t xml:space="preserve">s </w:t>
      </w:r>
      <w:r>
        <w:rPr>
          <w:rFonts w:cs="Times New Roman"/>
          <w:color w:val="0D0D0D"/>
          <w:sz w:val="16"/>
          <w:szCs w:val="16"/>
          <w:lang w:val="en-US"/>
        </w:rPr>
        <w:t xml:space="preserve">affiliated both to the </w:t>
      </w:r>
      <w:r w:rsidRPr="00BA61B2">
        <w:rPr>
          <w:rFonts w:cs="Times New Roman"/>
          <w:color w:val="0D0D0D"/>
          <w:sz w:val="16"/>
          <w:szCs w:val="16"/>
          <w:lang w:val="en-US"/>
        </w:rPr>
        <w:t>contribut</w:t>
      </w:r>
      <w:r>
        <w:rPr>
          <w:rFonts w:cs="Times New Roman"/>
          <w:color w:val="0D0D0D"/>
          <w:sz w:val="16"/>
          <w:szCs w:val="16"/>
          <w:lang w:val="en-US"/>
        </w:rPr>
        <w:t>ory and the subsidized systems</w:t>
      </w:r>
      <w:r w:rsidRPr="00BA61B2">
        <w:rPr>
          <w:rFonts w:cs="Times New Roman"/>
          <w:color w:val="0D0D0D"/>
          <w:sz w:val="16"/>
          <w:szCs w:val="16"/>
          <w:lang w:val="en-US"/>
        </w:rPr>
        <w:t xml:space="preserve">, </w:t>
      </w:r>
      <w:r>
        <w:rPr>
          <w:rFonts w:cs="Times New Roman"/>
          <w:color w:val="0D0D0D"/>
          <w:sz w:val="16"/>
          <w:szCs w:val="16"/>
          <w:lang w:val="en-US"/>
        </w:rPr>
        <w:t>for high cost diseases; thus, regardless of a person’s ability to pay,</w:t>
      </w:r>
      <w:r w:rsidRPr="00BA61B2">
        <w:rPr>
          <w:rFonts w:cs="Times New Roman"/>
          <w:color w:val="0D0D0D"/>
          <w:sz w:val="16"/>
          <w:szCs w:val="16"/>
          <w:lang w:val="en-US"/>
        </w:rPr>
        <w:t xml:space="preserve"> HIV/AIDS t</w:t>
      </w:r>
      <w:r>
        <w:rPr>
          <w:rFonts w:cs="Times New Roman"/>
          <w:color w:val="0D0D0D"/>
          <w:sz w:val="16"/>
          <w:szCs w:val="16"/>
          <w:lang w:val="en-US"/>
        </w:rPr>
        <w:t>reatment was covered under both schemes; f) Agreement</w:t>
      </w:r>
      <w:r w:rsidRPr="00BA61B2">
        <w:rPr>
          <w:rFonts w:cs="Times New Roman"/>
          <w:color w:val="0D0D0D"/>
          <w:sz w:val="16"/>
          <w:szCs w:val="16"/>
          <w:lang w:val="en-US"/>
        </w:rPr>
        <w:t xml:space="preserve"> 228 of 2002: </w:t>
      </w:r>
      <w:r>
        <w:rPr>
          <w:rFonts w:cs="Times New Roman"/>
          <w:color w:val="0D0D0D"/>
          <w:sz w:val="16"/>
          <w:szCs w:val="16"/>
          <w:lang w:val="en-US"/>
        </w:rPr>
        <w:t xml:space="preserve">Updated </w:t>
      </w:r>
      <w:r w:rsidRPr="00BA61B2">
        <w:rPr>
          <w:rFonts w:cs="Times New Roman"/>
          <w:color w:val="0D0D0D"/>
          <w:sz w:val="16"/>
          <w:szCs w:val="16"/>
          <w:lang w:val="en-US"/>
        </w:rPr>
        <w:t>the Mandatory Health Plan</w:t>
      </w:r>
      <w:r>
        <w:rPr>
          <w:rFonts w:cs="Times New Roman"/>
          <w:color w:val="0D0D0D"/>
          <w:sz w:val="16"/>
          <w:szCs w:val="16"/>
          <w:lang w:val="en-US"/>
        </w:rPr>
        <w:t>’s Manual of Medicines</w:t>
      </w:r>
      <w:r w:rsidRPr="00BA61B2">
        <w:rPr>
          <w:rFonts w:cs="Times New Roman"/>
          <w:color w:val="0D0D0D"/>
          <w:sz w:val="16"/>
          <w:szCs w:val="16"/>
          <w:lang w:val="en-US"/>
        </w:rPr>
        <w:t xml:space="preserve">, </w:t>
      </w:r>
      <w:r>
        <w:rPr>
          <w:rFonts w:cs="Times New Roman"/>
          <w:color w:val="0D0D0D"/>
          <w:sz w:val="16"/>
          <w:szCs w:val="16"/>
          <w:lang w:val="en-US"/>
        </w:rPr>
        <w:t xml:space="preserve">requiring </w:t>
      </w:r>
      <w:r w:rsidRPr="00283BE6">
        <w:rPr>
          <w:rFonts w:cs="Times New Roman"/>
          <w:color w:val="0D0D0D"/>
          <w:sz w:val="16"/>
          <w:szCs w:val="16"/>
          <w:lang w:val="en-US"/>
        </w:rPr>
        <w:t xml:space="preserve">that EPS (health promotion entities) and IPS (institutional health service providers) </w:t>
      </w:r>
      <w:r>
        <w:rPr>
          <w:rFonts w:cs="Times New Roman"/>
          <w:color w:val="0D0D0D"/>
          <w:sz w:val="16"/>
          <w:szCs w:val="16"/>
          <w:lang w:val="en-US"/>
        </w:rPr>
        <w:t xml:space="preserve">that offer special </w:t>
      </w:r>
      <w:r w:rsidRPr="000A1C55">
        <w:rPr>
          <w:rFonts w:cs="Times New Roman"/>
          <w:color w:val="0D0D0D"/>
          <w:sz w:val="16"/>
          <w:szCs w:val="16"/>
          <w:lang w:val="en-US"/>
        </w:rPr>
        <w:t>programs for managing HIV/AIDS</w:t>
      </w:r>
      <w:r>
        <w:rPr>
          <w:rFonts w:cs="Times New Roman"/>
          <w:color w:val="0D0D0D"/>
          <w:sz w:val="16"/>
          <w:szCs w:val="16"/>
          <w:lang w:val="en-US"/>
        </w:rPr>
        <w:t xml:space="preserve"> must include</w:t>
      </w:r>
      <w:r w:rsidRPr="00283BE6">
        <w:rPr>
          <w:rFonts w:cs="Times New Roman"/>
          <w:color w:val="0D0D0D"/>
          <w:sz w:val="16"/>
          <w:szCs w:val="16"/>
          <w:lang w:val="en-US"/>
        </w:rPr>
        <w:t xml:space="preserve"> the basic list of active ingredients </w:t>
      </w:r>
      <w:r>
        <w:rPr>
          <w:rFonts w:cs="Times New Roman"/>
          <w:color w:val="0D0D0D"/>
          <w:sz w:val="16"/>
          <w:szCs w:val="16"/>
          <w:lang w:val="en-US"/>
        </w:rPr>
        <w:t xml:space="preserve">with </w:t>
      </w:r>
      <w:r w:rsidRPr="00283BE6">
        <w:rPr>
          <w:rFonts w:cs="Times New Roman"/>
          <w:color w:val="0D0D0D"/>
          <w:sz w:val="16"/>
          <w:szCs w:val="16"/>
          <w:lang w:val="en-US"/>
        </w:rPr>
        <w:t>specific characteristics for each program</w:t>
      </w:r>
      <w:r>
        <w:rPr>
          <w:rFonts w:cs="Times New Roman"/>
          <w:color w:val="0D0D0D"/>
          <w:sz w:val="16"/>
          <w:szCs w:val="16"/>
          <w:lang w:val="en-US"/>
        </w:rPr>
        <w:t>; g) Agreement</w:t>
      </w:r>
      <w:r w:rsidRPr="00BA61B2">
        <w:rPr>
          <w:rFonts w:cs="Times New Roman"/>
          <w:color w:val="0D0D0D"/>
          <w:sz w:val="16"/>
          <w:szCs w:val="16"/>
          <w:lang w:val="en-US"/>
        </w:rPr>
        <w:t xml:space="preserve"> 260 of 2004: Establ</w:t>
      </w:r>
      <w:r>
        <w:rPr>
          <w:rFonts w:cs="Times New Roman"/>
          <w:color w:val="0D0D0D"/>
          <w:sz w:val="16"/>
          <w:szCs w:val="16"/>
          <w:lang w:val="en-US"/>
        </w:rPr>
        <w:t xml:space="preserve">ished </w:t>
      </w:r>
      <w:r w:rsidRPr="00BA61B2">
        <w:rPr>
          <w:rFonts w:cs="Times New Roman"/>
          <w:color w:val="0D0D0D"/>
          <w:sz w:val="16"/>
          <w:szCs w:val="16"/>
          <w:lang w:val="en-US"/>
        </w:rPr>
        <w:t xml:space="preserve">that </w:t>
      </w:r>
      <w:r>
        <w:rPr>
          <w:rFonts w:cs="Times New Roman"/>
          <w:color w:val="0D0D0D"/>
          <w:sz w:val="16"/>
          <w:szCs w:val="16"/>
          <w:lang w:val="en-US"/>
        </w:rPr>
        <w:t xml:space="preserve">persons diagnosed with </w:t>
      </w:r>
      <w:r w:rsidRPr="00BA61B2">
        <w:rPr>
          <w:rFonts w:cs="Times New Roman"/>
          <w:color w:val="0D0D0D"/>
          <w:sz w:val="16"/>
          <w:szCs w:val="16"/>
          <w:lang w:val="en-US"/>
        </w:rPr>
        <w:t xml:space="preserve">catastrophic </w:t>
      </w:r>
      <w:r>
        <w:rPr>
          <w:rFonts w:cs="Times New Roman"/>
          <w:color w:val="0D0D0D"/>
          <w:sz w:val="16"/>
          <w:szCs w:val="16"/>
          <w:lang w:val="en-US"/>
        </w:rPr>
        <w:t xml:space="preserve">illnesses such </w:t>
      </w:r>
      <w:r w:rsidRPr="00BA61B2">
        <w:rPr>
          <w:rFonts w:cs="Times New Roman"/>
          <w:color w:val="0D0D0D"/>
          <w:sz w:val="16"/>
          <w:szCs w:val="16"/>
          <w:lang w:val="en-US"/>
        </w:rPr>
        <w:t xml:space="preserve">as HIV, </w:t>
      </w:r>
      <w:r>
        <w:rPr>
          <w:rFonts w:cs="Times New Roman"/>
          <w:color w:val="0D0D0D"/>
          <w:sz w:val="16"/>
          <w:szCs w:val="16"/>
          <w:lang w:val="en-US"/>
        </w:rPr>
        <w:t xml:space="preserve">are </w:t>
      </w:r>
      <w:r w:rsidRPr="00BA61B2">
        <w:rPr>
          <w:rFonts w:cs="Times New Roman"/>
          <w:color w:val="0D0D0D"/>
          <w:sz w:val="16"/>
          <w:szCs w:val="16"/>
          <w:lang w:val="en-US"/>
        </w:rPr>
        <w:t>exe</w:t>
      </w:r>
      <w:r>
        <w:rPr>
          <w:rFonts w:cs="Times New Roman"/>
          <w:color w:val="0D0D0D"/>
          <w:sz w:val="16"/>
          <w:szCs w:val="16"/>
          <w:lang w:val="en-US"/>
        </w:rPr>
        <w:t xml:space="preserve">mpt from </w:t>
      </w:r>
      <w:r w:rsidRPr="00BA61B2">
        <w:rPr>
          <w:rFonts w:cs="Times New Roman"/>
          <w:color w:val="0D0D0D"/>
          <w:sz w:val="16"/>
          <w:szCs w:val="16"/>
          <w:lang w:val="en-US"/>
        </w:rPr>
        <w:t>co</w:t>
      </w:r>
      <w:r>
        <w:rPr>
          <w:rFonts w:cs="Times New Roman"/>
          <w:color w:val="0D0D0D"/>
          <w:sz w:val="16"/>
          <w:szCs w:val="16"/>
          <w:lang w:val="en-US"/>
        </w:rPr>
        <w:t xml:space="preserve">-payments </w:t>
      </w:r>
      <w:r w:rsidRPr="00BA61B2">
        <w:rPr>
          <w:rFonts w:cs="Times New Roman"/>
          <w:color w:val="0D0D0D"/>
          <w:sz w:val="16"/>
          <w:szCs w:val="16"/>
          <w:lang w:val="en-US"/>
        </w:rPr>
        <w:t xml:space="preserve">and </w:t>
      </w:r>
      <w:r>
        <w:rPr>
          <w:rFonts w:cs="Times New Roman"/>
          <w:color w:val="0D0D0D"/>
          <w:sz w:val="16"/>
          <w:szCs w:val="16"/>
          <w:lang w:val="en-US"/>
        </w:rPr>
        <w:t>moderating fees in the POS; h) Agreement</w:t>
      </w:r>
      <w:r w:rsidRPr="00BA61B2">
        <w:rPr>
          <w:rFonts w:cs="Times New Roman"/>
          <w:color w:val="0D0D0D"/>
          <w:sz w:val="16"/>
          <w:szCs w:val="16"/>
          <w:lang w:val="en-US"/>
        </w:rPr>
        <w:t xml:space="preserve"> 306 of 2005: </w:t>
      </w:r>
      <w:r>
        <w:rPr>
          <w:rFonts w:cs="Times New Roman"/>
          <w:color w:val="0D0D0D"/>
          <w:sz w:val="16"/>
          <w:szCs w:val="16"/>
          <w:lang w:val="en-US"/>
        </w:rPr>
        <w:t xml:space="preserve">Updated </w:t>
      </w:r>
      <w:r w:rsidRPr="00BA61B2">
        <w:rPr>
          <w:rFonts w:cs="Times New Roman"/>
          <w:color w:val="0D0D0D"/>
          <w:sz w:val="16"/>
          <w:szCs w:val="16"/>
          <w:lang w:val="en-US"/>
        </w:rPr>
        <w:t xml:space="preserve">the Mandatory Health Plan </w:t>
      </w:r>
      <w:r>
        <w:rPr>
          <w:rFonts w:cs="Times New Roman"/>
          <w:color w:val="0D0D0D"/>
          <w:sz w:val="16"/>
          <w:szCs w:val="16"/>
          <w:lang w:val="en-US"/>
        </w:rPr>
        <w:t xml:space="preserve">for </w:t>
      </w:r>
      <w:r w:rsidRPr="00BA61B2">
        <w:rPr>
          <w:rFonts w:cs="Times New Roman"/>
          <w:color w:val="0D0D0D"/>
          <w:sz w:val="16"/>
          <w:szCs w:val="16"/>
          <w:lang w:val="en-US"/>
        </w:rPr>
        <w:t>the subsidi</w:t>
      </w:r>
      <w:r>
        <w:rPr>
          <w:rFonts w:cs="Times New Roman"/>
          <w:color w:val="0D0D0D"/>
          <w:sz w:val="16"/>
          <w:szCs w:val="16"/>
          <w:lang w:val="en-US"/>
        </w:rPr>
        <w:t xml:space="preserve">zed and </w:t>
      </w:r>
      <w:r w:rsidRPr="00BA61B2">
        <w:rPr>
          <w:rFonts w:cs="Times New Roman"/>
          <w:color w:val="0D0D0D"/>
          <w:sz w:val="16"/>
          <w:szCs w:val="16"/>
          <w:lang w:val="en-US"/>
        </w:rPr>
        <w:t>contributi</w:t>
      </w:r>
      <w:r>
        <w:rPr>
          <w:rFonts w:cs="Times New Roman"/>
          <w:color w:val="0D0D0D"/>
          <w:sz w:val="16"/>
          <w:szCs w:val="16"/>
          <w:lang w:val="en-US"/>
        </w:rPr>
        <w:t>on-based schemes</w:t>
      </w:r>
      <w:r w:rsidRPr="00BA61B2">
        <w:rPr>
          <w:rFonts w:cs="Times New Roman"/>
          <w:color w:val="0D0D0D"/>
          <w:sz w:val="16"/>
          <w:szCs w:val="16"/>
          <w:lang w:val="en-US"/>
        </w:rPr>
        <w:t xml:space="preserve">, and </w:t>
      </w:r>
      <w:r>
        <w:rPr>
          <w:rFonts w:cs="Times New Roman"/>
          <w:color w:val="0D0D0D"/>
          <w:sz w:val="16"/>
          <w:szCs w:val="16"/>
          <w:lang w:val="en-US"/>
        </w:rPr>
        <w:t xml:space="preserve">expanded benefits </w:t>
      </w:r>
      <w:r w:rsidRPr="00BA61B2">
        <w:rPr>
          <w:rFonts w:cs="Times New Roman"/>
          <w:color w:val="0D0D0D"/>
          <w:sz w:val="16"/>
          <w:szCs w:val="16"/>
          <w:lang w:val="en-US"/>
        </w:rPr>
        <w:t xml:space="preserve">and </w:t>
      </w:r>
      <w:r>
        <w:rPr>
          <w:rFonts w:cs="Times New Roman"/>
          <w:color w:val="0D0D0D"/>
          <w:sz w:val="16"/>
          <w:szCs w:val="16"/>
          <w:lang w:val="en-US"/>
        </w:rPr>
        <w:t xml:space="preserve">health technologies for </w:t>
      </w:r>
      <w:r w:rsidRPr="00BA61B2">
        <w:rPr>
          <w:rFonts w:cs="Times New Roman"/>
          <w:color w:val="0D0D0D"/>
          <w:sz w:val="16"/>
          <w:szCs w:val="16"/>
          <w:lang w:val="en-US"/>
        </w:rPr>
        <w:t>the treatment of HIV/</w:t>
      </w:r>
      <w:r>
        <w:rPr>
          <w:rFonts w:cs="Times New Roman"/>
          <w:color w:val="0D0D0D"/>
          <w:sz w:val="16"/>
          <w:szCs w:val="16"/>
          <w:lang w:val="en-US"/>
        </w:rPr>
        <w:t>AIDS, including</w:t>
      </w:r>
      <w:r w:rsidRPr="00EB3F54">
        <w:rPr>
          <w:rFonts w:cs="Times New Roman"/>
          <w:color w:val="0D0D0D"/>
          <w:sz w:val="16"/>
          <w:szCs w:val="16"/>
          <w:lang w:val="en-US"/>
        </w:rPr>
        <w:t xml:space="preserve">: ambulatory and hospital care of the necessary complexity, </w:t>
      </w:r>
      <w:r>
        <w:rPr>
          <w:rFonts w:cs="Times New Roman"/>
          <w:color w:val="0D0D0D"/>
          <w:sz w:val="16"/>
          <w:szCs w:val="16"/>
          <w:lang w:val="en-US"/>
        </w:rPr>
        <w:t xml:space="preserve">required </w:t>
      </w:r>
      <w:r w:rsidRPr="00EB3F54">
        <w:rPr>
          <w:rFonts w:cs="Times New Roman"/>
          <w:color w:val="0D0D0D"/>
          <w:sz w:val="16"/>
          <w:szCs w:val="16"/>
          <w:lang w:val="en-US"/>
        </w:rPr>
        <w:t xml:space="preserve">inputs and materials, supply of </w:t>
      </w:r>
      <w:r>
        <w:rPr>
          <w:rFonts w:cs="Times New Roman"/>
          <w:color w:val="0D0D0D"/>
          <w:sz w:val="16"/>
          <w:szCs w:val="16"/>
          <w:lang w:val="en-US"/>
        </w:rPr>
        <w:t>anti</w:t>
      </w:r>
      <w:r w:rsidRPr="00EB3F54">
        <w:rPr>
          <w:rFonts w:cs="Times New Roman"/>
          <w:color w:val="0D0D0D"/>
          <w:sz w:val="16"/>
          <w:szCs w:val="16"/>
          <w:lang w:val="en-US"/>
        </w:rPr>
        <w:t xml:space="preserve">retroviral drugs and protease inhibitors established in the </w:t>
      </w:r>
      <w:r>
        <w:rPr>
          <w:rFonts w:cs="Times New Roman"/>
          <w:color w:val="0D0D0D"/>
          <w:sz w:val="16"/>
          <w:szCs w:val="16"/>
          <w:lang w:val="en-US"/>
        </w:rPr>
        <w:t xml:space="preserve">system’s current </w:t>
      </w:r>
      <w:r w:rsidRPr="00EB3F54">
        <w:rPr>
          <w:rFonts w:cs="Times New Roman"/>
          <w:color w:val="0D0D0D"/>
          <w:sz w:val="16"/>
          <w:szCs w:val="16"/>
          <w:lang w:val="en-US"/>
        </w:rPr>
        <w:t xml:space="preserve">Manual </w:t>
      </w:r>
      <w:r w:rsidRPr="00383E7E">
        <w:rPr>
          <w:rFonts w:cs="Times New Roman"/>
          <w:color w:val="0D0D0D"/>
          <w:sz w:val="16"/>
          <w:szCs w:val="16"/>
          <w:lang w:val="en-US"/>
        </w:rPr>
        <w:t>of Medicines, viral load tests for HIV/AIDS and all necessary studies for the initial diagnosis of</w:t>
      </w:r>
      <w:r>
        <w:rPr>
          <w:rFonts w:cs="Times New Roman"/>
          <w:color w:val="0D0D0D"/>
          <w:sz w:val="16"/>
          <w:szCs w:val="16"/>
          <w:lang w:val="en-US"/>
        </w:rPr>
        <w:t xml:space="preserve"> cases</w:t>
      </w:r>
      <w:r w:rsidRPr="00FB67FD">
        <w:rPr>
          <w:rFonts w:cs="Times New Roman"/>
          <w:color w:val="0D0D0D"/>
          <w:sz w:val="16"/>
          <w:szCs w:val="16"/>
          <w:lang w:val="en-US"/>
        </w:rPr>
        <w:t xml:space="preserve">, as well as subsequent diagnoses and control; </w:t>
      </w:r>
      <w:r w:rsidRPr="00CF20F7">
        <w:rPr>
          <w:rFonts w:cs="Times New Roman"/>
          <w:color w:val="0D0D0D"/>
          <w:sz w:val="16"/>
          <w:szCs w:val="16"/>
          <w:lang w:val="en-US"/>
        </w:rPr>
        <w:t xml:space="preserve">i) Law 972 of 2005: </w:t>
      </w:r>
      <w:r>
        <w:rPr>
          <w:rFonts w:cs="Times New Roman"/>
          <w:color w:val="0D0D0D"/>
          <w:sz w:val="16"/>
          <w:szCs w:val="16"/>
          <w:lang w:val="en-US"/>
        </w:rPr>
        <w:t xml:space="preserve">Adopted </w:t>
      </w:r>
      <w:r w:rsidRPr="00CF20F7">
        <w:rPr>
          <w:rFonts w:cs="Times New Roman"/>
          <w:color w:val="0D0D0D"/>
          <w:sz w:val="16"/>
          <w:szCs w:val="16"/>
          <w:lang w:val="en-US"/>
        </w:rPr>
        <w:t xml:space="preserve">standards to improve the care provided by the Colombian State to the population suffering from ruinous or catastrophic diseases, especially HIV/AIDS. </w:t>
      </w:r>
      <w:r>
        <w:rPr>
          <w:rFonts w:cs="Times New Roman"/>
          <w:color w:val="0D0D0D"/>
          <w:sz w:val="16"/>
          <w:szCs w:val="16"/>
          <w:lang w:val="en-US"/>
        </w:rPr>
        <w:t xml:space="preserve">Declared that </w:t>
      </w:r>
      <w:r w:rsidRPr="00135FC7">
        <w:rPr>
          <w:rFonts w:cs="Times New Roman"/>
          <w:color w:val="0D0D0D"/>
          <w:sz w:val="16"/>
          <w:szCs w:val="16"/>
          <w:lang w:val="en-US"/>
        </w:rPr>
        <w:t xml:space="preserve">comprehensive </w:t>
      </w:r>
      <w:r>
        <w:rPr>
          <w:rFonts w:cs="Times New Roman"/>
          <w:color w:val="0D0D0D"/>
          <w:sz w:val="16"/>
          <w:szCs w:val="16"/>
          <w:lang w:val="en-US"/>
        </w:rPr>
        <w:t xml:space="preserve">State </w:t>
      </w:r>
      <w:r w:rsidRPr="00135FC7">
        <w:rPr>
          <w:rFonts w:cs="Times New Roman"/>
          <w:color w:val="0D0D0D"/>
          <w:sz w:val="16"/>
          <w:szCs w:val="16"/>
          <w:lang w:val="en-US"/>
        </w:rPr>
        <w:t xml:space="preserve">health care </w:t>
      </w:r>
      <w:r>
        <w:rPr>
          <w:rFonts w:cs="Times New Roman"/>
          <w:color w:val="0D0D0D"/>
          <w:sz w:val="16"/>
          <w:szCs w:val="16"/>
          <w:lang w:val="en-US"/>
        </w:rPr>
        <w:t xml:space="preserve">to tackle the virus </w:t>
      </w:r>
      <w:r w:rsidRPr="00135FC7">
        <w:rPr>
          <w:rFonts w:cs="Times New Roman"/>
          <w:color w:val="0D0D0D"/>
          <w:sz w:val="16"/>
          <w:szCs w:val="16"/>
          <w:lang w:val="en-US"/>
        </w:rPr>
        <w:t xml:space="preserve">is </w:t>
      </w:r>
      <w:r>
        <w:rPr>
          <w:rFonts w:cs="Times New Roman"/>
          <w:color w:val="0D0D0D"/>
          <w:sz w:val="16"/>
          <w:szCs w:val="16"/>
          <w:lang w:val="en-US"/>
        </w:rPr>
        <w:t xml:space="preserve">a </w:t>
      </w:r>
      <w:r w:rsidRPr="00135FC7">
        <w:rPr>
          <w:rFonts w:cs="Times New Roman"/>
          <w:color w:val="0D0D0D"/>
          <w:sz w:val="16"/>
          <w:szCs w:val="16"/>
          <w:lang w:val="en-US"/>
        </w:rPr>
        <w:t xml:space="preserve">matter of State interest and priority. </w:t>
      </w:r>
      <w:r>
        <w:rPr>
          <w:rFonts w:cs="Times New Roman"/>
          <w:color w:val="0D0D0D"/>
          <w:sz w:val="16"/>
          <w:szCs w:val="16"/>
          <w:lang w:val="en-US"/>
        </w:rPr>
        <w:t>Established</w:t>
      </w:r>
      <w:r w:rsidRPr="00301F42">
        <w:rPr>
          <w:rFonts w:cs="Times New Roman"/>
          <w:color w:val="0D0D0D"/>
          <w:sz w:val="16"/>
          <w:szCs w:val="16"/>
          <w:lang w:val="en-US"/>
        </w:rPr>
        <w:t xml:space="preserve"> that the State must guarantee the supply of medic</w:t>
      </w:r>
      <w:r>
        <w:rPr>
          <w:rFonts w:cs="Times New Roman"/>
          <w:color w:val="0D0D0D"/>
          <w:sz w:val="16"/>
          <w:szCs w:val="16"/>
          <w:lang w:val="en-US"/>
        </w:rPr>
        <w:t>ines</w:t>
      </w:r>
      <w:r w:rsidRPr="00301F42">
        <w:rPr>
          <w:rFonts w:cs="Times New Roman"/>
          <w:color w:val="0D0D0D"/>
          <w:sz w:val="16"/>
          <w:szCs w:val="16"/>
          <w:lang w:val="en-US"/>
        </w:rPr>
        <w:t xml:space="preserve">, reagents and medical devices authorized for the diagnosis and treatment of ruinous or catastrophic illnesses. </w:t>
      </w:r>
      <w:r>
        <w:rPr>
          <w:rFonts w:cs="Times New Roman"/>
          <w:color w:val="0D0D0D"/>
          <w:sz w:val="16"/>
          <w:szCs w:val="16"/>
          <w:lang w:val="en-US"/>
        </w:rPr>
        <w:t xml:space="preserve">It also included </w:t>
      </w:r>
      <w:r w:rsidRPr="00CF20F7">
        <w:rPr>
          <w:rFonts w:cs="Times New Roman"/>
          <w:color w:val="0D0D0D"/>
          <w:sz w:val="16"/>
          <w:szCs w:val="16"/>
          <w:lang w:val="en-US"/>
        </w:rPr>
        <w:t>provisions that require Health Service</w:t>
      </w:r>
      <w:r>
        <w:rPr>
          <w:rFonts w:cs="Times New Roman"/>
          <w:color w:val="0D0D0D"/>
          <w:sz w:val="16"/>
          <w:szCs w:val="16"/>
          <w:lang w:val="en-US"/>
        </w:rPr>
        <w:t xml:space="preserve"> Agents</w:t>
      </w:r>
      <w:r w:rsidRPr="00CF20F7">
        <w:rPr>
          <w:rFonts w:cs="Times New Roman"/>
          <w:color w:val="0D0D0D"/>
          <w:sz w:val="16"/>
          <w:szCs w:val="16"/>
          <w:lang w:val="en-US"/>
        </w:rPr>
        <w:t xml:space="preserve"> of the General Social Security System to guarantee and not deny medical assistance, hospital care and laboratory services to patients infected with HIV; j) Agreements 336 and 368 of 2007: </w:t>
      </w:r>
      <w:r>
        <w:rPr>
          <w:rFonts w:cs="Times New Roman"/>
          <w:color w:val="0D0D0D"/>
          <w:sz w:val="16"/>
          <w:szCs w:val="16"/>
          <w:lang w:val="en-US"/>
        </w:rPr>
        <w:t>Inclusion in the POS of the anti</w:t>
      </w:r>
      <w:r w:rsidRPr="00CF20F7">
        <w:rPr>
          <w:rFonts w:cs="Times New Roman"/>
          <w:color w:val="0D0D0D"/>
          <w:sz w:val="16"/>
          <w:szCs w:val="16"/>
          <w:lang w:val="en-US"/>
        </w:rPr>
        <w:t>retroviral drugs Lopinavir + Ritonavir in tablet</w:t>
      </w:r>
      <w:r>
        <w:rPr>
          <w:rFonts w:cs="Times New Roman"/>
          <w:color w:val="0D0D0D"/>
          <w:sz w:val="16"/>
          <w:szCs w:val="16"/>
          <w:lang w:val="en-US"/>
        </w:rPr>
        <w:t xml:space="preserve"> form</w:t>
      </w:r>
      <w:r w:rsidRPr="00CF20F7">
        <w:rPr>
          <w:rFonts w:cs="Times New Roman"/>
          <w:color w:val="0D0D0D"/>
          <w:sz w:val="16"/>
          <w:szCs w:val="16"/>
          <w:lang w:val="en-US"/>
        </w:rPr>
        <w:t>; k) Decree 19 of 2012</w:t>
      </w:r>
      <w:r>
        <w:rPr>
          <w:rFonts w:cs="Times New Roman"/>
          <w:color w:val="0D0D0D"/>
          <w:sz w:val="16"/>
          <w:szCs w:val="16"/>
          <w:lang w:val="en-US"/>
        </w:rPr>
        <w:t>: Established</w:t>
      </w:r>
      <w:r w:rsidRPr="00CF20F7">
        <w:rPr>
          <w:rFonts w:cs="Times New Roman"/>
          <w:color w:val="0D0D0D"/>
          <w:sz w:val="16"/>
          <w:szCs w:val="16"/>
          <w:lang w:val="en-US"/>
        </w:rPr>
        <w:t xml:space="preserve"> </w:t>
      </w:r>
      <w:r>
        <w:rPr>
          <w:rFonts w:cs="Times New Roman"/>
          <w:color w:val="0D0D0D"/>
          <w:sz w:val="16"/>
          <w:szCs w:val="16"/>
          <w:lang w:val="en-US"/>
        </w:rPr>
        <w:t xml:space="preserve">standards </w:t>
      </w:r>
      <w:r w:rsidRPr="00301F42">
        <w:rPr>
          <w:rFonts w:cs="Times New Roman"/>
          <w:color w:val="0D0D0D"/>
          <w:sz w:val="16"/>
          <w:szCs w:val="16"/>
          <w:lang w:val="en-US"/>
        </w:rPr>
        <w:t xml:space="preserve">to suppress or reform unnecessary regulations, </w:t>
      </w:r>
      <w:r>
        <w:rPr>
          <w:rFonts w:cs="Times New Roman"/>
          <w:color w:val="0D0D0D"/>
          <w:sz w:val="16"/>
          <w:szCs w:val="16"/>
          <w:lang w:val="en-US"/>
        </w:rPr>
        <w:t xml:space="preserve">procedures and processes in </w:t>
      </w:r>
      <w:r w:rsidRPr="00301F42">
        <w:rPr>
          <w:rFonts w:cs="Times New Roman"/>
          <w:color w:val="0D0D0D"/>
          <w:sz w:val="16"/>
          <w:szCs w:val="16"/>
          <w:lang w:val="en-US"/>
        </w:rPr>
        <w:t xml:space="preserve">public administration. </w:t>
      </w:r>
      <w:r>
        <w:rPr>
          <w:rFonts w:cs="Times New Roman"/>
          <w:color w:val="0D0D0D"/>
          <w:sz w:val="16"/>
          <w:szCs w:val="16"/>
          <w:lang w:val="en-US"/>
        </w:rPr>
        <w:t xml:space="preserve">It also required </w:t>
      </w:r>
      <w:r w:rsidRPr="00CF20F7">
        <w:rPr>
          <w:rFonts w:cs="Times New Roman"/>
          <w:color w:val="0D0D0D"/>
          <w:sz w:val="16"/>
          <w:szCs w:val="16"/>
          <w:lang w:val="en-US"/>
        </w:rPr>
        <w:t xml:space="preserve">the EPS to </w:t>
      </w:r>
      <w:r>
        <w:rPr>
          <w:rFonts w:cs="Times New Roman"/>
          <w:color w:val="0D0D0D"/>
          <w:sz w:val="16"/>
          <w:szCs w:val="16"/>
          <w:lang w:val="en-US"/>
        </w:rPr>
        <w:t xml:space="preserve">establish procedures for </w:t>
      </w:r>
      <w:r w:rsidRPr="00CF20F7">
        <w:rPr>
          <w:rFonts w:cs="Times New Roman"/>
          <w:color w:val="0D0D0D"/>
          <w:sz w:val="16"/>
          <w:szCs w:val="16"/>
          <w:lang w:val="en-US"/>
        </w:rPr>
        <w:t xml:space="preserve">the supply of </w:t>
      </w:r>
      <w:r w:rsidRPr="00FB67FD">
        <w:rPr>
          <w:rFonts w:cs="Times New Roman"/>
          <w:color w:val="0D0D0D"/>
          <w:sz w:val="16"/>
          <w:szCs w:val="16"/>
          <w:lang w:val="en-US"/>
        </w:rPr>
        <w:t xml:space="preserve">medicines covered by the POS for their affiliates, </w:t>
      </w:r>
      <w:r w:rsidRPr="00CF20F7">
        <w:rPr>
          <w:rFonts w:cs="Times New Roman"/>
          <w:color w:val="0D0D0D"/>
          <w:sz w:val="16"/>
          <w:szCs w:val="16"/>
          <w:lang w:val="en-US"/>
        </w:rPr>
        <w:t xml:space="preserve">so as to ensure complete and immediate delivery; </w:t>
      </w:r>
      <w:r w:rsidRPr="00135FC7">
        <w:rPr>
          <w:rFonts w:cs="Times New Roman"/>
          <w:color w:val="0D0D0D"/>
          <w:sz w:val="16"/>
          <w:szCs w:val="16"/>
          <w:lang w:val="en-US"/>
        </w:rPr>
        <w:t xml:space="preserve">l) </w:t>
      </w:r>
      <w:r w:rsidRPr="00135FC7">
        <w:rPr>
          <w:rFonts w:cs="Symbol"/>
          <w:color w:val="0D0D0D"/>
          <w:sz w:val="16"/>
          <w:szCs w:val="16"/>
          <w:lang w:val="en-US"/>
        </w:rPr>
        <w:t>R</w:t>
      </w:r>
      <w:r w:rsidRPr="00135FC7">
        <w:rPr>
          <w:rFonts w:cs="Times New Roman"/>
          <w:color w:val="0D0D0D"/>
          <w:sz w:val="16"/>
          <w:szCs w:val="16"/>
          <w:lang w:val="en-US"/>
        </w:rPr>
        <w:t>esolution 1604 of 2013: “Regulation of Article 131 of Decree 019 of 2012 and other provisions</w:t>
      </w:r>
      <w:r>
        <w:rPr>
          <w:rFonts w:cs="Times New Roman"/>
          <w:color w:val="0D0D0D"/>
          <w:sz w:val="16"/>
          <w:szCs w:val="16"/>
          <w:lang w:val="en-US"/>
        </w:rPr>
        <w:t>”: E</w:t>
      </w:r>
      <w:r w:rsidRPr="00135FC7">
        <w:rPr>
          <w:rFonts w:cs="Times New Roman"/>
          <w:color w:val="0D0D0D"/>
          <w:sz w:val="16"/>
          <w:szCs w:val="16"/>
          <w:lang w:val="en-US"/>
        </w:rPr>
        <w:t xml:space="preserve">stablishes that in cases where the EPS cannot </w:t>
      </w:r>
      <w:r>
        <w:rPr>
          <w:rFonts w:cs="Times New Roman"/>
          <w:color w:val="0D0D0D"/>
          <w:sz w:val="16"/>
          <w:szCs w:val="16"/>
          <w:lang w:val="en-US"/>
        </w:rPr>
        <w:t xml:space="preserve">implement full </w:t>
      </w:r>
      <w:r w:rsidRPr="002C42C3">
        <w:rPr>
          <w:rFonts w:cs="Times New Roman"/>
          <w:color w:val="0D0D0D"/>
          <w:sz w:val="16"/>
          <w:szCs w:val="16"/>
          <w:lang w:val="en-US"/>
        </w:rPr>
        <w:t>delivery of medications</w:t>
      </w:r>
      <w:r>
        <w:rPr>
          <w:rFonts w:cs="Times New Roman"/>
          <w:color w:val="0D0D0D"/>
          <w:sz w:val="16"/>
          <w:szCs w:val="16"/>
          <w:lang w:val="en-US"/>
        </w:rPr>
        <w:t xml:space="preserve"> within</w:t>
      </w:r>
      <w:r w:rsidRPr="002C42C3">
        <w:rPr>
          <w:rFonts w:cs="Times New Roman"/>
          <w:color w:val="0D0D0D"/>
          <w:sz w:val="16"/>
          <w:szCs w:val="16"/>
          <w:lang w:val="en-US"/>
        </w:rPr>
        <w:t xml:space="preserve"> a period </w:t>
      </w:r>
      <w:r>
        <w:rPr>
          <w:rFonts w:cs="Times New Roman"/>
          <w:color w:val="0D0D0D"/>
          <w:sz w:val="16"/>
          <w:szCs w:val="16"/>
          <w:lang w:val="en-US"/>
        </w:rPr>
        <w:t xml:space="preserve">of </w:t>
      </w:r>
      <w:r w:rsidRPr="002C42C3">
        <w:rPr>
          <w:rFonts w:cs="Times New Roman"/>
          <w:color w:val="0D0D0D"/>
          <w:sz w:val="16"/>
          <w:szCs w:val="16"/>
          <w:lang w:val="en-US"/>
        </w:rPr>
        <w:t xml:space="preserve">48 hours, a special mechanism must be created in accordance with the guidelines established by the Ministry of Health and </w:t>
      </w:r>
      <w:r>
        <w:rPr>
          <w:rFonts w:cs="Times New Roman"/>
          <w:color w:val="0D0D0D"/>
          <w:sz w:val="16"/>
          <w:szCs w:val="16"/>
          <w:lang w:val="en-US"/>
        </w:rPr>
        <w:t xml:space="preserve">Social </w:t>
      </w:r>
      <w:r w:rsidRPr="002C42C3">
        <w:rPr>
          <w:rFonts w:cs="Times New Roman"/>
          <w:color w:val="0D0D0D"/>
          <w:sz w:val="16"/>
          <w:szCs w:val="16"/>
          <w:lang w:val="en-US"/>
        </w:rPr>
        <w:t>Protection</w:t>
      </w:r>
      <w:r w:rsidRPr="00283BE6">
        <w:rPr>
          <w:rFonts w:cs="Times New Roman"/>
          <w:color w:val="0D0D0D"/>
          <w:sz w:val="16"/>
          <w:szCs w:val="16"/>
          <w:lang w:val="en-US"/>
        </w:rPr>
        <w:t xml:space="preserve">, </w:t>
      </w:r>
      <w:r>
        <w:rPr>
          <w:rFonts w:cs="Times New Roman"/>
          <w:color w:val="0D0D0D"/>
          <w:sz w:val="16"/>
          <w:szCs w:val="16"/>
          <w:lang w:val="en-US"/>
        </w:rPr>
        <w:t>to coordinate</w:t>
      </w:r>
      <w:r w:rsidRPr="00283BE6">
        <w:rPr>
          <w:rFonts w:cs="Times New Roman"/>
          <w:color w:val="0D0D0D"/>
          <w:sz w:val="16"/>
          <w:szCs w:val="16"/>
          <w:lang w:val="en-US"/>
        </w:rPr>
        <w:t xml:space="preserve"> delivery to the affiliate’s home or workplace, if he/she so wishes.  </w:t>
      </w:r>
      <w:r w:rsidRPr="007A7205">
        <w:rPr>
          <w:rFonts w:cs="Times New Roman"/>
          <w:color w:val="0D0D0D"/>
          <w:sz w:val="16"/>
          <w:szCs w:val="16"/>
          <w:lang w:val="en-US"/>
        </w:rPr>
        <w:t>It establishes the Monitoring, Tracking and Control System for the distribution and delivery of medicines which also serves as an information tool for the authorities for the purpose</w:t>
      </w:r>
      <w:r>
        <w:rPr>
          <w:rFonts w:cs="Times New Roman"/>
          <w:color w:val="0D0D0D"/>
          <w:sz w:val="16"/>
          <w:szCs w:val="16"/>
          <w:lang w:val="en-US"/>
        </w:rPr>
        <w:t>s</w:t>
      </w:r>
      <w:r w:rsidRPr="007A7205">
        <w:rPr>
          <w:rFonts w:cs="Times New Roman"/>
          <w:color w:val="0D0D0D"/>
          <w:sz w:val="16"/>
          <w:szCs w:val="16"/>
          <w:lang w:val="en-US"/>
        </w:rPr>
        <w:t xml:space="preserve"> of inspection, surveillance and monitoring of the delivery mechanism</w:t>
      </w:r>
      <w:r>
        <w:rPr>
          <w:rFonts w:cs="Times New Roman"/>
          <w:color w:val="0D0D0D"/>
          <w:sz w:val="16"/>
          <w:szCs w:val="16"/>
          <w:lang w:val="en-US"/>
        </w:rPr>
        <w:t>;</w:t>
      </w:r>
      <w:r w:rsidRPr="007A7205">
        <w:rPr>
          <w:rFonts w:cs="Times New Roman"/>
          <w:color w:val="0D0D0D"/>
          <w:sz w:val="16"/>
          <w:szCs w:val="16"/>
          <w:lang w:val="en-US"/>
        </w:rPr>
        <w:t xml:space="preserve"> in the case of antiretroviral drugs, this </w:t>
      </w:r>
      <w:r>
        <w:rPr>
          <w:rFonts w:cs="Times New Roman"/>
          <w:color w:val="0D0D0D"/>
          <w:sz w:val="16"/>
          <w:szCs w:val="16"/>
          <w:lang w:val="en-US"/>
        </w:rPr>
        <w:t xml:space="preserve">task </w:t>
      </w:r>
      <w:r w:rsidRPr="007A7205">
        <w:rPr>
          <w:rFonts w:cs="Times New Roman"/>
          <w:color w:val="0D0D0D"/>
          <w:sz w:val="16"/>
          <w:szCs w:val="16"/>
          <w:lang w:val="en-US"/>
        </w:rPr>
        <w:t xml:space="preserve">is the responsibility of </w:t>
      </w:r>
      <w:r w:rsidRPr="00895EE3">
        <w:rPr>
          <w:rFonts w:cs="Times New Roman"/>
          <w:color w:val="0D0D0D"/>
          <w:sz w:val="16"/>
          <w:szCs w:val="16"/>
          <w:lang w:val="en-US"/>
        </w:rPr>
        <w:t>the National Superintendence of Health and the Departmental Health Directorate</w:t>
      </w:r>
      <w:r>
        <w:rPr>
          <w:rFonts w:cs="Times New Roman"/>
          <w:color w:val="0D0D0D"/>
          <w:sz w:val="16"/>
          <w:szCs w:val="16"/>
          <w:lang w:val="en-US"/>
        </w:rPr>
        <w:t>s; m) Resolution 5521 of 2014: U</w:t>
      </w:r>
      <w:r w:rsidRPr="00895EE3">
        <w:rPr>
          <w:rFonts w:cs="Times New Roman"/>
          <w:color w:val="0D0D0D"/>
          <w:sz w:val="16"/>
          <w:szCs w:val="16"/>
          <w:lang w:val="en-US"/>
        </w:rPr>
        <w:t xml:space="preserve">pdates the POS and includes the supply of condoms in family planning services; and n) Statutory Law of February 2, 2015, “Regulation of the fundamental right to health and </w:t>
      </w:r>
      <w:r>
        <w:rPr>
          <w:rFonts w:cs="Times New Roman"/>
          <w:color w:val="0D0D0D"/>
          <w:sz w:val="16"/>
          <w:szCs w:val="16"/>
          <w:lang w:val="en-US"/>
        </w:rPr>
        <w:t>other provisions:” C</w:t>
      </w:r>
      <w:r w:rsidRPr="00895EE3">
        <w:rPr>
          <w:rFonts w:cs="Times New Roman"/>
          <w:color w:val="0D0D0D"/>
          <w:sz w:val="16"/>
          <w:szCs w:val="16"/>
          <w:lang w:val="en-US"/>
        </w:rPr>
        <w:t>reates a legal and institutional framework to guarantee the fundamental right to health based on the principles of universality, quality and efficiency.</w:t>
      </w:r>
    </w:p>
  </w:footnote>
  <w:footnote w:id="161">
    <w:p w14:paraId="0BBB45E8"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rPr>
        <w:t xml:space="preserve">Cf. </w:t>
      </w:r>
      <w:r w:rsidRPr="00BA61B2">
        <w:rPr>
          <w:noProof w:val="0"/>
          <w:szCs w:val="16"/>
          <w:lang w:val="en-US"/>
        </w:rPr>
        <w:t>Judgment of the Constitutional Court</w:t>
      </w:r>
      <w:r>
        <w:rPr>
          <w:noProof w:val="0"/>
          <w:szCs w:val="16"/>
          <w:lang w:val="en-US"/>
        </w:rPr>
        <w:t xml:space="preserve"> </w:t>
      </w:r>
      <w:r w:rsidRPr="00BA61B2">
        <w:rPr>
          <w:noProof w:val="0"/>
          <w:szCs w:val="16"/>
          <w:lang w:val="en-US"/>
        </w:rPr>
        <w:t xml:space="preserve">of Colombia C-336 of April 16, 2008 (evidence file, folio 1411). </w:t>
      </w:r>
    </w:p>
  </w:footnote>
  <w:footnote w:id="162">
    <w:p w14:paraId="2A759619" w14:textId="77777777" w:rsidR="00432906" w:rsidRPr="00BA61B2" w:rsidRDefault="00432906" w:rsidP="007B0DE4">
      <w:pPr>
        <w:pStyle w:val="2Footnotes"/>
        <w:rPr>
          <w:noProof w:val="0"/>
          <w:szCs w:val="16"/>
          <w:lang w:val="en-US"/>
        </w:rPr>
      </w:pPr>
      <w:r w:rsidRPr="00BA61B2">
        <w:rPr>
          <w:rStyle w:val="Refdenotaalpie"/>
          <w:rFonts w:eastAsia="Batang"/>
          <w:noProof w:val="0"/>
          <w:szCs w:val="16"/>
          <w:lang w:val="en-US"/>
        </w:rPr>
        <w:footnoteRef/>
      </w:r>
      <w:r>
        <w:rPr>
          <w:noProof w:val="0"/>
          <w:szCs w:val="16"/>
          <w:lang w:val="en-US"/>
        </w:rPr>
        <w:t xml:space="preserve"> </w:t>
      </w:r>
      <w:r>
        <w:rPr>
          <w:noProof w:val="0"/>
          <w:szCs w:val="16"/>
          <w:lang w:val="en-US"/>
        </w:rPr>
        <w:tab/>
        <w:t>Article 63(</w:t>
      </w:r>
      <w:r w:rsidRPr="00BA61B2">
        <w:rPr>
          <w:noProof w:val="0"/>
          <w:szCs w:val="16"/>
          <w:lang w:val="en-US"/>
        </w:rPr>
        <w:t>1</w:t>
      </w:r>
      <w:r>
        <w:rPr>
          <w:noProof w:val="0"/>
          <w:szCs w:val="16"/>
          <w:lang w:val="en-US"/>
        </w:rPr>
        <w:t>)</w:t>
      </w:r>
      <w:r w:rsidRPr="00BA61B2">
        <w:rPr>
          <w:noProof w:val="0"/>
          <w:szCs w:val="16"/>
          <w:lang w:val="en-US"/>
        </w:rPr>
        <w:t xml:space="preserve"> of the American Convention</w:t>
      </w:r>
      <w:r>
        <w:rPr>
          <w:noProof w:val="0"/>
          <w:szCs w:val="16"/>
          <w:lang w:val="en-US"/>
        </w:rPr>
        <w:t xml:space="preserve"> provides that</w:t>
      </w:r>
      <w:r w:rsidRPr="00BA61B2">
        <w:rPr>
          <w:noProof w:val="0"/>
          <w:szCs w:val="16"/>
          <w:lang w:val="en-US"/>
        </w:rPr>
        <w:t>: “</w:t>
      </w:r>
      <w:r>
        <w:rPr>
          <w:color w:val="000000"/>
        </w:rPr>
        <w:t>If the Court finds that there has been a violation of a right or freedom protected by this Convention, the Court shall rule that the injured party be ensured the enjoyment of his right or freedom that was violated. It shall also rule, if appropriate, that the consequences of the measure or situation that constituted the breach of such right or freedom be remedied and that fair compensation be paid to the injured party</w:t>
      </w:r>
      <w:r>
        <w:rPr>
          <w:noProof w:val="0"/>
          <w:szCs w:val="16"/>
          <w:lang w:val="en-US"/>
        </w:rPr>
        <w:t>.”</w:t>
      </w:r>
    </w:p>
  </w:footnote>
  <w:footnote w:id="163">
    <w:p w14:paraId="7C0C0380" w14:textId="77777777" w:rsidR="00432906" w:rsidRPr="00BA61B2" w:rsidRDefault="00432906" w:rsidP="007B0DE4">
      <w:pPr>
        <w:pStyle w:val="2Footnotes"/>
        <w:rPr>
          <w:noProof w:val="0"/>
          <w:szCs w:val="16"/>
          <w:lang w:val="en-US"/>
        </w:rPr>
      </w:pPr>
      <w:r w:rsidRPr="00BA61B2">
        <w:rPr>
          <w:rStyle w:val="Refdenotaalpie"/>
          <w:rFonts w:eastAsia="Batang"/>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bidi="en-US"/>
        </w:rPr>
        <w:t xml:space="preserve">Cf. </w:t>
      </w:r>
      <w:r w:rsidRPr="00BA61B2">
        <w:rPr>
          <w:rFonts w:cs="Verdana"/>
          <w:i/>
          <w:noProof w:val="0"/>
          <w:szCs w:val="16"/>
          <w:lang w:val="en-US" w:bidi="en-US"/>
        </w:rPr>
        <w:t>Case of Velásquez Rodríguez v. Honduras.</w:t>
      </w:r>
      <w:r w:rsidRPr="00BA61B2">
        <w:rPr>
          <w:rFonts w:cs="Verdana"/>
          <w:noProof w:val="0"/>
          <w:szCs w:val="16"/>
          <w:lang w:val="en-US" w:bidi="en-US"/>
        </w:rPr>
        <w:t xml:space="preserve"> </w:t>
      </w:r>
      <w:r w:rsidRPr="00BA61B2">
        <w:rPr>
          <w:rFonts w:cs="Verdana"/>
          <w:i/>
          <w:noProof w:val="0"/>
          <w:szCs w:val="16"/>
          <w:lang w:val="en-US" w:bidi="en-US"/>
        </w:rPr>
        <w:t xml:space="preserve">Reparations and Costs. </w:t>
      </w:r>
      <w:r w:rsidRPr="00BA61B2">
        <w:rPr>
          <w:rFonts w:cs="Verdana"/>
          <w:noProof w:val="0"/>
          <w:szCs w:val="16"/>
          <w:lang w:val="en-US" w:bidi="en-US"/>
        </w:rPr>
        <w:t xml:space="preserve">Judgment of July </w:t>
      </w:r>
      <w:r>
        <w:rPr>
          <w:rFonts w:cs="Verdana"/>
          <w:noProof w:val="0"/>
          <w:szCs w:val="16"/>
          <w:lang w:val="en-US" w:bidi="en-US"/>
        </w:rPr>
        <w:t xml:space="preserve">21, </w:t>
      </w:r>
      <w:r w:rsidRPr="00BA61B2">
        <w:rPr>
          <w:rFonts w:cs="Verdana"/>
          <w:noProof w:val="0"/>
          <w:szCs w:val="16"/>
          <w:lang w:val="en-US" w:bidi="en-US"/>
        </w:rPr>
        <w:t xml:space="preserve">1989. Series C No. 7, para. 25, and </w:t>
      </w:r>
      <w:r w:rsidRPr="00BA61B2">
        <w:rPr>
          <w:rFonts w:eastAsia="Verdana" w:cs="Verdana"/>
          <w:i/>
          <w:noProof w:val="0"/>
          <w:spacing w:val="2"/>
          <w:szCs w:val="16"/>
          <w:lang w:val="en-US"/>
        </w:rPr>
        <w:t xml:space="preserve">Case of Garífuna Triunfo de la Cruz Community and its Members v. Honduras, </w:t>
      </w:r>
      <w:r w:rsidRPr="00BA61B2">
        <w:rPr>
          <w:rFonts w:eastAsia="Verdana" w:cs="Verdana"/>
          <w:noProof w:val="0"/>
          <w:spacing w:val="2"/>
          <w:szCs w:val="16"/>
          <w:lang w:val="en-US"/>
        </w:rPr>
        <w:t>para. 254.</w:t>
      </w:r>
    </w:p>
  </w:footnote>
  <w:footnote w:id="164">
    <w:p w14:paraId="73EF52ED" w14:textId="77777777" w:rsidR="00432906" w:rsidRPr="00BA61B2" w:rsidRDefault="00432906" w:rsidP="007B0DE4">
      <w:pPr>
        <w:pStyle w:val="Textonotapie"/>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bidi="en-US"/>
        </w:rPr>
        <w:t xml:space="preserve">Cf. </w:t>
      </w:r>
      <w:r w:rsidRPr="00BA61B2">
        <w:rPr>
          <w:rFonts w:cs="Verdana"/>
          <w:i/>
          <w:noProof w:val="0"/>
          <w:szCs w:val="16"/>
          <w:lang w:val="en-US" w:bidi="en-US"/>
        </w:rPr>
        <w:t>Case of Velásquez Rodríguez v. Honduras.</w:t>
      </w:r>
      <w:r w:rsidRPr="00BA61B2">
        <w:rPr>
          <w:rFonts w:cs="Verdana"/>
          <w:noProof w:val="0"/>
          <w:szCs w:val="16"/>
          <w:lang w:val="en-US" w:bidi="en-US"/>
        </w:rPr>
        <w:t xml:space="preserve"> </w:t>
      </w:r>
      <w:r w:rsidRPr="00BA61B2">
        <w:rPr>
          <w:rFonts w:cs="Verdana"/>
          <w:i/>
          <w:noProof w:val="0"/>
          <w:szCs w:val="16"/>
          <w:lang w:val="en-US" w:bidi="en-US"/>
        </w:rPr>
        <w:t xml:space="preserve">Reparations and Costs, </w:t>
      </w:r>
      <w:r w:rsidRPr="00BA61B2">
        <w:rPr>
          <w:rFonts w:cs="Verdana"/>
          <w:noProof w:val="0"/>
          <w:szCs w:val="16"/>
          <w:lang w:val="en-US" w:bidi="en-US"/>
        </w:rPr>
        <w:t>para. 25</w:t>
      </w:r>
      <w:r w:rsidRPr="00BA61B2">
        <w:rPr>
          <w:rFonts w:cs="Verdana"/>
          <w:i/>
          <w:noProof w:val="0"/>
          <w:szCs w:val="16"/>
          <w:lang w:val="en-US" w:bidi="en-US"/>
        </w:rPr>
        <w:t xml:space="preserve">, and </w:t>
      </w:r>
      <w:r w:rsidRPr="00BA61B2">
        <w:rPr>
          <w:rFonts w:eastAsia="Verdana" w:cs="Verdana"/>
          <w:i/>
          <w:noProof w:val="0"/>
          <w:spacing w:val="2"/>
          <w:szCs w:val="16"/>
          <w:lang w:val="en-US"/>
        </w:rPr>
        <w:t xml:space="preserve">Case of Garífuna Triunfo de la Cruz Community and its Members v. Honduras, </w:t>
      </w:r>
      <w:r w:rsidRPr="00BA61B2">
        <w:rPr>
          <w:rFonts w:eastAsia="Verdana" w:cs="Verdana"/>
          <w:noProof w:val="0"/>
          <w:spacing w:val="2"/>
          <w:szCs w:val="16"/>
          <w:lang w:val="en-US"/>
        </w:rPr>
        <w:t>para. 254</w:t>
      </w:r>
      <w:r w:rsidRPr="00BA61B2">
        <w:rPr>
          <w:rFonts w:cs="Verdana"/>
          <w:noProof w:val="0"/>
          <w:szCs w:val="16"/>
          <w:lang w:val="en-US" w:bidi="en-US"/>
        </w:rPr>
        <w:t>.</w:t>
      </w:r>
    </w:p>
  </w:footnote>
  <w:footnote w:id="165">
    <w:p w14:paraId="3F4D3546" w14:textId="77777777" w:rsidR="00432906" w:rsidRPr="00BA61B2" w:rsidRDefault="00432906" w:rsidP="007B0DE4">
      <w:pPr>
        <w:pStyle w:val="2Footnotes"/>
        <w:rPr>
          <w:noProof w:val="0"/>
          <w:szCs w:val="16"/>
          <w:lang w:val="en-US"/>
        </w:rPr>
      </w:pPr>
      <w:r w:rsidRPr="00BA61B2">
        <w:rPr>
          <w:rStyle w:val="Refdenotaalpie"/>
          <w:rFonts w:eastAsia="Batang"/>
          <w:noProof w:val="0"/>
          <w:szCs w:val="16"/>
          <w:lang w:val="en-US"/>
        </w:rPr>
        <w:footnoteRef/>
      </w:r>
      <w:r w:rsidRPr="00BA61B2">
        <w:rPr>
          <w:noProof w:val="0"/>
          <w:szCs w:val="16"/>
          <w:lang w:val="en-US"/>
        </w:rPr>
        <w:tab/>
      </w:r>
      <w:r w:rsidRPr="00BA61B2">
        <w:rPr>
          <w:i/>
          <w:noProof w:val="0"/>
          <w:szCs w:val="16"/>
          <w:lang w:val="en-US"/>
        </w:rPr>
        <w:t xml:space="preserve">Cf. Case of Ticona Estrada et al. v. Bolivia. Merits, reparations and costs. </w:t>
      </w:r>
      <w:r w:rsidRPr="00BA61B2">
        <w:rPr>
          <w:noProof w:val="0"/>
          <w:szCs w:val="16"/>
          <w:lang w:val="en-US"/>
        </w:rPr>
        <w:t xml:space="preserve">Judgment of November 27, 2008. Series C No. 191, para. 110, and </w:t>
      </w:r>
      <w:r w:rsidRPr="00BA61B2">
        <w:rPr>
          <w:rFonts w:eastAsia="Verdana" w:cs="Verdana"/>
          <w:i/>
          <w:noProof w:val="0"/>
          <w:spacing w:val="2"/>
          <w:szCs w:val="16"/>
          <w:lang w:val="en-US"/>
        </w:rPr>
        <w:t xml:space="preserve">Case of Garífuna Triunfo de la Cruz Community and its Members v. Honduras, </w:t>
      </w:r>
      <w:r w:rsidRPr="00BA61B2">
        <w:rPr>
          <w:rFonts w:eastAsia="Verdana" w:cs="Verdana"/>
          <w:noProof w:val="0"/>
          <w:spacing w:val="2"/>
          <w:szCs w:val="16"/>
          <w:lang w:val="en-US"/>
        </w:rPr>
        <w:t>para. 254.</w:t>
      </w:r>
    </w:p>
  </w:footnote>
  <w:footnote w:id="166">
    <w:p w14:paraId="10019CEB" w14:textId="77777777" w:rsidR="00432906" w:rsidRPr="00BA61B2" w:rsidRDefault="00432906" w:rsidP="007B0DE4">
      <w:pPr>
        <w:pStyle w:val="2Footnotes"/>
        <w:rPr>
          <w:noProof w:val="0"/>
          <w:szCs w:val="16"/>
          <w:lang w:val="en-US"/>
        </w:rPr>
      </w:pPr>
      <w:r w:rsidRPr="00BA61B2">
        <w:rPr>
          <w:rStyle w:val="Refdenotaalpie"/>
          <w:rFonts w:eastAsia="MS Mincho"/>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bidi="en-US"/>
        </w:rPr>
        <w:t xml:space="preserve">Cf. </w:t>
      </w:r>
      <w:r w:rsidRPr="00BA61B2">
        <w:rPr>
          <w:rFonts w:cs="Verdana"/>
          <w:i/>
          <w:noProof w:val="0"/>
          <w:szCs w:val="16"/>
          <w:lang w:val="en-US" w:bidi="en-US"/>
        </w:rPr>
        <w:t>Case of Velásquez Rodríguez v. Honduras.</w:t>
      </w:r>
      <w:r w:rsidRPr="00BA61B2">
        <w:rPr>
          <w:rFonts w:cs="Verdana"/>
          <w:noProof w:val="0"/>
          <w:szCs w:val="16"/>
          <w:lang w:val="en-US" w:bidi="en-US"/>
        </w:rPr>
        <w:t xml:space="preserve"> </w:t>
      </w:r>
      <w:r w:rsidRPr="00BA61B2">
        <w:rPr>
          <w:rFonts w:cs="Verdana"/>
          <w:i/>
          <w:noProof w:val="0"/>
          <w:szCs w:val="16"/>
          <w:lang w:val="en-US" w:bidi="en-US"/>
        </w:rPr>
        <w:t>Reparations and Costs</w:t>
      </w:r>
      <w:r w:rsidRPr="00BA61B2">
        <w:rPr>
          <w:rFonts w:cs="Verdana"/>
          <w:noProof w:val="0"/>
          <w:szCs w:val="16"/>
          <w:lang w:val="en-US" w:bidi="en-US"/>
        </w:rPr>
        <w:t xml:space="preserve">, para. 26, and </w:t>
      </w:r>
      <w:r w:rsidRPr="00BA61B2">
        <w:rPr>
          <w:rFonts w:eastAsia="Verdana" w:cs="Verdana"/>
          <w:i/>
          <w:noProof w:val="0"/>
          <w:spacing w:val="2"/>
          <w:szCs w:val="16"/>
          <w:lang w:val="en-US"/>
        </w:rPr>
        <w:t xml:space="preserve">Case of Garífuna Triunfo de la Cruz Community and its Members v. Honduras, </w:t>
      </w:r>
      <w:r w:rsidRPr="00BA61B2">
        <w:rPr>
          <w:rFonts w:eastAsia="Verdana" w:cs="Verdana"/>
          <w:noProof w:val="0"/>
          <w:spacing w:val="2"/>
          <w:szCs w:val="16"/>
          <w:lang w:val="en-US"/>
        </w:rPr>
        <w:t>para. 255</w:t>
      </w:r>
      <w:r w:rsidRPr="00BA61B2">
        <w:rPr>
          <w:rFonts w:cs="Arial"/>
          <w:noProof w:val="0"/>
          <w:lang w:val="en-US"/>
        </w:rPr>
        <w:t>.</w:t>
      </w:r>
    </w:p>
  </w:footnote>
  <w:footnote w:id="167">
    <w:p w14:paraId="28ED98B9" w14:textId="77777777" w:rsidR="00432906" w:rsidRPr="00BA61B2" w:rsidRDefault="00432906" w:rsidP="007B0DE4">
      <w:pPr>
        <w:pStyle w:val="2Footnotes"/>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bidi="en-US"/>
        </w:rPr>
        <w:t>Cf.</w:t>
      </w:r>
      <w:r w:rsidRPr="00BA61B2">
        <w:rPr>
          <w:noProof w:val="0"/>
          <w:szCs w:val="16"/>
          <w:lang w:val="en-US"/>
        </w:rPr>
        <w:t xml:space="preserve"> </w:t>
      </w:r>
      <w:r w:rsidRPr="00BA61B2">
        <w:rPr>
          <w:i/>
          <w:noProof w:val="0"/>
          <w:szCs w:val="16"/>
          <w:lang w:val="en-US"/>
        </w:rPr>
        <w:t>Case of the Mapiripán Massacre v. Colombia. Merits, reparations and costs</w:t>
      </w:r>
      <w:r w:rsidRPr="00BA61B2">
        <w:rPr>
          <w:noProof w:val="0"/>
          <w:szCs w:val="16"/>
          <w:lang w:val="en-US"/>
        </w:rPr>
        <w:t xml:space="preserve">, para. 294, and </w:t>
      </w:r>
      <w:r w:rsidRPr="00BA61B2">
        <w:rPr>
          <w:rFonts w:eastAsia="Verdana" w:cs="Verdana"/>
          <w:i/>
          <w:noProof w:val="0"/>
          <w:spacing w:val="2"/>
          <w:szCs w:val="16"/>
          <w:lang w:val="en-US"/>
        </w:rPr>
        <w:t xml:space="preserve">Case of Garífuna Triunfo de la Cruz Community and its Members v. Honduras, </w:t>
      </w:r>
      <w:r w:rsidRPr="00BA61B2">
        <w:rPr>
          <w:rFonts w:eastAsia="Verdana" w:cs="Verdana"/>
          <w:noProof w:val="0"/>
          <w:spacing w:val="2"/>
          <w:szCs w:val="16"/>
          <w:lang w:val="en-US"/>
        </w:rPr>
        <w:t>para. 255.</w:t>
      </w:r>
    </w:p>
  </w:footnote>
  <w:footnote w:id="168">
    <w:p w14:paraId="3E08B145" w14:textId="77777777" w:rsidR="00432906" w:rsidRPr="00BA61B2" w:rsidRDefault="00432906" w:rsidP="007B0DE4">
      <w:pPr>
        <w:pStyle w:val="2Footnotes"/>
        <w:rPr>
          <w:rFonts w:cs="Verdana"/>
          <w:noProof w:val="0"/>
          <w:szCs w:val="16"/>
          <w:lang w:val="en-US"/>
        </w:rPr>
      </w:pPr>
      <w:r w:rsidRPr="00BA61B2">
        <w:rPr>
          <w:rStyle w:val="Refdenotaalpie"/>
          <w:rFonts w:eastAsia="Batang"/>
          <w:noProof w:val="0"/>
          <w:szCs w:val="16"/>
          <w:lang w:val="en-US"/>
        </w:rPr>
        <w:footnoteRef/>
      </w:r>
      <w:r w:rsidRPr="00BA61B2">
        <w:rPr>
          <w:noProof w:val="0"/>
          <w:szCs w:val="16"/>
          <w:lang w:val="en-US"/>
        </w:rPr>
        <w:t xml:space="preserve"> </w:t>
      </w:r>
      <w:r w:rsidRPr="00BA61B2">
        <w:rPr>
          <w:noProof w:val="0"/>
          <w:szCs w:val="16"/>
          <w:lang w:val="en-US"/>
        </w:rPr>
        <w:tab/>
      </w:r>
      <w:r w:rsidRPr="00BA61B2">
        <w:rPr>
          <w:rFonts w:cs="Verdana"/>
          <w:i/>
          <w:noProof w:val="0"/>
          <w:szCs w:val="16"/>
          <w:lang w:val="en-US" w:bidi="en-US"/>
        </w:rPr>
        <w:t xml:space="preserve">Cf. </w:t>
      </w:r>
      <w:r w:rsidRPr="00BA61B2">
        <w:rPr>
          <w:i/>
          <w:noProof w:val="0"/>
          <w:szCs w:val="16"/>
          <w:lang w:val="en-US" w:bidi="en-US"/>
        </w:rPr>
        <w:t>Case of Velásquez Rodríguez v. Honduras. Reparations and Costs</w:t>
      </w:r>
      <w:r w:rsidRPr="00BA61B2">
        <w:rPr>
          <w:noProof w:val="0"/>
          <w:szCs w:val="16"/>
          <w:lang w:val="en-US"/>
        </w:rPr>
        <w:t xml:space="preserve">, </w:t>
      </w:r>
      <w:r w:rsidRPr="00BA61B2">
        <w:rPr>
          <w:noProof w:val="0"/>
          <w:szCs w:val="16"/>
          <w:lang w:val="en-US" w:bidi="en-US"/>
        </w:rPr>
        <w:t xml:space="preserve">paras. 25 to 27, and </w:t>
      </w:r>
      <w:r w:rsidRPr="00BA61B2">
        <w:rPr>
          <w:rFonts w:eastAsia="Verdana" w:cs="Verdana"/>
          <w:i/>
          <w:noProof w:val="0"/>
          <w:spacing w:val="2"/>
          <w:szCs w:val="16"/>
          <w:lang w:val="en-US"/>
        </w:rPr>
        <w:t xml:space="preserve">Case of Garífuna Triunfo de la Cruz Community and its Members v. Honduras, </w:t>
      </w:r>
      <w:r w:rsidRPr="00BA61B2">
        <w:rPr>
          <w:rFonts w:eastAsia="Verdana" w:cs="Verdana"/>
          <w:noProof w:val="0"/>
          <w:spacing w:val="2"/>
          <w:szCs w:val="16"/>
          <w:lang w:val="en-US"/>
        </w:rPr>
        <w:t>para. 256</w:t>
      </w:r>
      <w:r w:rsidRPr="00BA61B2">
        <w:rPr>
          <w:rFonts w:cs="Verdana"/>
          <w:noProof w:val="0"/>
          <w:szCs w:val="16"/>
          <w:lang w:val="en-US" w:bidi="en-US"/>
        </w:rPr>
        <w:t>.</w:t>
      </w:r>
    </w:p>
  </w:footnote>
  <w:footnote w:id="169">
    <w:p w14:paraId="6E858984" w14:textId="77777777" w:rsidR="00432906" w:rsidRPr="00BA61B2" w:rsidRDefault="00432906" w:rsidP="007B0DE4">
      <w:pPr>
        <w:spacing w:before="120" w:after="120"/>
        <w:rPr>
          <w:rFonts w:cs="Arial"/>
          <w:color w:val="262626"/>
          <w:sz w:val="16"/>
          <w:szCs w:val="16"/>
          <w:lang w:val="en-US"/>
        </w:rPr>
      </w:pPr>
      <w:r w:rsidRPr="00BA61B2">
        <w:rPr>
          <w:rStyle w:val="Refdenotaalpie"/>
          <w:sz w:val="16"/>
          <w:szCs w:val="16"/>
          <w:lang w:val="en-US"/>
        </w:rPr>
        <w:footnoteRef/>
      </w:r>
      <w:r w:rsidRPr="00BA61B2">
        <w:rPr>
          <w:sz w:val="16"/>
          <w:szCs w:val="16"/>
          <w:lang w:val="en-US"/>
        </w:rPr>
        <w:t xml:space="preserve"> </w:t>
      </w:r>
      <w:r w:rsidRPr="00BA61B2">
        <w:rPr>
          <w:sz w:val="16"/>
          <w:szCs w:val="16"/>
          <w:lang w:val="en-US"/>
        </w:rPr>
        <w:tab/>
      </w:r>
      <w:r w:rsidRPr="00BA61B2">
        <w:rPr>
          <w:i/>
          <w:sz w:val="16"/>
          <w:szCs w:val="16"/>
          <w:lang w:val="en-US"/>
        </w:rPr>
        <w:t>Cf. Case of the “Street Children” (Villagrán Morales et al.) v. Guatemala. Reparations and Costs</w:t>
      </w:r>
      <w:r w:rsidRPr="00BA61B2">
        <w:rPr>
          <w:sz w:val="16"/>
          <w:szCs w:val="16"/>
          <w:lang w:val="en-US"/>
        </w:rPr>
        <w:t xml:space="preserve">. Judgment of May 26, 2001. Series C No. 77, para. 84, and </w:t>
      </w:r>
      <w:r w:rsidRPr="00BA61B2">
        <w:rPr>
          <w:rFonts w:eastAsia="Verdana" w:cs="Verdana"/>
          <w:i/>
          <w:spacing w:val="2"/>
          <w:sz w:val="16"/>
          <w:szCs w:val="16"/>
          <w:lang w:val="en-US"/>
        </w:rPr>
        <w:t xml:space="preserve">Case of Garífuna Triunfo de la Cruz Community and its Members v. Honduras, </w:t>
      </w:r>
      <w:r w:rsidRPr="00BA61B2">
        <w:rPr>
          <w:rFonts w:eastAsia="Verdana" w:cs="Verdana"/>
          <w:spacing w:val="2"/>
          <w:sz w:val="16"/>
          <w:szCs w:val="16"/>
          <w:lang w:val="en-US"/>
        </w:rPr>
        <w:t>para. 268</w:t>
      </w:r>
      <w:r w:rsidRPr="00BA61B2">
        <w:rPr>
          <w:sz w:val="16"/>
          <w:szCs w:val="16"/>
          <w:lang w:val="en-US"/>
        </w:rPr>
        <w:t>.</w:t>
      </w:r>
    </w:p>
  </w:footnote>
  <w:footnote w:id="170">
    <w:p w14:paraId="13F98AE9" w14:textId="77777777" w:rsidR="00432906" w:rsidRPr="00BA61B2" w:rsidRDefault="00432906" w:rsidP="007B0DE4">
      <w:pPr>
        <w:spacing w:before="120" w:after="120"/>
        <w:rPr>
          <w:sz w:val="16"/>
          <w:szCs w:val="16"/>
          <w:lang w:val="en-US"/>
        </w:rPr>
      </w:pPr>
      <w:r w:rsidRPr="00BA61B2">
        <w:rPr>
          <w:rStyle w:val="Refdenotaalpie"/>
          <w:sz w:val="16"/>
          <w:szCs w:val="16"/>
          <w:lang w:val="en-US"/>
        </w:rPr>
        <w:footnoteRef/>
      </w:r>
      <w:r w:rsidRPr="00BA61B2">
        <w:rPr>
          <w:sz w:val="16"/>
          <w:szCs w:val="16"/>
          <w:lang w:val="en-US"/>
        </w:rPr>
        <w:t xml:space="preserve"> </w:t>
      </w:r>
      <w:r w:rsidRPr="00BA61B2">
        <w:rPr>
          <w:sz w:val="16"/>
          <w:szCs w:val="16"/>
          <w:lang w:val="en-US"/>
        </w:rPr>
        <w:tab/>
      </w:r>
      <w:r w:rsidRPr="00BA61B2">
        <w:rPr>
          <w:i/>
          <w:sz w:val="16"/>
          <w:szCs w:val="16"/>
          <w:lang w:val="en-US"/>
        </w:rPr>
        <w:t xml:space="preserve">Cf. Case of </w:t>
      </w:r>
      <w:r>
        <w:rPr>
          <w:i/>
          <w:sz w:val="16"/>
          <w:szCs w:val="16"/>
          <w:lang w:val="en-US"/>
        </w:rPr>
        <w:t>El</w:t>
      </w:r>
      <w:r w:rsidRPr="00BA61B2">
        <w:rPr>
          <w:i/>
          <w:sz w:val="16"/>
          <w:szCs w:val="16"/>
          <w:lang w:val="en-US"/>
        </w:rPr>
        <w:t xml:space="preserve"> Amparo</w:t>
      </w:r>
      <w:r>
        <w:rPr>
          <w:i/>
          <w:sz w:val="16"/>
          <w:szCs w:val="16"/>
          <w:lang w:val="en-US"/>
        </w:rPr>
        <w:t xml:space="preserve"> v. Venezuela. Reparations and c</w:t>
      </w:r>
      <w:r w:rsidRPr="00BA61B2">
        <w:rPr>
          <w:i/>
          <w:sz w:val="16"/>
          <w:szCs w:val="16"/>
          <w:lang w:val="en-US"/>
        </w:rPr>
        <w:t xml:space="preserve">osts. </w:t>
      </w:r>
      <w:r w:rsidRPr="00BA61B2">
        <w:rPr>
          <w:sz w:val="16"/>
          <w:szCs w:val="16"/>
          <w:lang w:val="en-US"/>
        </w:rPr>
        <w:t xml:space="preserve">Judgment of September 14, 1996. Series C No. 28, para. 35, and </w:t>
      </w:r>
      <w:r w:rsidRPr="00BA61B2">
        <w:rPr>
          <w:rFonts w:eastAsia="Verdana" w:cs="Verdana"/>
          <w:i/>
          <w:spacing w:val="2"/>
          <w:sz w:val="16"/>
          <w:szCs w:val="16"/>
          <w:lang w:val="en-US"/>
        </w:rPr>
        <w:t xml:space="preserve">Case of Garífuna Triunfo de la Cruz Community and its Members v. Honduras, </w:t>
      </w:r>
      <w:r w:rsidRPr="00BA61B2">
        <w:rPr>
          <w:rFonts w:eastAsia="Verdana" w:cs="Verdana"/>
          <w:spacing w:val="2"/>
          <w:sz w:val="16"/>
          <w:szCs w:val="16"/>
          <w:lang w:val="en-US"/>
        </w:rPr>
        <w:t>para. 268</w:t>
      </w:r>
      <w:r w:rsidRPr="00BA61B2">
        <w:rPr>
          <w:sz w:val="16"/>
          <w:szCs w:val="16"/>
          <w:lang w:val="en-US"/>
        </w:rPr>
        <w:t>.</w:t>
      </w:r>
    </w:p>
  </w:footnote>
  <w:footnote w:id="171">
    <w:p w14:paraId="6752CD28" w14:textId="77777777" w:rsidR="00432906" w:rsidRPr="00BA61B2" w:rsidRDefault="00432906" w:rsidP="007B0DE4">
      <w:pPr>
        <w:pStyle w:val="2Footnotes"/>
        <w:spacing w:before="60" w:after="60"/>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bCs/>
          <w:i/>
          <w:noProof w:val="0"/>
          <w:szCs w:val="16"/>
          <w:lang w:val="en-US"/>
        </w:rPr>
        <w:t xml:space="preserve">Cf. </w:t>
      </w:r>
      <w:r w:rsidRPr="00BA61B2">
        <w:rPr>
          <w:i/>
          <w:noProof w:val="0"/>
          <w:szCs w:val="16"/>
          <w:lang w:val="en-US"/>
        </w:rPr>
        <w:t>Case of Cantoral Benavides v. Peru</w:t>
      </w:r>
      <w:r>
        <w:rPr>
          <w:noProof w:val="0"/>
          <w:szCs w:val="16"/>
          <w:lang w:val="en-US"/>
        </w:rPr>
        <w:t>. Reparations and c</w:t>
      </w:r>
      <w:r w:rsidRPr="00BA61B2">
        <w:rPr>
          <w:noProof w:val="0"/>
          <w:szCs w:val="16"/>
          <w:lang w:val="en-US"/>
        </w:rPr>
        <w:t xml:space="preserve">osts. Judgment of December 3, 2001. Series C No. 88, </w:t>
      </w:r>
      <w:r w:rsidRPr="00BA61B2">
        <w:rPr>
          <w:bCs/>
          <w:noProof w:val="0"/>
          <w:szCs w:val="16"/>
          <w:lang w:val="en-US"/>
        </w:rPr>
        <w:t>para. 79,</w:t>
      </w:r>
      <w:r w:rsidRPr="00BA61B2">
        <w:rPr>
          <w:noProof w:val="0"/>
          <w:szCs w:val="16"/>
          <w:lang w:val="en-US"/>
        </w:rPr>
        <w:t xml:space="preserve"> and </w:t>
      </w:r>
      <w:r w:rsidRPr="00BA61B2">
        <w:rPr>
          <w:rFonts w:eastAsia="Verdana" w:cs="Verdana"/>
          <w:i/>
          <w:noProof w:val="0"/>
          <w:spacing w:val="2"/>
          <w:szCs w:val="16"/>
          <w:lang w:val="en-US"/>
        </w:rPr>
        <w:t xml:space="preserve">Case of Garífuna Triunfo de la Cruz Community and its Members v. Honduras, </w:t>
      </w:r>
      <w:r w:rsidRPr="00BA61B2">
        <w:rPr>
          <w:rFonts w:eastAsia="Verdana" w:cs="Verdana"/>
          <w:noProof w:val="0"/>
          <w:spacing w:val="2"/>
          <w:szCs w:val="16"/>
          <w:lang w:val="en-US"/>
        </w:rPr>
        <w:t>para. 271</w:t>
      </w:r>
      <w:r w:rsidRPr="00BA61B2">
        <w:rPr>
          <w:noProof w:val="0"/>
          <w:szCs w:val="16"/>
          <w:lang w:val="en-US"/>
        </w:rPr>
        <w:t>.</w:t>
      </w:r>
    </w:p>
  </w:footnote>
  <w:footnote w:id="172">
    <w:p w14:paraId="6E95606E" w14:textId="77777777" w:rsidR="00432906" w:rsidRPr="00BA61B2" w:rsidRDefault="00432906" w:rsidP="007B0DE4">
      <w:pPr>
        <w:pStyle w:val="Textonotapie"/>
        <w:rPr>
          <w:noProof w:val="0"/>
          <w:lang w:val="en-US"/>
        </w:rPr>
      </w:pPr>
      <w:r w:rsidRPr="00BA61B2">
        <w:rPr>
          <w:rStyle w:val="Refdenotaalpie"/>
          <w:noProof w:val="0"/>
          <w:lang w:val="en-US"/>
        </w:rPr>
        <w:footnoteRef/>
      </w:r>
      <w:r w:rsidRPr="00BA61B2">
        <w:rPr>
          <w:noProof w:val="0"/>
          <w:lang w:val="en-US"/>
        </w:rPr>
        <w:t xml:space="preserve"> </w:t>
      </w:r>
      <w:r w:rsidRPr="00BA61B2">
        <w:rPr>
          <w:noProof w:val="0"/>
          <w:lang w:val="en-US"/>
        </w:rPr>
        <w:tab/>
      </w:r>
      <w:r w:rsidRPr="00BA61B2">
        <w:rPr>
          <w:i/>
          <w:noProof w:val="0"/>
          <w:lang w:val="en-US"/>
        </w:rPr>
        <w:t>Cf.</w:t>
      </w:r>
      <w:r w:rsidRPr="00BA61B2">
        <w:rPr>
          <w:noProof w:val="0"/>
          <w:lang w:val="en-US"/>
        </w:rPr>
        <w:t xml:space="preserve"> </w:t>
      </w:r>
      <w:r w:rsidRPr="00BA61B2">
        <w:rPr>
          <w:i/>
          <w:noProof w:val="0"/>
          <w:lang w:val="en-US"/>
        </w:rPr>
        <w:t>Case of Bámaca Velásquez v. Guatemala. Reparations and costs</w:t>
      </w:r>
      <w:r w:rsidRPr="00BA61B2">
        <w:rPr>
          <w:noProof w:val="0"/>
          <w:lang w:val="en-US"/>
        </w:rPr>
        <w:t xml:space="preserve">. Judgment of February 22, 2002. Series C No. 91, para. 43, and </w:t>
      </w:r>
      <w:r w:rsidRPr="00BA61B2">
        <w:rPr>
          <w:i/>
          <w:noProof w:val="0"/>
          <w:szCs w:val="16"/>
          <w:lang w:val="en-US"/>
        </w:rPr>
        <w:t>Case of López Lone et al. v. Honduras</w:t>
      </w:r>
      <w:r w:rsidRPr="00BA61B2">
        <w:rPr>
          <w:noProof w:val="0"/>
          <w:szCs w:val="16"/>
          <w:lang w:val="en-US"/>
        </w:rPr>
        <w:t>, para. 314.</w:t>
      </w:r>
    </w:p>
  </w:footnote>
  <w:footnote w:id="173">
    <w:p w14:paraId="73A14130" w14:textId="77777777" w:rsidR="00432906" w:rsidRPr="00BA61B2" w:rsidRDefault="00432906" w:rsidP="007B0DE4">
      <w:pPr>
        <w:pStyle w:val="Textonotapie"/>
        <w:rPr>
          <w:noProof w:val="0"/>
          <w:lang w:val="en-US"/>
        </w:rPr>
      </w:pPr>
      <w:r w:rsidRPr="00BA61B2">
        <w:rPr>
          <w:rStyle w:val="Refdenotaalpie"/>
          <w:noProof w:val="0"/>
          <w:lang w:val="en-US"/>
        </w:rPr>
        <w:footnoteRef/>
      </w:r>
      <w:r w:rsidRPr="00BA61B2">
        <w:rPr>
          <w:noProof w:val="0"/>
          <w:lang w:val="en-US"/>
        </w:rPr>
        <w:t xml:space="preserve"> </w:t>
      </w:r>
      <w:r w:rsidRPr="00BA61B2">
        <w:rPr>
          <w:noProof w:val="0"/>
          <w:lang w:val="en-US"/>
        </w:rPr>
        <w:tab/>
      </w:r>
      <w:r w:rsidRPr="00BA61B2">
        <w:rPr>
          <w:i/>
          <w:noProof w:val="0"/>
          <w:lang w:val="en-US"/>
        </w:rPr>
        <w:t>Cf.</w:t>
      </w:r>
      <w:r w:rsidRPr="00BA61B2">
        <w:rPr>
          <w:noProof w:val="0"/>
          <w:lang w:val="en-US"/>
        </w:rPr>
        <w:t xml:space="preserve"> </w:t>
      </w:r>
      <w:r w:rsidRPr="00BA61B2">
        <w:rPr>
          <w:i/>
          <w:noProof w:val="0"/>
          <w:lang w:val="en-US"/>
        </w:rPr>
        <w:t>Case of Bámaca Velásquez v. Guatemala</w:t>
      </w:r>
      <w:r w:rsidRPr="00BA61B2">
        <w:rPr>
          <w:noProof w:val="0"/>
          <w:lang w:val="en-US"/>
        </w:rPr>
        <w:t xml:space="preserve">, para. 43, and </w:t>
      </w:r>
      <w:r w:rsidRPr="00BA61B2">
        <w:rPr>
          <w:i/>
          <w:noProof w:val="0"/>
          <w:szCs w:val="16"/>
          <w:lang w:val="en-US"/>
        </w:rPr>
        <w:t>Case of López Lone et al. v. Honduras</w:t>
      </w:r>
      <w:r w:rsidRPr="00BA61B2">
        <w:rPr>
          <w:noProof w:val="0"/>
          <w:szCs w:val="16"/>
          <w:lang w:val="en-US"/>
        </w:rPr>
        <w:t>, para. 314.</w:t>
      </w:r>
    </w:p>
  </w:footnote>
  <w:footnote w:id="174">
    <w:p w14:paraId="0C4EB791" w14:textId="77777777" w:rsidR="00432906" w:rsidRPr="00BA61B2" w:rsidRDefault="00432906" w:rsidP="007B0DE4">
      <w:pPr>
        <w:pStyle w:val="Textonotapie"/>
        <w:rPr>
          <w:noProof w:val="0"/>
          <w:lang w:val="en-US"/>
        </w:rPr>
      </w:pPr>
      <w:r w:rsidRPr="00BA61B2">
        <w:rPr>
          <w:rStyle w:val="Refdenotaalpie"/>
          <w:noProof w:val="0"/>
          <w:lang w:val="en-US"/>
        </w:rPr>
        <w:footnoteRef/>
      </w:r>
      <w:r w:rsidRPr="00BA61B2">
        <w:rPr>
          <w:noProof w:val="0"/>
          <w:lang w:val="en-US"/>
        </w:rPr>
        <w:t xml:space="preserve"> </w:t>
      </w:r>
      <w:r w:rsidRPr="00BA61B2">
        <w:rPr>
          <w:noProof w:val="0"/>
          <w:lang w:val="en-US"/>
        </w:rPr>
        <w:tab/>
      </w:r>
      <w:r w:rsidRPr="00BA61B2">
        <w:rPr>
          <w:i/>
          <w:noProof w:val="0"/>
          <w:lang w:val="en-US"/>
        </w:rPr>
        <w:t>Cf.</w:t>
      </w:r>
      <w:r w:rsidRPr="00BA61B2">
        <w:rPr>
          <w:noProof w:val="0"/>
          <w:lang w:val="en-US"/>
        </w:rPr>
        <w:t xml:space="preserve"> </w:t>
      </w:r>
      <w:r w:rsidRPr="00BA61B2">
        <w:rPr>
          <w:i/>
          <w:noProof w:val="0"/>
          <w:lang w:val="en-US"/>
        </w:rPr>
        <w:t>Case of the Street Children (Villagrán Morales et al.) v. Guatemala. Reparations and costs</w:t>
      </w:r>
      <w:r w:rsidRPr="00BA61B2">
        <w:rPr>
          <w:noProof w:val="0"/>
          <w:lang w:val="en-US"/>
        </w:rPr>
        <w:t xml:space="preserve">, para. 84, and </w:t>
      </w:r>
      <w:r w:rsidRPr="00BA61B2">
        <w:rPr>
          <w:i/>
          <w:noProof w:val="0"/>
          <w:lang w:val="en-US"/>
        </w:rPr>
        <w:t>Case of López Lone et al. v. Honduras</w:t>
      </w:r>
      <w:r w:rsidRPr="00BA61B2">
        <w:rPr>
          <w:noProof w:val="0"/>
          <w:lang w:val="en-US"/>
        </w:rPr>
        <w:t>, para. 320.</w:t>
      </w:r>
    </w:p>
  </w:footnote>
  <w:footnote w:id="175">
    <w:p w14:paraId="42E4E328" w14:textId="77777777" w:rsidR="00432906" w:rsidRPr="00BA61B2" w:rsidRDefault="00432906" w:rsidP="007B0DE4">
      <w:pPr>
        <w:pStyle w:val="Textonotapie"/>
        <w:rPr>
          <w:noProof w:val="0"/>
          <w:lang w:val="en-US"/>
        </w:rPr>
      </w:pPr>
      <w:r w:rsidRPr="00BA61B2">
        <w:rPr>
          <w:rStyle w:val="Refdenotaalpie"/>
          <w:noProof w:val="0"/>
          <w:lang w:val="en-US"/>
        </w:rPr>
        <w:footnoteRef/>
      </w:r>
      <w:r w:rsidRPr="00BA61B2">
        <w:rPr>
          <w:noProof w:val="0"/>
          <w:lang w:val="en-US"/>
        </w:rPr>
        <w:t xml:space="preserve"> </w:t>
      </w:r>
      <w:r w:rsidRPr="00BA61B2">
        <w:rPr>
          <w:noProof w:val="0"/>
          <w:lang w:val="en-US"/>
        </w:rPr>
        <w:tab/>
      </w:r>
      <w:r w:rsidRPr="00BA61B2">
        <w:rPr>
          <w:i/>
          <w:noProof w:val="0"/>
          <w:lang w:val="en-US"/>
        </w:rPr>
        <w:t>Case of Palamara Iribarne v. Chile. Merits, reparations and costs</w:t>
      </w:r>
      <w:r w:rsidRPr="00BA61B2">
        <w:rPr>
          <w:noProof w:val="0"/>
          <w:lang w:val="en-US"/>
        </w:rPr>
        <w:t xml:space="preserve">. Judgment of November 22, 2005. Series C No. 135, para. 244 and </w:t>
      </w:r>
      <w:r w:rsidRPr="00BA61B2">
        <w:rPr>
          <w:i/>
          <w:noProof w:val="0"/>
          <w:szCs w:val="16"/>
          <w:lang w:val="en-US"/>
        </w:rPr>
        <w:t>Case of Gonzales Lluy et al. v. Ecuador</w:t>
      </w:r>
      <w:r w:rsidRPr="00BA61B2">
        <w:rPr>
          <w:noProof w:val="0"/>
          <w:szCs w:val="16"/>
          <w:lang w:val="en-US"/>
        </w:rPr>
        <w:t>, para. 412.</w:t>
      </w:r>
    </w:p>
  </w:footnote>
  <w:footnote w:id="176">
    <w:p w14:paraId="61EB592F" w14:textId="77777777" w:rsidR="00432906" w:rsidRPr="00BA61B2" w:rsidRDefault="00432906" w:rsidP="007B0DE4">
      <w:pPr>
        <w:pStyle w:val="Textonotapie"/>
        <w:rPr>
          <w:noProof w:val="0"/>
          <w:lang w:val="en-US"/>
        </w:rPr>
      </w:pPr>
      <w:r w:rsidRPr="00BA61B2">
        <w:rPr>
          <w:rStyle w:val="Refdenotaalpie"/>
          <w:noProof w:val="0"/>
          <w:lang w:val="en-US"/>
        </w:rPr>
        <w:footnoteRef/>
      </w:r>
      <w:r>
        <w:rPr>
          <w:noProof w:val="0"/>
          <w:lang w:val="en-US"/>
        </w:rPr>
        <w:t xml:space="preserve"> </w:t>
      </w:r>
      <w:r>
        <w:rPr>
          <w:noProof w:val="0"/>
          <w:lang w:val="en-US"/>
        </w:rPr>
        <w:tab/>
        <w:t xml:space="preserve">They indicated </w:t>
      </w:r>
      <w:r w:rsidRPr="00BA61B2">
        <w:rPr>
          <w:noProof w:val="0"/>
          <w:lang w:val="en-US"/>
        </w:rPr>
        <w:t xml:space="preserve">that these </w:t>
      </w:r>
      <w:r w:rsidRPr="00BA61B2">
        <w:rPr>
          <w:noProof w:val="0"/>
          <w:spacing w:val="-2"/>
          <w:lang w:val="en-US"/>
        </w:rPr>
        <w:t xml:space="preserve">future expenses include, </w:t>
      </w:r>
      <w:r w:rsidRPr="00BA61B2">
        <w:rPr>
          <w:i/>
          <w:noProof w:val="0"/>
          <w:spacing w:val="-2"/>
          <w:lang w:val="en-US"/>
        </w:rPr>
        <w:t>inter alia</w:t>
      </w:r>
      <w:r w:rsidRPr="00BA61B2">
        <w:rPr>
          <w:noProof w:val="0"/>
          <w:spacing w:val="-2"/>
          <w:lang w:val="en-US"/>
        </w:rPr>
        <w:t>, travel and additional expenses incurred by witnes</w:t>
      </w:r>
      <w:r>
        <w:rPr>
          <w:noProof w:val="0"/>
          <w:spacing w:val="-2"/>
          <w:lang w:val="en-US"/>
        </w:rPr>
        <w:t xml:space="preserve">ses and expert witnesses to an </w:t>
      </w:r>
      <w:r w:rsidRPr="00BA61B2">
        <w:rPr>
          <w:noProof w:val="0"/>
          <w:spacing w:val="-2"/>
          <w:lang w:val="en-US"/>
        </w:rPr>
        <w:t>eventual hearing before the Court; the transfer of the representat</w:t>
      </w:r>
      <w:r>
        <w:rPr>
          <w:noProof w:val="0"/>
          <w:spacing w:val="-2"/>
          <w:lang w:val="en-US"/>
        </w:rPr>
        <w:t xml:space="preserve">ives to that same hearing; expenses </w:t>
      </w:r>
      <w:r w:rsidRPr="00BA61B2">
        <w:rPr>
          <w:noProof w:val="0"/>
          <w:spacing w:val="-2"/>
          <w:lang w:val="en-US"/>
        </w:rPr>
        <w:t>require</w:t>
      </w:r>
      <w:r>
        <w:rPr>
          <w:noProof w:val="0"/>
          <w:spacing w:val="-2"/>
          <w:lang w:val="en-US"/>
        </w:rPr>
        <w:t>d to obtain</w:t>
      </w:r>
      <w:r w:rsidRPr="00BA61B2">
        <w:rPr>
          <w:noProof w:val="0"/>
          <w:spacing w:val="-2"/>
          <w:lang w:val="en-US"/>
        </w:rPr>
        <w:t xml:space="preserve"> future evidence; and any others that may be incurred for the adequate representation of the victims before the Honorable Court.”</w:t>
      </w:r>
    </w:p>
  </w:footnote>
  <w:footnote w:id="177">
    <w:p w14:paraId="1CC9503F" w14:textId="77777777" w:rsidR="00432906" w:rsidRPr="00BA61B2" w:rsidRDefault="00432906" w:rsidP="007B0DE4">
      <w:pPr>
        <w:pStyle w:val="Textonotapie"/>
        <w:spacing w:beforeLines="60" w:before="144" w:after="0"/>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rPr>
        <w:t>Cf. Case of Velásquez Rodrígue</w:t>
      </w:r>
      <w:r>
        <w:rPr>
          <w:i/>
          <w:noProof w:val="0"/>
          <w:szCs w:val="16"/>
          <w:lang w:val="en-US"/>
        </w:rPr>
        <w:t>z v. Honduras. Reparations and c</w:t>
      </w:r>
      <w:r w:rsidRPr="00BA61B2">
        <w:rPr>
          <w:i/>
          <w:noProof w:val="0"/>
          <w:szCs w:val="16"/>
          <w:lang w:val="en-US"/>
        </w:rPr>
        <w:t xml:space="preserve">osts, </w:t>
      </w:r>
      <w:r w:rsidRPr="00BA61B2">
        <w:rPr>
          <w:noProof w:val="0"/>
          <w:szCs w:val="16"/>
          <w:lang w:val="en-US"/>
        </w:rPr>
        <w:t xml:space="preserve">para. 42, and </w:t>
      </w:r>
      <w:r w:rsidRPr="00BA61B2">
        <w:rPr>
          <w:rFonts w:eastAsia="Verdana" w:cs="Verdana"/>
          <w:i/>
          <w:noProof w:val="0"/>
          <w:spacing w:val="2"/>
          <w:szCs w:val="16"/>
          <w:lang w:val="en-US"/>
        </w:rPr>
        <w:t xml:space="preserve">Case of the Garífuna Triunfo de la Cruz Community and its Members v. Honduras, </w:t>
      </w:r>
      <w:r w:rsidRPr="00BA61B2">
        <w:rPr>
          <w:rFonts w:eastAsia="Verdana" w:cs="Verdana"/>
          <w:noProof w:val="0"/>
          <w:spacing w:val="2"/>
          <w:szCs w:val="16"/>
          <w:lang w:val="en-US"/>
        </w:rPr>
        <w:t>para. 301</w:t>
      </w:r>
      <w:r w:rsidRPr="00BA61B2">
        <w:rPr>
          <w:rFonts w:cs="Verdana"/>
          <w:noProof w:val="0"/>
          <w:szCs w:val="16"/>
          <w:lang w:val="en-US" w:bidi="en-US"/>
        </w:rPr>
        <w:t>.</w:t>
      </w:r>
    </w:p>
  </w:footnote>
  <w:footnote w:id="178">
    <w:p w14:paraId="72183123" w14:textId="77777777" w:rsidR="00432906" w:rsidRPr="00BA61B2" w:rsidRDefault="00432906" w:rsidP="007B0DE4">
      <w:pPr>
        <w:pStyle w:val="Textonotapie"/>
        <w:spacing w:beforeLines="60" w:before="144" w:after="0"/>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i/>
          <w:noProof w:val="0"/>
          <w:szCs w:val="16"/>
          <w:lang w:val="en-US"/>
        </w:rPr>
        <w:t>Cf. Case of Garrido and Baigorria v</w:t>
      </w:r>
      <w:r>
        <w:rPr>
          <w:i/>
          <w:noProof w:val="0"/>
          <w:szCs w:val="16"/>
          <w:lang w:val="en-US"/>
        </w:rPr>
        <w:t>. Argentina. Reparations and c</w:t>
      </w:r>
      <w:r w:rsidRPr="00BA61B2">
        <w:rPr>
          <w:i/>
          <w:noProof w:val="0"/>
          <w:szCs w:val="16"/>
          <w:lang w:val="en-US"/>
        </w:rPr>
        <w:t xml:space="preserve">osts. </w:t>
      </w:r>
      <w:r w:rsidRPr="00BA61B2">
        <w:rPr>
          <w:noProof w:val="0"/>
          <w:szCs w:val="16"/>
          <w:lang w:val="en-US"/>
        </w:rPr>
        <w:t xml:space="preserve">Judgment of August 27, 1998. Series C No. 39, para. 82, and </w:t>
      </w:r>
      <w:r w:rsidRPr="00BA61B2">
        <w:rPr>
          <w:rFonts w:eastAsia="Verdana" w:cs="Verdana"/>
          <w:i/>
          <w:noProof w:val="0"/>
          <w:spacing w:val="2"/>
          <w:szCs w:val="16"/>
          <w:lang w:val="en-US"/>
        </w:rPr>
        <w:t xml:space="preserve">Case of the Garífuna Triunfo de la Cruz Community and its Members v. Honduras, </w:t>
      </w:r>
      <w:r w:rsidRPr="00BA61B2">
        <w:rPr>
          <w:rFonts w:eastAsia="Verdana" w:cs="Verdana"/>
          <w:noProof w:val="0"/>
          <w:spacing w:val="2"/>
          <w:szCs w:val="16"/>
          <w:lang w:val="en-US"/>
        </w:rPr>
        <w:t>para. 301</w:t>
      </w:r>
      <w:r w:rsidRPr="00BA61B2">
        <w:rPr>
          <w:rFonts w:cs="Verdana"/>
          <w:noProof w:val="0"/>
          <w:szCs w:val="16"/>
          <w:lang w:val="en-US" w:bidi="en-US"/>
        </w:rPr>
        <w:t>.</w:t>
      </w:r>
    </w:p>
  </w:footnote>
  <w:footnote w:id="179">
    <w:p w14:paraId="25220B05" w14:textId="77777777" w:rsidR="00432906" w:rsidRPr="00BA61B2" w:rsidRDefault="00432906" w:rsidP="007B0DE4">
      <w:pPr>
        <w:pStyle w:val="Textonotapie"/>
        <w:spacing w:beforeLines="60" w:before="144" w:after="0"/>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rFonts w:eastAsia="Verdana" w:cs="Verdana"/>
          <w:i/>
          <w:noProof w:val="0"/>
          <w:szCs w:val="16"/>
          <w:lang w:val="en-US"/>
        </w:rPr>
        <w:t>C</w:t>
      </w:r>
      <w:r>
        <w:rPr>
          <w:rFonts w:eastAsia="Verdana" w:cs="Verdana"/>
          <w:i/>
          <w:noProof w:val="0"/>
          <w:szCs w:val="16"/>
          <w:lang w:val="en-US"/>
        </w:rPr>
        <w:t>f. C</w:t>
      </w:r>
      <w:r w:rsidRPr="00BA61B2">
        <w:rPr>
          <w:rFonts w:eastAsia="Verdana" w:cs="Verdana"/>
          <w:i/>
          <w:noProof w:val="0"/>
          <w:szCs w:val="16"/>
          <w:lang w:val="en-US"/>
        </w:rPr>
        <w:t>ase of Chaparro Álvarez and Lapo Íñiguez. v. Ec</w:t>
      </w:r>
      <w:r>
        <w:rPr>
          <w:rFonts w:eastAsia="Verdana" w:cs="Verdana"/>
          <w:i/>
          <w:noProof w:val="0"/>
          <w:szCs w:val="16"/>
          <w:lang w:val="en-US"/>
        </w:rPr>
        <w:t>uador. Preliminary objections, m</w:t>
      </w:r>
      <w:r w:rsidRPr="00BA61B2">
        <w:rPr>
          <w:rFonts w:eastAsia="Verdana" w:cs="Verdana"/>
          <w:i/>
          <w:noProof w:val="0"/>
          <w:szCs w:val="16"/>
          <w:lang w:val="en-US"/>
        </w:rPr>
        <w:t xml:space="preserve">erits, reparations and costs. </w:t>
      </w:r>
      <w:r>
        <w:rPr>
          <w:rFonts w:eastAsia="Verdana" w:cs="Verdana"/>
          <w:noProof w:val="0"/>
          <w:szCs w:val="16"/>
          <w:lang w:val="en-US"/>
        </w:rPr>
        <w:t xml:space="preserve">Judgment of </w:t>
      </w:r>
      <w:r w:rsidRPr="00BA61B2">
        <w:rPr>
          <w:rFonts w:eastAsia="Verdana" w:cs="Verdana"/>
          <w:noProof w:val="0"/>
          <w:szCs w:val="16"/>
          <w:lang w:val="en-US"/>
        </w:rPr>
        <w:t xml:space="preserve">November </w:t>
      </w:r>
      <w:r>
        <w:rPr>
          <w:rFonts w:eastAsia="Verdana" w:cs="Verdana"/>
          <w:noProof w:val="0"/>
          <w:szCs w:val="16"/>
          <w:lang w:val="en-US"/>
        </w:rPr>
        <w:t xml:space="preserve">21, </w:t>
      </w:r>
      <w:r w:rsidRPr="00BA61B2">
        <w:rPr>
          <w:rFonts w:eastAsia="Verdana" w:cs="Verdana"/>
          <w:noProof w:val="0"/>
          <w:szCs w:val="16"/>
          <w:lang w:val="en-US"/>
        </w:rPr>
        <w:t>2007. Series C No. 170, para. 275 and</w:t>
      </w:r>
      <w:r w:rsidRPr="00BA61B2">
        <w:rPr>
          <w:rFonts w:eastAsia="Verdana" w:cs="Verdana"/>
          <w:noProof w:val="0"/>
          <w:spacing w:val="36"/>
          <w:szCs w:val="16"/>
          <w:lang w:val="en-US"/>
        </w:rPr>
        <w:t xml:space="preserve"> </w:t>
      </w:r>
      <w:r w:rsidRPr="00BA61B2">
        <w:rPr>
          <w:rFonts w:eastAsia="Verdana" w:cs="Verdana"/>
          <w:i/>
          <w:noProof w:val="0"/>
          <w:spacing w:val="2"/>
          <w:szCs w:val="16"/>
          <w:lang w:val="en-US"/>
        </w:rPr>
        <w:t xml:space="preserve">Case of the Garífuna Triunfo de la Cruz Community and its Members v. Honduras, </w:t>
      </w:r>
      <w:r w:rsidRPr="00BA61B2">
        <w:rPr>
          <w:rFonts w:eastAsia="Verdana" w:cs="Verdana"/>
          <w:noProof w:val="0"/>
          <w:spacing w:val="2"/>
          <w:szCs w:val="16"/>
          <w:lang w:val="en-US"/>
        </w:rPr>
        <w:t>para. 302</w:t>
      </w:r>
      <w:r w:rsidRPr="00BA61B2">
        <w:rPr>
          <w:noProof w:val="0"/>
          <w:szCs w:val="16"/>
          <w:lang w:val="en-US"/>
        </w:rPr>
        <w:t>.</w:t>
      </w:r>
    </w:p>
  </w:footnote>
  <w:footnote w:id="180">
    <w:p w14:paraId="260D89AC" w14:textId="77777777" w:rsidR="00432906" w:rsidRPr="00BA61B2" w:rsidRDefault="00432906" w:rsidP="007B0DE4">
      <w:pPr>
        <w:pStyle w:val="Textonotapie"/>
        <w:spacing w:beforeLines="60" w:before="144" w:after="0"/>
        <w:rPr>
          <w:noProof w:val="0"/>
          <w:szCs w:val="16"/>
          <w:lang w:val="en-US"/>
        </w:rPr>
      </w:pPr>
      <w:r w:rsidRPr="00BA61B2">
        <w:rPr>
          <w:rStyle w:val="Refdenotaalpie"/>
          <w:noProof w:val="0"/>
          <w:szCs w:val="16"/>
          <w:lang w:val="en-US"/>
        </w:rPr>
        <w:footnoteRef/>
      </w:r>
      <w:r w:rsidRPr="00BA61B2">
        <w:rPr>
          <w:noProof w:val="0"/>
          <w:szCs w:val="16"/>
          <w:lang w:val="en-US"/>
        </w:rPr>
        <w:t xml:space="preserve"> </w:t>
      </w:r>
      <w:r w:rsidRPr="00BA61B2">
        <w:rPr>
          <w:noProof w:val="0"/>
          <w:szCs w:val="16"/>
          <w:lang w:val="en-US"/>
        </w:rPr>
        <w:tab/>
      </w:r>
      <w:r w:rsidRPr="00BA61B2">
        <w:rPr>
          <w:rFonts w:eastAsia="Verdana" w:cs="Verdana"/>
          <w:i/>
          <w:noProof w:val="0"/>
          <w:szCs w:val="16"/>
          <w:lang w:val="en-US"/>
        </w:rPr>
        <w:t>Cf.</w:t>
      </w:r>
      <w:r w:rsidRPr="00BA61B2">
        <w:rPr>
          <w:rFonts w:eastAsia="Verdana" w:cs="Verdana"/>
          <w:i/>
          <w:noProof w:val="0"/>
          <w:spacing w:val="15"/>
          <w:szCs w:val="16"/>
          <w:lang w:val="en-US"/>
        </w:rPr>
        <w:t xml:space="preserve"> </w:t>
      </w:r>
      <w:r w:rsidRPr="00BA61B2">
        <w:rPr>
          <w:rFonts w:eastAsia="Verdana" w:cs="Verdana"/>
          <w:i/>
          <w:noProof w:val="0"/>
          <w:szCs w:val="16"/>
          <w:lang w:val="en-US"/>
        </w:rPr>
        <w:t>Case</w:t>
      </w:r>
      <w:r w:rsidRPr="00BA61B2">
        <w:rPr>
          <w:rFonts w:eastAsia="Verdana" w:cs="Verdana"/>
          <w:i/>
          <w:noProof w:val="0"/>
          <w:spacing w:val="16"/>
          <w:szCs w:val="16"/>
          <w:lang w:val="en-US"/>
        </w:rPr>
        <w:t xml:space="preserve"> of </w:t>
      </w:r>
      <w:r w:rsidRPr="00BA61B2">
        <w:rPr>
          <w:rFonts w:eastAsia="Verdana" w:cs="Verdana"/>
          <w:i/>
          <w:noProof w:val="0"/>
          <w:szCs w:val="16"/>
          <w:lang w:val="en-US"/>
        </w:rPr>
        <w:t>C</w:t>
      </w:r>
      <w:r w:rsidRPr="00BA61B2">
        <w:rPr>
          <w:rFonts w:eastAsia="Verdana" w:cs="Verdana"/>
          <w:i/>
          <w:noProof w:val="0"/>
          <w:spacing w:val="-1"/>
          <w:szCs w:val="16"/>
          <w:lang w:val="en-US"/>
        </w:rPr>
        <w:t>h</w:t>
      </w:r>
      <w:r w:rsidRPr="00BA61B2">
        <w:rPr>
          <w:rFonts w:eastAsia="Verdana" w:cs="Verdana"/>
          <w:i/>
          <w:noProof w:val="0"/>
          <w:spacing w:val="-3"/>
          <w:szCs w:val="16"/>
          <w:lang w:val="en-US"/>
        </w:rPr>
        <w:t>a</w:t>
      </w:r>
      <w:r w:rsidRPr="00BA61B2">
        <w:rPr>
          <w:rFonts w:eastAsia="Verdana" w:cs="Verdana"/>
          <w:i/>
          <w:noProof w:val="0"/>
          <w:szCs w:val="16"/>
          <w:lang w:val="en-US"/>
        </w:rPr>
        <w:t>p</w:t>
      </w:r>
      <w:r w:rsidRPr="00BA61B2">
        <w:rPr>
          <w:rFonts w:eastAsia="Verdana" w:cs="Verdana"/>
          <w:i/>
          <w:noProof w:val="0"/>
          <w:spacing w:val="-1"/>
          <w:szCs w:val="16"/>
          <w:lang w:val="en-US"/>
        </w:rPr>
        <w:t>ar</w:t>
      </w:r>
      <w:r w:rsidRPr="00BA61B2">
        <w:rPr>
          <w:rFonts w:eastAsia="Verdana" w:cs="Verdana"/>
          <w:i/>
          <w:noProof w:val="0"/>
          <w:spacing w:val="1"/>
          <w:szCs w:val="16"/>
          <w:lang w:val="en-US"/>
        </w:rPr>
        <w:t>r</w:t>
      </w:r>
      <w:r w:rsidRPr="00BA61B2">
        <w:rPr>
          <w:rFonts w:eastAsia="Verdana" w:cs="Verdana"/>
          <w:i/>
          <w:noProof w:val="0"/>
          <w:szCs w:val="16"/>
          <w:lang w:val="en-US"/>
        </w:rPr>
        <w:t>o</w:t>
      </w:r>
      <w:r w:rsidRPr="00BA61B2">
        <w:rPr>
          <w:rFonts w:eastAsia="Verdana" w:cs="Verdana"/>
          <w:i/>
          <w:noProof w:val="0"/>
          <w:spacing w:val="14"/>
          <w:szCs w:val="16"/>
          <w:lang w:val="en-US"/>
        </w:rPr>
        <w:t xml:space="preserve"> </w:t>
      </w:r>
      <w:r w:rsidRPr="00BA61B2">
        <w:rPr>
          <w:rFonts w:eastAsia="Verdana" w:cs="Verdana"/>
          <w:i/>
          <w:noProof w:val="0"/>
          <w:spacing w:val="1"/>
          <w:szCs w:val="16"/>
          <w:lang w:val="en-US"/>
        </w:rPr>
        <w:t>Á</w:t>
      </w:r>
      <w:r w:rsidRPr="00BA61B2">
        <w:rPr>
          <w:rFonts w:eastAsia="Verdana" w:cs="Verdana"/>
          <w:i/>
          <w:noProof w:val="0"/>
          <w:spacing w:val="-1"/>
          <w:szCs w:val="16"/>
          <w:lang w:val="en-US"/>
        </w:rPr>
        <w:t>l</w:t>
      </w:r>
      <w:r w:rsidRPr="00BA61B2">
        <w:rPr>
          <w:rFonts w:eastAsia="Verdana" w:cs="Verdana"/>
          <w:i/>
          <w:noProof w:val="0"/>
          <w:spacing w:val="1"/>
          <w:szCs w:val="16"/>
          <w:lang w:val="en-US"/>
        </w:rPr>
        <w:t>v</w:t>
      </w:r>
      <w:r w:rsidRPr="00BA61B2">
        <w:rPr>
          <w:rFonts w:eastAsia="Verdana" w:cs="Verdana"/>
          <w:i/>
          <w:noProof w:val="0"/>
          <w:spacing w:val="-3"/>
          <w:szCs w:val="16"/>
          <w:lang w:val="en-US"/>
        </w:rPr>
        <w:t>a</w:t>
      </w:r>
      <w:r w:rsidRPr="00BA61B2">
        <w:rPr>
          <w:rFonts w:eastAsia="Verdana" w:cs="Verdana"/>
          <w:i/>
          <w:noProof w:val="0"/>
          <w:spacing w:val="1"/>
          <w:szCs w:val="16"/>
          <w:lang w:val="en-US"/>
        </w:rPr>
        <w:t>r</w:t>
      </w:r>
      <w:r w:rsidRPr="00BA61B2">
        <w:rPr>
          <w:rFonts w:eastAsia="Verdana" w:cs="Verdana"/>
          <w:i/>
          <w:noProof w:val="0"/>
          <w:szCs w:val="16"/>
          <w:lang w:val="en-US"/>
        </w:rPr>
        <w:t>ez</w:t>
      </w:r>
      <w:r w:rsidRPr="00BA61B2">
        <w:rPr>
          <w:rFonts w:eastAsia="Verdana" w:cs="Verdana"/>
          <w:i/>
          <w:noProof w:val="0"/>
          <w:spacing w:val="13"/>
          <w:szCs w:val="16"/>
          <w:lang w:val="en-US"/>
        </w:rPr>
        <w:t xml:space="preserve"> and </w:t>
      </w:r>
      <w:r w:rsidRPr="00BA61B2">
        <w:rPr>
          <w:rFonts w:eastAsia="Verdana" w:cs="Verdana"/>
          <w:i/>
          <w:noProof w:val="0"/>
          <w:spacing w:val="-1"/>
          <w:szCs w:val="16"/>
          <w:lang w:val="en-US"/>
        </w:rPr>
        <w:t>La</w:t>
      </w:r>
      <w:r w:rsidRPr="00BA61B2">
        <w:rPr>
          <w:rFonts w:eastAsia="Verdana" w:cs="Verdana"/>
          <w:i/>
          <w:noProof w:val="0"/>
          <w:szCs w:val="16"/>
          <w:lang w:val="en-US"/>
        </w:rPr>
        <w:t>po</w:t>
      </w:r>
      <w:r w:rsidRPr="00BA61B2">
        <w:rPr>
          <w:rFonts w:eastAsia="Verdana" w:cs="Verdana"/>
          <w:i/>
          <w:noProof w:val="0"/>
          <w:spacing w:val="16"/>
          <w:szCs w:val="16"/>
          <w:lang w:val="en-US"/>
        </w:rPr>
        <w:t xml:space="preserve"> </w:t>
      </w:r>
      <w:r w:rsidRPr="00BA61B2">
        <w:rPr>
          <w:rFonts w:eastAsia="Verdana" w:cs="Verdana"/>
          <w:i/>
          <w:noProof w:val="0"/>
          <w:szCs w:val="16"/>
          <w:lang w:val="en-US"/>
        </w:rPr>
        <w:t>Í</w:t>
      </w:r>
      <w:r w:rsidRPr="00BA61B2">
        <w:rPr>
          <w:rFonts w:eastAsia="Verdana" w:cs="Verdana"/>
          <w:i/>
          <w:noProof w:val="0"/>
          <w:spacing w:val="-1"/>
          <w:szCs w:val="16"/>
          <w:lang w:val="en-US"/>
        </w:rPr>
        <w:t>ñi</w:t>
      </w:r>
      <w:r w:rsidRPr="00BA61B2">
        <w:rPr>
          <w:rFonts w:eastAsia="Verdana" w:cs="Verdana"/>
          <w:i/>
          <w:noProof w:val="0"/>
          <w:spacing w:val="1"/>
          <w:szCs w:val="16"/>
          <w:lang w:val="en-US"/>
        </w:rPr>
        <w:t>g</w:t>
      </w:r>
      <w:r w:rsidRPr="00BA61B2">
        <w:rPr>
          <w:rFonts w:eastAsia="Verdana" w:cs="Verdana"/>
          <w:i/>
          <w:noProof w:val="0"/>
          <w:spacing w:val="-1"/>
          <w:szCs w:val="16"/>
          <w:lang w:val="en-US"/>
        </w:rPr>
        <w:t>u</w:t>
      </w:r>
      <w:r w:rsidRPr="00BA61B2">
        <w:rPr>
          <w:rFonts w:eastAsia="Verdana" w:cs="Verdana"/>
          <w:i/>
          <w:noProof w:val="0"/>
          <w:szCs w:val="16"/>
          <w:lang w:val="en-US"/>
        </w:rPr>
        <w:t>ez</w:t>
      </w:r>
      <w:r w:rsidRPr="00BA61B2">
        <w:rPr>
          <w:rFonts w:eastAsia="Verdana" w:cs="Verdana"/>
          <w:i/>
          <w:noProof w:val="0"/>
          <w:spacing w:val="13"/>
          <w:szCs w:val="16"/>
          <w:lang w:val="en-US"/>
        </w:rPr>
        <w:t xml:space="preserve"> </w:t>
      </w:r>
      <w:r w:rsidRPr="00BA61B2">
        <w:rPr>
          <w:rFonts w:eastAsia="Verdana" w:cs="Verdana"/>
          <w:i/>
          <w:noProof w:val="0"/>
          <w:spacing w:val="1"/>
          <w:szCs w:val="16"/>
          <w:lang w:val="en-US"/>
        </w:rPr>
        <w:t>v</w:t>
      </w:r>
      <w:r w:rsidRPr="00BA61B2">
        <w:rPr>
          <w:rFonts w:eastAsia="Verdana" w:cs="Verdana"/>
          <w:i/>
          <w:noProof w:val="0"/>
          <w:szCs w:val="16"/>
          <w:lang w:val="en-US"/>
        </w:rPr>
        <w:t>.</w:t>
      </w:r>
      <w:r w:rsidRPr="00BA61B2">
        <w:rPr>
          <w:rFonts w:eastAsia="Verdana" w:cs="Verdana"/>
          <w:i/>
          <w:noProof w:val="0"/>
          <w:spacing w:val="15"/>
          <w:szCs w:val="16"/>
          <w:lang w:val="en-US"/>
        </w:rPr>
        <w:t xml:space="preserve"> </w:t>
      </w:r>
      <w:r w:rsidRPr="00BA61B2">
        <w:rPr>
          <w:rFonts w:eastAsia="Verdana" w:cs="Verdana"/>
          <w:i/>
          <w:noProof w:val="0"/>
          <w:spacing w:val="-1"/>
          <w:szCs w:val="16"/>
          <w:lang w:val="en-US"/>
        </w:rPr>
        <w:t>E</w:t>
      </w:r>
      <w:r w:rsidRPr="00BA61B2">
        <w:rPr>
          <w:rFonts w:eastAsia="Verdana" w:cs="Verdana"/>
          <w:i/>
          <w:noProof w:val="0"/>
          <w:szCs w:val="16"/>
          <w:lang w:val="en-US"/>
        </w:rPr>
        <w:t>c</w:t>
      </w:r>
      <w:r w:rsidRPr="00BA61B2">
        <w:rPr>
          <w:rFonts w:eastAsia="Verdana" w:cs="Verdana"/>
          <w:i/>
          <w:noProof w:val="0"/>
          <w:spacing w:val="-1"/>
          <w:szCs w:val="16"/>
          <w:lang w:val="en-US"/>
        </w:rPr>
        <w:t>u</w:t>
      </w:r>
      <w:r w:rsidRPr="00BA61B2">
        <w:rPr>
          <w:rFonts w:eastAsia="Verdana" w:cs="Verdana"/>
          <w:i/>
          <w:noProof w:val="0"/>
          <w:spacing w:val="-3"/>
          <w:szCs w:val="16"/>
          <w:lang w:val="en-US"/>
        </w:rPr>
        <w:t>a</w:t>
      </w:r>
      <w:r w:rsidRPr="00BA61B2">
        <w:rPr>
          <w:rFonts w:eastAsia="Verdana" w:cs="Verdana"/>
          <w:i/>
          <w:noProof w:val="0"/>
          <w:szCs w:val="16"/>
          <w:lang w:val="en-US"/>
        </w:rPr>
        <w:t>d</w:t>
      </w:r>
      <w:r w:rsidRPr="00BA61B2">
        <w:rPr>
          <w:rFonts w:eastAsia="Verdana" w:cs="Verdana"/>
          <w:i/>
          <w:noProof w:val="0"/>
          <w:spacing w:val="-2"/>
          <w:szCs w:val="16"/>
          <w:lang w:val="en-US"/>
        </w:rPr>
        <w:t>o</w:t>
      </w:r>
      <w:r w:rsidRPr="00BA61B2">
        <w:rPr>
          <w:rFonts w:eastAsia="Verdana" w:cs="Verdana"/>
          <w:i/>
          <w:noProof w:val="0"/>
          <w:spacing w:val="1"/>
          <w:szCs w:val="16"/>
          <w:lang w:val="en-US"/>
        </w:rPr>
        <w:t>r</w:t>
      </w:r>
      <w:r w:rsidRPr="00BA61B2">
        <w:rPr>
          <w:rFonts w:eastAsia="Verdana" w:cs="Verdana"/>
          <w:noProof w:val="0"/>
          <w:szCs w:val="16"/>
          <w:lang w:val="en-US"/>
        </w:rPr>
        <w:t xml:space="preserve">. </w:t>
      </w:r>
      <w:r>
        <w:rPr>
          <w:rFonts w:eastAsia="Verdana" w:cs="Verdana"/>
          <w:i/>
          <w:noProof w:val="0"/>
          <w:szCs w:val="16"/>
          <w:lang w:val="en-US"/>
        </w:rPr>
        <w:t>Preliminary objections, m</w:t>
      </w:r>
      <w:r w:rsidRPr="00BA61B2">
        <w:rPr>
          <w:rFonts w:eastAsia="Verdana" w:cs="Verdana"/>
          <w:i/>
          <w:noProof w:val="0"/>
          <w:szCs w:val="16"/>
          <w:lang w:val="en-US"/>
        </w:rPr>
        <w:t>erits, reparations and costs,</w:t>
      </w:r>
      <w:r w:rsidRPr="00BA61B2">
        <w:rPr>
          <w:rFonts w:eastAsia="Verdana" w:cs="Verdana"/>
          <w:noProof w:val="0"/>
          <w:szCs w:val="16"/>
          <w:lang w:val="en-US"/>
        </w:rPr>
        <w:t xml:space="preserve"> </w:t>
      </w:r>
      <w:r w:rsidRPr="00BA61B2">
        <w:rPr>
          <w:rFonts w:eastAsia="Verdana" w:cs="Verdana"/>
          <w:noProof w:val="0"/>
          <w:spacing w:val="-2"/>
          <w:szCs w:val="16"/>
          <w:lang w:val="en-US"/>
        </w:rPr>
        <w:t xml:space="preserve">para. </w:t>
      </w:r>
      <w:r w:rsidRPr="00BA61B2">
        <w:rPr>
          <w:rFonts w:eastAsia="Verdana" w:cs="Verdana"/>
          <w:noProof w:val="0"/>
          <w:spacing w:val="-1"/>
          <w:szCs w:val="16"/>
          <w:lang w:val="en-US"/>
        </w:rPr>
        <w:t>2</w:t>
      </w:r>
      <w:r w:rsidRPr="00BA61B2">
        <w:rPr>
          <w:rFonts w:eastAsia="Verdana" w:cs="Verdana"/>
          <w:noProof w:val="0"/>
          <w:spacing w:val="1"/>
          <w:szCs w:val="16"/>
          <w:lang w:val="en-US"/>
        </w:rPr>
        <w:t>77</w:t>
      </w:r>
      <w:r w:rsidRPr="00BA61B2">
        <w:rPr>
          <w:rFonts w:eastAsia="Verdana" w:cs="Verdana"/>
          <w:noProof w:val="0"/>
          <w:szCs w:val="16"/>
          <w:lang w:val="en-US"/>
        </w:rPr>
        <w:t xml:space="preserve">, and </w:t>
      </w:r>
      <w:r w:rsidRPr="00BA61B2">
        <w:rPr>
          <w:rFonts w:eastAsia="Verdana" w:cs="Verdana"/>
          <w:i/>
          <w:noProof w:val="0"/>
          <w:spacing w:val="2"/>
          <w:szCs w:val="16"/>
          <w:lang w:val="en-US"/>
        </w:rPr>
        <w:t xml:space="preserve">Case of the Garífuna Triunfo de la Cruz Community and its Members v. Honduras, </w:t>
      </w:r>
      <w:r w:rsidRPr="00BA61B2">
        <w:rPr>
          <w:rFonts w:eastAsia="Verdana" w:cs="Verdana"/>
          <w:noProof w:val="0"/>
          <w:spacing w:val="2"/>
          <w:szCs w:val="16"/>
          <w:lang w:val="en-US"/>
        </w:rPr>
        <w:t>para. 302</w:t>
      </w:r>
      <w:r w:rsidRPr="00BA61B2">
        <w:rPr>
          <w:noProof w:val="0"/>
          <w:szCs w:val="16"/>
          <w:lang w:val="en-US"/>
        </w:rPr>
        <w:t>.</w:t>
      </w:r>
    </w:p>
  </w:footnote>
  <w:footnote w:id="181">
    <w:p w14:paraId="70675091" w14:textId="77777777" w:rsidR="00432906" w:rsidRPr="00BA61B2" w:rsidRDefault="00432906" w:rsidP="007B0DE4">
      <w:pPr>
        <w:pStyle w:val="Textonotapie"/>
        <w:rPr>
          <w:noProof w:val="0"/>
          <w:lang w:val="en-US"/>
        </w:rPr>
      </w:pPr>
      <w:r w:rsidRPr="00BA61B2">
        <w:rPr>
          <w:rStyle w:val="Refdenotaalpie"/>
          <w:noProof w:val="0"/>
          <w:lang w:val="en-US"/>
        </w:rPr>
        <w:footnoteRef/>
      </w:r>
      <w:r w:rsidRPr="00BA61B2">
        <w:rPr>
          <w:noProof w:val="0"/>
          <w:lang w:val="en-US"/>
        </w:rPr>
        <w:t xml:space="preserve"> </w:t>
      </w:r>
      <w:r w:rsidRPr="00BA61B2">
        <w:rPr>
          <w:noProof w:val="0"/>
          <w:lang w:val="en-US"/>
        </w:rPr>
        <w:tab/>
      </w:r>
      <w:r w:rsidRPr="00BA61B2">
        <w:rPr>
          <w:i/>
          <w:noProof w:val="0"/>
          <w:lang w:val="en-US"/>
        </w:rPr>
        <w:t>Cf.</w:t>
      </w:r>
      <w:r w:rsidRPr="00BA61B2">
        <w:rPr>
          <w:noProof w:val="0"/>
          <w:lang w:val="en-US"/>
        </w:rPr>
        <w:t xml:space="preserve"> Colombian Commission of Jurists, Expenses File of the Colombian Commission of Jurists, Annex to the claim for reparations in the Case of Angel Alberto Duque, (Evidence file, folios 1795 to 1846).</w:t>
      </w:r>
    </w:p>
  </w:footnote>
  <w:footnote w:id="182">
    <w:p w14:paraId="468AB6A6" w14:textId="77777777" w:rsidR="00432906" w:rsidRPr="00BA61B2" w:rsidRDefault="00432906" w:rsidP="007B0DE4">
      <w:pPr>
        <w:pStyle w:val="Textonotapie"/>
        <w:rPr>
          <w:noProof w:val="0"/>
          <w:lang w:val="en-US"/>
        </w:rPr>
      </w:pPr>
      <w:r w:rsidRPr="00BA61B2">
        <w:rPr>
          <w:rStyle w:val="Refdenotaalpie"/>
          <w:noProof w:val="0"/>
          <w:lang w:val="en-US"/>
        </w:rPr>
        <w:footnoteRef/>
      </w:r>
      <w:r w:rsidRPr="00BA61B2">
        <w:rPr>
          <w:noProof w:val="0"/>
          <w:lang w:val="en-US"/>
        </w:rPr>
        <w:t xml:space="preserve"> </w:t>
      </w:r>
      <w:r w:rsidRPr="00BA61B2">
        <w:rPr>
          <w:noProof w:val="0"/>
          <w:lang w:val="en-US"/>
        </w:rPr>
        <w:tab/>
        <w:t>Merits file, folios 4124 to 4141.</w:t>
      </w:r>
    </w:p>
  </w:footnote>
  <w:footnote w:id="183">
    <w:p w14:paraId="528DCE67" w14:textId="77777777" w:rsidR="00432906" w:rsidRPr="00C84F64" w:rsidRDefault="00432906" w:rsidP="007B0DE4">
      <w:pPr>
        <w:spacing w:before="120" w:after="120"/>
        <w:rPr>
          <w:sz w:val="18"/>
          <w:szCs w:val="18"/>
          <w:lang w:val="en-US"/>
        </w:rPr>
      </w:pPr>
      <w:r w:rsidRPr="00BA61B2">
        <w:rPr>
          <w:rStyle w:val="Refdenotaalpie"/>
          <w:sz w:val="18"/>
          <w:szCs w:val="18"/>
          <w:lang w:val="en-US"/>
        </w:rPr>
        <w:footnoteRef/>
      </w:r>
      <w:r w:rsidRPr="00BA61B2">
        <w:rPr>
          <w:sz w:val="18"/>
          <w:szCs w:val="18"/>
          <w:vertAlign w:val="superscript"/>
          <w:lang w:val="en-US"/>
        </w:rPr>
        <w:t xml:space="preserve"> </w:t>
      </w:r>
      <w:r>
        <w:rPr>
          <w:sz w:val="18"/>
          <w:szCs w:val="18"/>
          <w:lang w:val="en-US"/>
        </w:rPr>
        <w:t>Article</w:t>
      </w:r>
      <w:r w:rsidRPr="00BA61B2">
        <w:rPr>
          <w:sz w:val="18"/>
          <w:szCs w:val="18"/>
          <w:lang w:val="en-US"/>
        </w:rPr>
        <w:t xml:space="preserve"> </w:t>
      </w:r>
      <w:r>
        <w:rPr>
          <w:bCs/>
          <w:sz w:val="18"/>
          <w:szCs w:val="18"/>
          <w:lang w:val="en-US"/>
        </w:rPr>
        <w:t>66(</w:t>
      </w:r>
      <w:r w:rsidRPr="00BA61B2">
        <w:rPr>
          <w:bCs/>
          <w:sz w:val="18"/>
          <w:szCs w:val="18"/>
          <w:lang w:val="en-US"/>
        </w:rPr>
        <w:t>2</w:t>
      </w:r>
      <w:r>
        <w:rPr>
          <w:bCs/>
          <w:sz w:val="18"/>
          <w:szCs w:val="18"/>
          <w:lang w:val="en-US"/>
        </w:rPr>
        <w:t>)</w:t>
      </w:r>
      <w:r w:rsidRPr="00BA61B2">
        <w:rPr>
          <w:bCs/>
          <w:sz w:val="18"/>
          <w:szCs w:val="18"/>
          <w:lang w:val="en-US"/>
        </w:rPr>
        <w:t xml:space="preserve"> of the </w:t>
      </w:r>
      <w:r w:rsidRPr="00C84F64">
        <w:rPr>
          <w:bCs/>
          <w:sz w:val="18"/>
          <w:szCs w:val="18"/>
          <w:lang w:val="en-US"/>
        </w:rPr>
        <w:t xml:space="preserve">American Convention on Human Rights: </w:t>
      </w:r>
      <w:r w:rsidRPr="00C84F64">
        <w:rPr>
          <w:sz w:val="18"/>
          <w:szCs w:val="18"/>
          <w:lang w:val="en-US"/>
        </w:rPr>
        <w:t>“</w:t>
      </w:r>
      <w:r w:rsidRPr="00C84F64">
        <w:rPr>
          <w:i/>
          <w:color w:val="000000"/>
          <w:sz w:val="18"/>
          <w:szCs w:val="18"/>
          <w:lang w:val="en-US"/>
        </w:rPr>
        <w:t>If the judgment does not represent in whole or in part the unanimous opinion of the judges, any judge shall be entitled to have his dissenting or separate opinion attached to the judgment</w:t>
      </w:r>
      <w:r w:rsidRPr="00C84F64">
        <w:rPr>
          <w:color w:val="000000"/>
          <w:sz w:val="18"/>
          <w:szCs w:val="18"/>
          <w:lang w:val="en-US"/>
        </w:rPr>
        <w:t>.</w:t>
      </w:r>
      <w:r w:rsidRPr="00C84F64">
        <w:rPr>
          <w:sz w:val="18"/>
          <w:szCs w:val="18"/>
          <w:lang w:val="en-US"/>
        </w:rPr>
        <w:t xml:space="preserve">” </w:t>
      </w:r>
    </w:p>
    <w:p w14:paraId="253425ED" w14:textId="77777777" w:rsidR="00432906" w:rsidRPr="00C84F64" w:rsidRDefault="00432906" w:rsidP="007B0DE4">
      <w:pPr>
        <w:spacing w:before="120" w:after="120"/>
        <w:rPr>
          <w:sz w:val="18"/>
          <w:szCs w:val="18"/>
          <w:lang w:val="en-US"/>
        </w:rPr>
      </w:pPr>
      <w:r>
        <w:rPr>
          <w:sz w:val="18"/>
          <w:szCs w:val="18"/>
          <w:lang w:val="en-US"/>
        </w:rPr>
        <w:t>Article</w:t>
      </w:r>
      <w:r w:rsidRPr="00C84F64">
        <w:rPr>
          <w:sz w:val="18"/>
          <w:szCs w:val="18"/>
          <w:lang w:val="en-US"/>
        </w:rPr>
        <w:t xml:space="preserve"> 24(3) of the Statute of the Court: “</w:t>
      </w:r>
      <w:r w:rsidRPr="000A7A70">
        <w:rPr>
          <w:i/>
          <w:sz w:val="18"/>
          <w:szCs w:val="18"/>
          <w:lang w:val="en-US"/>
        </w:rPr>
        <w:t>The decisions, judgments and opinions of the Court shall be delivered in public session, and the parties shall be given written notification thereof. In addition, the decisions, judgments and opinions shall be published, along with judges' individual votes and opinions and with such other data or background information that the Court may deem appropriate</w:t>
      </w:r>
      <w:r>
        <w:rPr>
          <w:i/>
          <w:sz w:val="18"/>
          <w:szCs w:val="18"/>
          <w:lang w:val="en-US"/>
        </w:rPr>
        <w:t>,</w:t>
      </w:r>
      <w:r>
        <w:rPr>
          <w:sz w:val="18"/>
          <w:szCs w:val="18"/>
          <w:lang w:val="en-US"/>
        </w:rPr>
        <w:t>”</w:t>
      </w:r>
      <w:r w:rsidRPr="00C84F64">
        <w:rPr>
          <w:sz w:val="18"/>
          <w:szCs w:val="18"/>
          <w:lang w:val="en-US"/>
        </w:rPr>
        <w:t xml:space="preserve"> and </w:t>
      </w:r>
    </w:p>
    <w:p w14:paraId="5C9FCD23" w14:textId="77777777" w:rsidR="00432906" w:rsidRPr="000A7A70" w:rsidRDefault="00432906" w:rsidP="000A7A70">
      <w:pPr>
        <w:autoSpaceDE w:val="0"/>
        <w:autoSpaceDN w:val="0"/>
        <w:adjustRightInd w:val="0"/>
        <w:jc w:val="left"/>
        <w:rPr>
          <w:rFonts w:eastAsiaTheme="minorHAnsi" w:cs="Verdana"/>
          <w:sz w:val="18"/>
          <w:szCs w:val="18"/>
          <w:lang w:val="en-US"/>
        </w:rPr>
      </w:pPr>
      <w:r>
        <w:rPr>
          <w:sz w:val="18"/>
          <w:szCs w:val="18"/>
          <w:lang w:val="en-US"/>
        </w:rPr>
        <w:t>Article</w:t>
      </w:r>
      <w:r w:rsidRPr="00C84F64">
        <w:rPr>
          <w:sz w:val="18"/>
          <w:szCs w:val="18"/>
          <w:lang w:val="en-US"/>
        </w:rPr>
        <w:t xml:space="preserve"> 65(2) of the Rules of the Court: “</w:t>
      </w:r>
      <w:r w:rsidRPr="00C84F64">
        <w:rPr>
          <w:rFonts w:eastAsiaTheme="minorHAnsi" w:cs="Verdana"/>
          <w:i/>
          <w:sz w:val="18"/>
          <w:szCs w:val="18"/>
          <w:lang w:val="en-US"/>
        </w:rPr>
        <w:t xml:space="preserve">Any Judge who has taken part in the consideration of a case is entitled to append a separate reasoned opinion to the judgment, </w:t>
      </w:r>
      <w:r>
        <w:rPr>
          <w:rFonts w:eastAsiaTheme="minorHAnsi" w:cs="Verdana"/>
          <w:i/>
          <w:sz w:val="18"/>
          <w:szCs w:val="18"/>
          <w:lang w:val="en-US"/>
        </w:rPr>
        <w:t xml:space="preserve">either </w:t>
      </w:r>
      <w:r w:rsidRPr="00C84F64">
        <w:rPr>
          <w:rFonts w:eastAsiaTheme="minorHAnsi" w:cs="Verdana"/>
          <w:i/>
          <w:sz w:val="18"/>
          <w:szCs w:val="18"/>
          <w:lang w:val="en-US"/>
        </w:rPr>
        <w:t>concurring or dissenting. These opinions shall be submitted within a time limit to be fixed by the Presidency so that the other Judges may take cognizance thereof before notice of the judgment is served. Said opinions shall only refer to the issues covered in the judgment</w:t>
      </w:r>
      <w:r w:rsidRPr="00C84F64">
        <w:rPr>
          <w:i/>
          <w:sz w:val="18"/>
          <w:szCs w:val="18"/>
          <w:lang w:val="en-US"/>
        </w:rPr>
        <w:t>.</w:t>
      </w:r>
      <w:r w:rsidRPr="00C84F64">
        <w:rPr>
          <w:sz w:val="18"/>
          <w:szCs w:val="18"/>
          <w:lang w:val="en-US"/>
        </w:rPr>
        <w:t>”</w:t>
      </w:r>
    </w:p>
  </w:footnote>
  <w:footnote w:id="184">
    <w:p w14:paraId="798DA1F6" w14:textId="77777777" w:rsidR="00432906" w:rsidRPr="00C84F64" w:rsidRDefault="00432906" w:rsidP="007B0DE4">
      <w:pPr>
        <w:pStyle w:val="Textonotapie"/>
        <w:rPr>
          <w:i/>
          <w:noProof w:val="0"/>
          <w:sz w:val="18"/>
          <w:szCs w:val="18"/>
          <w:lang w:val="en-US"/>
        </w:rPr>
      </w:pPr>
      <w:r w:rsidRPr="00C84F64">
        <w:rPr>
          <w:rStyle w:val="Refdenotaalpie"/>
          <w:noProof w:val="0"/>
          <w:sz w:val="18"/>
          <w:szCs w:val="18"/>
          <w:lang w:val="en-US"/>
        </w:rPr>
        <w:footnoteRef/>
      </w:r>
      <w:r w:rsidRPr="00C84F64">
        <w:rPr>
          <w:noProof w:val="0"/>
          <w:sz w:val="18"/>
          <w:szCs w:val="18"/>
          <w:lang w:val="en-US"/>
        </w:rPr>
        <w:t xml:space="preserve"> Article 62(3): </w:t>
      </w:r>
      <w:r w:rsidRPr="00C84F64">
        <w:rPr>
          <w:i/>
          <w:noProof w:val="0"/>
          <w:sz w:val="18"/>
          <w:szCs w:val="18"/>
          <w:lang w:val="en-US"/>
        </w:rPr>
        <w:t>“</w:t>
      </w:r>
      <w:r w:rsidRPr="00C84F64">
        <w:rPr>
          <w:i/>
          <w:noProof w:val="0"/>
          <w:color w:val="000000"/>
          <w:sz w:val="18"/>
          <w:szCs w:val="18"/>
          <w:lang w:val="en-US"/>
        </w:rPr>
        <w:t>The jurisdiction of the Court shall comprise all cases concerning the interpretation and application of the provisions of this Convention that are submitted to it, provided that the States Parties to the case recognize or have recognized such jurisdiction, whether by special declaration pursuant to the preceding paragraphs, or by a special agreement</w:t>
      </w:r>
      <w:r w:rsidRPr="00C84F64">
        <w:rPr>
          <w:rFonts w:cs="Tahoma"/>
          <w:i/>
          <w:noProof w:val="0"/>
          <w:sz w:val="18"/>
          <w:szCs w:val="18"/>
          <w:lang w:val="en-US"/>
        </w:rPr>
        <w:t>.”</w:t>
      </w:r>
    </w:p>
  </w:footnote>
  <w:footnote w:id="185">
    <w:p w14:paraId="498B49EF" w14:textId="77777777" w:rsidR="00432906" w:rsidRPr="00BA61B2" w:rsidRDefault="00432906" w:rsidP="007B0DE4">
      <w:pPr>
        <w:spacing w:before="120" w:after="120"/>
        <w:rPr>
          <w:i/>
          <w:sz w:val="18"/>
          <w:szCs w:val="18"/>
          <w:lang w:val="en-US"/>
        </w:rPr>
      </w:pPr>
      <w:r w:rsidRPr="00BA61B2">
        <w:rPr>
          <w:rStyle w:val="Refdenotaalpie"/>
          <w:sz w:val="18"/>
          <w:szCs w:val="18"/>
          <w:lang w:val="en-US"/>
        </w:rPr>
        <w:footnoteRef/>
      </w:r>
      <w:r>
        <w:rPr>
          <w:sz w:val="18"/>
          <w:szCs w:val="18"/>
          <w:vertAlign w:val="superscript"/>
          <w:lang w:val="en-US"/>
        </w:rPr>
        <w:t xml:space="preserve"> </w:t>
      </w:r>
      <w:r>
        <w:rPr>
          <w:sz w:val="18"/>
          <w:szCs w:val="18"/>
          <w:lang w:val="en-US"/>
        </w:rPr>
        <w:t>I have expressed my p</w:t>
      </w:r>
      <w:r w:rsidRPr="00BA61B2">
        <w:rPr>
          <w:sz w:val="18"/>
          <w:szCs w:val="18"/>
          <w:lang w:val="en-US"/>
        </w:rPr>
        <w:t xml:space="preserve">osition </w:t>
      </w:r>
      <w:r>
        <w:rPr>
          <w:sz w:val="18"/>
          <w:szCs w:val="18"/>
          <w:lang w:val="en-US"/>
        </w:rPr>
        <w:t xml:space="preserve">in this regard in the following opinions: </w:t>
      </w:r>
      <w:r w:rsidRPr="00BA61B2">
        <w:rPr>
          <w:i/>
          <w:sz w:val="18"/>
          <w:szCs w:val="18"/>
          <w:lang w:val="en-US"/>
        </w:rPr>
        <w:t>Concurring Opinion of Judge Eduardo Vio Grossi, Case</w:t>
      </w:r>
      <w:r>
        <w:rPr>
          <w:i/>
          <w:sz w:val="18"/>
          <w:szCs w:val="18"/>
          <w:lang w:val="en-US"/>
        </w:rPr>
        <w:t xml:space="preserve"> of</w:t>
      </w:r>
      <w:r w:rsidRPr="00BA61B2">
        <w:rPr>
          <w:i/>
          <w:sz w:val="18"/>
          <w:szCs w:val="18"/>
          <w:lang w:val="en-US"/>
        </w:rPr>
        <w:t xml:space="preserve"> Velásquez Paiz et al. v. Guatemala, Judgment of November </w:t>
      </w:r>
      <w:r>
        <w:rPr>
          <w:i/>
          <w:sz w:val="18"/>
          <w:szCs w:val="18"/>
          <w:lang w:val="en-US"/>
        </w:rPr>
        <w:t xml:space="preserve">19, </w:t>
      </w:r>
      <w:r w:rsidRPr="00BA61B2">
        <w:rPr>
          <w:i/>
          <w:sz w:val="18"/>
          <w:szCs w:val="18"/>
          <w:lang w:val="en-US"/>
        </w:rPr>
        <w:t>2015 (Preliminary objections, merits, reparations an</w:t>
      </w:r>
      <w:r>
        <w:rPr>
          <w:i/>
          <w:sz w:val="18"/>
          <w:szCs w:val="18"/>
          <w:lang w:val="en-US"/>
        </w:rPr>
        <w:t xml:space="preserve">d costs); Dissenting Opinion of </w:t>
      </w:r>
      <w:r w:rsidRPr="00BA61B2">
        <w:rPr>
          <w:i/>
          <w:sz w:val="18"/>
          <w:szCs w:val="18"/>
          <w:lang w:val="en-US"/>
        </w:rPr>
        <w:t xml:space="preserve">Judge Eduardo Vio Grossi, Case </w:t>
      </w:r>
      <w:r>
        <w:rPr>
          <w:i/>
          <w:sz w:val="18"/>
          <w:szCs w:val="18"/>
          <w:lang w:val="en-US"/>
        </w:rPr>
        <w:t>of the Campesino Community of Santa Bárbara v</w:t>
      </w:r>
      <w:r w:rsidRPr="00BA61B2">
        <w:rPr>
          <w:i/>
          <w:sz w:val="18"/>
          <w:szCs w:val="18"/>
          <w:lang w:val="en-US"/>
        </w:rPr>
        <w:t>. Peru, Judgment of September</w:t>
      </w:r>
      <w:r>
        <w:rPr>
          <w:i/>
          <w:sz w:val="18"/>
          <w:szCs w:val="18"/>
          <w:lang w:val="en-US"/>
        </w:rPr>
        <w:t xml:space="preserve"> 1, </w:t>
      </w:r>
      <w:r w:rsidRPr="00BA61B2">
        <w:rPr>
          <w:i/>
          <w:sz w:val="18"/>
          <w:szCs w:val="18"/>
          <w:lang w:val="en-US"/>
        </w:rPr>
        <w:t>2015</w:t>
      </w:r>
      <w:r w:rsidRPr="00BA61B2">
        <w:rPr>
          <w:i/>
          <w:spacing w:val="-2"/>
          <w:sz w:val="18"/>
          <w:szCs w:val="18"/>
          <w:lang w:val="en-US"/>
        </w:rPr>
        <w:t xml:space="preserve"> (Preliminary objections, merits, reparations and costs); </w:t>
      </w:r>
      <w:r>
        <w:rPr>
          <w:i/>
          <w:spacing w:val="-2"/>
          <w:sz w:val="18"/>
          <w:szCs w:val="18"/>
          <w:lang w:val="en-US"/>
        </w:rPr>
        <w:t xml:space="preserve">Separate </w:t>
      </w:r>
      <w:r w:rsidRPr="00BA61B2">
        <w:rPr>
          <w:rFonts w:cs="Calibri"/>
          <w:i/>
          <w:sz w:val="18"/>
          <w:szCs w:val="18"/>
          <w:lang w:val="en-US"/>
        </w:rPr>
        <w:t>Dissenting Opinion</w:t>
      </w:r>
      <w:r w:rsidRPr="00BA61B2">
        <w:rPr>
          <w:rStyle w:val="SubttuloCar"/>
          <w:rFonts w:eastAsia="Calibri"/>
          <w:b w:val="0"/>
          <w:i w:val="0"/>
          <w:noProof w:val="0"/>
          <w:sz w:val="18"/>
          <w:szCs w:val="18"/>
          <w:lang w:val="en-US"/>
        </w:rPr>
        <w:t xml:space="preserve"> of </w:t>
      </w:r>
      <w:r w:rsidRPr="00BA61B2">
        <w:rPr>
          <w:i/>
          <w:sz w:val="18"/>
          <w:szCs w:val="18"/>
          <w:lang w:val="en-US"/>
        </w:rPr>
        <w:t>Judge Eduardo</w:t>
      </w:r>
      <w:r w:rsidRPr="00BA61B2">
        <w:rPr>
          <w:rStyle w:val="SubttuloCar"/>
          <w:rFonts w:eastAsia="Calibri"/>
          <w:i w:val="0"/>
          <w:noProof w:val="0"/>
          <w:sz w:val="18"/>
          <w:szCs w:val="18"/>
          <w:lang w:val="en-US"/>
        </w:rPr>
        <w:t xml:space="preserve"> </w:t>
      </w:r>
      <w:r w:rsidRPr="00BA61B2">
        <w:rPr>
          <w:i/>
          <w:sz w:val="18"/>
          <w:szCs w:val="18"/>
          <w:lang w:val="en-US"/>
        </w:rPr>
        <w:t>Vio Grossi,</w:t>
      </w:r>
      <w:r>
        <w:rPr>
          <w:i/>
          <w:sz w:val="18"/>
          <w:szCs w:val="18"/>
          <w:lang w:val="en-US"/>
        </w:rPr>
        <w:t xml:space="preserve"> Case of Wong Ho Wing v. Peru, Judgement of June 30, 2015</w:t>
      </w:r>
      <w:r w:rsidRPr="00BA61B2">
        <w:rPr>
          <w:rStyle w:val="SubttuloCar"/>
          <w:rFonts w:eastAsia="Calibri"/>
          <w:b w:val="0"/>
          <w:i w:val="0"/>
          <w:noProof w:val="0"/>
          <w:sz w:val="18"/>
          <w:szCs w:val="18"/>
          <w:lang w:val="en-US"/>
        </w:rPr>
        <w:t xml:space="preserve"> (</w:t>
      </w:r>
      <w:r>
        <w:rPr>
          <w:i/>
          <w:spacing w:val="-2"/>
          <w:sz w:val="18"/>
          <w:szCs w:val="18"/>
          <w:lang w:val="en-US"/>
        </w:rPr>
        <w:t>Preliminary objection</w:t>
      </w:r>
      <w:r w:rsidRPr="00BA61B2">
        <w:rPr>
          <w:rFonts w:cs="Calibri"/>
          <w:i/>
          <w:snapToGrid w:val="0"/>
          <w:sz w:val="18"/>
          <w:szCs w:val="18"/>
          <w:lang w:val="en-US"/>
        </w:rPr>
        <w:t xml:space="preserve">, merits, reparations and costs); </w:t>
      </w:r>
      <w:r w:rsidRPr="005F37AC">
        <w:rPr>
          <w:rFonts w:cs="Calibri"/>
          <w:i/>
          <w:sz w:val="18"/>
          <w:szCs w:val="18"/>
          <w:lang w:val="en-US"/>
        </w:rPr>
        <w:t>Dissenting Opinion</w:t>
      </w:r>
      <w:r w:rsidRPr="00BA61B2">
        <w:rPr>
          <w:rFonts w:cs="Calibri"/>
          <w:i/>
          <w:sz w:val="18"/>
          <w:szCs w:val="18"/>
          <w:lang w:val="en-US"/>
        </w:rPr>
        <w:t xml:space="preserve"> of Judge Eduardo Vio Grossi, Case </w:t>
      </w:r>
      <w:r>
        <w:rPr>
          <w:rFonts w:cs="Calibri"/>
          <w:i/>
          <w:sz w:val="18"/>
          <w:szCs w:val="18"/>
          <w:lang w:val="en-US"/>
        </w:rPr>
        <w:t xml:space="preserve">of </w:t>
      </w:r>
      <w:r w:rsidRPr="00BA61B2">
        <w:rPr>
          <w:rFonts w:cs="Calibri"/>
          <w:i/>
          <w:sz w:val="18"/>
          <w:szCs w:val="18"/>
          <w:lang w:val="en-US"/>
        </w:rPr>
        <w:t xml:space="preserve">Cruz Sánchez et al. v. Peru, Judgment of April </w:t>
      </w:r>
      <w:r>
        <w:rPr>
          <w:rFonts w:cs="Calibri"/>
          <w:i/>
          <w:sz w:val="18"/>
          <w:szCs w:val="18"/>
          <w:lang w:val="en-US"/>
        </w:rPr>
        <w:t xml:space="preserve">17, </w:t>
      </w:r>
      <w:r w:rsidRPr="00BA61B2">
        <w:rPr>
          <w:rFonts w:cs="Calibri"/>
          <w:i/>
          <w:sz w:val="18"/>
          <w:szCs w:val="18"/>
          <w:lang w:val="en-US"/>
        </w:rPr>
        <w:t xml:space="preserve">2015 </w:t>
      </w:r>
      <w:r w:rsidRPr="00BA61B2">
        <w:rPr>
          <w:rFonts w:cs="Calibri"/>
          <w:i/>
          <w:snapToGrid w:val="0"/>
          <w:sz w:val="18"/>
          <w:szCs w:val="18"/>
          <w:lang w:val="en-US"/>
        </w:rPr>
        <w:t xml:space="preserve">(Preliminary objections, merits, reparations and costs); Dissenting Opinion of Judge Eduardo Vio Grossi, Case </w:t>
      </w:r>
      <w:r>
        <w:rPr>
          <w:rFonts w:cs="Calibri"/>
          <w:i/>
          <w:snapToGrid w:val="0"/>
          <w:sz w:val="18"/>
          <w:szCs w:val="18"/>
          <w:lang w:val="en-US"/>
        </w:rPr>
        <w:t xml:space="preserve">of </w:t>
      </w:r>
      <w:r w:rsidRPr="00BA61B2">
        <w:rPr>
          <w:rFonts w:cs="Calibri"/>
          <w:i/>
          <w:snapToGrid w:val="0"/>
          <w:sz w:val="18"/>
          <w:szCs w:val="18"/>
          <w:lang w:val="en-US"/>
        </w:rPr>
        <w:t xml:space="preserve">Liakat Ali Alibux </w:t>
      </w:r>
      <w:r>
        <w:rPr>
          <w:rFonts w:cs="Calibri"/>
          <w:i/>
          <w:snapToGrid w:val="0"/>
          <w:sz w:val="18"/>
          <w:szCs w:val="18"/>
          <w:lang w:val="en-US"/>
        </w:rPr>
        <w:t xml:space="preserve">v. </w:t>
      </w:r>
      <w:r w:rsidRPr="00BA61B2">
        <w:rPr>
          <w:rFonts w:cs="Calibri"/>
          <w:i/>
          <w:snapToGrid w:val="0"/>
          <w:sz w:val="18"/>
          <w:szCs w:val="18"/>
          <w:lang w:val="en-US"/>
        </w:rPr>
        <w:t xml:space="preserve">Suriname, Judgment of January </w:t>
      </w:r>
      <w:r>
        <w:rPr>
          <w:rFonts w:cs="Calibri"/>
          <w:i/>
          <w:snapToGrid w:val="0"/>
          <w:sz w:val="18"/>
          <w:szCs w:val="18"/>
          <w:lang w:val="en-US"/>
        </w:rPr>
        <w:t xml:space="preserve">30, </w:t>
      </w:r>
      <w:r w:rsidRPr="00BA61B2">
        <w:rPr>
          <w:rFonts w:cs="Calibri"/>
          <w:i/>
          <w:snapToGrid w:val="0"/>
          <w:sz w:val="18"/>
          <w:szCs w:val="18"/>
          <w:lang w:val="en-US"/>
        </w:rPr>
        <w:t>2014 (Pr</w:t>
      </w:r>
      <w:r>
        <w:rPr>
          <w:rFonts w:cs="Calibri"/>
          <w:i/>
          <w:snapToGrid w:val="0"/>
          <w:sz w:val="18"/>
          <w:szCs w:val="18"/>
          <w:lang w:val="en-US"/>
        </w:rPr>
        <w:t>eliminary objections, m</w:t>
      </w:r>
      <w:r w:rsidRPr="00BA61B2">
        <w:rPr>
          <w:rFonts w:cs="Calibri"/>
          <w:i/>
          <w:snapToGrid w:val="0"/>
          <w:sz w:val="18"/>
          <w:szCs w:val="18"/>
          <w:lang w:val="en-US"/>
        </w:rPr>
        <w:t>eri</w:t>
      </w:r>
      <w:r>
        <w:rPr>
          <w:rFonts w:cs="Calibri"/>
          <w:i/>
          <w:snapToGrid w:val="0"/>
          <w:sz w:val="18"/>
          <w:szCs w:val="18"/>
          <w:lang w:val="en-US"/>
        </w:rPr>
        <w:t>ts, reparations and costs);</w:t>
      </w:r>
      <w:r w:rsidRPr="00BA61B2">
        <w:rPr>
          <w:rFonts w:cs="Calibri"/>
          <w:i/>
          <w:snapToGrid w:val="0"/>
          <w:sz w:val="18"/>
          <w:szCs w:val="18"/>
          <w:lang w:val="en-US"/>
        </w:rPr>
        <w:t xml:space="preserve"> and </w:t>
      </w:r>
      <w:r w:rsidRPr="00BA61B2">
        <w:rPr>
          <w:rFonts w:cs="Calibri"/>
          <w:i/>
          <w:sz w:val="18"/>
          <w:szCs w:val="18"/>
          <w:lang w:val="en-US"/>
        </w:rPr>
        <w:t>Dissentin</w:t>
      </w:r>
      <w:r>
        <w:rPr>
          <w:rFonts w:cs="Calibri"/>
          <w:i/>
          <w:sz w:val="18"/>
          <w:szCs w:val="18"/>
          <w:lang w:val="en-US"/>
        </w:rPr>
        <w:t xml:space="preserve">g Opinion of </w:t>
      </w:r>
      <w:r w:rsidRPr="00BA61B2">
        <w:rPr>
          <w:rFonts w:cs="Calibri"/>
          <w:i/>
          <w:sz w:val="18"/>
          <w:szCs w:val="18"/>
          <w:lang w:val="en-US"/>
        </w:rPr>
        <w:t xml:space="preserve">Judge Eduardo Vio Grossi, Case </w:t>
      </w:r>
      <w:r>
        <w:rPr>
          <w:rFonts w:cs="Calibri"/>
          <w:i/>
          <w:sz w:val="18"/>
          <w:szCs w:val="18"/>
          <w:lang w:val="en-US"/>
        </w:rPr>
        <w:t xml:space="preserve">of </w:t>
      </w:r>
      <w:r w:rsidRPr="00BA61B2">
        <w:rPr>
          <w:rFonts w:cs="Calibri"/>
          <w:i/>
          <w:sz w:val="18"/>
          <w:szCs w:val="18"/>
          <w:lang w:val="en-US"/>
        </w:rPr>
        <w:t xml:space="preserve">Díaz Peña </w:t>
      </w:r>
      <w:r>
        <w:rPr>
          <w:rFonts w:cs="Calibri"/>
          <w:i/>
          <w:sz w:val="18"/>
          <w:szCs w:val="18"/>
          <w:lang w:val="en-US"/>
        </w:rPr>
        <w:t xml:space="preserve">v. </w:t>
      </w:r>
      <w:r w:rsidRPr="00BA61B2">
        <w:rPr>
          <w:rFonts w:cs="Calibri"/>
          <w:i/>
          <w:sz w:val="18"/>
          <w:szCs w:val="18"/>
          <w:lang w:val="en-US"/>
        </w:rPr>
        <w:t xml:space="preserve">Venezuela, Judgment of </w:t>
      </w:r>
      <w:r>
        <w:rPr>
          <w:rFonts w:cs="Calibri"/>
          <w:i/>
          <w:sz w:val="18"/>
          <w:szCs w:val="18"/>
          <w:lang w:val="en-US"/>
        </w:rPr>
        <w:t xml:space="preserve">June </w:t>
      </w:r>
      <w:r w:rsidRPr="00BA61B2">
        <w:rPr>
          <w:rFonts w:cs="Calibri"/>
          <w:i/>
          <w:sz w:val="18"/>
          <w:szCs w:val="18"/>
          <w:lang w:val="en-US"/>
        </w:rPr>
        <w:t>26</w:t>
      </w:r>
      <w:r>
        <w:rPr>
          <w:rFonts w:cs="Calibri"/>
          <w:i/>
          <w:sz w:val="18"/>
          <w:szCs w:val="18"/>
          <w:lang w:val="en-US"/>
        </w:rPr>
        <w:t>, 2012 (Preliminary objection, m</w:t>
      </w:r>
      <w:r w:rsidRPr="00BA61B2">
        <w:rPr>
          <w:rFonts w:cs="Calibri"/>
          <w:i/>
          <w:sz w:val="18"/>
          <w:szCs w:val="18"/>
          <w:lang w:val="en-US"/>
        </w:rPr>
        <w:t>erits, reparations and costs).</w:t>
      </w:r>
    </w:p>
  </w:footnote>
  <w:footnote w:id="186">
    <w:p w14:paraId="7FA0417E" w14:textId="77777777" w:rsidR="00432906" w:rsidRPr="00BA61B2" w:rsidRDefault="00432906" w:rsidP="007B0DE4">
      <w:pPr>
        <w:spacing w:before="120" w:after="120"/>
        <w:rPr>
          <w:sz w:val="18"/>
          <w:szCs w:val="18"/>
          <w:lang w:val="en-US"/>
        </w:rPr>
      </w:pPr>
      <w:r w:rsidRPr="00BA61B2">
        <w:rPr>
          <w:rStyle w:val="Refdenotaalpie"/>
          <w:sz w:val="18"/>
          <w:szCs w:val="18"/>
          <w:lang w:val="en-US"/>
        </w:rPr>
        <w:footnoteRef/>
      </w:r>
      <w:r w:rsidRPr="00BA61B2">
        <w:rPr>
          <w:sz w:val="18"/>
          <w:szCs w:val="18"/>
          <w:vertAlign w:val="superscript"/>
          <w:lang w:val="en-US"/>
        </w:rPr>
        <w:t xml:space="preserve"> </w:t>
      </w:r>
      <w:r w:rsidRPr="00BA61B2">
        <w:rPr>
          <w:sz w:val="18"/>
          <w:szCs w:val="18"/>
          <w:lang w:val="en-US"/>
        </w:rPr>
        <w:t xml:space="preserve">Paras. 27 to 31. </w:t>
      </w:r>
      <w:r>
        <w:rPr>
          <w:sz w:val="18"/>
          <w:szCs w:val="18"/>
          <w:lang w:val="en-US"/>
        </w:rPr>
        <w:t xml:space="preserve">Whenever reference is made to </w:t>
      </w:r>
      <w:r w:rsidRPr="00BA61B2">
        <w:rPr>
          <w:sz w:val="18"/>
          <w:szCs w:val="18"/>
          <w:lang w:val="en-US"/>
        </w:rPr>
        <w:t xml:space="preserve">“para.” </w:t>
      </w:r>
      <w:r>
        <w:rPr>
          <w:sz w:val="18"/>
          <w:szCs w:val="18"/>
          <w:lang w:val="en-US"/>
        </w:rPr>
        <w:t xml:space="preserve">Is shall be understood to mean </w:t>
      </w:r>
      <w:r w:rsidRPr="00BA61B2">
        <w:rPr>
          <w:sz w:val="18"/>
          <w:szCs w:val="18"/>
          <w:lang w:val="en-US"/>
        </w:rPr>
        <w:t>a paragraph of the Judgment.</w:t>
      </w:r>
    </w:p>
  </w:footnote>
  <w:footnote w:id="187">
    <w:p w14:paraId="41FD7FA6" w14:textId="77777777" w:rsidR="00432906" w:rsidRPr="00BA61B2" w:rsidRDefault="00432906" w:rsidP="007B0DE4">
      <w:pPr>
        <w:spacing w:before="120" w:after="120"/>
        <w:rPr>
          <w:sz w:val="18"/>
          <w:szCs w:val="18"/>
          <w:lang w:val="en-US"/>
        </w:rPr>
      </w:pPr>
      <w:r w:rsidRPr="00BA61B2">
        <w:rPr>
          <w:rStyle w:val="Refdenotaalpie"/>
          <w:sz w:val="18"/>
          <w:szCs w:val="18"/>
          <w:lang w:val="en-US"/>
        </w:rPr>
        <w:footnoteRef/>
      </w:r>
      <w:r w:rsidRPr="00BA61B2">
        <w:rPr>
          <w:sz w:val="18"/>
          <w:szCs w:val="18"/>
          <w:vertAlign w:val="superscript"/>
          <w:lang w:val="en-US"/>
        </w:rPr>
        <w:t xml:space="preserve"> </w:t>
      </w:r>
      <w:r w:rsidRPr="00BA61B2">
        <w:rPr>
          <w:sz w:val="18"/>
          <w:szCs w:val="18"/>
          <w:lang w:val="en-US"/>
        </w:rPr>
        <w:t>Paras. 81 and 82.</w:t>
      </w:r>
    </w:p>
  </w:footnote>
  <w:footnote w:id="188">
    <w:p w14:paraId="3516ED54" w14:textId="77777777" w:rsidR="00432906" w:rsidRPr="00BA61B2" w:rsidRDefault="00432906" w:rsidP="007B0DE4">
      <w:pPr>
        <w:spacing w:before="120" w:after="120"/>
        <w:rPr>
          <w:bCs/>
          <w:sz w:val="18"/>
          <w:szCs w:val="18"/>
          <w:lang w:val="en-US"/>
        </w:rPr>
      </w:pPr>
      <w:r w:rsidRPr="00BA61B2">
        <w:rPr>
          <w:rStyle w:val="Refdenotaalpie"/>
          <w:sz w:val="18"/>
          <w:szCs w:val="18"/>
          <w:lang w:val="en-US"/>
        </w:rPr>
        <w:footnoteRef/>
      </w:r>
      <w:r w:rsidRPr="00BA61B2">
        <w:rPr>
          <w:sz w:val="18"/>
          <w:szCs w:val="18"/>
          <w:lang w:val="en-US"/>
        </w:rPr>
        <w:t xml:space="preserve"> </w:t>
      </w:r>
      <w:r w:rsidRPr="00BA61B2">
        <w:rPr>
          <w:rStyle w:val="Textoennegrita"/>
          <w:b w:val="0"/>
          <w:i/>
          <w:color w:val="000000"/>
          <w:sz w:val="18"/>
          <w:szCs w:val="18"/>
          <w:shd w:val="clear" w:color="auto" w:fill="FFFFFF"/>
          <w:lang w:val="en-US"/>
        </w:rPr>
        <w:t>Case of the Santo Domingo Massacre v. Colombia. Preliminary objections, merits and reparations</w:t>
      </w:r>
      <w:r w:rsidRPr="00BA61B2">
        <w:rPr>
          <w:rStyle w:val="Textoennegrita"/>
          <w:b w:val="0"/>
          <w:color w:val="000000"/>
          <w:sz w:val="18"/>
          <w:szCs w:val="18"/>
          <w:shd w:val="clear" w:color="auto" w:fill="FFFFFF"/>
          <w:lang w:val="en-US"/>
        </w:rPr>
        <w:t xml:space="preserve">. Judgment of November 30, 2012. Series C No. 259, para. 142, and </w:t>
      </w:r>
      <w:r w:rsidRPr="00BA61B2">
        <w:rPr>
          <w:rStyle w:val="Textoennegrita"/>
          <w:b w:val="0"/>
          <w:i/>
          <w:color w:val="000000"/>
          <w:sz w:val="18"/>
          <w:szCs w:val="18"/>
          <w:shd w:val="clear" w:color="auto" w:fill="FFFFFF"/>
          <w:lang w:val="en-US"/>
        </w:rPr>
        <w:t>Case of Tarazona Arrieta et al. v. Peru. Preliminary objection, merits, reparations and costs</w:t>
      </w:r>
      <w:r w:rsidRPr="00BA61B2">
        <w:rPr>
          <w:rStyle w:val="Textoennegrita"/>
          <w:b w:val="0"/>
          <w:color w:val="000000"/>
          <w:sz w:val="18"/>
          <w:szCs w:val="18"/>
          <w:shd w:val="clear" w:color="auto" w:fill="FFFFFF"/>
          <w:lang w:val="en-US"/>
        </w:rPr>
        <w:t>. Judgment of October 15, 2014. Series C No. 286, para. 137.</w:t>
      </w:r>
    </w:p>
  </w:footnote>
  <w:footnote w:id="189">
    <w:p w14:paraId="4B9B8A2E" w14:textId="77777777" w:rsidR="00432906" w:rsidRPr="00BA61B2" w:rsidRDefault="00432906" w:rsidP="007B0DE4">
      <w:pPr>
        <w:spacing w:before="120" w:after="120"/>
        <w:rPr>
          <w:sz w:val="18"/>
          <w:szCs w:val="18"/>
          <w:lang w:val="en-US"/>
        </w:rPr>
      </w:pPr>
      <w:r w:rsidRPr="00BA61B2">
        <w:rPr>
          <w:rStyle w:val="Refdenotaalpie"/>
          <w:sz w:val="18"/>
          <w:szCs w:val="18"/>
          <w:vertAlign w:val="subscript"/>
          <w:lang w:val="en-US"/>
        </w:rPr>
        <w:footnoteRef/>
      </w:r>
      <w:r w:rsidRPr="00BA61B2">
        <w:rPr>
          <w:sz w:val="18"/>
          <w:szCs w:val="18"/>
          <w:lang w:val="en-US"/>
        </w:rPr>
        <w:t xml:space="preserve"> Paras. 2. a) and 95.</w:t>
      </w:r>
    </w:p>
  </w:footnote>
  <w:footnote w:id="190">
    <w:p w14:paraId="2910D84F" w14:textId="77777777" w:rsidR="00432906" w:rsidRPr="00BA61B2" w:rsidRDefault="00432906" w:rsidP="007B0DE4">
      <w:pPr>
        <w:spacing w:before="120" w:after="120"/>
        <w:rPr>
          <w:sz w:val="18"/>
          <w:szCs w:val="18"/>
          <w:lang w:val="en-US"/>
        </w:rPr>
      </w:pPr>
      <w:r w:rsidRPr="00BA61B2">
        <w:rPr>
          <w:rStyle w:val="Refdenotaalpie"/>
          <w:sz w:val="18"/>
          <w:szCs w:val="18"/>
          <w:lang w:val="en-US"/>
        </w:rPr>
        <w:footnoteRef/>
      </w:r>
      <w:r w:rsidRPr="00BA61B2">
        <w:rPr>
          <w:sz w:val="18"/>
          <w:szCs w:val="18"/>
          <w:vertAlign w:val="subscript"/>
          <w:lang w:val="en-US"/>
        </w:rPr>
        <w:t xml:space="preserve"> </w:t>
      </w:r>
      <w:r w:rsidRPr="00BA61B2">
        <w:rPr>
          <w:sz w:val="18"/>
          <w:szCs w:val="18"/>
          <w:lang w:val="en-US"/>
        </w:rPr>
        <w:t>Para. 204.</w:t>
      </w:r>
    </w:p>
  </w:footnote>
  <w:footnote w:id="191">
    <w:p w14:paraId="06472120" w14:textId="77777777" w:rsidR="00432906" w:rsidRPr="00BA61B2" w:rsidRDefault="00432906" w:rsidP="007B0DE4">
      <w:pPr>
        <w:spacing w:before="120" w:after="120"/>
        <w:rPr>
          <w:sz w:val="18"/>
          <w:szCs w:val="18"/>
          <w:lang w:val="en-US"/>
        </w:rPr>
      </w:pPr>
      <w:r w:rsidRPr="00BA61B2">
        <w:rPr>
          <w:rStyle w:val="Refdenotaalpie"/>
          <w:sz w:val="18"/>
          <w:szCs w:val="18"/>
          <w:lang w:val="en-US"/>
        </w:rPr>
        <w:footnoteRef/>
      </w:r>
      <w:r w:rsidRPr="00BA61B2">
        <w:rPr>
          <w:rStyle w:val="Refdenotaalpie"/>
          <w:lang w:val="en-US"/>
        </w:rPr>
        <w:t xml:space="preserve"> </w:t>
      </w:r>
      <w:r>
        <w:rPr>
          <w:sz w:val="18"/>
          <w:szCs w:val="18"/>
          <w:lang w:val="en-US"/>
        </w:rPr>
        <w:t>Para.  139.</w:t>
      </w:r>
    </w:p>
  </w:footnote>
  <w:footnote w:id="192">
    <w:p w14:paraId="71CE749B" w14:textId="77777777" w:rsidR="00432906" w:rsidRPr="00BA61B2" w:rsidRDefault="00432906" w:rsidP="007B0DE4">
      <w:pPr>
        <w:pStyle w:val="Textonotapie"/>
        <w:rPr>
          <w:noProof w:val="0"/>
          <w:sz w:val="18"/>
          <w:szCs w:val="18"/>
          <w:lang w:val="en-US"/>
        </w:rPr>
      </w:pPr>
      <w:r w:rsidRPr="00BA61B2">
        <w:rPr>
          <w:rStyle w:val="Refdenotaalpie"/>
          <w:noProof w:val="0"/>
          <w:sz w:val="18"/>
          <w:szCs w:val="18"/>
          <w:lang w:val="en-US"/>
        </w:rPr>
        <w:footnoteRef/>
      </w:r>
      <w:r w:rsidRPr="00BA61B2">
        <w:rPr>
          <w:rStyle w:val="Refdenotaalpie"/>
          <w:noProof w:val="0"/>
          <w:lang w:val="en-US"/>
        </w:rPr>
        <w:t xml:space="preserve"> </w:t>
      </w:r>
      <w:r w:rsidRPr="00BA61B2">
        <w:rPr>
          <w:noProof w:val="0"/>
          <w:sz w:val="18"/>
          <w:szCs w:val="18"/>
          <w:lang w:val="en-US"/>
        </w:rPr>
        <w:t>Para.</w:t>
      </w:r>
      <w:r w:rsidRPr="00CD74BB">
        <w:rPr>
          <w:noProof w:val="0"/>
          <w:sz w:val="18"/>
          <w:szCs w:val="18"/>
          <w:lang w:val="en-US"/>
        </w:rPr>
        <w:t>139</w:t>
      </w:r>
      <w:r w:rsidRPr="00BA61B2">
        <w:rPr>
          <w:noProof w:val="0"/>
          <w:sz w:val="18"/>
          <w:szCs w:val="18"/>
          <w:lang w:val="en-US"/>
        </w:rPr>
        <w:t xml:space="preserve"> and </w:t>
      </w:r>
      <w:r>
        <w:rPr>
          <w:noProof w:val="0"/>
          <w:sz w:val="18"/>
          <w:szCs w:val="18"/>
          <w:lang w:val="en-US"/>
        </w:rPr>
        <w:t>fourth operative p</w:t>
      </w:r>
      <w:r w:rsidRPr="00BA61B2">
        <w:rPr>
          <w:noProof w:val="0"/>
          <w:sz w:val="18"/>
          <w:szCs w:val="18"/>
          <w:lang w:val="en-US"/>
        </w:rPr>
        <w:t>aragraph.</w:t>
      </w:r>
    </w:p>
  </w:footnote>
  <w:footnote w:id="193">
    <w:p w14:paraId="185C500D" w14:textId="77777777" w:rsidR="00432906" w:rsidRPr="00BA61B2" w:rsidRDefault="00432906" w:rsidP="007B0DE4">
      <w:pPr>
        <w:spacing w:before="120" w:after="120"/>
        <w:rPr>
          <w:sz w:val="18"/>
          <w:szCs w:val="18"/>
          <w:lang w:val="en-US"/>
        </w:rPr>
      </w:pPr>
      <w:r w:rsidRPr="00BA61B2">
        <w:rPr>
          <w:rStyle w:val="Refdenotaalpie"/>
          <w:sz w:val="18"/>
          <w:szCs w:val="18"/>
          <w:lang w:val="en-US"/>
        </w:rPr>
        <w:footnoteRef/>
      </w:r>
      <w:r w:rsidRPr="00BA61B2">
        <w:rPr>
          <w:sz w:val="18"/>
          <w:szCs w:val="18"/>
          <w:vertAlign w:val="superscript"/>
          <w:lang w:val="en-US"/>
        </w:rPr>
        <w:t xml:space="preserve"> </w:t>
      </w:r>
      <w:r w:rsidRPr="00BA61B2">
        <w:rPr>
          <w:sz w:val="18"/>
          <w:szCs w:val="18"/>
          <w:lang w:val="en-US"/>
        </w:rPr>
        <w:t>“</w:t>
      </w:r>
      <w:r>
        <w:rPr>
          <w:i/>
          <w:sz w:val="18"/>
          <w:szCs w:val="18"/>
          <w:lang w:val="en-US"/>
        </w:rPr>
        <w:t>T</w:t>
      </w:r>
      <w:r w:rsidRPr="00BA61B2">
        <w:rPr>
          <w:i/>
          <w:sz w:val="18"/>
          <w:szCs w:val="18"/>
          <w:lang w:val="en-US"/>
        </w:rPr>
        <w:t xml:space="preserve">he Court finds that </w:t>
      </w:r>
      <w:r w:rsidRPr="00EF7E24">
        <w:rPr>
          <w:i/>
          <w:sz w:val="18"/>
          <w:szCs w:val="18"/>
          <w:lang w:val="en-US"/>
        </w:rPr>
        <w:t xml:space="preserve">the </w:t>
      </w:r>
      <w:r w:rsidRPr="00EF7E24">
        <w:rPr>
          <w:rFonts w:eastAsia="Calibri"/>
          <w:i/>
          <w:sz w:val="18"/>
          <w:szCs w:val="18"/>
          <w:lang w:val="en-US"/>
        </w:rPr>
        <w:t xml:space="preserve">differentiation based on sexual orientation, established in </w:t>
      </w:r>
      <w:r w:rsidRPr="00EF7E24">
        <w:rPr>
          <w:rFonts w:eastAsia="Calibri" w:cs="Arial"/>
          <w:bCs/>
          <w:i/>
          <w:spacing w:val="-2"/>
          <w:sz w:val="18"/>
          <w:szCs w:val="18"/>
          <w:lang w:val="en-US"/>
        </w:rPr>
        <w:t xml:space="preserve">Article 1 of Law 54 of 1990 and Article 10 of Decree 1889 of 1994 regarding access to </w:t>
      </w:r>
      <w:r>
        <w:rPr>
          <w:rFonts w:eastAsia="Calibri" w:cs="Arial"/>
          <w:bCs/>
          <w:i/>
          <w:spacing w:val="-2"/>
          <w:sz w:val="18"/>
          <w:szCs w:val="18"/>
          <w:lang w:val="en-US"/>
        </w:rPr>
        <w:t xml:space="preserve">a </w:t>
      </w:r>
      <w:r w:rsidRPr="00EF7E24">
        <w:rPr>
          <w:rFonts w:eastAsia="Calibri" w:cs="Arial"/>
          <w:bCs/>
          <w:i/>
          <w:spacing w:val="-2"/>
          <w:sz w:val="18"/>
          <w:szCs w:val="18"/>
          <w:lang w:val="en-US"/>
        </w:rPr>
        <w:t>survivor</w:t>
      </w:r>
      <w:r>
        <w:rPr>
          <w:rFonts w:eastAsia="Calibri" w:cs="Arial"/>
          <w:bCs/>
          <w:i/>
          <w:spacing w:val="-2"/>
          <w:sz w:val="18"/>
          <w:szCs w:val="18"/>
          <w:lang w:val="en-US"/>
        </w:rPr>
        <w:t>’s pension</w:t>
      </w:r>
      <w:r w:rsidRPr="00EF7E24">
        <w:rPr>
          <w:rFonts w:eastAsia="Calibri" w:cs="Arial"/>
          <w:bCs/>
          <w:i/>
          <w:spacing w:val="-2"/>
          <w:sz w:val="18"/>
          <w:szCs w:val="18"/>
          <w:lang w:val="en-US"/>
        </w:rPr>
        <w:t>, is discriminatory and violates Article 24</w:t>
      </w:r>
      <w:r>
        <w:rPr>
          <w:i/>
          <w:sz w:val="18"/>
          <w:szCs w:val="18"/>
          <w:lang w:val="en-US"/>
        </w:rPr>
        <w:t xml:space="preserve"> </w:t>
      </w:r>
      <w:r w:rsidRPr="00EF7E24">
        <w:rPr>
          <w:i/>
          <w:sz w:val="18"/>
          <w:szCs w:val="18"/>
          <w:lang w:val="en-US"/>
        </w:rPr>
        <w:t xml:space="preserve">of the American Convention” </w:t>
      </w:r>
      <w:r w:rsidRPr="00EF7E24">
        <w:rPr>
          <w:sz w:val="18"/>
          <w:szCs w:val="18"/>
          <w:lang w:val="en-US"/>
        </w:rPr>
        <w:t>(Para.124)</w:t>
      </w:r>
      <w:r w:rsidRPr="00EF7E24">
        <w:rPr>
          <w:i/>
          <w:sz w:val="18"/>
          <w:szCs w:val="18"/>
          <w:lang w:val="en-US"/>
        </w:rPr>
        <w:t xml:space="preserve"> </w:t>
      </w:r>
      <w:r w:rsidRPr="00E8243E">
        <w:rPr>
          <w:sz w:val="18"/>
          <w:szCs w:val="18"/>
          <w:lang w:val="en-US"/>
        </w:rPr>
        <w:t>and</w:t>
      </w:r>
      <w:r w:rsidRPr="00EF7E24">
        <w:rPr>
          <w:i/>
          <w:sz w:val="18"/>
          <w:szCs w:val="18"/>
          <w:lang w:val="en-US"/>
        </w:rPr>
        <w:t xml:space="preserve"> </w:t>
      </w:r>
      <w:r w:rsidRPr="00E8243E">
        <w:rPr>
          <w:i/>
          <w:sz w:val="18"/>
          <w:szCs w:val="18"/>
          <w:lang w:val="en-US"/>
        </w:rPr>
        <w:t>“that the domestic laws in effect in 2002 that did not permit the payment of pensions to same-sex couples, amounted to a difference of treatment that violated the right to equality and non-discrimination, and therefore constituted an internationally wrongful act</w:t>
      </w:r>
      <w:r w:rsidRPr="00BA61B2">
        <w:rPr>
          <w:i/>
          <w:sz w:val="18"/>
          <w:szCs w:val="18"/>
          <w:lang w:val="en-US"/>
        </w:rPr>
        <w:t>.</w:t>
      </w:r>
      <w:r w:rsidRPr="00BA61B2">
        <w:rPr>
          <w:sz w:val="18"/>
          <w:szCs w:val="18"/>
          <w:lang w:val="en-US"/>
        </w:rPr>
        <w:t>” Para. 125</w:t>
      </w:r>
    </w:p>
  </w:footnote>
  <w:footnote w:id="194">
    <w:p w14:paraId="2877D260" w14:textId="77777777" w:rsidR="00432906" w:rsidRPr="00BA61B2" w:rsidRDefault="00432906" w:rsidP="007B0DE4">
      <w:pPr>
        <w:spacing w:before="120" w:after="120"/>
        <w:rPr>
          <w:sz w:val="18"/>
          <w:szCs w:val="18"/>
          <w:lang w:val="en-US"/>
        </w:rPr>
      </w:pPr>
      <w:r w:rsidRPr="00BA61B2">
        <w:rPr>
          <w:rStyle w:val="Refdenotaalpie"/>
          <w:sz w:val="18"/>
          <w:szCs w:val="18"/>
          <w:lang w:val="en-US"/>
        </w:rPr>
        <w:footnoteRef/>
      </w:r>
      <w:r w:rsidRPr="00BA61B2">
        <w:rPr>
          <w:sz w:val="18"/>
          <w:szCs w:val="18"/>
          <w:vertAlign w:val="superscript"/>
          <w:lang w:val="en-US"/>
        </w:rPr>
        <w:t xml:space="preserve"> </w:t>
      </w:r>
      <w:r>
        <w:rPr>
          <w:sz w:val="18"/>
          <w:szCs w:val="18"/>
          <w:lang w:val="en-US"/>
        </w:rPr>
        <w:t>In this regard, p</w:t>
      </w:r>
      <w:r w:rsidRPr="00BA61B2">
        <w:rPr>
          <w:sz w:val="18"/>
          <w:szCs w:val="18"/>
          <w:lang w:val="en-US"/>
        </w:rPr>
        <w:t>ara. 137 s</w:t>
      </w:r>
      <w:r>
        <w:rPr>
          <w:sz w:val="18"/>
          <w:szCs w:val="18"/>
          <w:lang w:val="en-US"/>
        </w:rPr>
        <w:t xml:space="preserve">tates </w:t>
      </w:r>
      <w:r w:rsidRPr="00BA61B2">
        <w:rPr>
          <w:sz w:val="18"/>
          <w:szCs w:val="18"/>
          <w:lang w:val="en-US"/>
        </w:rPr>
        <w:t>that “</w:t>
      </w:r>
      <w:r>
        <w:rPr>
          <w:i/>
          <w:iCs/>
          <w:sz w:val="18"/>
          <w:szCs w:val="18"/>
          <w:lang w:val="en-US"/>
        </w:rPr>
        <w:t>even if i</w:t>
      </w:r>
      <w:r w:rsidRPr="00684533">
        <w:rPr>
          <w:i/>
          <w:iCs/>
          <w:sz w:val="18"/>
          <w:szCs w:val="18"/>
          <w:lang w:val="en-US"/>
        </w:rPr>
        <w:t xml:space="preserve">t were true </w:t>
      </w:r>
      <w:r>
        <w:rPr>
          <w:i/>
          <w:iCs/>
          <w:sz w:val="18"/>
          <w:szCs w:val="18"/>
          <w:lang w:val="en-GB"/>
        </w:rPr>
        <w:t>[…]</w:t>
      </w:r>
      <w:r w:rsidRPr="00684533">
        <w:rPr>
          <w:i/>
          <w:iCs/>
          <w:sz w:val="18"/>
          <w:szCs w:val="18"/>
          <w:lang w:val="en-US"/>
        </w:rPr>
        <w:t xml:space="preserve">that Mr. Duque could have requested a survivor’s pension without discrimination, it is also true that, had this pension been granted, there is no certainty that it would have retroactive effects up to the time in which he was </w:t>
      </w:r>
      <w:r w:rsidRPr="00684533">
        <w:rPr>
          <w:i/>
          <w:sz w:val="18"/>
          <w:szCs w:val="18"/>
          <w:lang w:val="en-US"/>
        </w:rPr>
        <w:t>subjected to a different treatment in 2002</w:t>
      </w:r>
      <w:r>
        <w:rPr>
          <w:i/>
          <w:sz w:val="18"/>
          <w:szCs w:val="18"/>
          <w:lang w:val="en-US"/>
        </w:rPr>
        <w:t>,</w:t>
      </w:r>
      <w:r>
        <w:rPr>
          <w:sz w:val="18"/>
          <w:szCs w:val="18"/>
          <w:lang w:val="en-US"/>
        </w:rPr>
        <w:t>”</w:t>
      </w:r>
      <w:r w:rsidRPr="00BA61B2">
        <w:rPr>
          <w:sz w:val="18"/>
          <w:szCs w:val="18"/>
          <w:lang w:val="en-US"/>
        </w:rPr>
        <w:t xml:space="preserve"> a</w:t>
      </w:r>
      <w:r>
        <w:rPr>
          <w:sz w:val="18"/>
          <w:szCs w:val="18"/>
          <w:lang w:val="en-US"/>
        </w:rPr>
        <w:t xml:space="preserve">dding </w:t>
      </w:r>
      <w:r w:rsidRPr="00BA61B2">
        <w:rPr>
          <w:sz w:val="18"/>
          <w:szCs w:val="18"/>
          <w:lang w:val="en-US"/>
        </w:rPr>
        <w:t xml:space="preserve">that </w:t>
      </w:r>
      <w:r w:rsidRPr="00CF576A">
        <w:rPr>
          <w:i/>
          <w:sz w:val="18"/>
          <w:szCs w:val="18"/>
          <w:lang w:val="en-US"/>
        </w:rPr>
        <w:t>“</w:t>
      </w:r>
      <w:r>
        <w:rPr>
          <w:i/>
          <w:sz w:val="18"/>
          <w:szCs w:val="18"/>
          <w:lang w:val="en-US"/>
        </w:rPr>
        <w:t xml:space="preserve">[…] </w:t>
      </w:r>
      <w:r w:rsidRPr="00CF576A">
        <w:rPr>
          <w:i/>
          <w:sz w:val="18"/>
          <w:szCs w:val="18"/>
          <w:lang w:val="en-US"/>
        </w:rPr>
        <w:t>it is reasonable to conclude that the internationally wrongful act of which Mr. Duque was a victim still would not have been completely corrected, since the retroactive payments that he could have received would not be equivalent to those he would have received had he not been treated differently in a discriminatory manner</w:t>
      </w:r>
      <w:r w:rsidRPr="00BA61B2">
        <w:rPr>
          <w:i/>
          <w:sz w:val="18"/>
          <w:szCs w:val="18"/>
          <w:lang w:val="en-US"/>
        </w:rPr>
        <w:t>.</w:t>
      </w:r>
      <w:r>
        <w:rPr>
          <w:i/>
          <w:sz w:val="18"/>
          <w:szCs w:val="18"/>
          <w:lang w:val="en-US"/>
        </w:rPr>
        <w:t>”</w:t>
      </w:r>
    </w:p>
  </w:footnote>
  <w:footnote w:id="195">
    <w:p w14:paraId="17CE6393" w14:textId="77777777" w:rsidR="00432906" w:rsidRPr="00BA61B2" w:rsidRDefault="00432906" w:rsidP="007B0DE4">
      <w:pPr>
        <w:pStyle w:val="Textonotapie"/>
        <w:rPr>
          <w:noProof w:val="0"/>
          <w:sz w:val="18"/>
          <w:szCs w:val="18"/>
          <w:lang w:val="en-US"/>
        </w:rPr>
      </w:pPr>
      <w:r w:rsidRPr="00BA61B2">
        <w:rPr>
          <w:rStyle w:val="Refdenotaalpie"/>
          <w:noProof w:val="0"/>
          <w:sz w:val="18"/>
          <w:szCs w:val="18"/>
          <w:lang w:val="en-US"/>
        </w:rPr>
        <w:footnoteRef/>
      </w:r>
      <w:r w:rsidRPr="00BA61B2">
        <w:rPr>
          <w:noProof w:val="0"/>
          <w:sz w:val="18"/>
          <w:szCs w:val="18"/>
          <w:lang w:val="en-US"/>
        </w:rPr>
        <w:t xml:space="preserve"> </w:t>
      </w:r>
      <w:r>
        <w:rPr>
          <w:noProof w:val="0"/>
          <w:sz w:val="18"/>
          <w:szCs w:val="18"/>
          <w:lang w:val="en-US"/>
        </w:rPr>
        <w:t>Third operative p</w:t>
      </w:r>
      <w:r w:rsidRPr="00BA61B2">
        <w:rPr>
          <w:noProof w:val="0"/>
          <w:sz w:val="18"/>
          <w:szCs w:val="18"/>
          <w:lang w:val="en-US"/>
        </w:rPr>
        <w:t>aragraph.</w:t>
      </w:r>
    </w:p>
  </w:footnote>
  <w:footnote w:id="196">
    <w:p w14:paraId="63CEC8CE" w14:textId="77777777" w:rsidR="00432906" w:rsidRPr="00BA61B2" w:rsidRDefault="00432906" w:rsidP="007B0DE4">
      <w:pPr>
        <w:pStyle w:val="Textonotapie"/>
        <w:rPr>
          <w:noProof w:val="0"/>
          <w:sz w:val="18"/>
          <w:szCs w:val="18"/>
          <w:lang w:val="en-US"/>
        </w:rPr>
      </w:pPr>
      <w:r w:rsidRPr="00BA61B2">
        <w:rPr>
          <w:rStyle w:val="Refdenotaalpie"/>
          <w:noProof w:val="0"/>
          <w:sz w:val="18"/>
          <w:szCs w:val="18"/>
          <w:lang w:val="en-US"/>
        </w:rPr>
        <w:footnoteRef/>
      </w:r>
      <w:r w:rsidRPr="00BA61B2">
        <w:rPr>
          <w:noProof w:val="0"/>
          <w:sz w:val="18"/>
          <w:szCs w:val="18"/>
          <w:lang w:val="en-US"/>
        </w:rPr>
        <w:t xml:space="preserve"> </w:t>
      </w:r>
      <w:r>
        <w:rPr>
          <w:noProof w:val="0"/>
          <w:sz w:val="18"/>
          <w:szCs w:val="18"/>
          <w:lang w:val="en-US"/>
        </w:rPr>
        <w:t>Ninth operative paragraph</w:t>
      </w:r>
      <w:r w:rsidRPr="00BA61B2">
        <w:rPr>
          <w:noProof w:val="0"/>
          <w:sz w:val="18"/>
          <w:szCs w:val="18"/>
          <w:lang w:val="en-US"/>
        </w:rPr>
        <w:t>.</w:t>
      </w:r>
    </w:p>
  </w:footnote>
  <w:footnote w:id="197">
    <w:p w14:paraId="0EFA6ED7" w14:textId="77777777" w:rsidR="00432906" w:rsidRPr="00BA61B2" w:rsidRDefault="00432906" w:rsidP="007B0DE4">
      <w:pPr>
        <w:spacing w:before="120" w:after="120"/>
        <w:rPr>
          <w:rFonts w:eastAsia="Times New Roman"/>
          <w:i/>
          <w:color w:val="000000"/>
          <w:sz w:val="18"/>
          <w:szCs w:val="18"/>
          <w:lang w:val="en-US" w:eastAsia="es-CL"/>
        </w:rPr>
      </w:pPr>
      <w:r w:rsidRPr="00BA61B2">
        <w:rPr>
          <w:rStyle w:val="Refdenotaalpie"/>
          <w:sz w:val="18"/>
          <w:szCs w:val="18"/>
          <w:lang w:val="en-US"/>
        </w:rPr>
        <w:footnoteRef/>
      </w:r>
      <w:r w:rsidRPr="00BA61B2">
        <w:rPr>
          <w:sz w:val="18"/>
          <w:szCs w:val="18"/>
          <w:vertAlign w:val="superscript"/>
          <w:lang w:val="en-US"/>
        </w:rPr>
        <w:t xml:space="preserve"> </w:t>
      </w:r>
      <w:r w:rsidRPr="00BA61B2">
        <w:rPr>
          <w:i/>
          <w:sz w:val="18"/>
          <w:szCs w:val="18"/>
          <w:lang w:val="en-US"/>
        </w:rPr>
        <w:t>General rule of interpretation</w:t>
      </w:r>
      <w:r w:rsidRPr="00BA61B2">
        <w:rPr>
          <w:rFonts w:eastAsia="Times New Roman"/>
          <w:bCs/>
          <w:i/>
          <w:color w:val="000000"/>
          <w:sz w:val="18"/>
          <w:szCs w:val="18"/>
          <w:lang w:val="en-US" w:eastAsia="es-CL"/>
        </w:rPr>
        <w:t>.</w:t>
      </w:r>
      <w:r w:rsidRPr="00BA61B2">
        <w:rPr>
          <w:rFonts w:eastAsia="Times New Roman"/>
          <w:i/>
          <w:color w:val="000000"/>
          <w:sz w:val="18"/>
          <w:szCs w:val="18"/>
          <w:lang w:val="en-US" w:eastAsia="es-CL"/>
        </w:rPr>
        <w:t> </w:t>
      </w:r>
    </w:p>
    <w:p w14:paraId="387AE614" w14:textId="77777777" w:rsidR="00432906" w:rsidRPr="00BA61B2" w:rsidRDefault="00432906" w:rsidP="007B0DE4">
      <w:pPr>
        <w:spacing w:before="120" w:after="120"/>
        <w:rPr>
          <w:rFonts w:eastAsia="Times New Roman"/>
          <w:i/>
          <w:color w:val="000000"/>
          <w:sz w:val="18"/>
          <w:szCs w:val="18"/>
          <w:lang w:val="en-US" w:eastAsia="es-CL"/>
        </w:rPr>
      </w:pPr>
      <w:r w:rsidRPr="00BA61B2">
        <w:rPr>
          <w:rFonts w:eastAsia="Times New Roman"/>
          <w:i/>
          <w:color w:val="000000"/>
          <w:sz w:val="18"/>
          <w:szCs w:val="18"/>
          <w:lang w:val="en-US" w:eastAsia="es-CL"/>
        </w:rPr>
        <w:t xml:space="preserve">I. </w:t>
      </w:r>
      <w:r w:rsidRPr="00BA61B2">
        <w:rPr>
          <w:i/>
          <w:sz w:val="18"/>
          <w:szCs w:val="18"/>
          <w:lang w:val="en-US"/>
        </w:rPr>
        <w:t>A treaty shall be interpreted in good faith in accordance with the ordinary meaning to be given to the terms of the treaty in their context and in the light of its object and purpose</w:t>
      </w:r>
      <w:r w:rsidRPr="00BA61B2">
        <w:rPr>
          <w:rFonts w:eastAsia="Times New Roman"/>
          <w:i/>
          <w:color w:val="000000"/>
          <w:sz w:val="18"/>
          <w:szCs w:val="18"/>
          <w:lang w:val="en-US" w:eastAsia="es-CL"/>
        </w:rPr>
        <w:t>.</w:t>
      </w:r>
    </w:p>
    <w:p w14:paraId="5DD95B0A" w14:textId="77777777" w:rsidR="00432906" w:rsidRPr="00BA61B2" w:rsidRDefault="00432906" w:rsidP="007B0DE4">
      <w:pPr>
        <w:spacing w:before="120" w:after="120"/>
        <w:rPr>
          <w:rFonts w:eastAsia="Times New Roman"/>
          <w:i/>
          <w:color w:val="000000"/>
          <w:sz w:val="18"/>
          <w:szCs w:val="18"/>
          <w:lang w:val="en-US" w:eastAsia="es-CL"/>
        </w:rPr>
      </w:pPr>
      <w:r w:rsidRPr="00BA61B2">
        <w:rPr>
          <w:rFonts w:eastAsia="Times New Roman"/>
          <w:i/>
          <w:color w:val="000000"/>
          <w:sz w:val="18"/>
          <w:szCs w:val="18"/>
          <w:lang w:val="en-US" w:eastAsia="es-CL"/>
        </w:rPr>
        <w:t xml:space="preserve">2. </w:t>
      </w:r>
      <w:r w:rsidRPr="00BA61B2">
        <w:rPr>
          <w:i/>
          <w:sz w:val="18"/>
          <w:szCs w:val="18"/>
          <w:lang w:val="en-US"/>
        </w:rPr>
        <w:t>The context for the purpose of the interpretation of a treaty shall comprise, in addition to the text, including its preamble and annexes:</w:t>
      </w:r>
    </w:p>
    <w:p w14:paraId="76867D4D" w14:textId="77777777" w:rsidR="00432906" w:rsidRPr="00BA61B2" w:rsidRDefault="00432906" w:rsidP="007B0DE4">
      <w:pPr>
        <w:spacing w:before="120" w:after="120"/>
        <w:rPr>
          <w:rFonts w:eastAsia="Times New Roman"/>
          <w:i/>
          <w:color w:val="000000"/>
          <w:sz w:val="18"/>
          <w:szCs w:val="18"/>
          <w:lang w:val="en-US" w:eastAsia="es-CL"/>
        </w:rPr>
      </w:pPr>
      <w:r w:rsidRPr="00BA61B2">
        <w:rPr>
          <w:rFonts w:eastAsia="Times New Roman"/>
          <w:i/>
          <w:color w:val="000000"/>
          <w:sz w:val="18"/>
          <w:szCs w:val="18"/>
          <w:lang w:val="en-US" w:eastAsia="es-CL"/>
        </w:rPr>
        <w:t xml:space="preserve">a) </w:t>
      </w:r>
      <w:r w:rsidRPr="00BA61B2">
        <w:rPr>
          <w:i/>
          <w:sz w:val="18"/>
          <w:szCs w:val="18"/>
          <w:lang w:val="en-US"/>
        </w:rPr>
        <w:t>any agreement relating to the treaty which was made between all the parties in connection with the conclusion of the treaty;</w:t>
      </w:r>
    </w:p>
    <w:p w14:paraId="2081D7AE" w14:textId="77777777" w:rsidR="00432906" w:rsidRPr="00BA61B2" w:rsidRDefault="00432906" w:rsidP="007B0DE4">
      <w:pPr>
        <w:spacing w:before="120" w:after="120"/>
        <w:rPr>
          <w:rFonts w:eastAsia="Times New Roman"/>
          <w:i/>
          <w:color w:val="000000"/>
          <w:sz w:val="18"/>
          <w:szCs w:val="18"/>
          <w:lang w:val="en-US" w:eastAsia="es-CL"/>
        </w:rPr>
      </w:pPr>
      <w:r w:rsidRPr="00BA61B2">
        <w:rPr>
          <w:rFonts w:eastAsia="Times New Roman"/>
          <w:i/>
          <w:color w:val="000000"/>
          <w:sz w:val="18"/>
          <w:szCs w:val="18"/>
          <w:lang w:val="en-US" w:eastAsia="es-CL"/>
        </w:rPr>
        <w:t xml:space="preserve">b) </w:t>
      </w:r>
      <w:r w:rsidRPr="00BA61B2">
        <w:rPr>
          <w:i/>
          <w:sz w:val="18"/>
          <w:szCs w:val="18"/>
          <w:lang w:val="en-US"/>
        </w:rPr>
        <w:t>any instrument which was made by one or more parties in connection with the conclusion of the treaty and accepted by the other parties as an instrument related to the treaty</w:t>
      </w:r>
      <w:r w:rsidRPr="00BA61B2">
        <w:rPr>
          <w:rFonts w:eastAsia="Times New Roman"/>
          <w:i/>
          <w:color w:val="000000"/>
          <w:sz w:val="18"/>
          <w:szCs w:val="18"/>
          <w:lang w:val="en-US" w:eastAsia="es-CL"/>
        </w:rPr>
        <w:t>.</w:t>
      </w:r>
    </w:p>
    <w:p w14:paraId="303BE67C" w14:textId="77777777" w:rsidR="00432906" w:rsidRPr="00BA61B2" w:rsidRDefault="00432906" w:rsidP="007B0DE4">
      <w:pPr>
        <w:spacing w:before="120" w:after="120"/>
        <w:rPr>
          <w:rFonts w:eastAsia="Times New Roman"/>
          <w:i/>
          <w:color w:val="000000"/>
          <w:sz w:val="18"/>
          <w:szCs w:val="18"/>
          <w:lang w:val="en-US" w:eastAsia="es-CL"/>
        </w:rPr>
      </w:pPr>
      <w:r w:rsidRPr="00BA61B2">
        <w:rPr>
          <w:rFonts w:eastAsia="Times New Roman"/>
          <w:i/>
          <w:color w:val="000000"/>
          <w:sz w:val="18"/>
          <w:szCs w:val="18"/>
          <w:lang w:val="en-US" w:eastAsia="es-CL"/>
        </w:rPr>
        <w:t xml:space="preserve">3. </w:t>
      </w:r>
      <w:r w:rsidRPr="00BA61B2">
        <w:rPr>
          <w:i/>
          <w:sz w:val="18"/>
          <w:szCs w:val="18"/>
          <w:lang w:val="en-US"/>
        </w:rPr>
        <w:t>There shall be taken into account, together with the context:</w:t>
      </w:r>
    </w:p>
    <w:p w14:paraId="0505E656" w14:textId="77777777" w:rsidR="00432906" w:rsidRPr="00BA61B2" w:rsidRDefault="00432906" w:rsidP="007B0DE4">
      <w:pPr>
        <w:spacing w:before="120" w:after="120"/>
        <w:rPr>
          <w:rFonts w:eastAsia="Times New Roman"/>
          <w:i/>
          <w:color w:val="000000"/>
          <w:sz w:val="18"/>
          <w:szCs w:val="18"/>
          <w:lang w:val="en-US" w:eastAsia="es-CL"/>
        </w:rPr>
      </w:pPr>
      <w:r w:rsidRPr="00BA61B2">
        <w:rPr>
          <w:rFonts w:eastAsia="Times New Roman"/>
          <w:i/>
          <w:color w:val="000000"/>
          <w:sz w:val="18"/>
          <w:szCs w:val="18"/>
          <w:lang w:val="en-US" w:eastAsia="es-CL"/>
        </w:rPr>
        <w:t xml:space="preserve">a) </w:t>
      </w:r>
      <w:r w:rsidRPr="00BA61B2">
        <w:rPr>
          <w:i/>
          <w:sz w:val="18"/>
          <w:szCs w:val="18"/>
          <w:lang w:val="en-US"/>
        </w:rPr>
        <w:t xml:space="preserve">any subsequent agreement between the parties regarding the interpretation of the treaty or the application of its provisions; </w:t>
      </w:r>
    </w:p>
    <w:p w14:paraId="4E622910" w14:textId="77777777" w:rsidR="00432906" w:rsidRPr="00BA61B2" w:rsidRDefault="00432906" w:rsidP="007B0DE4">
      <w:pPr>
        <w:spacing w:before="120" w:after="120"/>
        <w:rPr>
          <w:rFonts w:eastAsia="Times New Roman"/>
          <w:i/>
          <w:color w:val="000000"/>
          <w:sz w:val="18"/>
          <w:szCs w:val="18"/>
          <w:lang w:val="en-US" w:eastAsia="es-CL"/>
        </w:rPr>
      </w:pPr>
      <w:r w:rsidRPr="00BA61B2">
        <w:rPr>
          <w:rFonts w:eastAsia="Times New Roman"/>
          <w:i/>
          <w:color w:val="000000"/>
          <w:sz w:val="18"/>
          <w:szCs w:val="18"/>
          <w:lang w:val="en-US" w:eastAsia="es-CL"/>
        </w:rPr>
        <w:t xml:space="preserve">b) </w:t>
      </w:r>
      <w:r w:rsidRPr="00BA61B2">
        <w:rPr>
          <w:i/>
          <w:sz w:val="18"/>
          <w:szCs w:val="18"/>
          <w:lang w:val="en-US"/>
        </w:rPr>
        <w:t xml:space="preserve">any subsequent practice in the application of the treaty which establishes the agreement of the parties regarding its interpretation; </w:t>
      </w:r>
    </w:p>
    <w:p w14:paraId="26CE3104" w14:textId="77777777" w:rsidR="00432906" w:rsidRPr="00BA61B2" w:rsidRDefault="00432906" w:rsidP="007B0DE4">
      <w:pPr>
        <w:spacing w:before="120" w:after="120"/>
        <w:rPr>
          <w:rFonts w:eastAsia="Times New Roman"/>
          <w:i/>
          <w:color w:val="000000"/>
          <w:sz w:val="18"/>
          <w:szCs w:val="18"/>
          <w:lang w:val="en-US" w:eastAsia="es-CL"/>
        </w:rPr>
      </w:pPr>
      <w:r w:rsidRPr="00BA61B2">
        <w:rPr>
          <w:rFonts w:eastAsia="Times New Roman"/>
          <w:i/>
          <w:color w:val="000000"/>
          <w:sz w:val="18"/>
          <w:szCs w:val="18"/>
          <w:lang w:val="en-US" w:eastAsia="es-CL"/>
        </w:rPr>
        <w:t xml:space="preserve">c) </w:t>
      </w:r>
      <w:r w:rsidRPr="00BA61B2">
        <w:rPr>
          <w:i/>
          <w:sz w:val="18"/>
          <w:szCs w:val="18"/>
          <w:lang w:val="en-US"/>
        </w:rPr>
        <w:t xml:space="preserve">any relevant rules of international law applicable in the relations between the parties. </w:t>
      </w:r>
    </w:p>
    <w:p w14:paraId="4F3B3700" w14:textId="77777777" w:rsidR="00432906" w:rsidRPr="00BA61B2" w:rsidRDefault="00432906" w:rsidP="007B0DE4">
      <w:pPr>
        <w:spacing w:before="120" w:after="120"/>
        <w:rPr>
          <w:rFonts w:eastAsia="Times New Roman"/>
          <w:color w:val="000000"/>
          <w:sz w:val="18"/>
          <w:szCs w:val="18"/>
          <w:lang w:val="en-US" w:eastAsia="es-CL"/>
        </w:rPr>
      </w:pPr>
      <w:r w:rsidRPr="00BA61B2">
        <w:rPr>
          <w:rFonts w:eastAsia="Times New Roman"/>
          <w:i/>
          <w:color w:val="000000"/>
          <w:sz w:val="18"/>
          <w:szCs w:val="18"/>
          <w:lang w:val="en-US" w:eastAsia="es-CL"/>
        </w:rPr>
        <w:t>4.</w:t>
      </w:r>
      <w:r w:rsidRPr="00BA61B2">
        <w:rPr>
          <w:i/>
          <w:sz w:val="18"/>
          <w:szCs w:val="18"/>
          <w:lang w:val="en-US"/>
        </w:rPr>
        <w:t xml:space="preserve"> A special meaning shall be given to a term if it is established that the parties so intended</w:t>
      </w:r>
      <w:r w:rsidRPr="00BA61B2">
        <w:rPr>
          <w:rFonts w:eastAsia="Times New Roman"/>
          <w:i/>
          <w:color w:val="000000"/>
          <w:sz w:val="18"/>
          <w:szCs w:val="18"/>
          <w:lang w:val="en-US" w:eastAsia="es-CL"/>
        </w:rPr>
        <w:t>.”</w:t>
      </w:r>
    </w:p>
  </w:footnote>
  <w:footnote w:id="198">
    <w:p w14:paraId="2DB9DEF5" w14:textId="77777777" w:rsidR="00432906" w:rsidRPr="00BA61B2" w:rsidRDefault="00432906" w:rsidP="007B0DE4">
      <w:pPr>
        <w:spacing w:before="120" w:after="120"/>
        <w:rPr>
          <w:rFonts w:eastAsia="Times New Roman"/>
          <w:bCs/>
          <w:i/>
          <w:color w:val="000000"/>
          <w:sz w:val="18"/>
          <w:szCs w:val="18"/>
          <w:lang w:val="en-US" w:eastAsia="es-CL"/>
        </w:rPr>
      </w:pPr>
      <w:r w:rsidRPr="00BA61B2">
        <w:rPr>
          <w:rStyle w:val="Refdenotaalpie"/>
          <w:sz w:val="18"/>
          <w:szCs w:val="18"/>
          <w:lang w:val="en-US"/>
        </w:rPr>
        <w:footnoteRef/>
      </w:r>
      <w:r w:rsidRPr="00BA61B2">
        <w:rPr>
          <w:sz w:val="18"/>
          <w:szCs w:val="18"/>
          <w:vertAlign w:val="superscript"/>
          <w:lang w:val="en-US"/>
        </w:rPr>
        <w:t xml:space="preserve"> </w:t>
      </w:r>
      <w:r w:rsidRPr="00BA61B2">
        <w:rPr>
          <w:sz w:val="18"/>
          <w:szCs w:val="18"/>
          <w:lang w:val="en-US"/>
        </w:rPr>
        <w:t>“</w:t>
      </w:r>
      <w:r w:rsidRPr="00BA61B2">
        <w:rPr>
          <w:i/>
          <w:sz w:val="18"/>
          <w:szCs w:val="18"/>
          <w:lang w:val="en-US"/>
        </w:rPr>
        <w:t>Supplementary means of interpretation</w:t>
      </w:r>
      <w:r w:rsidRPr="00BA61B2">
        <w:rPr>
          <w:rFonts w:eastAsia="Times New Roman"/>
          <w:bCs/>
          <w:i/>
          <w:color w:val="000000"/>
          <w:sz w:val="18"/>
          <w:szCs w:val="18"/>
          <w:lang w:val="en-US" w:eastAsia="es-CL"/>
        </w:rPr>
        <w:t>. </w:t>
      </w:r>
    </w:p>
    <w:p w14:paraId="4EAB1C51" w14:textId="77777777" w:rsidR="00432906" w:rsidRPr="00BA61B2" w:rsidRDefault="00432906" w:rsidP="007B0DE4">
      <w:pPr>
        <w:spacing w:before="120" w:after="120"/>
        <w:rPr>
          <w:rFonts w:eastAsia="Times New Roman"/>
          <w:i/>
          <w:color w:val="000000"/>
          <w:sz w:val="18"/>
          <w:szCs w:val="18"/>
          <w:lang w:val="en-US" w:eastAsia="es-CL"/>
        </w:rPr>
      </w:pPr>
      <w:r w:rsidRPr="00BA61B2">
        <w:rPr>
          <w:i/>
          <w:sz w:val="18"/>
          <w:szCs w:val="18"/>
          <w:lang w:val="en-US"/>
        </w:rPr>
        <w:t>Recourse may be had to supplementary means of interpretation, including the preparatory work of the treaty and the circumstances of its conclusion, in order to confirm the meaning resulting from the application of article 31, or to determine the meaning when the interpretation according to article 31:</w:t>
      </w:r>
    </w:p>
    <w:p w14:paraId="156A3BED" w14:textId="77777777" w:rsidR="00432906" w:rsidRPr="00BA61B2" w:rsidRDefault="00432906" w:rsidP="007B0DE4">
      <w:pPr>
        <w:spacing w:before="120" w:after="120"/>
        <w:rPr>
          <w:rFonts w:eastAsia="Times New Roman"/>
          <w:i/>
          <w:color w:val="000000"/>
          <w:sz w:val="18"/>
          <w:szCs w:val="18"/>
          <w:lang w:val="en-US" w:eastAsia="es-CL"/>
        </w:rPr>
      </w:pPr>
      <w:r w:rsidRPr="00BA61B2">
        <w:rPr>
          <w:rFonts w:eastAsia="Times New Roman"/>
          <w:i/>
          <w:color w:val="000000"/>
          <w:sz w:val="18"/>
          <w:szCs w:val="18"/>
          <w:lang w:val="en-US" w:eastAsia="es-CL"/>
        </w:rPr>
        <w:t xml:space="preserve">a) </w:t>
      </w:r>
      <w:r w:rsidRPr="00BA61B2">
        <w:rPr>
          <w:i/>
          <w:sz w:val="18"/>
          <w:szCs w:val="18"/>
          <w:lang w:val="en-US"/>
        </w:rPr>
        <w:t>leaves the meaning ambiguous or obscure; or</w:t>
      </w:r>
    </w:p>
    <w:p w14:paraId="2789A72D" w14:textId="77777777" w:rsidR="00432906" w:rsidRPr="00BA61B2" w:rsidRDefault="00432906" w:rsidP="007B0DE4">
      <w:pPr>
        <w:spacing w:before="120" w:after="120"/>
        <w:rPr>
          <w:i/>
          <w:sz w:val="18"/>
          <w:szCs w:val="18"/>
          <w:lang w:val="en-US"/>
        </w:rPr>
      </w:pPr>
      <w:r w:rsidRPr="00BA61B2">
        <w:rPr>
          <w:rFonts w:eastAsia="Times New Roman"/>
          <w:i/>
          <w:color w:val="000000"/>
          <w:sz w:val="18"/>
          <w:szCs w:val="18"/>
          <w:lang w:val="en-US" w:eastAsia="es-CL"/>
        </w:rPr>
        <w:t xml:space="preserve">b) </w:t>
      </w:r>
      <w:r w:rsidRPr="00BA61B2">
        <w:rPr>
          <w:i/>
          <w:sz w:val="18"/>
          <w:szCs w:val="18"/>
          <w:lang w:val="en-US"/>
        </w:rPr>
        <w:t>leads to a result which is manifestly absurd or unreasonable.</w:t>
      </w:r>
      <w:r w:rsidRPr="00BA61B2">
        <w:rPr>
          <w:rFonts w:eastAsia="Times New Roman"/>
          <w:i/>
          <w:color w:val="000000"/>
          <w:sz w:val="18"/>
          <w:szCs w:val="18"/>
          <w:lang w:val="en-US" w:eastAsia="es-CL"/>
        </w:rPr>
        <w:t>”</w:t>
      </w:r>
    </w:p>
  </w:footnote>
  <w:footnote w:id="199">
    <w:p w14:paraId="66DF260A" w14:textId="77777777" w:rsidR="00432906" w:rsidRPr="00BA61B2" w:rsidRDefault="00432906" w:rsidP="007B0DE4">
      <w:pPr>
        <w:pStyle w:val="Textonotapie"/>
        <w:rPr>
          <w:noProof w:val="0"/>
          <w:sz w:val="18"/>
          <w:szCs w:val="18"/>
          <w:lang w:val="en-US"/>
        </w:rPr>
      </w:pPr>
      <w:r w:rsidRPr="00BA61B2">
        <w:rPr>
          <w:rStyle w:val="Refdenotaalpie"/>
          <w:noProof w:val="0"/>
          <w:sz w:val="18"/>
          <w:szCs w:val="18"/>
          <w:lang w:val="en-US"/>
        </w:rPr>
        <w:footnoteRef/>
      </w:r>
      <w:r w:rsidRPr="00BA61B2">
        <w:rPr>
          <w:noProof w:val="0"/>
          <w:sz w:val="18"/>
          <w:szCs w:val="18"/>
          <w:vertAlign w:val="superscript"/>
          <w:lang w:val="en-US"/>
        </w:rPr>
        <w:t xml:space="preserve"> </w:t>
      </w:r>
      <w:r w:rsidRPr="00BA61B2">
        <w:rPr>
          <w:noProof w:val="0"/>
          <w:sz w:val="18"/>
          <w:szCs w:val="18"/>
          <w:lang w:val="en-US"/>
        </w:rPr>
        <w:t>Hereinafter, the Vienna Convention.</w:t>
      </w:r>
    </w:p>
  </w:footnote>
  <w:footnote w:id="200">
    <w:p w14:paraId="19C32C6B" w14:textId="77777777" w:rsidR="00432906" w:rsidRPr="00BA61B2" w:rsidRDefault="00432906" w:rsidP="007B0DE4">
      <w:pPr>
        <w:pStyle w:val="Textonotapie"/>
        <w:rPr>
          <w:noProof w:val="0"/>
          <w:sz w:val="18"/>
          <w:szCs w:val="18"/>
          <w:lang w:val="en-US"/>
        </w:rPr>
      </w:pPr>
      <w:r w:rsidRPr="00BA61B2">
        <w:rPr>
          <w:rStyle w:val="Refdenotaalpie"/>
          <w:noProof w:val="0"/>
          <w:sz w:val="18"/>
          <w:szCs w:val="18"/>
          <w:lang w:val="en-US"/>
        </w:rPr>
        <w:footnoteRef/>
      </w:r>
      <w:r w:rsidRPr="00BA61B2">
        <w:rPr>
          <w:noProof w:val="0"/>
          <w:sz w:val="18"/>
          <w:szCs w:val="18"/>
          <w:vertAlign w:val="superscript"/>
          <w:lang w:val="en-US"/>
        </w:rPr>
        <w:t xml:space="preserve"> </w:t>
      </w:r>
      <w:r w:rsidRPr="00BA61B2">
        <w:rPr>
          <w:noProof w:val="0"/>
          <w:sz w:val="18"/>
          <w:szCs w:val="18"/>
          <w:lang w:val="en-US"/>
        </w:rPr>
        <w:t>Article 31(1) of the Vienna Convention.</w:t>
      </w:r>
    </w:p>
    <w:p w14:paraId="6F8BD617" w14:textId="77777777" w:rsidR="00432906" w:rsidRPr="00BA61B2" w:rsidRDefault="00432906" w:rsidP="007B0DE4">
      <w:pPr>
        <w:pStyle w:val="Textonotapie"/>
        <w:rPr>
          <w:noProof w:val="0"/>
          <w:sz w:val="18"/>
          <w:szCs w:val="18"/>
          <w:lang w:val="en-US"/>
        </w:rPr>
      </w:pPr>
    </w:p>
  </w:footnote>
  <w:footnote w:id="201">
    <w:p w14:paraId="62A12CA9" w14:textId="77777777" w:rsidR="00432906" w:rsidRPr="00BA61B2" w:rsidRDefault="00432906" w:rsidP="007B0DE4">
      <w:pPr>
        <w:pStyle w:val="Textonotapie"/>
        <w:rPr>
          <w:noProof w:val="0"/>
          <w:sz w:val="18"/>
          <w:szCs w:val="18"/>
          <w:lang w:val="en-US"/>
        </w:rPr>
      </w:pPr>
      <w:r w:rsidRPr="00BA61B2">
        <w:rPr>
          <w:rStyle w:val="Refdenotaalpie"/>
          <w:noProof w:val="0"/>
          <w:sz w:val="18"/>
          <w:szCs w:val="18"/>
          <w:lang w:val="en-US"/>
        </w:rPr>
        <w:footnoteRef/>
      </w:r>
      <w:r w:rsidRPr="00BA61B2">
        <w:rPr>
          <w:noProof w:val="0"/>
          <w:sz w:val="18"/>
          <w:szCs w:val="18"/>
          <w:lang w:val="en-US"/>
        </w:rPr>
        <w:t xml:space="preserve"> Paras. 112 to 117.</w:t>
      </w:r>
    </w:p>
  </w:footnote>
  <w:footnote w:id="202">
    <w:p w14:paraId="5C3B366B" w14:textId="77777777" w:rsidR="00432906" w:rsidRPr="00BA61B2" w:rsidRDefault="00432906" w:rsidP="007B0DE4">
      <w:pPr>
        <w:pStyle w:val="Textonotapie"/>
        <w:rPr>
          <w:noProof w:val="0"/>
          <w:sz w:val="18"/>
          <w:szCs w:val="18"/>
          <w:lang w:val="en-US"/>
        </w:rPr>
      </w:pPr>
      <w:r w:rsidRPr="00BA61B2">
        <w:rPr>
          <w:rStyle w:val="Refdenotaalpie"/>
          <w:noProof w:val="0"/>
          <w:sz w:val="18"/>
          <w:szCs w:val="18"/>
          <w:lang w:val="en-US"/>
        </w:rPr>
        <w:footnoteRef/>
      </w:r>
      <w:r w:rsidRPr="00BA61B2">
        <w:rPr>
          <w:noProof w:val="0"/>
          <w:sz w:val="18"/>
          <w:szCs w:val="18"/>
          <w:lang w:val="en-US"/>
        </w:rPr>
        <w:t xml:space="preserve"> </w:t>
      </w:r>
      <w:r w:rsidRPr="00BA61B2">
        <w:rPr>
          <w:i/>
          <w:noProof w:val="0"/>
          <w:sz w:val="18"/>
          <w:szCs w:val="18"/>
          <w:lang w:val="en-US"/>
        </w:rPr>
        <w:t>Idem.</w:t>
      </w:r>
    </w:p>
  </w:footnote>
  <w:footnote w:id="203">
    <w:p w14:paraId="66A39DB5" w14:textId="77777777" w:rsidR="00432906" w:rsidRPr="00BA61B2" w:rsidRDefault="00432906" w:rsidP="007B0DE4">
      <w:pPr>
        <w:pStyle w:val="Textonotapie"/>
        <w:rPr>
          <w:noProof w:val="0"/>
          <w:sz w:val="18"/>
          <w:szCs w:val="18"/>
          <w:lang w:val="en-US"/>
        </w:rPr>
      </w:pPr>
      <w:r w:rsidRPr="00BA61B2">
        <w:rPr>
          <w:rStyle w:val="Refdenotaalpie"/>
          <w:noProof w:val="0"/>
          <w:sz w:val="18"/>
          <w:szCs w:val="18"/>
          <w:lang w:val="en-US"/>
        </w:rPr>
        <w:footnoteRef/>
      </w:r>
      <w:r>
        <w:rPr>
          <w:noProof w:val="0"/>
          <w:sz w:val="18"/>
          <w:szCs w:val="18"/>
          <w:lang w:val="en-US"/>
        </w:rPr>
        <w:t xml:space="preserve"> Article 31 (</w:t>
      </w:r>
      <w:r w:rsidRPr="00BA61B2">
        <w:rPr>
          <w:noProof w:val="0"/>
          <w:sz w:val="18"/>
          <w:szCs w:val="18"/>
          <w:lang w:val="en-US"/>
        </w:rPr>
        <w:t>1</w:t>
      </w:r>
      <w:r>
        <w:rPr>
          <w:noProof w:val="0"/>
          <w:sz w:val="18"/>
          <w:szCs w:val="18"/>
          <w:lang w:val="en-US"/>
        </w:rPr>
        <w:t>)</w:t>
      </w:r>
      <w:r w:rsidRPr="00BA61B2">
        <w:rPr>
          <w:noProof w:val="0"/>
          <w:sz w:val="18"/>
          <w:szCs w:val="18"/>
          <w:lang w:val="en-US"/>
        </w:rPr>
        <w:t xml:space="preserve"> and </w:t>
      </w:r>
      <w:r>
        <w:rPr>
          <w:noProof w:val="0"/>
          <w:sz w:val="18"/>
          <w:szCs w:val="18"/>
          <w:lang w:val="en-US"/>
        </w:rPr>
        <w:t>(</w:t>
      </w:r>
      <w:r w:rsidRPr="00BA61B2">
        <w:rPr>
          <w:noProof w:val="0"/>
          <w:sz w:val="18"/>
          <w:szCs w:val="18"/>
          <w:lang w:val="en-US"/>
        </w:rPr>
        <w:t>2</w:t>
      </w:r>
      <w:r>
        <w:rPr>
          <w:noProof w:val="0"/>
          <w:sz w:val="18"/>
          <w:szCs w:val="18"/>
          <w:lang w:val="en-US"/>
        </w:rPr>
        <w:t>)</w:t>
      </w:r>
      <w:r w:rsidRPr="00BA61B2">
        <w:rPr>
          <w:noProof w:val="0"/>
          <w:sz w:val="18"/>
          <w:szCs w:val="18"/>
          <w:lang w:val="en-US"/>
        </w:rPr>
        <w:t xml:space="preserve"> of the Vienna Convention.</w:t>
      </w:r>
    </w:p>
  </w:footnote>
  <w:footnote w:id="204">
    <w:p w14:paraId="2DE605BE" w14:textId="77777777" w:rsidR="00432906" w:rsidRPr="00BA61B2" w:rsidRDefault="00432906" w:rsidP="007B0DE4">
      <w:pPr>
        <w:pStyle w:val="Textonotapie"/>
        <w:rPr>
          <w:noProof w:val="0"/>
          <w:sz w:val="18"/>
          <w:szCs w:val="18"/>
          <w:lang w:val="en-US"/>
        </w:rPr>
      </w:pPr>
      <w:r w:rsidRPr="00BA61B2">
        <w:rPr>
          <w:rStyle w:val="Refdenotaalpie"/>
          <w:noProof w:val="0"/>
          <w:sz w:val="18"/>
          <w:szCs w:val="18"/>
          <w:lang w:val="en-US"/>
        </w:rPr>
        <w:footnoteRef/>
      </w:r>
      <w:r>
        <w:rPr>
          <w:noProof w:val="0"/>
          <w:sz w:val="18"/>
          <w:szCs w:val="18"/>
          <w:lang w:val="en-US"/>
        </w:rPr>
        <w:t xml:space="preserve"> Article 31(</w:t>
      </w:r>
      <w:r w:rsidRPr="00BA61B2">
        <w:rPr>
          <w:noProof w:val="0"/>
          <w:sz w:val="18"/>
          <w:szCs w:val="18"/>
          <w:lang w:val="en-US"/>
        </w:rPr>
        <w:t>2</w:t>
      </w:r>
      <w:r>
        <w:rPr>
          <w:noProof w:val="0"/>
          <w:sz w:val="18"/>
          <w:szCs w:val="18"/>
          <w:lang w:val="en-US"/>
        </w:rPr>
        <w:t>)</w:t>
      </w:r>
      <w:r w:rsidRPr="00BA61B2">
        <w:rPr>
          <w:noProof w:val="0"/>
          <w:sz w:val="18"/>
          <w:szCs w:val="18"/>
          <w:lang w:val="en-US"/>
        </w:rPr>
        <w:t xml:space="preserve"> and </w:t>
      </w:r>
      <w:r>
        <w:rPr>
          <w:noProof w:val="0"/>
          <w:sz w:val="18"/>
          <w:szCs w:val="18"/>
          <w:lang w:val="en-US"/>
        </w:rPr>
        <w:t>(</w:t>
      </w:r>
      <w:r w:rsidRPr="00BA61B2">
        <w:rPr>
          <w:noProof w:val="0"/>
          <w:sz w:val="18"/>
          <w:szCs w:val="18"/>
          <w:lang w:val="en-US"/>
        </w:rPr>
        <w:t>3</w:t>
      </w:r>
      <w:r>
        <w:rPr>
          <w:noProof w:val="0"/>
          <w:sz w:val="18"/>
          <w:szCs w:val="18"/>
          <w:lang w:val="en-US"/>
        </w:rPr>
        <w:t>)</w:t>
      </w:r>
      <w:r w:rsidRPr="00BA61B2">
        <w:rPr>
          <w:noProof w:val="0"/>
          <w:sz w:val="18"/>
          <w:szCs w:val="18"/>
          <w:lang w:val="en-US"/>
        </w:rPr>
        <w:t xml:space="preserve"> of the Vienna Convention.</w:t>
      </w:r>
    </w:p>
  </w:footnote>
  <w:footnote w:id="205">
    <w:p w14:paraId="6C770D75" w14:textId="77777777" w:rsidR="00432906" w:rsidRPr="00BA61B2" w:rsidRDefault="00432906" w:rsidP="007B0DE4">
      <w:pPr>
        <w:pStyle w:val="Textonotapie"/>
        <w:rPr>
          <w:noProof w:val="0"/>
          <w:sz w:val="18"/>
          <w:szCs w:val="18"/>
          <w:lang w:val="en-US"/>
        </w:rPr>
      </w:pPr>
      <w:r w:rsidRPr="00BA61B2">
        <w:rPr>
          <w:rStyle w:val="Refdenotaalpie"/>
          <w:noProof w:val="0"/>
          <w:sz w:val="18"/>
          <w:szCs w:val="18"/>
          <w:lang w:val="en-US"/>
        </w:rPr>
        <w:footnoteRef/>
      </w:r>
      <w:r w:rsidRPr="00BA61B2">
        <w:rPr>
          <w:noProof w:val="0"/>
          <w:sz w:val="18"/>
          <w:szCs w:val="18"/>
          <w:lang w:val="en-US"/>
        </w:rPr>
        <w:t xml:space="preserve"> Art</w:t>
      </w:r>
      <w:r>
        <w:rPr>
          <w:noProof w:val="0"/>
          <w:sz w:val="18"/>
          <w:szCs w:val="18"/>
          <w:lang w:val="en-US"/>
        </w:rPr>
        <w:t>icle 31 (3)</w:t>
      </w:r>
      <w:r w:rsidRPr="00BA61B2">
        <w:rPr>
          <w:noProof w:val="0"/>
          <w:sz w:val="18"/>
          <w:szCs w:val="18"/>
          <w:lang w:val="en-US"/>
        </w:rPr>
        <w:t xml:space="preserve"> </w:t>
      </w:r>
      <w:r>
        <w:rPr>
          <w:noProof w:val="0"/>
          <w:sz w:val="18"/>
          <w:szCs w:val="18"/>
          <w:lang w:val="en-US"/>
        </w:rPr>
        <w:t>(</w:t>
      </w:r>
      <w:r w:rsidRPr="00BA61B2">
        <w:rPr>
          <w:noProof w:val="0"/>
          <w:sz w:val="18"/>
          <w:szCs w:val="18"/>
          <w:lang w:val="en-US"/>
        </w:rPr>
        <w:t>c) of the Vienna Convention.</w:t>
      </w:r>
    </w:p>
  </w:footnote>
  <w:footnote w:id="206">
    <w:p w14:paraId="2E4C2DA0" w14:textId="77777777" w:rsidR="00432906" w:rsidRPr="00BA61B2" w:rsidRDefault="00432906" w:rsidP="007B0DE4">
      <w:pPr>
        <w:spacing w:before="120" w:after="120"/>
        <w:rPr>
          <w:sz w:val="18"/>
          <w:szCs w:val="18"/>
          <w:lang w:val="en-US"/>
        </w:rPr>
      </w:pPr>
      <w:r w:rsidRPr="00BA61B2">
        <w:rPr>
          <w:rStyle w:val="Refdenotaalpie"/>
          <w:sz w:val="18"/>
          <w:szCs w:val="18"/>
          <w:lang w:val="en-US"/>
        </w:rPr>
        <w:footnoteRef/>
      </w:r>
      <w:r w:rsidRPr="00BA61B2">
        <w:rPr>
          <w:sz w:val="18"/>
          <w:szCs w:val="18"/>
          <w:vertAlign w:val="superscript"/>
          <w:lang w:val="en-US"/>
        </w:rPr>
        <w:t xml:space="preserve"> </w:t>
      </w:r>
      <w:r w:rsidRPr="00BA61B2">
        <w:rPr>
          <w:sz w:val="18"/>
          <w:szCs w:val="18"/>
          <w:lang w:val="en-US"/>
        </w:rPr>
        <w:t>Para. 112</w:t>
      </w:r>
    </w:p>
    <w:p w14:paraId="3B7F3129" w14:textId="77777777" w:rsidR="00432906" w:rsidRPr="00BA61B2" w:rsidRDefault="00432906" w:rsidP="007B0DE4">
      <w:pPr>
        <w:spacing w:before="120" w:after="120"/>
        <w:rPr>
          <w:sz w:val="18"/>
          <w:szCs w:val="18"/>
          <w:lang w:val="en-US"/>
        </w:rPr>
      </w:pPr>
    </w:p>
  </w:footnote>
  <w:footnote w:id="207">
    <w:p w14:paraId="198DCA2A" w14:textId="77777777" w:rsidR="00432906" w:rsidRPr="00BA61B2" w:rsidRDefault="00432906" w:rsidP="007B0DE4">
      <w:pPr>
        <w:spacing w:before="120" w:after="120"/>
        <w:rPr>
          <w:sz w:val="18"/>
          <w:szCs w:val="18"/>
          <w:lang w:val="en-US"/>
        </w:rPr>
      </w:pPr>
      <w:r w:rsidRPr="00BA61B2">
        <w:rPr>
          <w:rStyle w:val="Refdenotaalpie"/>
          <w:sz w:val="18"/>
          <w:szCs w:val="18"/>
          <w:lang w:val="en-US"/>
        </w:rPr>
        <w:footnoteRef/>
      </w:r>
      <w:r w:rsidRPr="00BA61B2">
        <w:rPr>
          <w:sz w:val="18"/>
          <w:szCs w:val="18"/>
          <w:vertAlign w:val="superscript"/>
          <w:lang w:val="en-US"/>
        </w:rPr>
        <w:t xml:space="preserve"> </w:t>
      </w:r>
      <w:r w:rsidRPr="00BA61B2">
        <w:rPr>
          <w:sz w:val="18"/>
          <w:szCs w:val="18"/>
          <w:lang w:val="en-US"/>
        </w:rPr>
        <w:t>Para. 113</w:t>
      </w:r>
    </w:p>
  </w:footnote>
  <w:footnote w:id="208">
    <w:p w14:paraId="6F915FAF" w14:textId="77777777" w:rsidR="00432906" w:rsidRPr="00BA61B2" w:rsidRDefault="00432906" w:rsidP="007B0DE4">
      <w:pPr>
        <w:spacing w:before="120" w:after="120"/>
        <w:rPr>
          <w:sz w:val="18"/>
          <w:szCs w:val="18"/>
          <w:lang w:val="en-US"/>
        </w:rPr>
      </w:pPr>
      <w:r w:rsidRPr="00BA61B2">
        <w:rPr>
          <w:rStyle w:val="Refdenotaalpie"/>
          <w:sz w:val="18"/>
          <w:szCs w:val="18"/>
          <w:lang w:val="en-US"/>
        </w:rPr>
        <w:footnoteRef/>
      </w:r>
      <w:r w:rsidRPr="00BA61B2">
        <w:rPr>
          <w:sz w:val="18"/>
          <w:szCs w:val="18"/>
          <w:vertAlign w:val="superscript"/>
          <w:lang w:val="en-US"/>
        </w:rPr>
        <w:t xml:space="preserve"> </w:t>
      </w:r>
      <w:r w:rsidRPr="00BA61B2">
        <w:rPr>
          <w:sz w:val="18"/>
          <w:szCs w:val="18"/>
          <w:lang w:val="en-US"/>
        </w:rPr>
        <w:t>Para. 115</w:t>
      </w:r>
    </w:p>
  </w:footnote>
  <w:footnote w:id="209">
    <w:p w14:paraId="37109FC8" w14:textId="77777777" w:rsidR="00432906" w:rsidRPr="00BA61B2" w:rsidRDefault="00432906" w:rsidP="007B0DE4">
      <w:pPr>
        <w:spacing w:before="120" w:after="120"/>
        <w:rPr>
          <w:sz w:val="18"/>
          <w:szCs w:val="18"/>
          <w:lang w:val="en-US"/>
        </w:rPr>
      </w:pPr>
      <w:r w:rsidRPr="00BA61B2">
        <w:rPr>
          <w:rStyle w:val="Refdenotaalpie"/>
          <w:sz w:val="18"/>
          <w:szCs w:val="18"/>
          <w:lang w:val="en-US"/>
        </w:rPr>
        <w:footnoteRef/>
      </w:r>
      <w:r w:rsidRPr="00BA61B2">
        <w:rPr>
          <w:sz w:val="18"/>
          <w:szCs w:val="18"/>
          <w:vertAlign w:val="superscript"/>
          <w:lang w:val="en-US"/>
        </w:rPr>
        <w:t xml:space="preserve"> </w:t>
      </w:r>
      <w:r w:rsidRPr="00BA61B2">
        <w:rPr>
          <w:sz w:val="18"/>
          <w:szCs w:val="18"/>
          <w:lang w:val="en-US"/>
        </w:rPr>
        <w:t>Para. 108.</w:t>
      </w:r>
    </w:p>
  </w:footnote>
  <w:footnote w:id="210">
    <w:p w14:paraId="13CE8204" w14:textId="77777777" w:rsidR="00432906" w:rsidRPr="00BA61B2" w:rsidRDefault="00432906" w:rsidP="007B0DE4">
      <w:pPr>
        <w:spacing w:before="120" w:after="120"/>
        <w:rPr>
          <w:sz w:val="18"/>
          <w:szCs w:val="18"/>
          <w:lang w:val="en-US"/>
        </w:rPr>
      </w:pPr>
      <w:r w:rsidRPr="00BA61B2">
        <w:rPr>
          <w:rStyle w:val="Refdenotaalpie"/>
          <w:sz w:val="18"/>
          <w:szCs w:val="18"/>
          <w:lang w:val="en-US"/>
        </w:rPr>
        <w:footnoteRef/>
      </w:r>
      <w:r w:rsidRPr="00BA61B2">
        <w:rPr>
          <w:sz w:val="18"/>
          <w:szCs w:val="18"/>
          <w:vertAlign w:val="superscript"/>
          <w:lang w:val="en-US"/>
        </w:rPr>
        <w:t xml:space="preserve"> </w:t>
      </w:r>
      <w:r>
        <w:rPr>
          <w:rFonts w:cs="Tahoma"/>
          <w:bCs/>
          <w:sz w:val="18"/>
          <w:szCs w:val="18"/>
          <w:lang w:val="en-US"/>
        </w:rPr>
        <w:t>Article</w:t>
      </w:r>
      <w:r w:rsidRPr="00BA61B2">
        <w:rPr>
          <w:rFonts w:cs="Tahoma"/>
          <w:bCs/>
          <w:sz w:val="18"/>
          <w:szCs w:val="18"/>
          <w:lang w:val="en-US"/>
        </w:rPr>
        <w:t xml:space="preserve"> 26: “</w:t>
      </w:r>
      <w:r w:rsidRPr="00BA61B2">
        <w:rPr>
          <w:rFonts w:cs="Tahoma"/>
          <w:bCs/>
          <w:i/>
          <w:sz w:val="18"/>
          <w:szCs w:val="18"/>
          <w:lang w:val="en-US"/>
        </w:rPr>
        <w:t xml:space="preserve">Progressive Development. </w:t>
      </w:r>
      <w:r w:rsidRPr="00BA61B2">
        <w:rPr>
          <w:i/>
          <w:color w:val="000000"/>
          <w:sz w:val="18"/>
          <w:szCs w:val="18"/>
          <w:lang w:val="en-US"/>
        </w:rPr>
        <w:t>The States Parties undertake to adopt measures, both internally and through international cooperation, especially those of an economic and technical nature, with a view to achieving progressively, by legislation or other appropriate means, the full realization of the rights implicit in the economic, social, educational, scientific, and cultural standards set forth in the Charter of the Organization of American States</w:t>
      </w:r>
      <w:r>
        <w:rPr>
          <w:i/>
          <w:color w:val="000000"/>
          <w:sz w:val="18"/>
          <w:szCs w:val="18"/>
          <w:lang w:val="en-US"/>
        </w:rPr>
        <w:t>,</w:t>
      </w:r>
      <w:r w:rsidRPr="00BA61B2">
        <w:rPr>
          <w:i/>
          <w:color w:val="000000"/>
          <w:sz w:val="18"/>
          <w:szCs w:val="18"/>
          <w:lang w:val="en-US"/>
        </w:rPr>
        <w:t xml:space="preserve"> as amended by the Protocol of Buenos Aires</w:t>
      </w:r>
      <w:r>
        <w:rPr>
          <w:i/>
          <w:color w:val="000000"/>
          <w:sz w:val="18"/>
          <w:szCs w:val="18"/>
          <w:lang w:val="en-US"/>
        </w:rPr>
        <w:t>, subject to</w:t>
      </w:r>
      <w:r w:rsidRPr="00BA61B2">
        <w:rPr>
          <w:rFonts w:cs="Tahoma"/>
          <w:bCs/>
          <w:i/>
          <w:sz w:val="18"/>
          <w:szCs w:val="18"/>
          <w:lang w:val="en-US"/>
        </w:rPr>
        <w:t xml:space="preserve"> </w:t>
      </w:r>
      <w:r w:rsidRPr="008B3EA1">
        <w:rPr>
          <w:rFonts w:cs="Tahoma"/>
          <w:i/>
          <w:sz w:val="18"/>
          <w:szCs w:val="18"/>
          <w:lang w:val="en-US"/>
        </w:rPr>
        <w:t>available resources, by legislation or other appropriate means</w:t>
      </w:r>
      <w:r w:rsidRPr="00BA61B2">
        <w:rPr>
          <w:rFonts w:cs="Tahoma"/>
          <w:sz w:val="18"/>
          <w:szCs w:val="18"/>
          <w:lang w:val="en-US"/>
        </w:rPr>
        <w:t xml:space="preserve">.” </w:t>
      </w:r>
    </w:p>
  </w:footnote>
  <w:footnote w:id="211">
    <w:p w14:paraId="745E9C6E" w14:textId="77777777" w:rsidR="00432906" w:rsidRPr="00BA61B2" w:rsidRDefault="00432906" w:rsidP="007B0DE4">
      <w:pPr>
        <w:spacing w:before="120" w:after="120"/>
        <w:rPr>
          <w:sz w:val="18"/>
          <w:szCs w:val="18"/>
          <w:lang w:val="en-US"/>
        </w:rPr>
      </w:pPr>
      <w:r w:rsidRPr="00BA61B2">
        <w:rPr>
          <w:rStyle w:val="Refdenotaalpie"/>
          <w:sz w:val="18"/>
          <w:szCs w:val="18"/>
          <w:lang w:val="en-US"/>
        </w:rPr>
        <w:footnoteRef/>
      </w:r>
      <w:r w:rsidRPr="00BA61B2">
        <w:rPr>
          <w:sz w:val="18"/>
          <w:szCs w:val="18"/>
          <w:vertAlign w:val="superscript"/>
          <w:lang w:val="en-US"/>
        </w:rPr>
        <w:t xml:space="preserve"> </w:t>
      </w:r>
      <w:r>
        <w:rPr>
          <w:rFonts w:cs="Tahoma"/>
          <w:sz w:val="18"/>
          <w:szCs w:val="18"/>
          <w:lang w:val="en-US"/>
        </w:rPr>
        <w:t>Articles</w:t>
      </w:r>
      <w:r w:rsidRPr="00BA61B2">
        <w:rPr>
          <w:rFonts w:cs="Tahoma"/>
          <w:sz w:val="18"/>
          <w:szCs w:val="18"/>
          <w:lang w:val="en-US"/>
        </w:rPr>
        <w:t xml:space="preserve"> 31, 76 and 77, cited. </w:t>
      </w:r>
    </w:p>
  </w:footnote>
  <w:footnote w:id="212">
    <w:p w14:paraId="6CA42504" w14:textId="77777777" w:rsidR="00432906" w:rsidRPr="00BA61B2" w:rsidRDefault="00432906" w:rsidP="007B0DE4">
      <w:pPr>
        <w:spacing w:before="120" w:after="120"/>
        <w:rPr>
          <w:sz w:val="18"/>
          <w:szCs w:val="18"/>
          <w:lang w:val="en-US"/>
        </w:rPr>
      </w:pPr>
      <w:r w:rsidRPr="00BA61B2">
        <w:rPr>
          <w:rStyle w:val="Refdenotaalpie"/>
          <w:sz w:val="18"/>
          <w:szCs w:val="18"/>
          <w:lang w:val="en-US"/>
        </w:rPr>
        <w:footnoteRef/>
      </w:r>
      <w:r w:rsidRPr="00BA61B2">
        <w:rPr>
          <w:sz w:val="18"/>
          <w:szCs w:val="18"/>
          <w:vertAlign w:val="superscript"/>
          <w:lang w:val="en-US"/>
        </w:rPr>
        <w:t xml:space="preserve"> </w:t>
      </w:r>
      <w:r w:rsidRPr="00BA61B2">
        <w:rPr>
          <w:sz w:val="18"/>
          <w:szCs w:val="18"/>
          <w:lang w:val="en-US"/>
        </w:rPr>
        <w:t>Para.118.</w:t>
      </w:r>
    </w:p>
  </w:footnote>
  <w:footnote w:id="213">
    <w:p w14:paraId="702CEA6F" w14:textId="77777777" w:rsidR="00432906" w:rsidRPr="00BA61B2" w:rsidRDefault="00432906" w:rsidP="007B0DE4">
      <w:pPr>
        <w:spacing w:before="120" w:after="120"/>
        <w:rPr>
          <w:sz w:val="18"/>
          <w:szCs w:val="18"/>
          <w:lang w:val="en-US"/>
        </w:rPr>
      </w:pPr>
      <w:r w:rsidRPr="00BA61B2">
        <w:rPr>
          <w:rStyle w:val="Refdenotaalpie"/>
          <w:sz w:val="18"/>
          <w:szCs w:val="18"/>
          <w:lang w:val="en-US"/>
        </w:rPr>
        <w:footnoteRef/>
      </w:r>
      <w:r w:rsidRPr="00BA61B2">
        <w:rPr>
          <w:sz w:val="18"/>
          <w:szCs w:val="18"/>
          <w:vertAlign w:val="superscript"/>
          <w:lang w:val="en-US"/>
        </w:rPr>
        <w:t xml:space="preserve"> </w:t>
      </w:r>
      <w:r w:rsidRPr="00BA61B2">
        <w:rPr>
          <w:sz w:val="18"/>
          <w:szCs w:val="18"/>
          <w:lang w:val="en-US"/>
        </w:rPr>
        <w:t>Para.110.</w:t>
      </w:r>
    </w:p>
  </w:footnote>
  <w:footnote w:id="214">
    <w:p w14:paraId="062A9864" w14:textId="77777777" w:rsidR="00432906" w:rsidRPr="00BA61B2" w:rsidRDefault="00432906" w:rsidP="007B0DE4">
      <w:pPr>
        <w:spacing w:before="120" w:after="120"/>
        <w:rPr>
          <w:sz w:val="18"/>
          <w:szCs w:val="18"/>
          <w:lang w:val="en-US"/>
        </w:rPr>
      </w:pPr>
      <w:r w:rsidRPr="00BA61B2">
        <w:rPr>
          <w:rStyle w:val="Refdenotaalpie"/>
          <w:sz w:val="18"/>
          <w:szCs w:val="18"/>
          <w:lang w:val="en-US"/>
        </w:rPr>
        <w:footnoteRef/>
      </w:r>
      <w:r w:rsidRPr="00BA61B2">
        <w:rPr>
          <w:sz w:val="18"/>
          <w:szCs w:val="18"/>
          <w:vertAlign w:val="superscript"/>
          <w:lang w:val="en-US"/>
        </w:rPr>
        <w:t xml:space="preserve"> </w:t>
      </w:r>
      <w:r w:rsidRPr="00BA61B2">
        <w:rPr>
          <w:sz w:val="18"/>
          <w:szCs w:val="18"/>
          <w:lang w:val="en-US"/>
        </w:rPr>
        <w:t>Para. 114</w:t>
      </w:r>
    </w:p>
  </w:footnote>
  <w:footnote w:id="215">
    <w:p w14:paraId="2B24F5BE" w14:textId="77777777" w:rsidR="00432906" w:rsidRPr="00BA61B2" w:rsidRDefault="00432906" w:rsidP="007B0DE4">
      <w:pPr>
        <w:spacing w:before="120" w:after="120"/>
        <w:rPr>
          <w:sz w:val="18"/>
          <w:szCs w:val="18"/>
          <w:lang w:val="en-US"/>
        </w:rPr>
      </w:pPr>
      <w:r w:rsidRPr="00BA61B2">
        <w:rPr>
          <w:rStyle w:val="Refdenotaalpie"/>
          <w:sz w:val="18"/>
          <w:szCs w:val="18"/>
          <w:lang w:val="en-US"/>
        </w:rPr>
        <w:footnoteRef/>
      </w:r>
      <w:r w:rsidRPr="00BA61B2">
        <w:rPr>
          <w:sz w:val="18"/>
          <w:szCs w:val="18"/>
          <w:vertAlign w:val="superscript"/>
          <w:lang w:val="en-US"/>
        </w:rPr>
        <w:t xml:space="preserve"> </w:t>
      </w:r>
      <w:r w:rsidRPr="00BA61B2">
        <w:rPr>
          <w:sz w:val="18"/>
          <w:szCs w:val="18"/>
          <w:lang w:val="en-US"/>
        </w:rPr>
        <w:t>Para. 115</w:t>
      </w:r>
    </w:p>
  </w:footnote>
  <w:footnote w:id="216">
    <w:p w14:paraId="43F44374" w14:textId="77777777" w:rsidR="00432906" w:rsidRPr="00BA61B2" w:rsidRDefault="00432906" w:rsidP="007B0DE4">
      <w:pPr>
        <w:spacing w:before="120" w:after="120"/>
        <w:rPr>
          <w:sz w:val="18"/>
          <w:szCs w:val="18"/>
          <w:lang w:val="en-US"/>
        </w:rPr>
      </w:pPr>
      <w:r w:rsidRPr="00BA61B2">
        <w:rPr>
          <w:rStyle w:val="Refdenotaalpie"/>
          <w:sz w:val="18"/>
          <w:szCs w:val="18"/>
          <w:lang w:val="en-US"/>
        </w:rPr>
        <w:footnoteRef/>
      </w:r>
      <w:r w:rsidRPr="00BA61B2">
        <w:rPr>
          <w:sz w:val="18"/>
          <w:szCs w:val="18"/>
          <w:vertAlign w:val="superscript"/>
          <w:lang w:val="en-US"/>
        </w:rPr>
        <w:t xml:space="preserve"> </w:t>
      </w:r>
      <w:r w:rsidRPr="00BA61B2">
        <w:rPr>
          <w:sz w:val="18"/>
          <w:szCs w:val="18"/>
          <w:lang w:val="en-US"/>
        </w:rPr>
        <w:t>Para. 116</w:t>
      </w:r>
    </w:p>
  </w:footnote>
  <w:footnote w:id="217">
    <w:p w14:paraId="0CCC9348" w14:textId="77777777" w:rsidR="00432906" w:rsidRPr="00DB59BA" w:rsidRDefault="00432906" w:rsidP="007B0DE4">
      <w:pPr>
        <w:autoSpaceDE w:val="0"/>
        <w:autoSpaceDN w:val="0"/>
        <w:adjustRightInd w:val="0"/>
        <w:jc w:val="left"/>
        <w:rPr>
          <w:rFonts w:eastAsiaTheme="minorHAnsi" w:cs="Verdana"/>
          <w:szCs w:val="20"/>
          <w:lang w:val="en-GB"/>
        </w:rPr>
      </w:pPr>
      <w:r w:rsidRPr="00BA61B2">
        <w:rPr>
          <w:rStyle w:val="Refdenotaalpie"/>
          <w:sz w:val="18"/>
          <w:szCs w:val="18"/>
          <w:lang w:val="en-US"/>
        </w:rPr>
        <w:footnoteRef/>
      </w:r>
      <w:r w:rsidRPr="00BA61B2">
        <w:rPr>
          <w:sz w:val="18"/>
          <w:szCs w:val="18"/>
          <w:lang w:val="en-US"/>
        </w:rPr>
        <w:t xml:space="preserve"> </w:t>
      </w:r>
      <w:r w:rsidRPr="00BA61B2">
        <w:rPr>
          <w:rFonts w:cs="Verdana"/>
          <w:bCs/>
          <w:sz w:val="18"/>
          <w:szCs w:val="18"/>
          <w:lang w:val="en-US" w:eastAsia="es-CL"/>
        </w:rPr>
        <w:t>Article 62 of the Rules of the Court: “</w:t>
      </w:r>
      <w:r>
        <w:rPr>
          <w:rFonts w:cs="Verdana"/>
          <w:bCs/>
          <w:i/>
          <w:sz w:val="18"/>
          <w:szCs w:val="18"/>
          <w:lang w:val="en-US" w:eastAsia="es-CL"/>
        </w:rPr>
        <w:t>A</w:t>
      </w:r>
      <w:r w:rsidRPr="00BA61B2">
        <w:rPr>
          <w:rFonts w:cs="Verdana"/>
          <w:bCs/>
          <w:i/>
          <w:sz w:val="18"/>
          <w:szCs w:val="18"/>
          <w:lang w:val="en-US" w:eastAsia="es-CL"/>
        </w:rPr>
        <w:t>c</w:t>
      </w:r>
      <w:r>
        <w:rPr>
          <w:rFonts w:cs="Verdana"/>
          <w:bCs/>
          <w:i/>
          <w:sz w:val="18"/>
          <w:szCs w:val="18"/>
          <w:lang w:val="en-US" w:eastAsia="es-CL"/>
        </w:rPr>
        <w:t>quiescence</w:t>
      </w:r>
      <w:r w:rsidRPr="00BA61B2">
        <w:rPr>
          <w:rFonts w:cs="Verdana"/>
          <w:bCs/>
          <w:i/>
          <w:sz w:val="18"/>
          <w:szCs w:val="18"/>
          <w:lang w:val="en-US" w:eastAsia="es-CL"/>
        </w:rPr>
        <w:t>.</w:t>
      </w:r>
      <w:r w:rsidRPr="00BA61B2">
        <w:rPr>
          <w:i/>
          <w:sz w:val="18"/>
          <w:szCs w:val="18"/>
          <w:lang w:val="en-US"/>
        </w:rPr>
        <w:t xml:space="preserve"> </w:t>
      </w:r>
      <w:r w:rsidRPr="00DB59BA">
        <w:rPr>
          <w:rFonts w:eastAsiaTheme="minorHAnsi" w:cs="Verdana"/>
          <w:i/>
          <w:sz w:val="18"/>
          <w:szCs w:val="18"/>
          <w:lang w:val="en-GB"/>
        </w:rPr>
        <w:t xml:space="preserve">If the respondent informs the Court of its acceptance of the facts or its total or partial acquiescence to the claims stated in the presentation of the case or </w:t>
      </w:r>
      <w:r>
        <w:rPr>
          <w:rFonts w:eastAsiaTheme="minorHAnsi" w:cs="Verdana"/>
          <w:i/>
          <w:sz w:val="18"/>
          <w:szCs w:val="18"/>
          <w:lang w:val="en-GB"/>
        </w:rPr>
        <w:t xml:space="preserve">in </w:t>
      </w:r>
      <w:r w:rsidRPr="00DB59BA">
        <w:rPr>
          <w:rFonts w:eastAsiaTheme="minorHAnsi" w:cs="Verdana"/>
          <w:i/>
          <w:sz w:val="18"/>
          <w:szCs w:val="18"/>
          <w:lang w:val="en-GB"/>
        </w:rPr>
        <w:t>the brief submitted by the alleged victims or their representatives, the Court shall decide, having heard the opinions of all those participating in the proceedings and at the appropriate procedural moment, whether to accept that acquiescence, and shall rule upon its juridical effects</w:t>
      </w:r>
      <w:r w:rsidRPr="00BA61B2">
        <w:rPr>
          <w:rFonts w:cs="Verdana"/>
          <w:sz w:val="18"/>
          <w:szCs w:val="18"/>
          <w:lang w:val="en-US" w:eastAsia="es-CL"/>
        </w:rPr>
        <w:t>.”</w:t>
      </w:r>
    </w:p>
  </w:footnote>
  <w:footnote w:id="218">
    <w:p w14:paraId="1F3AF857" w14:textId="77777777" w:rsidR="00432906" w:rsidRPr="00BA61B2" w:rsidRDefault="00432906" w:rsidP="007B0DE4">
      <w:pPr>
        <w:spacing w:before="120" w:after="120"/>
        <w:rPr>
          <w:sz w:val="18"/>
          <w:szCs w:val="18"/>
          <w:lang w:val="en-US"/>
        </w:rPr>
      </w:pPr>
      <w:r w:rsidRPr="00BA61B2">
        <w:rPr>
          <w:rStyle w:val="Refdenotaalpie"/>
          <w:sz w:val="18"/>
          <w:szCs w:val="18"/>
          <w:lang w:val="en-US"/>
        </w:rPr>
        <w:footnoteRef/>
      </w:r>
      <w:r w:rsidRPr="00BA61B2">
        <w:rPr>
          <w:sz w:val="18"/>
          <w:szCs w:val="18"/>
          <w:vertAlign w:val="superscript"/>
          <w:lang w:val="en-US"/>
        </w:rPr>
        <w:t xml:space="preserve"> </w:t>
      </w:r>
      <w:r w:rsidRPr="00BA61B2">
        <w:rPr>
          <w:sz w:val="18"/>
          <w:szCs w:val="18"/>
          <w:lang w:val="en-US"/>
        </w:rPr>
        <w:t>Paras.</w:t>
      </w:r>
      <w:r>
        <w:rPr>
          <w:sz w:val="18"/>
          <w:szCs w:val="18"/>
          <w:lang w:val="en-US"/>
        </w:rPr>
        <w:t xml:space="preserve"> </w:t>
      </w:r>
      <w:r w:rsidRPr="00BA61B2">
        <w:rPr>
          <w:sz w:val="18"/>
          <w:szCs w:val="18"/>
          <w:lang w:val="en-US"/>
        </w:rPr>
        <w:t>59 and 61.</w:t>
      </w:r>
    </w:p>
  </w:footnote>
  <w:footnote w:id="219">
    <w:p w14:paraId="3455EA83" w14:textId="77777777" w:rsidR="00432906" w:rsidRPr="00BA61B2" w:rsidRDefault="00432906" w:rsidP="007B0DE4">
      <w:pPr>
        <w:spacing w:before="120" w:after="120"/>
        <w:rPr>
          <w:sz w:val="18"/>
          <w:szCs w:val="18"/>
          <w:lang w:val="en-US"/>
        </w:rPr>
      </w:pPr>
      <w:r w:rsidRPr="00BA61B2">
        <w:rPr>
          <w:rStyle w:val="Refdenotaalpie"/>
          <w:sz w:val="18"/>
          <w:szCs w:val="18"/>
          <w:lang w:val="en-US"/>
        </w:rPr>
        <w:footnoteRef/>
      </w:r>
      <w:r w:rsidRPr="00BA61B2">
        <w:rPr>
          <w:sz w:val="18"/>
          <w:szCs w:val="18"/>
          <w:vertAlign w:val="superscript"/>
          <w:lang w:val="en-US"/>
        </w:rPr>
        <w:t xml:space="preserve"> </w:t>
      </w:r>
      <w:r>
        <w:rPr>
          <w:sz w:val="18"/>
          <w:szCs w:val="18"/>
          <w:lang w:val="en-US"/>
        </w:rPr>
        <w:t xml:space="preserve">Paras. 58 and 62, </w:t>
      </w:r>
      <w:r w:rsidRPr="00BA61B2">
        <w:rPr>
          <w:i/>
          <w:sz w:val="18"/>
          <w:szCs w:val="18"/>
          <w:lang w:val="en-US"/>
        </w:rPr>
        <w:t>Advisory Opinion</w:t>
      </w:r>
      <w:r w:rsidRPr="00BA61B2">
        <w:rPr>
          <w:sz w:val="18"/>
          <w:szCs w:val="18"/>
          <w:lang w:val="en-US"/>
        </w:rPr>
        <w:t xml:space="preserve"> </w:t>
      </w:r>
      <w:r w:rsidRPr="00BA61B2">
        <w:rPr>
          <w:i/>
          <w:sz w:val="18"/>
          <w:szCs w:val="18"/>
          <w:lang w:val="en-US"/>
        </w:rPr>
        <w:t>OC-4/84, January</w:t>
      </w:r>
      <w:r>
        <w:rPr>
          <w:i/>
          <w:sz w:val="18"/>
          <w:szCs w:val="18"/>
          <w:lang w:val="en-US"/>
        </w:rPr>
        <w:t xml:space="preserve"> 19,</w:t>
      </w:r>
      <w:r w:rsidRPr="00BA61B2">
        <w:rPr>
          <w:i/>
          <w:sz w:val="18"/>
          <w:szCs w:val="18"/>
          <w:lang w:val="en-US"/>
        </w:rPr>
        <w:t xml:space="preserve"> 1984, Proposed Amendments to the Naturalization Provision of the Constitution of Costa Rica.</w:t>
      </w:r>
    </w:p>
  </w:footnote>
  <w:footnote w:id="220">
    <w:p w14:paraId="5F127350" w14:textId="77777777" w:rsidR="00432906" w:rsidRPr="00BA61B2" w:rsidRDefault="00432906" w:rsidP="007B0DE4">
      <w:pPr>
        <w:pStyle w:val="Textonotapie"/>
        <w:rPr>
          <w:noProof w:val="0"/>
          <w:sz w:val="18"/>
          <w:szCs w:val="18"/>
          <w:lang w:val="en-US"/>
        </w:rPr>
      </w:pPr>
      <w:r w:rsidRPr="00BA61B2">
        <w:rPr>
          <w:rStyle w:val="Refdenotaalpie"/>
          <w:noProof w:val="0"/>
          <w:sz w:val="18"/>
          <w:szCs w:val="18"/>
          <w:lang w:val="en-US"/>
        </w:rPr>
        <w:footnoteRef/>
      </w:r>
      <w:r w:rsidRPr="00BA61B2">
        <w:rPr>
          <w:noProof w:val="0"/>
          <w:sz w:val="18"/>
          <w:szCs w:val="18"/>
          <w:lang w:val="en-US"/>
        </w:rPr>
        <w:t xml:space="preserve"> </w:t>
      </w:r>
      <w:r w:rsidRPr="00BA61B2">
        <w:rPr>
          <w:rFonts w:cs="Tahoma"/>
          <w:b/>
          <w:bCs/>
          <w:i/>
          <w:noProof w:val="0"/>
          <w:sz w:val="18"/>
          <w:szCs w:val="18"/>
          <w:lang w:val="en-US"/>
        </w:rPr>
        <w:t>“</w:t>
      </w:r>
      <w:r w:rsidRPr="00BA61B2">
        <w:rPr>
          <w:rFonts w:cs="Tahoma"/>
          <w:i/>
          <w:noProof w:val="0"/>
          <w:sz w:val="18"/>
          <w:szCs w:val="18"/>
          <w:lang w:val="en-US"/>
        </w:rPr>
        <w:t>1. P</w:t>
      </w:r>
      <w:r w:rsidRPr="00BA61B2">
        <w:rPr>
          <w:i/>
          <w:noProof w:val="0"/>
          <w:color w:val="000000"/>
          <w:sz w:val="18"/>
          <w:szCs w:val="18"/>
          <w:lang w:val="en-US"/>
        </w:rPr>
        <w:t>roposals to amend this Convention may be submitted to the General Assembly for the action it deems appropriate by any State Party directly, and by the Commission or the Court through the Secretary General</w:t>
      </w:r>
      <w:r w:rsidRPr="00BA61B2">
        <w:rPr>
          <w:rFonts w:cs="Tahoma"/>
          <w:i/>
          <w:noProof w:val="0"/>
          <w:sz w:val="18"/>
          <w:szCs w:val="18"/>
          <w:lang w:val="en-US"/>
        </w:rPr>
        <w:t xml:space="preserve">.  2. </w:t>
      </w:r>
      <w:r w:rsidRPr="00BA61B2">
        <w:rPr>
          <w:i/>
          <w:noProof w:val="0"/>
          <w:color w:val="000000"/>
          <w:sz w:val="18"/>
          <w:szCs w:val="18"/>
          <w:lang w:val="en-US"/>
        </w:rPr>
        <w:t>Amendments shall enter into force for the States ratifying them on the date when two-thirds of the States Parties to this Convention have deposited their respective instruments of ratification. With respect to the other States Parties, the amendments shall enter into force on the dates on which they deposit their respective instruments of ratification</w:t>
      </w:r>
      <w:r w:rsidRPr="00BA61B2">
        <w:rPr>
          <w:rFonts w:cs="Tahoma"/>
          <w:i/>
          <w:noProof w:val="0"/>
          <w:sz w:val="18"/>
          <w:szCs w:val="18"/>
          <w:lang w:val="en-US"/>
        </w:rPr>
        <w:t>.”</w:t>
      </w:r>
    </w:p>
  </w:footnote>
  <w:footnote w:id="221">
    <w:p w14:paraId="61DEA817" w14:textId="77777777" w:rsidR="00432906" w:rsidRPr="00BA61B2" w:rsidRDefault="00432906" w:rsidP="007B0DE4">
      <w:pPr>
        <w:pStyle w:val="NormalWeb"/>
        <w:spacing w:before="120" w:beforeAutospacing="0" w:after="120" w:afterAutospacing="0"/>
        <w:ind w:left="75" w:right="75"/>
        <w:jc w:val="both"/>
        <w:rPr>
          <w:rFonts w:ascii="Verdana" w:hAnsi="Verdana" w:cs="Tahoma"/>
          <w:sz w:val="18"/>
          <w:szCs w:val="18"/>
          <w:lang w:val="en-US"/>
        </w:rPr>
      </w:pPr>
      <w:r w:rsidRPr="00BA61B2">
        <w:rPr>
          <w:rStyle w:val="Refdenotaalpie"/>
          <w:rFonts w:ascii="Verdana" w:hAnsi="Verdana"/>
          <w:sz w:val="18"/>
          <w:szCs w:val="18"/>
          <w:lang w:val="en-US"/>
        </w:rPr>
        <w:footnoteRef/>
      </w:r>
      <w:r w:rsidRPr="00BA61B2">
        <w:rPr>
          <w:rFonts w:ascii="Verdana" w:hAnsi="Verdana"/>
          <w:sz w:val="18"/>
          <w:szCs w:val="18"/>
          <w:lang w:val="en-US"/>
        </w:rPr>
        <w:t xml:space="preserve"> </w:t>
      </w:r>
      <w:r w:rsidRPr="00BA61B2">
        <w:rPr>
          <w:rFonts w:ascii="Verdana" w:hAnsi="Verdana" w:cs="Tahoma"/>
          <w:sz w:val="18"/>
          <w:szCs w:val="18"/>
          <w:lang w:val="en-US"/>
        </w:rPr>
        <w:t>“</w:t>
      </w:r>
      <w:r w:rsidRPr="00BA61B2">
        <w:rPr>
          <w:rFonts w:ascii="Verdana" w:hAnsi="Verdana" w:cs="Tahoma"/>
          <w:i/>
          <w:sz w:val="18"/>
          <w:szCs w:val="18"/>
          <w:lang w:val="en-US"/>
        </w:rPr>
        <w:t xml:space="preserve">1. </w:t>
      </w:r>
      <w:r w:rsidRPr="00E110CB">
        <w:rPr>
          <w:rFonts w:ascii="Verdana" w:hAnsi="Verdana"/>
          <w:i/>
          <w:color w:val="000000"/>
          <w:sz w:val="18"/>
          <w:szCs w:val="18"/>
          <w:lang w:val="en-US"/>
        </w:rPr>
        <w:t>In accordance with Article 31, any State Party and the Commission may submit proposed protocols to this Convention for consideration by the States Parties at the General Assembly with a view to gradually including other rights and freedoms within its system of protection</w:t>
      </w:r>
      <w:r w:rsidRPr="00E110CB">
        <w:rPr>
          <w:rFonts w:ascii="Verdana" w:hAnsi="Verdana"/>
          <w:color w:val="000000"/>
          <w:sz w:val="18"/>
          <w:szCs w:val="18"/>
          <w:lang w:val="en-US"/>
        </w:rPr>
        <w:t>.</w:t>
      </w:r>
      <w:r w:rsidRPr="00E110CB">
        <w:rPr>
          <w:rFonts w:ascii="Verdana" w:hAnsi="Verdana" w:cs="Tahoma"/>
          <w:i/>
          <w:sz w:val="18"/>
          <w:szCs w:val="18"/>
          <w:lang w:val="en-US"/>
        </w:rPr>
        <w:t xml:space="preserve"> </w:t>
      </w:r>
      <w:r w:rsidRPr="00E110CB">
        <w:rPr>
          <w:rFonts w:ascii="Verdana" w:hAnsi="Verdana"/>
          <w:i/>
          <w:sz w:val="18"/>
          <w:szCs w:val="18"/>
          <w:lang w:val="en-US"/>
        </w:rPr>
        <w:t xml:space="preserve"> </w:t>
      </w:r>
      <w:r w:rsidRPr="00E110CB">
        <w:rPr>
          <w:rFonts w:ascii="Verdana" w:hAnsi="Verdana" w:cs="Tahoma"/>
          <w:i/>
          <w:sz w:val="18"/>
          <w:szCs w:val="18"/>
          <w:lang w:val="en-US"/>
        </w:rPr>
        <w:t xml:space="preserve">2. </w:t>
      </w:r>
      <w:r w:rsidRPr="00E110CB">
        <w:rPr>
          <w:rFonts w:ascii="Verdana" w:hAnsi="Verdana"/>
          <w:i/>
          <w:color w:val="000000"/>
          <w:sz w:val="18"/>
          <w:szCs w:val="18"/>
          <w:lang w:val="en-US"/>
        </w:rPr>
        <w:t>Each protocol shall determine the manner of its entry into force and shall be applied only among the States Parties to it</w:t>
      </w:r>
      <w:r w:rsidRPr="00BA61B2">
        <w:rPr>
          <w:rFonts w:ascii="Verdana" w:hAnsi="Verdana" w:cs="Tahoma"/>
          <w:sz w:val="18"/>
          <w:szCs w:val="18"/>
          <w:lang w:val="en-US"/>
        </w:rPr>
        <w:t xml:space="preserve">.” </w:t>
      </w:r>
    </w:p>
    <w:p w14:paraId="35E36701" w14:textId="77777777" w:rsidR="00432906" w:rsidRPr="00BA61B2" w:rsidRDefault="00432906" w:rsidP="007B0DE4">
      <w:pPr>
        <w:pStyle w:val="NormalWeb"/>
        <w:spacing w:before="120" w:beforeAutospacing="0" w:after="120" w:afterAutospacing="0"/>
        <w:ind w:left="75" w:right="75"/>
        <w:jc w:val="both"/>
        <w:rPr>
          <w:rFonts w:ascii="Verdana" w:hAnsi="Verdana"/>
          <w:i/>
          <w:sz w:val="18"/>
          <w:szCs w:val="18"/>
          <w:lang w:val="en-US"/>
        </w:rPr>
      </w:pPr>
    </w:p>
  </w:footnote>
  <w:footnote w:id="222">
    <w:p w14:paraId="6FF3535F" w14:textId="77777777" w:rsidR="00432906" w:rsidRPr="00BA61B2" w:rsidRDefault="00432906" w:rsidP="007B0DE4">
      <w:pPr>
        <w:spacing w:before="120" w:after="120"/>
        <w:rPr>
          <w:sz w:val="18"/>
          <w:szCs w:val="18"/>
          <w:lang w:val="en-US"/>
        </w:rPr>
      </w:pPr>
      <w:r w:rsidRPr="00BA61B2">
        <w:rPr>
          <w:rStyle w:val="Refdenotaalpie"/>
          <w:sz w:val="18"/>
          <w:szCs w:val="18"/>
          <w:lang w:val="en-US"/>
        </w:rPr>
        <w:footnoteRef/>
      </w:r>
      <w:r w:rsidRPr="00BA61B2">
        <w:rPr>
          <w:sz w:val="18"/>
          <w:szCs w:val="18"/>
          <w:vertAlign w:val="superscript"/>
          <w:lang w:val="en-US"/>
        </w:rPr>
        <w:t xml:space="preserve"> </w:t>
      </w:r>
      <w:r w:rsidRPr="00BA61B2">
        <w:rPr>
          <w:rFonts w:cs="Tahoma"/>
          <w:sz w:val="18"/>
          <w:szCs w:val="18"/>
          <w:lang w:val="en-US"/>
        </w:rPr>
        <w:t>Arts.</w:t>
      </w:r>
      <w:r>
        <w:rPr>
          <w:rFonts w:cs="Tahoma"/>
          <w:sz w:val="18"/>
          <w:szCs w:val="18"/>
          <w:lang w:val="en-US"/>
        </w:rPr>
        <w:t xml:space="preserve"> </w:t>
      </w:r>
      <w:r w:rsidRPr="00BA61B2">
        <w:rPr>
          <w:rFonts w:cs="Tahoma"/>
          <w:sz w:val="18"/>
          <w:szCs w:val="18"/>
          <w:lang w:val="en-US"/>
        </w:rPr>
        <w:t>31, 76 and 77, previously cited.</w:t>
      </w:r>
    </w:p>
  </w:footnote>
  <w:footnote w:id="223">
    <w:p w14:paraId="64D264B0" w14:textId="77777777" w:rsidR="00432906" w:rsidRPr="00BA61B2" w:rsidRDefault="00432906" w:rsidP="007B0DE4">
      <w:pPr>
        <w:spacing w:before="120" w:after="120"/>
        <w:rPr>
          <w:sz w:val="18"/>
          <w:szCs w:val="18"/>
          <w:lang w:val="en-US"/>
        </w:rPr>
      </w:pPr>
      <w:r w:rsidRPr="00BA61B2">
        <w:rPr>
          <w:rStyle w:val="Refdenotaalpie"/>
          <w:sz w:val="18"/>
          <w:szCs w:val="18"/>
          <w:lang w:val="en-US"/>
        </w:rPr>
        <w:footnoteRef/>
      </w:r>
      <w:r w:rsidRPr="00BA61B2">
        <w:rPr>
          <w:sz w:val="18"/>
          <w:szCs w:val="18"/>
          <w:vertAlign w:val="superscript"/>
          <w:lang w:val="en-US"/>
        </w:rPr>
        <w:t xml:space="preserve"> </w:t>
      </w:r>
      <w:r w:rsidRPr="00BA61B2">
        <w:rPr>
          <w:sz w:val="18"/>
          <w:szCs w:val="18"/>
          <w:lang w:val="en-US"/>
        </w:rPr>
        <w:t>Para. 125</w:t>
      </w:r>
    </w:p>
  </w:footnote>
  <w:footnote w:id="224">
    <w:p w14:paraId="766D9378" w14:textId="77777777" w:rsidR="00432906" w:rsidRPr="00BA61B2" w:rsidRDefault="00432906" w:rsidP="007B0DE4">
      <w:pPr>
        <w:spacing w:before="120" w:after="120"/>
        <w:rPr>
          <w:sz w:val="18"/>
          <w:szCs w:val="18"/>
          <w:lang w:val="en-US"/>
        </w:rPr>
      </w:pPr>
      <w:r w:rsidRPr="00BA61B2">
        <w:rPr>
          <w:rStyle w:val="Refdenotaalpie"/>
          <w:sz w:val="18"/>
          <w:szCs w:val="18"/>
          <w:lang w:val="en-US"/>
        </w:rPr>
        <w:footnoteRef/>
      </w:r>
      <w:r w:rsidRPr="00BA61B2">
        <w:rPr>
          <w:sz w:val="18"/>
          <w:szCs w:val="18"/>
          <w:vertAlign w:val="superscript"/>
          <w:lang w:val="en-US"/>
        </w:rPr>
        <w:t xml:space="preserve"> </w:t>
      </w:r>
      <w:r w:rsidRPr="00BA61B2">
        <w:rPr>
          <w:sz w:val="18"/>
          <w:szCs w:val="18"/>
          <w:lang w:val="en-US"/>
        </w:rPr>
        <w:t>“</w:t>
      </w:r>
      <w:r>
        <w:rPr>
          <w:i/>
          <w:sz w:val="18"/>
          <w:szCs w:val="18"/>
          <w:lang w:val="en-US"/>
        </w:rPr>
        <w:t xml:space="preserve">Any </w:t>
      </w:r>
      <w:r w:rsidRPr="00BA61B2">
        <w:rPr>
          <w:i/>
          <w:sz w:val="18"/>
          <w:szCs w:val="18"/>
          <w:lang w:val="en-US"/>
        </w:rPr>
        <w:t xml:space="preserve">distinction, exclusion, restriction or preference which is based on any ground such as race, colour, sex, language, religion, political or other opinion, national or social origin, property, birth or other status, and which has the purpose or effect of nullifying or impairing the recognition, enjoyment or exercise by all persons, on an equal footing, of </w:t>
      </w:r>
      <w:r>
        <w:rPr>
          <w:i/>
          <w:sz w:val="18"/>
          <w:szCs w:val="18"/>
          <w:lang w:val="en-US"/>
        </w:rPr>
        <w:t xml:space="preserve">human </w:t>
      </w:r>
      <w:r w:rsidRPr="00BA61B2">
        <w:rPr>
          <w:i/>
          <w:sz w:val="18"/>
          <w:szCs w:val="18"/>
          <w:lang w:val="en-US"/>
        </w:rPr>
        <w:t>rights and f</w:t>
      </w:r>
      <w:r>
        <w:rPr>
          <w:i/>
          <w:sz w:val="18"/>
          <w:szCs w:val="18"/>
          <w:lang w:val="en-US"/>
        </w:rPr>
        <w:t>undamental f</w:t>
      </w:r>
      <w:r w:rsidRPr="00BA61B2">
        <w:rPr>
          <w:i/>
          <w:sz w:val="18"/>
          <w:szCs w:val="18"/>
          <w:lang w:val="en-US"/>
        </w:rPr>
        <w:t>reedoms.</w:t>
      </w:r>
      <w:r w:rsidRPr="00BA61B2">
        <w:rPr>
          <w:sz w:val="18"/>
          <w:szCs w:val="18"/>
          <w:lang w:val="en-US"/>
        </w:rPr>
        <w:t>” Para. 90.</w:t>
      </w:r>
    </w:p>
  </w:footnote>
  <w:footnote w:id="225">
    <w:p w14:paraId="64BF5322" w14:textId="77777777" w:rsidR="00432906" w:rsidRPr="00BA61B2" w:rsidRDefault="00432906" w:rsidP="007B0DE4">
      <w:pPr>
        <w:spacing w:before="120" w:after="120"/>
        <w:rPr>
          <w:i/>
          <w:sz w:val="18"/>
          <w:szCs w:val="18"/>
          <w:lang w:val="en-US"/>
        </w:rPr>
      </w:pPr>
      <w:r w:rsidRPr="00BA61B2">
        <w:rPr>
          <w:rStyle w:val="Refdenotaalpie"/>
          <w:sz w:val="18"/>
          <w:szCs w:val="18"/>
          <w:lang w:val="en-US"/>
        </w:rPr>
        <w:footnoteRef/>
      </w:r>
      <w:r w:rsidRPr="00BA61B2">
        <w:rPr>
          <w:sz w:val="18"/>
          <w:szCs w:val="18"/>
          <w:vertAlign w:val="superscript"/>
          <w:lang w:val="en-US"/>
        </w:rPr>
        <w:t xml:space="preserve"> </w:t>
      </w:r>
      <w:r w:rsidRPr="00BA61B2">
        <w:rPr>
          <w:rFonts w:cs="Tahoma"/>
          <w:bCs/>
          <w:sz w:val="18"/>
          <w:szCs w:val="18"/>
          <w:lang w:val="en-US"/>
        </w:rPr>
        <w:t>Article 19 of the Convention: “</w:t>
      </w:r>
      <w:r w:rsidRPr="00BA61B2">
        <w:rPr>
          <w:rFonts w:cs="Tahoma"/>
          <w:bCs/>
          <w:i/>
          <w:sz w:val="18"/>
          <w:szCs w:val="18"/>
          <w:lang w:val="en-US"/>
        </w:rPr>
        <w:t xml:space="preserve">Rights of the Child. </w:t>
      </w:r>
      <w:r w:rsidRPr="00BA61B2">
        <w:rPr>
          <w:i/>
          <w:color w:val="000000"/>
          <w:sz w:val="18"/>
          <w:szCs w:val="18"/>
          <w:lang w:val="en-US"/>
        </w:rPr>
        <w:t>Every minor child has the right to the measures of protection required by his condition as a minor on the part of his family, society, and the State</w:t>
      </w:r>
      <w:r w:rsidRPr="00BA61B2">
        <w:rPr>
          <w:rFonts w:cs="Tahoma"/>
          <w:i/>
          <w:sz w:val="18"/>
          <w:szCs w:val="18"/>
          <w:lang w:val="en-US"/>
        </w:rPr>
        <w:t xml:space="preserve">.” </w:t>
      </w:r>
    </w:p>
  </w:footnote>
  <w:footnote w:id="226">
    <w:p w14:paraId="1AE538F6" w14:textId="77777777" w:rsidR="00432906" w:rsidRPr="00BA61B2" w:rsidRDefault="00432906" w:rsidP="007B0DE4">
      <w:pPr>
        <w:spacing w:before="120" w:after="120"/>
        <w:rPr>
          <w:sz w:val="18"/>
          <w:szCs w:val="18"/>
          <w:lang w:val="en-US"/>
        </w:rPr>
      </w:pPr>
      <w:r w:rsidRPr="00BA61B2">
        <w:rPr>
          <w:rStyle w:val="Refdenotaalpie"/>
          <w:sz w:val="18"/>
          <w:szCs w:val="18"/>
          <w:lang w:val="en-US"/>
        </w:rPr>
        <w:footnoteRef/>
      </w:r>
      <w:r w:rsidRPr="00BA61B2">
        <w:rPr>
          <w:sz w:val="18"/>
          <w:szCs w:val="18"/>
          <w:vertAlign w:val="superscript"/>
          <w:lang w:val="en-US"/>
        </w:rPr>
        <w:t xml:space="preserve"> </w:t>
      </w:r>
      <w:r w:rsidRPr="00BA61B2">
        <w:rPr>
          <w:rFonts w:cs="Tahoma"/>
          <w:sz w:val="18"/>
          <w:szCs w:val="18"/>
          <w:vertAlign w:val="superscript"/>
          <w:lang w:val="en-US"/>
        </w:rPr>
        <w:t> </w:t>
      </w:r>
      <w:r w:rsidRPr="00BA61B2">
        <w:rPr>
          <w:rFonts w:cs="Tahoma"/>
          <w:sz w:val="18"/>
          <w:szCs w:val="18"/>
          <w:lang w:val="en-US"/>
        </w:rPr>
        <w:t>Article 4(5) of the Convention: “</w:t>
      </w:r>
      <w:r w:rsidRPr="00BA61B2">
        <w:rPr>
          <w:i/>
          <w:color w:val="000000"/>
          <w:sz w:val="18"/>
          <w:szCs w:val="18"/>
          <w:lang w:val="en-US"/>
        </w:rPr>
        <w:t>Capital punishment shall not be imposed upon persons who, at the time the crime was committed, were under 18 years of age or over 70 years of age; nor shall it be applied to pregnant women</w:t>
      </w:r>
      <w:r w:rsidRPr="00BA61B2">
        <w:rPr>
          <w:rFonts w:cs="Tahoma"/>
          <w:sz w:val="18"/>
          <w:szCs w:val="18"/>
          <w:lang w:val="en-US"/>
        </w:rPr>
        <w:t xml:space="preserve">.” </w:t>
      </w:r>
    </w:p>
  </w:footnote>
  <w:footnote w:id="227">
    <w:p w14:paraId="66C707A3" w14:textId="77777777" w:rsidR="00432906" w:rsidRPr="00BA61B2" w:rsidRDefault="00432906" w:rsidP="007B0DE4">
      <w:pPr>
        <w:spacing w:before="120" w:after="120"/>
        <w:rPr>
          <w:sz w:val="18"/>
          <w:szCs w:val="18"/>
          <w:highlight w:val="yellow"/>
          <w:lang w:val="en-US"/>
        </w:rPr>
      </w:pPr>
      <w:r w:rsidRPr="00BA61B2">
        <w:rPr>
          <w:rStyle w:val="Refdenotaalpie"/>
          <w:sz w:val="18"/>
          <w:szCs w:val="18"/>
          <w:lang w:val="en-US"/>
        </w:rPr>
        <w:footnoteRef/>
      </w:r>
      <w:r w:rsidRPr="00BA61B2">
        <w:rPr>
          <w:sz w:val="18"/>
          <w:szCs w:val="18"/>
          <w:vertAlign w:val="superscript"/>
          <w:lang w:val="en-US"/>
        </w:rPr>
        <w:t xml:space="preserve"> </w:t>
      </w:r>
      <w:r w:rsidRPr="00BA61B2">
        <w:rPr>
          <w:sz w:val="18"/>
          <w:szCs w:val="18"/>
          <w:lang w:val="en-US"/>
        </w:rPr>
        <w:t xml:space="preserve">OC-4/84 </w:t>
      </w:r>
      <w:r w:rsidRPr="00BA61B2">
        <w:rPr>
          <w:i/>
          <w:sz w:val="18"/>
          <w:szCs w:val="18"/>
          <w:lang w:val="en-US"/>
        </w:rPr>
        <w:t>cit</w:t>
      </w:r>
      <w:r w:rsidRPr="00BA61B2">
        <w:rPr>
          <w:sz w:val="18"/>
          <w:szCs w:val="18"/>
          <w:lang w:val="en-US"/>
        </w:rPr>
        <w:t>. para. 56.</w:t>
      </w:r>
    </w:p>
  </w:footnote>
  <w:footnote w:id="228">
    <w:p w14:paraId="7C7CE2FC" w14:textId="77777777" w:rsidR="00432906" w:rsidRPr="00BA61B2" w:rsidRDefault="00432906" w:rsidP="007B0DE4">
      <w:pPr>
        <w:spacing w:before="120" w:after="120"/>
        <w:rPr>
          <w:sz w:val="18"/>
          <w:szCs w:val="18"/>
          <w:lang w:val="en-US"/>
        </w:rPr>
      </w:pPr>
      <w:r w:rsidRPr="00BA61B2">
        <w:rPr>
          <w:rStyle w:val="Refdenotaalpie"/>
          <w:sz w:val="18"/>
          <w:szCs w:val="18"/>
          <w:lang w:val="en-US"/>
        </w:rPr>
        <w:footnoteRef/>
      </w:r>
      <w:r w:rsidRPr="00BA61B2">
        <w:rPr>
          <w:sz w:val="18"/>
          <w:szCs w:val="18"/>
          <w:vertAlign w:val="superscript"/>
          <w:lang w:val="en-US"/>
        </w:rPr>
        <w:t xml:space="preserve"> </w:t>
      </w:r>
      <w:r w:rsidRPr="00BA61B2">
        <w:rPr>
          <w:i/>
          <w:sz w:val="18"/>
          <w:szCs w:val="18"/>
          <w:lang w:val="en-US"/>
        </w:rPr>
        <w:t>Idem</w:t>
      </w:r>
      <w:r w:rsidRPr="00BA61B2">
        <w:rPr>
          <w:sz w:val="18"/>
          <w:szCs w:val="18"/>
          <w:lang w:val="en-US"/>
        </w:rPr>
        <w:t>, para. 57.</w:t>
      </w:r>
    </w:p>
  </w:footnote>
  <w:footnote w:id="229">
    <w:p w14:paraId="5E1CD787" w14:textId="77777777" w:rsidR="00432906" w:rsidRPr="00BA61B2" w:rsidRDefault="00432906" w:rsidP="007B0DE4">
      <w:pPr>
        <w:spacing w:before="120" w:after="120"/>
        <w:rPr>
          <w:sz w:val="18"/>
          <w:szCs w:val="18"/>
          <w:lang w:val="en-US"/>
        </w:rPr>
      </w:pPr>
      <w:r w:rsidRPr="00BA61B2">
        <w:rPr>
          <w:rStyle w:val="Refdenotaalpie"/>
          <w:sz w:val="18"/>
          <w:szCs w:val="18"/>
          <w:lang w:val="en-US"/>
        </w:rPr>
        <w:footnoteRef/>
      </w:r>
      <w:r w:rsidRPr="00BA61B2">
        <w:rPr>
          <w:sz w:val="18"/>
          <w:szCs w:val="18"/>
          <w:lang w:val="en-US"/>
        </w:rPr>
        <w:t xml:space="preserve"> Para. 108.</w:t>
      </w:r>
    </w:p>
  </w:footnote>
  <w:footnote w:id="230">
    <w:p w14:paraId="13854B29" w14:textId="77777777" w:rsidR="00432906" w:rsidRPr="00BA61B2" w:rsidRDefault="00432906" w:rsidP="007B0DE4">
      <w:pPr>
        <w:spacing w:before="120" w:after="120"/>
        <w:rPr>
          <w:sz w:val="18"/>
          <w:szCs w:val="18"/>
          <w:lang w:val="en-US"/>
        </w:rPr>
      </w:pPr>
      <w:r w:rsidRPr="00BA61B2">
        <w:rPr>
          <w:rStyle w:val="Refdenotaalpie"/>
          <w:sz w:val="18"/>
          <w:szCs w:val="18"/>
          <w:lang w:val="en-US"/>
        </w:rPr>
        <w:footnoteRef/>
      </w:r>
      <w:r w:rsidRPr="00BA61B2">
        <w:rPr>
          <w:sz w:val="18"/>
          <w:szCs w:val="18"/>
          <w:vertAlign w:val="superscript"/>
          <w:lang w:val="en-US"/>
        </w:rPr>
        <w:t xml:space="preserve"> </w:t>
      </w:r>
      <w:r w:rsidRPr="00BA61B2">
        <w:rPr>
          <w:sz w:val="18"/>
          <w:szCs w:val="18"/>
          <w:lang w:val="en-US"/>
        </w:rPr>
        <w:t>Para.128.</w:t>
      </w:r>
    </w:p>
  </w:footnote>
  <w:footnote w:id="231">
    <w:p w14:paraId="7BA113B2" w14:textId="77777777" w:rsidR="00432906" w:rsidRPr="00BA61B2" w:rsidRDefault="00432906" w:rsidP="007B0DE4">
      <w:pPr>
        <w:spacing w:before="120" w:after="120"/>
        <w:rPr>
          <w:sz w:val="18"/>
          <w:szCs w:val="18"/>
          <w:lang w:val="en-US"/>
        </w:rPr>
      </w:pPr>
      <w:r w:rsidRPr="00BA61B2">
        <w:rPr>
          <w:rStyle w:val="Refdenotaalpie"/>
          <w:sz w:val="18"/>
          <w:szCs w:val="18"/>
          <w:lang w:val="en-US"/>
        </w:rPr>
        <w:footnoteRef/>
      </w:r>
      <w:r w:rsidRPr="00BA61B2">
        <w:rPr>
          <w:sz w:val="18"/>
          <w:szCs w:val="18"/>
          <w:vertAlign w:val="superscript"/>
          <w:lang w:val="en-US"/>
        </w:rPr>
        <w:t xml:space="preserve"> </w:t>
      </w:r>
      <w:r w:rsidRPr="00BA61B2">
        <w:rPr>
          <w:rFonts w:cs="Tahoma"/>
          <w:sz w:val="18"/>
          <w:szCs w:val="18"/>
          <w:lang w:val="en-US"/>
        </w:rPr>
        <w:t>“</w:t>
      </w:r>
      <w:r w:rsidRPr="00BA61B2">
        <w:rPr>
          <w:i/>
          <w:color w:val="000000"/>
          <w:sz w:val="18"/>
          <w:szCs w:val="18"/>
          <w:lang w:val="en-US"/>
        </w:rPr>
        <w:t>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r w:rsidRPr="00BA61B2">
        <w:rPr>
          <w:rFonts w:cs="Tahoma"/>
          <w:sz w:val="18"/>
          <w:szCs w:val="18"/>
          <w:lang w:val="en-US"/>
        </w:rPr>
        <w:t>.”</w:t>
      </w:r>
    </w:p>
  </w:footnote>
  <w:footnote w:id="232">
    <w:p w14:paraId="6D7D8F85" w14:textId="77777777" w:rsidR="00432906" w:rsidRPr="00BA61B2" w:rsidRDefault="00432906" w:rsidP="007B0DE4">
      <w:pPr>
        <w:spacing w:before="120" w:after="120"/>
        <w:rPr>
          <w:bCs/>
          <w:sz w:val="18"/>
          <w:szCs w:val="18"/>
          <w:lang w:val="en-US"/>
        </w:rPr>
      </w:pPr>
      <w:r w:rsidRPr="00BA61B2">
        <w:rPr>
          <w:rStyle w:val="Refdenotaalpie"/>
          <w:sz w:val="18"/>
          <w:szCs w:val="18"/>
          <w:lang w:val="en-US"/>
        </w:rPr>
        <w:footnoteRef/>
      </w:r>
      <w:r w:rsidRPr="00BA61B2">
        <w:rPr>
          <w:sz w:val="18"/>
          <w:szCs w:val="18"/>
          <w:lang w:val="en-US"/>
        </w:rPr>
        <w:t xml:space="preserve"> Para. 93 and </w:t>
      </w:r>
      <w:r w:rsidRPr="00BA61B2">
        <w:rPr>
          <w:bCs/>
          <w:sz w:val="18"/>
          <w:szCs w:val="18"/>
          <w:lang w:val="en-US"/>
        </w:rPr>
        <w:t>Advisory Opinion OC-4/84, cited para. 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44BAC" w14:textId="77777777" w:rsidR="00432906" w:rsidRDefault="00432906">
    <w:pPr>
      <w:pStyle w:val="Encabezado"/>
      <w:jc w:val="center"/>
    </w:pPr>
  </w:p>
  <w:p w14:paraId="5E27BE0E" w14:textId="77777777" w:rsidR="00432906" w:rsidRDefault="0043290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49E63" w14:textId="77777777" w:rsidR="00432906" w:rsidRPr="00016A94" w:rsidRDefault="00432906" w:rsidP="009D2425">
    <w:pPr>
      <w:pStyle w:val="Encabezado"/>
      <w:jc w:val="right"/>
      <w:rPr>
        <w:sz w:val="14"/>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61CFA"/>
    <w:multiLevelType w:val="hybridMultilevel"/>
    <w:tmpl w:val="A5BCBD62"/>
    <w:lvl w:ilvl="0" w:tplc="783ABA1C">
      <w:start w:val="1"/>
      <w:numFmt w:val="upperLetter"/>
      <w:lvlText w:val="%1."/>
      <w:lvlJc w:val="left"/>
      <w:pPr>
        <w:ind w:left="5400" w:hanging="360"/>
      </w:pPr>
      <w:rPr>
        <w:rFonts w:hint="default"/>
        <w:b/>
        <w:i/>
      </w:rPr>
    </w:lvl>
    <w:lvl w:ilvl="1" w:tplc="140A0019">
      <w:start w:val="1"/>
      <w:numFmt w:val="lowerLetter"/>
      <w:lvlText w:val="%2."/>
      <w:lvlJc w:val="left"/>
      <w:pPr>
        <w:ind w:left="6120" w:hanging="360"/>
      </w:pPr>
    </w:lvl>
    <w:lvl w:ilvl="2" w:tplc="140A001B" w:tentative="1">
      <w:start w:val="1"/>
      <w:numFmt w:val="lowerRoman"/>
      <w:lvlText w:val="%3."/>
      <w:lvlJc w:val="right"/>
      <w:pPr>
        <w:ind w:left="6840" w:hanging="180"/>
      </w:pPr>
    </w:lvl>
    <w:lvl w:ilvl="3" w:tplc="140A000F" w:tentative="1">
      <w:start w:val="1"/>
      <w:numFmt w:val="decimal"/>
      <w:lvlText w:val="%4."/>
      <w:lvlJc w:val="left"/>
      <w:pPr>
        <w:ind w:left="7560" w:hanging="360"/>
      </w:pPr>
    </w:lvl>
    <w:lvl w:ilvl="4" w:tplc="140A0019" w:tentative="1">
      <w:start w:val="1"/>
      <w:numFmt w:val="lowerLetter"/>
      <w:lvlText w:val="%5."/>
      <w:lvlJc w:val="left"/>
      <w:pPr>
        <w:ind w:left="8280" w:hanging="360"/>
      </w:pPr>
    </w:lvl>
    <w:lvl w:ilvl="5" w:tplc="140A001B" w:tentative="1">
      <w:start w:val="1"/>
      <w:numFmt w:val="lowerRoman"/>
      <w:lvlText w:val="%6."/>
      <w:lvlJc w:val="right"/>
      <w:pPr>
        <w:ind w:left="9000" w:hanging="180"/>
      </w:pPr>
    </w:lvl>
    <w:lvl w:ilvl="6" w:tplc="140A000F" w:tentative="1">
      <w:start w:val="1"/>
      <w:numFmt w:val="decimal"/>
      <w:lvlText w:val="%7."/>
      <w:lvlJc w:val="left"/>
      <w:pPr>
        <w:ind w:left="9720" w:hanging="360"/>
      </w:pPr>
    </w:lvl>
    <w:lvl w:ilvl="7" w:tplc="140A0019" w:tentative="1">
      <w:start w:val="1"/>
      <w:numFmt w:val="lowerLetter"/>
      <w:lvlText w:val="%8."/>
      <w:lvlJc w:val="left"/>
      <w:pPr>
        <w:ind w:left="10440" w:hanging="360"/>
      </w:pPr>
    </w:lvl>
    <w:lvl w:ilvl="8" w:tplc="140A001B" w:tentative="1">
      <w:start w:val="1"/>
      <w:numFmt w:val="lowerRoman"/>
      <w:lvlText w:val="%9."/>
      <w:lvlJc w:val="right"/>
      <w:pPr>
        <w:ind w:left="11160" w:hanging="180"/>
      </w:pPr>
    </w:lvl>
  </w:abstractNum>
  <w:abstractNum w:abstractNumId="1" w15:restartNumberingAfterBreak="0">
    <w:nsid w:val="1368365B"/>
    <w:multiLevelType w:val="hybridMultilevel"/>
    <w:tmpl w:val="47A26680"/>
    <w:lvl w:ilvl="0" w:tplc="B75CF160">
      <w:start w:val="1"/>
      <w:numFmt w:val="lowerLetter"/>
      <w:pStyle w:val="Ttulo5"/>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75D0A44"/>
    <w:multiLevelType w:val="hybridMultilevel"/>
    <w:tmpl w:val="2294D18E"/>
    <w:lvl w:ilvl="0" w:tplc="996A088A">
      <w:start w:val="1"/>
      <w:numFmt w:val="bullet"/>
      <w:lvlText w:val=""/>
      <w:lvlJc w:val="left"/>
      <w:pPr>
        <w:ind w:left="1077" w:hanging="360"/>
      </w:pPr>
      <w:rPr>
        <w:rFonts w:ascii="Symbol" w:hAnsi="Symbol" w:hint="default"/>
      </w:rPr>
    </w:lvl>
    <w:lvl w:ilvl="1" w:tplc="2C0A0019" w:tentative="1">
      <w:start w:val="1"/>
      <w:numFmt w:val="bullet"/>
      <w:lvlText w:val="o"/>
      <w:lvlJc w:val="left"/>
      <w:pPr>
        <w:ind w:left="1797" w:hanging="360"/>
      </w:pPr>
      <w:rPr>
        <w:rFonts w:ascii="Courier New" w:hAnsi="Courier New" w:cs="MS Mincho" w:hint="default"/>
      </w:rPr>
    </w:lvl>
    <w:lvl w:ilvl="2" w:tplc="4202A1AC" w:tentative="1">
      <w:start w:val="1"/>
      <w:numFmt w:val="bullet"/>
      <w:lvlText w:val=""/>
      <w:lvlJc w:val="left"/>
      <w:pPr>
        <w:ind w:left="2517" w:hanging="360"/>
      </w:pPr>
      <w:rPr>
        <w:rFonts w:ascii="Wingdings" w:hAnsi="Wingdings" w:hint="default"/>
      </w:rPr>
    </w:lvl>
    <w:lvl w:ilvl="3" w:tplc="3F0893E6" w:tentative="1">
      <w:start w:val="1"/>
      <w:numFmt w:val="bullet"/>
      <w:lvlText w:val=""/>
      <w:lvlJc w:val="left"/>
      <w:pPr>
        <w:ind w:left="3237" w:hanging="360"/>
      </w:pPr>
      <w:rPr>
        <w:rFonts w:ascii="Symbol" w:hAnsi="Symbol" w:hint="default"/>
      </w:rPr>
    </w:lvl>
    <w:lvl w:ilvl="4" w:tplc="E7BA4BB6" w:tentative="1">
      <w:start w:val="1"/>
      <w:numFmt w:val="bullet"/>
      <w:lvlText w:val="o"/>
      <w:lvlJc w:val="left"/>
      <w:pPr>
        <w:ind w:left="3957" w:hanging="360"/>
      </w:pPr>
      <w:rPr>
        <w:rFonts w:ascii="Courier New" w:hAnsi="Courier New" w:cs="MS Mincho" w:hint="default"/>
      </w:rPr>
    </w:lvl>
    <w:lvl w:ilvl="5" w:tplc="2C0A001B" w:tentative="1">
      <w:start w:val="1"/>
      <w:numFmt w:val="bullet"/>
      <w:lvlText w:val=""/>
      <w:lvlJc w:val="left"/>
      <w:pPr>
        <w:ind w:left="4677" w:hanging="360"/>
      </w:pPr>
      <w:rPr>
        <w:rFonts w:ascii="Wingdings" w:hAnsi="Wingdings" w:hint="default"/>
      </w:rPr>
    </w:lvl>
    <w:lvl w:ilvl="6" w:tplc="2C0A000F" w:tentative="1">
      <w:start w:val="1"/>
      <w:numFmt w:val="bullet"/>
      <w:lvlText w:val=""/>
      <w:lvlJc w:val="left"/>
      <w:pPr>
        <w:ind w:left="5397" w:hanging="360"/>
      </w:pPr>
      <w:rPr>
        <w:rFonts w:ascii="Symbol" w:hAnsi="Symbol" w:hint="default"/>
      </w:rPr>
    </w:lvl>
    <w:lvl w:ilvl="7" w:tplc="2C0A0019" w:tentative="1">
      <w:start w:val="1"/>
      <w:numFmt w:val="bullet"/>
      <w:lvlText w:val="o"/>
      <w:lvlJc w:val="left"/>
      <w:pPr>
        <w:ind w:left="6117" w:hanging="360"/>
      </w:pPr>
      <w:rPr>
        <w:rFonts w:ascii="Courier New" w:hAnsi="Courier New" w:cs="MS Mincho" w:hint="default"/>
      </w:rPr>
    </w:lvl>
    <w:lvl w:ilvl="8" w:tplc="2C0A001B" w:tentative="1">
      <w:start w:val="1"/>
      <w:numFmt w:val="bullet"/>
      <w:lvlText w:val=""/>
      <w:lvlJc w:val="left"/>
      <w:pPr>
        <w:ind w:left="6837" w:hanging="360"/>
      </w:pPr>
      <w:rPr>
        <w:rFonts w:ascii="Wingdings" w:hAnsi="Wingdings" w:hint="default"/>
      </w:rPr>
    </w:lvl>
  </w:abstractNum>
  <w:abstractNum w:abstractNumId="3" w15:restartNumberingAfterBreak="0">
    <w:nsid w:val="284F0621"/>
    <w:multiLevelType w:val="hybridMultilevel"/>
    <w:tmpl w:val="C3DAFA46"/>
    <w:lvl w:ilvl="0" w:tplc="F5487994">
      <w:start w:val="1"/>
      <w:numFmt w:val="upperLetter"/>
      <w:pStyle w:val="Ttulo2"/>
      <w:lvlText w:val="%1."/>
      <w:lvlJc w:val="left"/>
      <w:pPr>
        <w:ind w:left="720" w:hanging="360"/>
      </w:pPr>
      <w:rPr>
        <w:rFonts w:ascii="Verdana" w:hAnsi="Verdana" w:hint="default"/>
        <w:b/>
        <w:i/>
        <w:strike w:val="0"/>
        <w:color w:val="auto"/>
        <w:sz w:val="20"/>
      </w:rPr>
    </w:lvl>
    <w:lvl w:ilvl="1" w:tplc="2C0A0019" w:tentative="1">
      <w:start w:val="1"/>
      <w:numFmt w:val="lowerLetter"/>
      <w:lvlText w:val="%2."/>
      <w:lvlJc w:val="left"/>
      <w:pPr>
        <w:ind w:left="1440" w:hanging="360"/>
      </w:pPr>
    </w:lvl>
    <w:lvl w:ilvl="2" w:tplc="4202A1AC" w:tentative="1">
      <w:start w:val="1"/>
      <w:numFmt w:val="lowerRoman"/>
      <w:lvlText w:val="%3."/>
      <w:lvlJc w:val="right"/>
      <w:pPr>
        <w:ind w:left="2160" w:hanging="180"/>
      </w:pPr>
    </w:lvl>
    <w:lvl w:ilvl="3" w:tplc="3F0893E6" w:tentative="1">
      <w:start w:val="1"/>
      <w:numFmt w:val="decimal"/>
      <w:lvlText w:val="%4."/>
      <w:lvlJc w:val="left"/>
      <w:pPr>
        <w:ind w:left="2880" w:hanging="360"/>
      </w:pPr>
    </w:lvl>
    <w:lvl w:ilvl="4" w:tplc="E7BA4BB6">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EA82306"/>
    <w:multiLevelType w:val="hybridMultilevel"/>
    <w:tmpl w:val="8A0A01E8"/>
    <w:lvl w:ilvl="0" w:tplc="CBACF920">
      <w:start w:val="1"/>
      <w:numFmt w:val="upperLetter"/>
      <w:lvlText w:val="%1."/>
      <w:lvlJc w:val="left"/>
      <w:pPr>
        <w:ind w:left="2520" w:hanging="360"/>
      </w:pPr>
      <w:rPr>
        <w:rFonts w:hint="default"/>
        <w:b/>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A25665F"/>
    <w:multiLevelType w:val="hybridMultilevel"/>
    <w:tmpl w:val="0D364172"/>
    <w:lvl w:ilvl="0" w:tplc="0C30C974">
      <w:start w:val="3"/>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F9B713D"/>
    <w:multiLevelType w:val="hybridMultilevel"/>
    <w:tmpl w:val="7EB800F4"/>
    <w:lvl w:ilvl="0" w:tplc="996A088A">
      <w:start w:val="1"/>
      <w:numFmt w:val="decimal"/>
      <w:lvlText w:val="%1."/>
      <w:lvlJc w:val="left"/>
      <w:pPr>
        <w:ind w:left="720" w:hanging="720"/>
      </w:pPr>
      <w:rPr>
        <w:rFonts w:ascii="Verdana" w:hAnsi="Verdana" w:cs="Times New Roman" w:hint="default"/>
        <w:b w:val="0"/>
        <w:i w:val="0"/>
        <w:strike w:val="0"/>
        <w:color w:val="auto"/>
        <w:sz w:val="20"/>
        <w:szCs w:val="20"/>
      </w:rPr>
    </w:lvl>
    <w:lvl w:ilvl="1" w:tplc="2C0A0019">
      <w:start w:val="1"/>
      <w:numFmt w:val="lowerLetter"/>
      <w:lvlText w:val="%2."/>
      <w:lvlJc w:val="left"/>
      <w:pPr>
        <w:ind w:left="1080" w:hanging="360"/>
      </w:pPr>
      <w:rPr>
        <w:rFonts w:cs="Times New Roman" w:hint="default"/>
      </w:rPr>
    </w:lvl>
    <w:lvl w:ilvl="2" w:tplc="4202A1AC">
      <w:start w:val="1"/>
      <w:numFmt w:val="lowerRoman"/>
      <w:lvlText w:val="%3."/>
      <w:lvlJc w:val="right"/>
      <w:pPr>
        <w:ind w:left="1800" w:hanging="180"/>
      </w:pPr>
      <w:rPr>
        <w:rFonts w:cs="Times New Roman"/>
      </w:rPr>
    </w:lvl>
    <w:lvl w:ilvl="3" w:tplc="CBACF920">
      <w:start w:val="1"/>
      <w:numFmt w:val="upperLetter"/>
      <w:lvlText w:val="%4."/>
      <w:lvlJc w:val="left"/>
      <w:pPr>
        <w:ind w:left="2520" w:hanging="360"/>
      </w:pPr>
      <w:rPr>
        <w:rFonts w:hint="default"/>
        <w:b/>
        <w:i/>
      </w:rPr>
    </w:lvl>
    <w:lvl w:ilvl="4" w:tplc="E7BA4BB6">
      <w:start w:val="1"/>
      <w:numFmt w:val="lowerLetter"/>
      <w:lvlText w:val="%5)"/>
      <w:lvlJc w:val="left"/>
      <w:pPr>
        <w:ind w:left="3240" w:hanging="360"/>
      </w:pPr>
      <w:rPr>
        <w:rFonts w:hint="default"/>
      </w:rPr>
    </w:lvl>
    <w:lvl w:ilvl="5" w:tplc="2C0A001B" w:tentative="1">
      <w:start w:val="1"/>
      <w:numFmt w:val="lowerRoman"/>
      <w:lvlText w:val="%6."/>
      <w:lvlJc w:val="right"/>
      <w:pPr>
        <w:ind w:left="3960" w:hanging="180"/>
      </w:pPr>
      <w:rPr>
        <w:rFonts w:cs="Times New Roman"/>
      </w:rPr>
    </w:lvl>
    <w:lvl w:ilvl="6" w:tplc="2C0A000F" w:tentative="1">
      <w:start w:val="1"/>
      <w:numFmt w:val="decimal"/>
      <w:lvlText w:val="%7."/>
      <w:lvlJc w:val="left"/>
      <w:pPr>
        <w:ind w:left="4680" w:hanging="360"/>
      </w:pPr>
      <w:rPr>
        <w:rFonts w:cs="Times New Roman"/>
      </w:rPr>
    </w:lvl>
    <w:lvl w:ilvl="7" w:tplc="2C0A0019" w:tentative="1">
      <w:start w:val="1"/>
      <w:numFmt w:val="lowerLetter"/>
      <w:lvlText w:val="%8."/>
      <w:lvlJc w:val="left"/>
      <w:pPr>
        <w:ind w:left="5400" w:hanging="360"/>
      </w:pPr>
      <w:rPr>
        <w:rFonts w:cs="Times New Roman"/>
      </w:rPr>
    </w:lvl>
    <w:lvl w:ilvl="8" w:tplc="2C0A001B" w:tentative="1">
      <w:start w:val="1"/>
      <w:numFmt w:val="lowerRoman"/>
      <w:lvlText w:val="%9."/>
      <w:lvlJc w:val="right"/>
      <w:pPr>
        <w:ind w:left="6120" w:hanging="180"/>
      </w:pPr>
      <w:rPr>
        <w:rFonts w:cs="Times New Roman"/>
      </w:rPr>
    </w:lvl>
  </w:abstractNum>
  <w:abstractNum w:abstractNumId="7" w15:restartNumberingAfterBreak="0">
    <w:nsid w:val="4B8028DA"/>
    <w:multiLevelType w:val="hybridMultilevel"/>
    <w:tmpl w:val="4EDCD158"/>
    <w:lvl w:ilvl="0" w:tplc="FF062386">
      <w:start w:val="1"/>
      <w:numFmt w:val="upperRoman"/>
      <w:lvlText w:val="%1."/>
      <w:lvlJc w:val="left"/>
      <w:pPr>
        <w:ind w:left="1080" w:hanging="720"/>
      </w:pPr>
      <w:rPr>
        <w:rFonts w:cs="Tahoma"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9B101FB"/>
    <w:multiLevelType w:val="hybridMultilevel"/>
    <w:tmpl w:val="AD16C2DC"/>
    <w:lvl w:ilvl="0" w:tplc="C4F44876">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start w:val="1"/>
      <w:numFmt w:val="decimal"/>
      <w:pStyle w:val="PrrafodeSentencia"/>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085B8E"/>
    <w:multiLevelType w:val="hybridMultilevel"/>
    <w:tmpl w:val="6674EC9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76753A80"/>
    <w:multiLevelType w:val="hybridMultilevel"/>
    <w:tmpl w:val="B9B8489E"/>
    <w:lvl w:ilvl="0" w:tplc="5126705A">
      <w:start w:val="1"/>
      <w:numFmt w:val="decimal"/>
      <w:pStyle w:val="PrrafodeSentencia0"/>
      <w:lvlText w:val="%1."/>
      <w:lvlJc w:val="left"/>
      <w:pPr>
        <w:ind w:left="0" w:firstLine="0"/>
      </w:pPr>
      <w:rPr>
        <w:rFonts w:ascii="Verdana" w:hAnsi="Verdana" w:hint="default"/>
        <w:b w:val="0"/>
        <w:i w:val="0"/>
        <w:strike w:val="0"/>
        <w:color w:val="auto"/>
        <w:sz w:val="20"/>
        <w:szCs w:val="20"/>
        <w:lang w:val="es-ES"/>
      </w:rPr>
    </w:lvl>
    <w:lvl w:ilvl="1" w:tplc="2C0A0019">
      <w:start w:val="1"/>
      <w:numFmt w:val="lowerLetter"/>
      <w:lvlText w:val="%2."/>
      <w:lvlJc w:val="left"/>
      <w:pPr>
        <w:ind w:left="1298" w:hanging="360"/>
      </w:pPr>
      <w:rPr>
        <w:rFonts w:hint="default"/>
        <w:lang w:val="es-CR"/>
      </w:rPr>
    </w:lvl>
    <w:lvl w:ilvl="2" w:tplc="4202A1AC">
      <w:start w:val="1"/>
      <w:numFmt w:val="lowerRoman"/>
      <w:lvlText w:val="%3."/>
      <w:lvlJc w:val="right"/>
      <w:pPr>
        <w:ind w:left="2018" w:hanging="180"/>
      </w:pPr>
      <w:rPr>
        <w:i/>
      </w:rPr>
    </w:lvl>
    <w:lvl w:ilvl="3" w:tplc="3F0893E6" w:tentative="1">
      <w:start w:val="1"/>
      <w:numFmt w:val="decimal"/>
      <w:lvlText w:val="%4."/>
      <w:lvlJc w:val="left"/>
      <w:pPr>
        <w:ind w:left="2738" w:hanging="360"/>
      </w:pPr>
    </w:lvl>
    <w:lvl w:ilvl="4" w:tplc="E7BA4BB6" w:tentative="1">
      <w:start w:val="1"/>
      <w:numFmt w:val="lowerLetter"/>
      <w:lvlText w:val="%5."/>
      <w:lvlJc w:val="left"/>
      <w:pPr>
        <w:ind w:left="3458" w:hanging="360"/>
      </w:pPr>
    </w:lvl>
    <w:lvl w:ilvl="5" w:tplc="2C0A001B" w:tentative="1">
      <w:start w:val="1"/>
      <w:numFmt w:val="lowerRoman"/>
      <w:lvlText w:val="%6."/>
      <w:lvlJc w:val="right"/>
      <w:pPr>
        <w:ind w:left="4178" w:hanging="180"/>
      </w:pPr>
    </w:lvl>
    <w:lvl w:ilvl="6" w:tplc="2C0A000F" w:tentative="1">
      <w:start w:val="1"/>
      <w:numFmt w:val="decimal"/>
      <w:lvlText w:val="%7."/>
      <w:lvlJc w:val="left"/>
      <w:pPr>
        <w:ind w:left="4898" w:hanging="360"/>
      </w:pPr>
    </w:lvl>
    <w:lvl w:ilvl="7" w:tplc="2C0A0019" w:tentative="1">
      <w:start w:val="1"/>
      <w:numFmt w:val="lowerLetter"/>
      <w:lvlText w:val="%8."/>
      <w:lvlJc w:val="left"/>
      <w:pPr>
        <w:ind w:left="5618" w:hanging="360"/>
      </w:pPr>
    </w:lvl>
    <w:lvl w:ilvl="8" w:tplc="2C0A001B" w:tentative="1">
      <w:start w:val="1"/>
      <w:numFmt w:val="lowerRoman"/>
      <w:lvlText w:val="%9."/>
      <w:lvlJc w:val="right"/>
      <w:pPr>
        <w:ind w:left="6338" w:hanging="180"/>
      </w:pPr>
    </w:lvl>
  </w:abstractNum>
  <w:abstractNum w:abstractNumId="11" w15:restartNumberingAfterBreak="0">
    <w:nsid w:val="7CE64D32"/>
    <w:multiLevelType w:val="hybridMultilevel"/>
    <w:tmpl w:val="9F8AF72C"/>
    <w:lvl w:ilvl="0" w:tplc="96061334">
      <w:start w:val="1"/>
      <w:numFmt w:val="decimal"/>
      <w:lvlText w:val="%1."/>
      <w:lvlJc w:val="left"/>
      <w:pPr>
        <w:tabs>
          <w:tab w:val="num" w:pos="0"/>
        </w:tabs>
        <w:ind w:left="0" w:firstLine="0"/>
      </w:pPr>
      <w:rPr>
        <w:rFonts w:ascii="Verdana" w:eastAsia="Times New Roman" w:hAnsi="Verdana" w:cs="Times New Roman" w:hint="default"/>
        <w:b w:val="0"/>
        <w:i w:val="0"/>
        <w:strike w:val="0"/>
        <w:color w:val="auto"/>
        <w:sz w:val="20"/>
        <w:lang w:val="es-CO"/>
      </w:rPr>
    </w:lvl>
    <w:lvl w:ilvl="1" w:tplc="140A0019">
      <w:start w:val="1"/>
      <w:numFmt w:val="decimal"/>
      <w:lvlText w:val="%2."/>
      <w:lvlJc w:val="left"/>
      <w:pPr>
        <w:tabs>
          <w:tab w:val="num" w:pos="0"/>
        </w:tabs>
        <w:ind w:left="0" w:firstLine="0"/>
      </w:pPr>
      <w:rPr>
        <w:rFonts w:ascii="Verdana" w:eastAsia="Times New Roman" w:hAnsi="Verdana" w:cs="Times New Roman" w:hint="default"/>
        <w:b/>
        <w:i w:val="0"/>
        <w:strike w:val="0"/>
        <w:color w:val="auto"/>
        <w:sz w:val="20"/>
        <w:lang w:val="es-CO"/>
      </w:rPr>
    </w:lvl>
    <w:lvl w:ilvl="2" w:tplc="140A001B">
      <w:start w:val="1"/>
      <w:numFmt w:val="lowerRoman"/>
      <w:pStyle w:val="Estilo7"/>
      <w:lvlText w:val="%3."/>
      <w:lvlJc w:val="right"/>
      <w:pPr>
        <w:tabs>
          <w:tab w:val="num" w:pos="2160"/>
        </w:tabs>
        <w:ind w:left="2160" w:hanging="180"/>
      </w:pPr>
      <w:rPr>
        <w:rFonts w:cs="Times New Roman"/>
      </w:rPr>
    </w:lvl>
    <w:lvl w:ilvl="3" w:tplc="140A000F">
      <w:start w:val="1"/>
      <w:numFmt w:val="decimal"/>
      <w:lvlText w:val="%4."/>
      <w:lvlJc w:val="left"/>
      <w:pPr>
        <w:tabs>
          <w:tab w:val="num" w:pos="2880"/>
        </w:tabs>
        <w:ind w:left="2880" w:hanging="360"/>
      </w:pPr>
      <w:rPr>
        <w:rFonts w:cs="Times New Roman"/>
      </w:rPr>
    </w:lvl>
    <w:lvl w:ilvl="4" w:tplc="140A0019">
      <w:start w:val="1"/>
      <w:numFmt w:val="lowerLetter"/>
      <w:lvlText w:val="%5."/>
      <w:lvlJc w:val="left"/>
      <w:pPr>
        <w:tabs>
          <w:tab w:val="num" w:pos="3600"/>
        </w:tabs>
        <w:ind w:left="3600" w:hanging="360"/>
      </w:pPr>
      <w:rPr>
        <w:rFonts w:cs="Times New Roman"/>
      </w:rPr>
    </w:lvl>
    <w:lvl w:ilvl="5" w:tplc="140A001B">
      <w:start w:val="1"/>
      <w:numFmt w:val="lowerRoman"/>
      <w:lvlText w:val="%6."/>
      <w:lvlJc w:val="right"/>
      <w:pPr>
        <w:tabs>
          <w:tab w:val="num" w:pos="4320"/>
        </w:tabs>
        <w:ind w:left="4320" w:hanging="180"/>
      </w:pPr>
      <w:rPr>
        <w:rFonts w:cs="Times New Roman"/>
      </w:rPr>
    </w:lvl>
    <w:lvl w:ilvl="6" w:tplc="140A000F">
      <w:start w:val="1"/>
      <w:numFmt w:val="decimal"/>
      <w:lvlText w:val="%7."/>
      <w:lvlJc w:val="left"/>
      <w:pPr>
        <w:tabs>
          <w:tab w:val="num" w:pos="5040"/>
        </w:tabs>
        <w:ind w:left="5040" w:hanging="360"/>
      </w:pPr>
      <w:rPr>
        <w:rFonts w:cs="Times New Roman"/>
      </w:rPr>
    </w:lvl>
    <w:lvl w:ilvl="7" w:tplc="140A0019">
      <w:start w:val="1"/>
      <w:numFmt w:val="lowerLetter"/>
      <w:lvlText w:val="%8."/>
      <w:lvlJc w:val="left"/>
      <w:pPr>
        <w:tabs>
          <w:tab w:val="num" w:pos="5760"/>
        </w:tabs>
        <w:ind w:left="5760" w:hanging="360"/>
      </w:pPr>
      <w:rPr>
        <w:rFonts w:cs="Times New Roman"/>
      </w:rPr>
    </w:lvl>
    <w:lvl w:ilvl="8" w:tplc="140A001B">
      <w:start w:val="1"/>
      <w:numFmt w:val="lowerRoman"/>
      <w:lvlText w:val="%9."/>
      <w:lvlJc w:val="right"/>
      <w:pPr>
        <w:tabs>
          <w:tab w:val="num" w:pos="6480"/>
        </w:tabs>
        <w:ind w:left="6480" w:hanging="180"/>
      </w:pPr>
      <w:rPr>
        <w:rFonts w:cs="Times New Roman"/>
      </w:rPr>
    </w:lvl>
  </w:abstractNum>
  <w:num w:numId="1">
    <w:abstractNumId w:val="6"/>
  </w:num>
  <w:num w:numId="2">
    <w:abstractNumId w:val="10"/>
  </w:num>
  <w:num w:numId="3">
    <w:abstractNumId w:val="2"/>
  </w:num>
  <w:num w:numId="4">
    <w:abstractNumId w:val="11"/>
  </w:num>
  <w:num w:numId="5">
    <w:abstractNumId w:val="3"/>
  </w:num>
  <w:num w:numId="6">
    <w:abstractNumId w:val="8"/>
  </w:num>
  <w:num w:numId="7">
    <w:abstractNumId w:val="1"/>
  </w:num>
  <w:num w:numId="8">
    <w:abstractNumId w:val="0"/>
  </w:num>
  <w:num w:numId="9">
    <w:abstractNumId w:val="9"/>
  </w:num>
  <w:num w:numId="10">
    <w:abstractNumId w:val="4"/>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6C5"/>
    <w:rsid w:val="00000132"/>
    <w:rsid w:val="000030B2"/>
    <w:rsid w:val="00003821"/>
    <w:rsid w:val="000039F2"/>
    <w:rsid w:val="000130DC"/>
    <w:rsid w:val="00016093"/>
    <w:rsid w:val="000164A4"/>
    <w:rsid w:val="00017805"/>
    <w:rsid w:val="00017CD1"/>
    <w:rsid w:val="00020B28"/>
    <w:rsid w:val="00027FE0"/>
    <w:rsid w:val="000308C5"/>
    <w:rsid w:val="0003136D"/>
    <w:rsid w:val="00031572"/>
    <w:rsid w:val="00032C57"/>
    <w:rsid w:val="0003359C"/>
    <w:rsid w:val="000340AD"/>
    <w:rsid w:val="0003418D"/>
    <w:rsid w:val="00035A7A"/>
    <w:rsid w:val="000361F1"/>
    <w:rsid w:val="00037B03"/>
    <w:rsid w:val="00043852"/>
    <w:rsid w:val="00043AB6"/>
    <w:rsid w:val="00045AC2"/>
    <w:rsid w:val="00047663"/>
    <w:rsid w:val="0005208B"/>
    <w:rsid w:val="000523B7"/>
    <w:rsid w:val="00056150"/>
    <w:rsid w:val="000625F4"/>
    <w:rsid w:val="00064D91"/>
    <w:rsid w:val="00065BFD"/>
    <w:rsid w:val="000674F4"/>
    <w:rsid w:val="00070DEE"/>
    <w:rsid w:val="0007191A"/>
    <w:rsid w:val="000725EA"/>
    <w:rsid w:val="000755A7"/>
    <w:rsid w:val="00076409"/>
    <w:rsid w:val="00080293"/>
    <w:rsid w:val="000802C8"/>
    <w:rsid w:val="000820B5"/>
    <w:rsid w:val="0008408A"/>
    <w:rsid w:val="00084369"/>
    <w:rsid w:val="000844F0"/>
    <w:rsid w:val="00085B32"/>
    <w:rsid w:val="00086A41"/>
    <w:rsid w:val="00087352"/>
    <w:rsid w:val="00090A78"/>
    <w:rsid w:val="00093FCD"/>
    <w:rsid w:val="00096C7E"/>
    <w:rsid w:val="000A17FF"/>
    <w:rsid w:val="000A1C55"/>
    <w:rsid w:val="000A3AA3"/>
    <w:rsid w:val="000A4655"/>
    <w:rsid w:val="000A7A70"/>
    <w:rsid w:val="000B3BE9"/>
    <w:rsid w:val="000B5082"/>
    <w:rsid w:val="000B6C95"/>
    <w:rsid w:val="000C05AA"/>
    <w:rsid w:val="000C12FC"/>
    <w:rsid w:val="000C307A"/>
    <w:rsid w:val="000C49A6"/>
    <w:rsid w:val="000C540D"/>
    <w:rsid w:val="000C5DFB"/>
    <w:rsid w:val="000D0311"/>
    <w:rsid w:val="000D08A9"/>
    <w:rsid w:val="000E0429"/>
    <w:rsid w:val="000E06A8"/>
    <w:rsid w:val="000E0884"/>
    <w:rsid w:val="000E241C"/>
    <w:rsid w:val="000E5499"/>
    <w:rsid w:val="000E5DAB"/>
    <w:rsid w:val="000E7FC1"/>
    <w:rsid w:val="000F0E04"/>
    <w:rsid w:val="000F3B31"/>
    <w:rsid w:val="000F48DE"/>
    <w:rsid w:val="000F6842"/>
    <w:rsid w:val="000F6AFE"/>
    <w:rsid w:val="000F7D1E"/>
    <w:rsid w:val="001004CE"/>
    <w:rsid w:val="001010B0"/>
    <w:rsid w:val="0010152B"/>
    <w:rsid w:val="001016D5"/>
    <w:rsid w:val="0010286F"/>
    <w:rsid w:val="00105839"/>
    <w:rsid w:val="001110F8"/>
    <w:rsid w:val="00113815"/>
    <w:rsid w:val="00113838"/>
    <w:rsid w:val="00113857"/>
    <w:rsid w:val="00113A68"/>
    <w:rsid w:val="0011479A"/>
    <w:rsid w:val="00114CB1"/>
    <w:rsid w:val="0011732B"/>
    <w:rsid w:val="00122CB1"/>
    <w:rsid w:val="00123AEE"/>
    <w:rsid w:val="0012683A"/>
    <w:rsid w:val="001300AD"/>
    <w:rsid w:val="001314D1"/>
    <w:rsid w:val="00131D08"/>
    <w:rsid w:val="00132D1A"/>
    <w:rsid w:val="00133CEE"/>
    <w:rsid w:val="00135AD0"/>
    <w:rsid w:val="00135FC7"/>
    <w:rsid w:val="00140746"/>
    <w:rsid w:val="001420C3"/>
    <w:rsid w:val="001425C5"/>
    <w:rsid w:val="00143717"/>
    <w:rsid w:val="0014578C"/>
    <w:rsid w:val="00150825"/>
    <w:rsid w:val="0015372E"/>
    <w:rsid w:val="00160E03"/>
    <w:rsid w:val="00161FB9"/>
    <w:rsid w:val="001656A8"/>
    <w:rsid w:val="00170246"/>
    <w:rsid w:val="001716FB"/>
    <w:rsid w:val="00171A70"/>
    <w:rsid w:val="00173A5F"/>
    <w:rsid w:val="0017764C"/>
    <w:rsid w:val="00180D6D"/>
    <w:rsid w:val="001816F0"/>
    <w:rsid w:val="001843EB"/>
    <w:rsid w:val="00184560"/>
    <w:rsid w:val="001870CE"/>
    <w:rsid w:val="00187120"/>
    <w:rsid w:val="00187753"/>
    <w:rsid w:val="0019740B"/>
    <w:rsid w:val="001A0DC6"/>
    <w:rsid w:val="001A1DB1"/>
    <w:rsid w:val="001A442B"/>
    <w:rsid w:val="001C0A0E"/>
    <w:rsid w:val="001C4549"/>
    <w:rsid w:val="001D09E6"/>
    <w:rsid w:val="001D2768"/>
    <w:rsid w:val="001D6598"/>
    <w:rsid w:val="001D6C19"/>
    <w:rsid w:val="001E1DB9"/>
    <w:rsid w:val="001E2F11"/>
    <w:rsid w:val="001E3517"/>
    <w:rsid w:val="001E4418"/>
    <w:rsid w:val="001E5285"/>
    <w:rsid w:val="001F082B"/>
    <w:rsid w:val="001F09E3"/>
    <w:rsid w:val="001F0AF8"/>
    <w:rsid w:val="001F183D"/>
    <w:rsid w:val="001F2385"/>
    <w:rsid w:val="001F45EA"/>
    <w:rsid w:val="001F69E7"/>
    <w:rsid w:val="001F6A2A"/>
    <w:rsid w:val="001F74DB"/>
    <w:rsid w:val="00200F45"/>
    <w:rsid w:val="002020CD"/>
    <w:rsid w:val="00204BCA"/>
    <w:rsid w:val="002061B3"/>
    <w:rsid w:val="00206751"/>
    <w:rsid w:val="00211F2F"/>
    <w:rsid w:val="002133D1"/>
    <w:rsid w:val="002161F8"/>
    <w:rsid w:val="00216462"/>
    <w:rsid w:val="00220743"/>
    <w:rsid w:val="00221075"/>
    <w:rsid w:val="002217F7"/>
    <w:rsid w:val="002247B0"/>
    <w:rsid w:val="00224A69"/>
    <w:rsid w:val="00232957"/>
    <w:rsid w:val="00233B84"/>
    <w:rsid w:val="002411F8"/>
    <w:rsid w:val="00241F55"/>
    <w:rsid w:val="002433F3"/>
    <w:rsid w:val="00244560"/>
    <w:rsid w:val="002461B2"/>
    <w:rsid w:val="002469E2"/>
    <w:rsid w:val="00247F04"/>
    <w:rsid w:val="0025010E"/>
    <w:rsid w:val="00253042"/>
    <w:rsid w:val="00257CC3"/>
    <w:rsid w:val="00260F06"/>
    <w:rsid w:val="00261F99"/>
    <w:rsid w:val="00262B7E"/>
    <w:rsid w:val="00265268"/>
    <w:rsid w:val="002674C0"/>
    <w:rsid w:val="0027023D"/>
    <w:rsid w:val="00273257"/>
    <w:rsid w:val="00274631"/>
    <w:rsid w:val="00274931"/>
    <w:rsid w:val="002756EA"/>
    <w:rsid w:val="00275D25"/>
    <w:rsid w:val="0028126B"/>
    <w:rsid w:val="00283458"/>
    <w:rsid w:val="00283BE6"/>
    <w:rsid w:val="00284E39"/>
    <w:rsid w:val="002860ED"/>
    <w:rsid w:val="00287C55"/>
    <w:rsid w:val="00287ED8"/>
    <w:rsid w:val="00287F0B"/>
    <w:rsid w:val="0029011A"/>
    <w:rsid w:val="0029353B"/>
    <w:rsid w:val="00293FCE"/>
    <w:rsid w:val="002A2886"/>
    <w:rsid w:val="002A2D2E"/>
    <w:rsid w:val="002A4601"/>
    <w:rsid w:val="002A579A"/>
    <w:rsid w:val="002B0F43"/>
    <w:rsid w:val="002B2BA8"/>
    <w:rsid w:val="002B4224"/>
    <w:rsid w:val="002B568F"/>
    <w:rsid w:val="002C42C3"/>
    <w:rsid w:val="002C4985"/>
    <w:rsid w:val="002C6BDF"/>
    <w:rsid w:val="002C717F"/>
    <w:rsid w:val="002D1097"/>
    <w:rsid w:val="002D3604"/>
    <w:rsid w:val="002D3ACD"/>
    <w:rsid w:val="002D42F7"/>
    <w:rsid w:val="002D43E0"/>
    <w:rsid w:val="002D653D"/>
    <w:rsid w:val="002D67A1"/>
    <w:rsid w:val="002E1BEA"/>
    <w:rsid w:val="002E25D0"/>
    <w:rsid w:val="002E3976"/>
    <w:rsid w:val="002E6F71"/>
    <w:rsid w:val="002F35CC"/>
    <w:rsid w:val="002F58E4"/>
    <w:rsid w:val="002F797B"/>
    <w:rsid w:val="00301190"/>
    <w:rsid w:val="00301F42"/>
    <w:rsid w:val="00306761"/>
    <w:rsid w:val="0030681A"/>
    <w:rsid w:val="0031054B"/>
    <w:rsid w:val="003110AF"/>
    <w:rsid w:val="00311E97"/>
    <w:rsid w:val="00311F78"/>
    <w:rsid w:val="00312881"/>
    <w:rsid w:val="00313324"/>
    <w:rsid w:val="003149FF"/>
    <w:rsid w:val="003164C2"/>
    <w:rsid w:val="003178A8"/>
    <w:rsid w:val="0032433A"/>
    <w:rsid w:val="00327213"/>
    <w:rsid w:val="00327EF1"/>
    <w:rsid w:val="00327FD4"/>
    <w:rsid w:val="0033235E"/>
    <w:rsid w:val="003352C1"/>
    <w:rsid w:val="00335403"/>
    <w:rsid w:val="00335ADE"/>
    <w:rsid w:val="0034030B"/>
    <w:rsid w:val="003409F8"/>
    <w:rsid w:val="00340B48"/>
    <w:rsid w:val="0034724F"/>
    <w:rsid w:val="00347398"/>
    <w:rsid w:val="00347BBB"/>
    <w:rsid w:val="003517C0"/>
    <w:rsid w:val="003519DA"/>
    <w:rsid w:val="00352C34"/>
    <w:rsid w:val="00353B30"/>
    <w:rsid w:val="00353C73"/>
    <w:rsid w:val="003569AD"/>
    <w:rsid w:val="00360407"/>
    <w:rsid w:val="0036187B"/>
    <w:rsid w:val="003619BD"/>
    <w:rsid w:val="00361D6D"/>
    <w:rsid w:val="00362696"/>
    <w:rsid w:val="003629FB"/>
    <w:rsid w:val="003648FE"/>
    <w:rsid w:val="0036684C"/>
    <w:rsid w:val="00366C44"/>
    <w:rsid w:val="00367EFA"/>
    <w:rsid w:val="00371C2B"/>
    <w:rsid w:val="0037220F"/>
    <w:rsid w:val="00376A3F"/>
    <w:rsid w:val="00377A20"/>
    <w:rsid w:val="00383E7E"/>
    <w:rsid w:val="003847B6"/>
    <w:rsid w:val="0038589D"/>
    <w:rsid w:val="00386755"/>
    <w:rsid w:val="00390251"/>
    <w:rsid w:val="00391C8B"/>
    <w:rsid w:val="00392AB5"/>
    <w:rsid w:val="00393554"/>
    <w:rsid w:val="0039515E"/>
    <w:rsid w:val="00395E97"/>
    <w:rsid w:val="0039710F"/>
    <w:rsid w:val="0039719B"/>
    <w:rsid w:val="00397FAF"/>
    <w:rsid w:val="003A25A0"/>
    <w:rsid w:val="003A2FC7"/>
    <w:rsid w:val="003A3834"/>
    <w:rsid w:val="003A4B66"/>
    <w:rsid w:val="003B1D20"/>
    <w:rsid w:val="003B1EAF"/>
    <w:rsid w:val="003B346F"/>
    <w:rsid w:val="003B4C2E"/>
    <w:rsid w:val="003B6548"/>
    <w:rsid w:val="003B67E9"/>
    <w:rsid w:val="003B6B43"/>
    <w:rsid w:val="003C173E"/>
    <w:rsid w:val="003C2AC9"/>
    <w:rsid w:val="003C3E00"/>
    <w:rsid w:val="003D073E"/>
    <w:rsid w:val="003D349D"/>
    <w:rsid w:val="003D498D"/>
    <w:rsid w:val="003D5D65"/>
    <w:rsid w:val="003E2129"/>
    <w:rsid w:val="003E4000"/>
    <w:rsid w:val="003E4261"/>
    <w:rsid w:val="003E4D82"/>
    <w:rsid w:val="003E6BBD"/>
    <w:rsid w:val="003E7741"/>
    <w:rsid w:val="003E7B62"/>
    <w:rsid w:val="003F076A"/>
    <w:rsid w:val="003F162C"/>
    <w:rsid w:val="003F697F"/>
    <w:rsid w:val="003F7D38"/>
    <w:rsid w:val="00400E5E"/>
    <w:rsid w:val="0040558F"/>
    <w:rsid w:val="00405CEA"/>
    <w:rsid w:val="00410648"/>
    <w:rsid w:val="004111CC"/>
    <w:rsid w:val="004123EB"/>
    <w:rsid w:val="00412D93"/>
    <w:rsid w:val="0041427B"/>
    <w:rsid w:val="00415B98"/>
    <w:rsid w:val="00421041"/>
    <w:rsid w:val="00421A78"/>
    <w:rsid w:val="00422704"/>
    <w:rsid w:val="00424105"/>
    <w:rsid w:val="004252F7"/>
    <w:rsid w:val="004253AB"/>
    <w:rsid w:val="00431D40"/>
    <w:rsid w:val="00432906"/>
    <w:rsid w:val="00432E58"/>
    <w:rsid w:val="004340CB"/>
    <w:rsid w:val="004350AF"/>
    <w:rsid w:val="00443656"/>
    <w:rsid w:val="00443800"/>
    <w:rsid w:val="00443A97"/>
    <w:rsid w:val="00444462"/>
    <w:rsid w:val="00444B69"/>
    <w:rsid w:val="00447A78"/>
    <w:rsid w:val="004527B9"/>
    <w:rsid w:val="00455776"/>
    <w:rsid w:val="004562C7"/>
    <w:rsid w:val="00456B68"/>
    <w:rsid w:val="004612F9"/>
    <w:rsid w:val="00462978"/>
    <w:rsid w:val="004630E7"/>
    <w:rsid w:val="00464324"/>
    <w:rsid w:val="00464642"/>
    <w:rsid w:val="0046718C"/>
    <w:rsid w:val="00467B6B"/>
    <w:rsid w:val="00467EAD"/>
    <w:rsid w:val="004722AE"/>
    <w:rsid w:val="004725DD"/>
    <w:rsid w:val="0047668D"/>
    <w:rsid w:val="00481BE7"/>
    <w:rsid w:val="00481D50"/>
    <w:rsid w:val="00484635"/>
    <w:rsid w:val="00485504"/>
    <w:rsid w:val="00496462"/>
    <w:rsid w:val="004A0C5A"/>
    <w:rsid w:val="004A1663"/>
    <w:rsid w:val="004A63E1"/>
    <w:rsid w:val="004B24D1"/>
    <w:rsid w:val="004B2A00"/>
    <w:rsid w:val="004B4F38"/>
    <w:rsid w:val="004B615C"/>
    <w:rsid w:val="004C3F2F"/>
    <w:rsid w:val="004C5A33"/>
    <w:rsid w:val="004D07A1"/>
    <w:rsid w:val="004D10A8"/>
    <w:rsid w:val="004D26C5"/>
    <w:rsid w:val="004D4242"/>
    <w:rsid w:val="004D5D42"/>
    <w:rsid w:val="004D71B3"/>
    <w:rsid w:val="004E3508"/>
    <w:rsid w:val="004E3DB3"/>
    <w:rsid w:val="004E5102"/>
    <w:rsid w:val="004F09C1"/>
    <w:rsid w:val="004F0BEB"/>
    <w:rsid w:val="004F124F"/>
    <w:rsid w:val="004F2B6B"/>
    <w:rsid w:val="004F6660"/>
    <w:rsid w:val="004F6AC7"/>
    <w:rsid w:val="004F7794"/>
    <w:rsid w:val="005011F6"/>
    <w:rsid w:val="00501C13"/>
    <w:rsid w:val="00502F32"/>
    <w:rsid w:val="00505616"/>
    <w:rsid w:val="00505D03"/>
    <w:rsid w:val="005060D3"/>
    <w:rsid w:val="00506BB8"/>
    <w:rsid w:val="00511492"/>
    <w:rsid w:val="00512080"/>
    <w:rsid w:val="00514DD6"/>
    <w:rsid w:val="005158EF"/>
    <w:rsid w:val="00516BE6"/>
    <w:rsid w:val="00520392"/>
    <w:rsid w:val="005210EB"/>
    <w:rsid w:val="00522B4F"/>
    <w:rsid w:val="00526702"/>
    <w:rsid w:val="005302A4"/>
    <w:rsid w:val="005339D9"/>
    <w:rsid w:val="005342CA"/>
    <w:rsid w:val="0053503E"/>
    <w:rsid w:val="00537FF5"/>
    <w:rsid w:val="005408A0"/>
    <w:rsid w:val="0054114F"/>
    <w:rsid w:val="005423C1"/>
    <w:rsid w:val="00544672"/>
    <w:rsid w:val="00546609"/>
    <w:rsid w:val="005474BE"/>
    <w:rsid w:val="00556E47"/>
    <w:rsid w:val="00563144"/>
    <w:rsid w:val="00567029"/>
    <w:rsid w:val="00567FEE"/>
    <w:rsid w:val="00570963"/>
    <w:rsid w:val="0057158D"/>
    <w:rsid w:val="00572ACB"/>
    <w:rsid w:val="00574990"/>
    <w:rsid w:val="005749F8"/>
    <w:rsid w:val="00575633"/>
    <w:rsid w:val="005759CC"/>
    <w:rsid w:val="00576401"/>
    <w:rsid w:val="005764C8"/>
    <w:rsid w:val="005778A7"/>
    <w:rsid w:val="005807E5"/>
    <w:rsid w:val="005834FD"/>
    <w:rsid w:val="005859EC"/>
    <w:rsid w:val="00586DE1"/>
    <w:rsid w:val="00591BF9"/>
    <w:rsid w:val="00592250"/>
    <w:rsid w:val="0059238D"/>
    <w:rsid w:val="00594FC8"/>
    <w:rsid w:val="0059500F"/>
    <w:rsid w:val="00597BDC"/>
    <w:rsid w:val="005A14C1"/>
    <w:rsid w:val="005A19E5"/>
    <w:rsid w:val="005A1B16"/>
    <w:rsid w:val="005A2614"/>
    <w:rsid w:val="005A3E4D"/>
    <w:rsid w:val="005A4A9C"/>
    <w:rsid w:val="005B18C4"/>
    <w:rsid w:val="005B1BB6"/>
    <w:rsid w:val="005B2237"/>
    <w:rsid w:val="005B2A54"/>
    <w:rsid w:val="005B45C5"/>
    <w:rsid w:val="005B4BD7"/>
    <w:rsid w:val="005C0408"/>
    <w:rsid w:val="005C3919"/>
    <w:rsid w:val="005C40D2"/>
    <w:rsid w:val="005C4D79"/>
    <w:rsid w:val="005C6782"/>
    <w:rsid w:val="005C6858"/>
    <w:rsid w:val="005D0459"/>
    <w:rsid w:val="005D1D40"/>
    <w:rsid w:val="005D2D70"/>
    <w:rsid w:val="005D3CD4"/>
    <w:rsid w:val="005D6D7C"/>
    <w:rsid w:val="005D73B2"/>
    <w:rsid w:val="005E18ED"/>
    <w:rsid w:val="005E26AD"/>
    <w:rsid w:val="005E2CC3"/>
    <w:rsid w:val="005E36EB"/>
    <w:rsid w:val="005E60DB"/>
    <w:rsid w:val="005F37AC"/>
    <w:rsid w:val="005F3BDC"/>
    <w:rsid w:val="005F42F6"/>
    <w:rsid w:val="005F67FE"/>
    <w:rsid w:val="00600D92"/>
    <w:rsid w:val="00605C85"/>
    <w:rsid w:val="006128CB"/>
    <w:rsid w:val="00612CDA"/>
    <w:rsid w:val="00616DA6"/>
    <w:rsid w:val="0061741D"/>
    <w:rsid w:val="00617D05"/>
    <w:rsid w:val="0062047F"/>
    <w:rsid w:val="00621D94"/>
    <w:rsid w:val="0062770B"/>
    <w:rsid w:val="00630DAB"/>
    <w:rsid w:val="00630DD9"/>
    <w:rsid w:val="00632773"/>
    <w:rsid w:val="0063314A"/>
    <w:rsid w:val="00633209"/>
    <w:rsid w:val="006343A9"/>
    <w:rsid w:val="00635F74"/>
    <w:rsid w:val="0063692A"/>
    <w:rsid w:val="0064164E"/>
    <w:rsid w:val="00643AA7"/>
    <w:rsid w:val="0064564A"/>
    <w:rsid w:val="006479FC"/>
    <w:rsid w:val="00647FC0"/>
    <w:rsid w:val="00651A28"/>
    <w:rsid w:val="00653F67"/>
    <w:rsid w:val="006540E8"/>
    <w:rsid w:val="0065418C"/>
    <w:rsid w:val="00654788"/>
    <w:rsid w:val="0065509F"/>
    <w:rsid w:val="00660EE5"/>
    <w:rsid w:val="006621D2"/>
    <w:rsid w:val="006645AA"/>
    <w:rsid w:val="00665FF4"/>
    <w:rsid w:val="006669A3"/>
    <w:rsid w:val="0066798F"/>
    <w:rsid w:val="00670B39"/>
    <w:rsid w:val="00671115"/>
    <w:rsid w:val="006721D0"/>
    <w:rsid w:val="00673D9A"/>
    <w:rsid w:val="00675B01"/>
    <w:rsid w:val="006775E9"/>
    <w:rsid w:val="006776DF"/>
    <w:rsid w:val="00677F67"/>
    <w:rsid w:val="0068020E"/>
    <w:rsid w:val="00682B0A"/>
    <w:rsid w:val="00683855"/>
    <w:rsid w:val="00684533"/>
    <w:rsid w:val="00685003"/>
    <w:rsid w:val="00686EFC"/>
    <w:rsid w:val="00687CE2"/>
    <w:rsid w:val="006906A7"/>
    <w:rsid w:val="00693174"/>
    <w:rsid w:val="006965A6"/>
    <w:rsid w:val="006A3282"/>
    <w:rsid w:val="006A4F61"/>
    <w:rsid w:val="006A5C2C"/>
    <w:rsid w:val="006A740C"/>
    <w:rsid w:val="006B0B77"/>
    <w:rsid w:val="006B15FB"/>
    <w:rsid w:val="006B301A"/>
    <w:rsid w:val="006B356D"/>
    <w:rsid w:val="006B4F31"/>
    <w:rsid w:val="006B646D"/>
    <w:rsid w:val="006C06F6"/>
    <w:rsid w:val="006C1140"/>
    <w:rsid w:val="006D00E8"/>
    <w:rsid w:val="006D029F"/>
    <w:rsid w:val="006D1224"/>
    <w:rsid w:val="006D122C"/>
    <w:rsid w:val="006D2804"/>
    <w:rsid w:val="006D311E"/>
    <w:rsid w:val="006D43C3"/>
    <w:rsid w:val="006E0E7A"/>
    <w:rsid w:val="006E11A3"/>
    <w:rsid w:val="006E265F"/>
    <w:rsid w:val="006E2A90"/>
    <w:rsid w:val="006E2DB5"/>
    <w:rsid w:val="006E3063"/>
    <w:rsid w:val="006E7A00"/>
    <w:rsid w:val="006F2B22"/>
    <w:rsid w:val="006F4B6E"/>
    <w:rsid w:val="006F76AB"/>
    <w:rsid w:val="007012A7"/>
    <w:rsid w:val="00706E25"/>
    <w:rsid w:val="007078AC"/>
    <w:rsid w:val="00707B72"/>
    <w:rsid w:val="00710088"/>
    <w:rsid w:val="007115D3"/>
    <w:rsid w:val="007135E8"/>
    <w:rsid w:val="00716773"/>
    <w:rsid w:val="007248A4"/>
    <w:rsid w:val="007300E8"/>
    <w:rsid w:val="00733623"/>
    <w:rsid w:val="0073627F"/>
    <w:rsid w:val="00737B8B"/>
    <w:rsid w:val="00740C9B"/>
    <w:rsid w:val="007414C0"/>
    <w:rsid w:val="0074254B"/>
    <w:rsid w:val="00742641"/>
    <w:rsid w:val="00743407"/>
    <w:rsid w:val="007445F2"/>
    <w:rsid w:val="00745C84"/>
    <w:rsid w:val="00745F5C"/>
    <w:rsid w:val="007514D2"/>
    <w:rsid w:val="00753C9C"/>
    <w:rsid w:val="00753FF7"/>
    <w:rsid w:val="00755EA3"/>
    <w:rsid w:val="007574AE"/>
    <w:rsid w:val="00757CA2"/>
    <w:rsid w:val="007639AB"/>
    <w:rsid w:val="007658CD"/>
    <w:rsid w:val="007661E0"/>
    <w:rsid w:val="00770AC4"/>
    <w:rsid w:val="00774069"/>
    <w:rsid w:val="007741D8"/>
    <w:rsid w:val="00774C64"/>
    <w:rsid w:val="00774D28"/>
    <w:rsid w:val="007755F9"/>
    <w:rsid w:val="00775E47"/>
    <w:rsid w:val="00780B62"/>
    <w:rsid w:val="00782C90"/>
    <w:rsid w:val="00785981"/>
    <w:rsid w:val="00787A74"/>
    <w:rsid w:val="00787F1C"/>
    <w:rsid w:val="00793649"/>
    <w:rsid w:val="007940CF"/>
    <w:rsid w:val="007946A3"/>
    <w:rsid w:val="007A2474"/>
    <w:rsid w:val="007A27B5"/>
    <w:rsid w:val="007A30A5"/>
    <w:rsid w:val="007A39C5"/>
    <w:rsid w:val="007A4047"/>
    <w:rsid w:val="007A7205"/>
    <w:rsid w:val="007B00F2"/>
    <w:rsid w:val="007B0DE4"/>
    <w:rsid w:val="007B2DC9"/>
    <w:rsid w:val="007B367D"/>
    <w:rsid w:val="007B4565"/>
    <w:rsid w:val="007B5154"/>
    <w:rsid w:val="007B714B"/>
    <w:rsid w:val="007C0177"/>
    <w:rsid w:val="007C01C1"/>
    <w:rsid w:val="007C581D"/>
    <w:rsid w:val="007C633C"/>
    <w:rsid w:val="007D018E"/>
    <w:rsid w:val="007D30DC"/>
    <w:rsid w:val="007E17F7"/>
    <w:rsid w:val="007E43A4"/>
    <w:rsid w:val="007E4AAF"/>
    <w:rsid w:val="007E565C"/>
    <w:rsid w:val="007E58B7"/>
    <w:rsid w:val="007E6734"/>
    <w:rsid w:val="007E6800"/>
    <w:rsid w:val="007E75CA"/>
    <w:rsid w:val="007F1220"/>
    <w:rsid w:val="007F73B8"/>
    <w:rsid w:val="00803516"/>
    <w:rsid w:val="00805297"/>
    <w:rsid w:val="008079F5"/>
    <w:rsid w:val="00810E67"/>
    <w:rsid w:val="00813A13"/>
    <w:rsid w:val="0081433B"/>
    <w:rsid w:val="00817300"/>
    <w:rsid w:val="008211F3"/>
    <w:rsid w:val="00821209"/>
    <w:rsid w:val="00821E79"/>
    <w:rsid w:val="0082253F"/>
    <w:rsid w:val="00824713"/>
    <w:rsid w:val="00825D1C"/>
    <w:rsid w:val="00825FFF"/>
    <w:rsid w:val="00826244"/>
    <w:rsid w:val="00827AF0"/>
    <w:rsid w:val="00832E78"/>
    <w:rsid w:val="00834B08"/>
    <w:rsid w:val="00834D4A"/>
    <w:rsid w:val="008358D4"/>
    <w:rsid w:val="00836C7B"/>
    <w:rsid w:val="00836FE8"/>
    <w:rsid w:val="008415B2"/>
    <w:rsid w:val="00842795"/>
    <w:rsid w:val="008434F0"/>
    <w:rsid w:val="00847900"/>
    <w:rsid w:val="00850D66"/>
    <w:rsid w:val="00850ED8"/>
    <w:rsid w:val="00851054"/>
    <w:rsid w:val="008529D6"/>
    <w:rsid w:val="00861FED"/>
    <w:rsid w:val="008624EB"/>
    <w:rsid w:val="0086364C"/>
    <w:rsid w:val="008662C4"/>
    <w:rsid w:val="00867320"/>
    <w:rsid w:val="00870C68"/>
    <w:rsid w:val="0087157E"/>
    <w:rsid w:val="00874097"/>
    <w:rsid w:val="008747AD"/>
    <w:rsid w:val="0088045F"/>
    <w:rsid w:val="00880692"/>
    <w:rsid w:val="00880B3C"/>
    <w:rsid w:val="0088132E"/>
    <w:rsid w:val="008828CD"/>
    <w:rsid w:val="00884353"/>
    <w:rsid w:val="0088475E"/>
    <w:rsid w:val="00887118"/>
    <w:rsid w:val="00890C4C"/>
    <w:rsid w:val="0089213D"/>
    <w:rsid w:val="008943AD"/>
    <w:rsid w:val="00895EE3"/>
    <w:rsid w:val="008A0203"/>
    <w:rsid w:val="008A041E"/>
    <w:rsid w:val="008A3978"/>
    <w:rsid w:val="008A546D"/>
    <w:rsid w:val="008A746C"/>
    <w:rsid w:val="008B05E0"/>
    <w:rsid w:val="008B1F4E"/>
    <w:rsid w:val="008B2DE8"/>
    <w:rsid w:val="008B363C"/>
    <w:rsid w:val="008B395A"/>
    <w:rsid w:val="008B3EA1"/>
    <w:rsid w:val="008B416A"/>
    <w:rsid w:val="008C3023"/>
    <w:rsid w:val="008C3F12"/>
    <w:rsid w:val="008C5886"/>
    <w:rsid w:val="008C5FCF"/>
    <w:rsid w:val="008D1BDA"/>
    <w:rsid w:val="008D28D7"/>
    <w:rsid w:val="008D3870"/>
    <w:rsid w:val="008D4861"/>
    <w:rsid w:val="008D4C83"/>
    <w:rsid w:val="008D7EEE"/>
    <w:rsid w:val="008E0EA0"/>
    <w:rsid w:val="008E2014"/>
    <w:rsid w:val="008E2B48"/>
    <w:rsid w:val="008E2BFF"/>
    <w:rsid w:val="008E5151"/>
    <w:rsid w:val="008E63A0"/>
    <w:rsid w:val="008E7496"/>
    <w:rsid w:val="008E776D"/>
    <w:rsid w:val="008F3BC7"/>
    <w:rsid w:val="008F6105"/>
    <w:rsid w:val="00900EB0"/>
    <w:rsid w:val="009029C5"/>
    <w:rsid w:val="009030F2"/>
    <w:rsid w:val="009039DD"/>
    <w:rsid w:val="00904907"/>
    <w:rsid w:val="009049F4"/>
    <w:rsid w:val="00905CEB"/>
    <w:rsid w:val="00910919"/>
    <w:rsid w:val="0091198C"/>
    <w:rsid w:val="00912557"/>
    <w:rsid w:val="00917A47"/>
    <w:rsid w:val="00917AF1"/>
    <w:rsid w:val="0092104F"/>
    <w:rsid w:val="00921D68"/>
    <w:rsid w:val="009236D5"/>
    <w:rsid w:val="00924144"/>
    <w:rsid w:val="00926355"/>
    <w:rsid w:val="0093103F"/>
    <w:rsid w:val="00931D54"/>
    <w:rsid w:val="009351F1"/>
    <w:rsid w:val="00940692"/>
    <w:rsid w:val="009413E4"/>
    <w:rsid w:val="00941970"/>
    <w:rsid w:val="00942A9E"/>
    <w:rsid w:val="00944384"/>
    <w:rsid w:val="00944AFC"/>
    <w:rsid w:val="00944E5F"/>
    <w:rsid w:val="00944F7C"/>
    <w:rsid w:val="0094675D"/>
    <w:rsid w:val="00952392"/>
    <w:rsid w:val="00954225"/>
    <w:rsid w:val="0095552B"/>
    <w:rsid w:val="00956025"/>
    <w:rsid w:val="00965118"/>
    <w:rsid w:val="0096748C"/>
    <w:rsid w:val="009719A3"/>
    <w:rsid w:val="00976A15"/>
    <w:rsid w:val="00980F7D"/>
    <w:rsid w:val="00981ACC"/>
    <w:rsid w:val="00982D34"/>
    <w:rsid w:val="00983D91"/>
    <w:rsid w:val="009846A1"/>
    <w:rsid w:val="00990D4C"/>
    <w:rsid w:val="0099151D"/>
    <w:rsid w:val="00993684"/>
    <w:rsid w:val="00995B93"/>
    <w:rsid w:val="009975E1"/>
    <w:rsid w:val="009A0006"/>
    <w:rsid w:val="009A2463"/>
    <w:rsid w:val="009B1D0C"/>
    <w:rsid w:val="009B652F"/>
    <w:rsid w:val="009C068D"/>
    <w:rsid w:val="009C06F1"/>
    <w:rsid w:val="009C0718"/>
    <w:rsid w:val="009C1B27"/>
    <w:rsid w:val="009C6F74"/>
    <w:rsid w:val="009D121A"/>
    <w:rsid w:val="009D2425"/>
    <w:rsid w:val="009D3025"/>
    <w:rsid w:val="009D35F7"/>
    <w:rsid w:val="009D3C42"/>
    <w:rsid w:val="009D502B"/>
    <w:rsid w:val="009E208E"/>
    <w:rsid w:val="009E613D"/>
    <w:rsid w:val="009F2803"/>
    <w:rsid w:val="009F29F8"/>
    <w:rsid w:val="009F2E56"/>
    <w:rsid w:val="00A001FB"/>
    <w:rsid w:val="00A00336"/>
    <w:rsid w:val="00A03281"/>
    <w:rsid w:val="00A067C2"/>
    <w:rsid w:val="00A119BD"/>
    <w:rsid w:val="00A12912"/>
    <w:rsid w:val="00A143FE"/>
    <w:rsid w:val="00A16E47"/>
    <w:rsid w:val="00A17FBE"/>
    <w:rsid w:val="00A20172"/>
    <w:rsid w:val="00A20884"/>
    <w:rsid w:val="00A214AB"/>
    <w:rsid w:val="00A25573"/>
    <w:rsid w:val="00A27041"/>
    <w:rsid w:val="00A27D1F"/>
    <w:rsid w:val="00A3524F"/>
    <w:rsid w:val="00A3631C"/>
    <w:rsid w:val="00A42F07"/>
    <w:rsid w:val="00A53AE6"/>
    <w:rsid w:val="00A54086"/>
    <w:rsid w:val="00A57A49"/>
    <w:rsid w:val="00A60B37"/>
    <w:rsid w:val="00A6156B"/>
    <w:rsid w:val="00A6232E"/>
    <w:rsid w:val="00A62E38"/>
    <w:rsid w:val="00A62F04"/>
    <w:rsid w:val="00A6402D"/>
    <w:rsid w:val="00A657B2"/>
    <w:rsid w:val="00A678FB"/>
    <w:rsid w:val="00A72430"/>
    <w:rsid w:val="00A731D0"/>
    <w:rsid w:val="00A73E37"/>
    <w:rsid w:val="00A7528B"/>
    <w:rsid w:val="00A76272"/>
    <w:rsid w:val="00A774C9"/>
    <w:rsid w:val="00A82EFA"/>
    <w:rsid w:val="00A836A3"/>
    <w:rsid w:val="00A8784E"/>
    <w:rsid w:val="00A91083"/>
    <w:rsid w:val="00A91B7F"/>
    <w:rsid w:val="00A91FCA"/>
    <w:rsid w:val="00A940C6"/>
    <w:rsid w:val="00A9666C"/>
    <w:rsid w:val="00AA54FD"/>
    <w:rsid w:val="00AA5784"/>
    <w:rsid w:val="00AA5F66"/>
    <w:rsid w:val="00AA77B3"/>
    <w:rsid w:val="00AB5369"/>
    <w:rsid w:val="00AB783E"/>
    <w:rsid w:val="00AC1059"/>
    <w:rsid w:val="00AC3EDB"/>
    <w:rsid w:val="00AC71D9"/>
    <w:rsid w:val="00AC7CE5"/>
    <w:rsid w:val="00AD0FBA"/>
    <w:rsid w:val="00AD1243"/>
    <w:rsid w:val="00AD21EF"/>
    <w:rsid w:val="00AD36FA"/>
    <w:rsid w:val="00AD4B34"/>
    <w:rsid w:val="00AD6679"/>
    <w:rsid w:val="00AD7288"/>
    <w:rsid w:val="00AE22A2"/>
    <w:rsid w:val="00AE3270"/>
    <w:rsid w:val="00AE4701"/>
    <w:rsid w:val="00AE49FE"/>
    <w:rsid w:val="00AE4C98"/>
    <w:rsid w:val="00AF463D"/>
    <w:rsid w:val="00AF5AF2"/>
    <w:rsid w:val="00B00506"/>
    <w:rsid w:val="00B01307"/>
    <w:rsid w:val="00B02AD1"/>
    <w:rsid w:val="00B04ACD"/>
    <w:rsid w:val="00B04E19"/>
    <w:rsid w:val="00B0529F"/>
    <w:rsid w:val="00B0560D"/>
    <w:rsid w:val="00B070CE"/>
    <w:rsid w:val="00B10603"/>
    <w:rsid w:val="00B13CE5"/>
    <w:rsid w:val="00B14C43"/>
    <w:rsid w:val="00B171A1"/>
    <w:rsid w:val="00B17F2A"/>
    <w:rsid w:val="00B2081D"/>
    <w:rsid w:val="00B20BC2"/>
    <w:rsid w:val="00B21888"/>
    <w:rsid w:val="00B21B6E"/>
    <w:rsid w:val="00B21D49"/>
    <w:rsid w:val="00B26B23"/>
    <w:rsid w:val="00B26F42"/>
    <w:rsid w:val="00B276C4"/>
    <w:rsid w:val="00B305BB"/>
    <w:rsid w:val="00B31223"/>
    <w:rsid w:val="00B31602"/>
    <w:rsid w:val="00B379BA"/>
    <w:rsid w:val="00B4434A"/>
    <w:rsid w:val="00B44630"/>
    <w:rsid w:val="00B45566"/>
    <w:rsid w:val="00B469D5"/>
    <w:rsid w:val="00B47553"/>
    <w:rsid w:val="00B5036F"/>
    <w:rsid w:val="00B528E3"/>
    <w:rsid w:val="00B541D5"/>
    <w:rsid w:val="00B55306"/>
    <w:rsid w:val="00B55CFE"/>
    <w:rsid w:val="00B56D7A"/>
    <w:rsid w:val="00B57729"/>
    <w:rsid w:val="00B612AF"/>
    <w:rsid w:val="00B615BB"/>
    <w:rsid w:val="00B61C83"/>
    <w:rsid w:val="00B63050"/>
    <w:rsid w:val="00B64D81"/>
    <w:rsid w:val="00B67816"/>
    <w:rsid w:val="00B72634"/>
    <w:rsid w:val="00B77E78"/>
    <w:rsid w:val="00B80012"/>
    <w:rsid w:val="00B81A2C"/>
    <w:rsid w:val="00B86213"/>
    <w:rsid w:val="00B86456"/>
    <w:rsid w:val="00B87E1D"/>
    <w:rsid w:val="00B92140"/>
    <w:rsid w:val="00B950F8"/>
    <w:rsid w:val="00B97BDE"/>
    <w:rsid w:val="00BA1A85"/>
    <w:rsid w:val="00BA2D11"/>
    <w:rsid w:val="00BA3B6C"/>
    <w:rsid w:val="00BA42B8"/>
    <w:rsid w:val="00BA5AF7"/>
    <w:rsid w:val="00BB4B51"/>
    <w:rsid w:val="00BB700D"/>
    <w:rsid w:val="00BC13CC"/>
    <w:rsid w:val="00BC14EE"/>
    <w:rsid w:val="00BC3961"/>
    <w:rsid w:val="00BC3F70"/>
    <w:rsid w:val="00BC44F0"/>
    <w:rsid w:val="00BC4C97"/>
    <w:rsid w:val="00BC5790"/>
    <w:rsid w:val="00BC5918"/>
    <w:rsid w:val="00BC5953"/>
    <w:rsid w:val="00BC6855"/>
    <w:rsid w:val="00BC7263"/>
    <w:rsid w:val="00BC763A"/>
    <w:rsid w:val="00BC7677"/>
    <w:rsid w:val="00BC7895"/>
    <w:rsid w:val="00BD0850"/>
    <w:rsid w:val="00BD0984"/>
    <w:rsid w:val="00BD307C"/>
    <w:rsid w:val="00BD5205"/>
    <w:rsid w:val="00BD78F1"/>
    <w:rsid w:val="00BE122A"/>
    <w:rsid w:val="00BE31AB"/>
    <w:rsid w:val="00BE4E7A"/>
    <w:rsid w:val="00BE60C1"/>
    <w:rsid w:val="00BE718F"/>
    <w:rsid w:val="00BF2BE6"/>
    <w:rsid w:val="00BF3486"/>
    <w:rsid w:val="00BF3CF9"/>
    <w:rsid w:val="00BF4708"/>
    <w:rsid w:val="00BF6A82"/>
    <w:rsid w:val="00C01A16"/>
    <w:rsid w:val="00C02D69"/>
    <w:rsid w:val="00C069FA"/>
    <w:rsid w:val="00C12B7F"/>
    <w:rsid w:val="00C137A2"/>
    <w:rsid w:val="00C14F5A"/>
    <w:rsid w:val="00C15158"/>
    <w:rsid w:val="00C1629D"/>
    <w:rsid w:val="00C17BEE"/>
    <w:rsid w:val="00C202D0"/>
    <w:rsid w:val="00C20FF8"/>
    <w:rsid w:val="00C22686"/>
    <w:rsid w:val="00C23806"/>
    <w:rsid w:val="00C23DC9"/>
    <w:rsid w:val="00C26057"/>
    <w:rsid w:val="00C3067B"/>
    <w:rsid w:val="00C318EE"/>
    <w:rsid w:val="00C31DD5"/>
    <w:rsid w:val="00C341D7"/>
    <w:rsid w:val="00C34F5B"/>
    <w:rsid w:val="00C35375"/>
    <w:rsid w:val="00C413EB"/>
    <w:rsid w:val="00C43768"/>
    <w:rsid w:val="00C44C4A"/>
    <w:rsid w:val="00C47EDE"/>
    <w:rsid w:val="00C509B5"/>
    <w:rsid w:val="00C51456"/>
    <w:rsid w:val="00C56AEF"/>
    <w:rsid w:val="00C61C83"/>
    <w:rsid w:val="00C7050B"/>
    <w:rsid w:val="00C747B2"/>
    <w:rsid w:val="00C77A15"/>
    <w:rsid w:val="00C835D3"/>
    <w:rsid w:val="00C84F11"/>
    <w:rsid w:val="00C84F64"/>
    <w:rsid w:val="00C85B27"/>
    <w:rsid w:val="00C87014"/>
    <w:rsid w:val="00C9290B"/>
    <w:rsid w:val="00C940D4"/>
    <w:rsid w:val="00C94A68"/>
    <w:rsid w:val="00C94FB3"/>
    <w:rsid w:val="00C97219"/>
    <w:rsid w:val="00CA440D"/>
    <w:rsid w:val="00CA4419"/>
    <w:rsid w:val="00CA71A7"/>
    <w:rsid w:val="00CB0136"/>
    <w:rsid w:val="00CB2CC6"/>
    <w:rsid w:val="00CB3741"/>
    <w:rsid w:val="00CB4029"/>
    <w:rsid w:val="00CB42CF"/>
    <w:rsid w:val="00CB6569"/>
    <w:rsid w:val="00CC1AA7"/>
    <w:rsid w:val="00CD0CA1"/>
    <w:rsid w:val="00CD1F2C"/>
    <w:rsid w:val="00CD2E3D"/>
    <w:rsid w:val="00CD3706"/>
    <w:rsid w:val="00CD4CB9"/>
    <w:rsid w:val="00CD612A"/>
    <w:rsid w:val="00CD6526"/>
    <w:rsid w:val="00CD74BB"/>
    <w:rsid w:val="00CE5D78"/>
    <w:rsid w:val="00CF20F7"/>
    <w:rsid w:val="00CF38CD"/>
    <w:rsid w:val="00CF576A"/>
    <w:rsid w:val="00D01ECF"/>
    <w:rsid w:val="00D11761"/>
    <w:rsid w:val="00D14DED"/>
    <w:rsid w:val="00D15B80"/>
    <w:rsid w:val="00D1657C"/>
    <w:rsid w:val="00D16C75"/>
    <w:rsid w:val="00D177BC"/>
    <w:rsid w:val="00D20D86"/>
    <w:rsid w:val="00D20F84"/>
    <w:rsid w:val="00D21327"/>
    <w:rsid w:val="00D21B02"/>
    <w:rsid w:val="00D243B9"/>
    <w:rsid w:val="00D2561D"/>
    <w:rsid w:val="00D277BE"/>
    <w:rsid w:val="00D27C85"/>
    <w:rsid w:val="00D32328"/>
    <w:rsid w:val="00D333F5"/>
    <w:rsid w:val="00D33C9C"/>
    <w:rsid w:val="00D34117"/>
    <w:rsid w:val="00D34FC6"/>
    <w:rsid w:val="00D36317"/>
    <w:rsid w:val="00D378FC"/>
    <w:rsid w:val="00D37EC6"/>
    <w:rsid w:val="00D4053E"/>
    <w:rsid w:val="00D414A7"/>
    <w:rsid w:val="00D41D0C"/>
    <w:rsid w:val="00D44B17"/>
    <w:rsid w:val="00D44EFF"/>
    <w:rsid w:val="00D46F71"/>
    <w:rsid w:val="00D47D6A"/>
    <w:rsid w:val="00D538AD"/>
    <w:rsid w:val="00D5436F"/>
    <w:rsid w:val="00D55F42"/>
    <w:rsid w:val="00D5628D"/>
    <w:rsid w:val="00D6131A"/>
    <w:rsid w:val="00D67802"/>
    <w:rsid w:val="00D73143"/>
    <w:rsid w:val="00D731D9"/>
    <w:rsid w:val="00D73BA8"/>
    <w:rsid w:val="00D73E30"/>
    <w:rsid w:val="00D77E68"/>
    <w:rsid w:val="00D80057"/>
    <w:rsid w:val="00D81AFF"/>
    <w:rsid w:val="00D825E5"/>
    <w:rsid w:val="00D85657"/>
    <w:rsid w:val="00D8654D"/>
    <w:rsid w:val="00D916A5"/>
    <w:rsid w:val="00D92C06"/>
    <w:rsid w:val="00D93217"/>
    <w:rsid w:val="00D94600"/>
    <w:rsid w:val="00DA0079"/>
    <w:rsid w:val="00DA146E"/>
    <w:rsid w:val="00DA1CFE"/>
    <w:rsid w:val="00DA4C35"/>
    <w:rsid w:val="00DB0E70"/>
    <w:rsid w:val="00DB1594"/>
    <w:rsid w:val="00DB39F1"/>
    <w:rsid w:val="00DB6C48"/>
    <w:rsid w:val="00DC2D9F"/>
    <w:rsid w:val="00DC5496"/>
    <w:rsid w:val="00DC7C64"/>
    <w:rsid w:val="00DC7CA0"/>
    <w:rsid w:val="00DD1589"/>
    <w:rsid w:val="00DD2883"/>
    <w:rsid w:val="00DE3A27"/>
    <w:rsid w:val="00DE7097"/>
    <w:rsid w:val="00DE7280"/>
    <w:rsid w:val="00DF3925"/>
    <w:rsid w:val="00E0209C"/>
    <w:rsid w:val="00E05E1F"/>
    <w:rsid w:val="00E078B9"/>
    <w:rsid w:val="00E110CB"/>
    <w:rsid w:val="00E12204"/>
    <w:rsid w:val="00E12E61"/>
    <w:rsid w:val="00E12F20"/>
    <w:rsid w:val="00E13968"/>
    <w:rsid w:val="00E1439D"/>
    <w:rsid w:val="00E161C7"/>
    <w:rsid w:val="00E20ADC"/>
    <w:rsid w:val="00E20B80"/>
    <w:rsid w:val="00E21C9F"/>
    <w:rsid w:val="00E233D8"/>
    <w:rsid w:val="00E33FB8"/>
    <w:rsid w:val="00E350EA"/>
    <w:rsid w:val="00E35F19"/>
    <w:rsid w:val="00E36174"/>
    <w:rsid w:val="00E40559"/>
    <w:rsid w:val="00E42CD8"/>
    <w:rsid w:val="00E560CA"/>
    <w:rsid w:val="00E60DFC"/>
    <w:rsid w:val="00E62991"/>
    <w:rsid w:val="00E63E39"/>
    <w:rsid w:val="00E661C8"/>
    <w:rsid w:val="00E66D46"/>
    <w:rsid w:val="00E713E0"/>
    <w:rsid w:val="00E72E67"/>
    <w:rsid w:val="00E73310"/>
    <w:rsid w:val="00E74D06"/>
    <w:rsid w:val="00E75ACA"/>
    <w:rsid w:val="00E7643C"/>
    <w:rsid w:val="00E81930"/>
    <w:rsid w:val="00E81983"/>
    <w:rsid w:val="00E8243E"/>
    <w:rsid w:val="00E82946"/>
    <w:rsid w:val="00E90C95"/>
    <w:rsid w:val="00E9132D"/>
    <w:rsid w:val="00E955C3"/>
    <w:rsid w:val="00E95D91"/>
    <w:rsid w:val="00EA4A72"/>
    <w:rsid w:val="00EA5000"/>
    <w:rsid w:val="00EA630B"/>
    <w:rsid w:val="00EA6A38"/>
    <w:rsid w:val="00EA76CD"/>
    <w:rsid w:val="00EB1489"/>
    <w:rsid w:val="00EB3F54"/>
    <w:rsid w:val="00EB4D63"/>
    <w:rsid w:val="00EB60AB"/>
    <w:rsid w:val="00EB6665"/>
    <w:rsid w:val="00EB7C4E"/>
    <w:rsid w:val="00EC21EB"/>
    <w:rsid w:val="00EC294B"/>
    <w:rsid w:val="00EC2BA0"/>
    <w:rsid w:val="00EC729C"/>
    <w:rsid w:val="00ED2CF4"/>
    <w:rsid w:val="00ED4087"/>
    <w:rsid w:val="00ED410A"/>
    <w:rsid w:val="00ED77B1"/>
    <w:rsid w:val="00ED78BD"/>
    <w:rsid w:val="00ED78D1"/>
    <w:rsid w:val="00ED7BEF"/>
    <w:rsid w:val="00EE301C"/>
    <w:rsid w:val="00EE38C7"/>
    <w:rsid w:val="00EE47B5"/>
    <w:rsid w:val="00EE4C16"/>
    <w:rsid w:val="00EE54B1"/>
    <w:rsid w:val="00EE568C"/>
    <w:rsid w:val="00EF14C8"/>
    <w:rsid w:val="00EF5018"/>
    <w:rsid w:val="00EF609D"/>
    <w:rsid w:val="00EF776F"/>
    <w:rsid w:val="00EF7E24"/>
    <w:rsid w:val="00F00406"/>
    <w:rsid w:val="00F00C27"/>
    <w:rsid w:val="00F039D7"/>
    <w:rsid w:val="00F04FC0"/>
    <w:rsid w:val="00F06CD7"/>
    <w:rsid w:val="00F07092"/>
    <w:rsid w:val="00F11E9F"/>
    <w:rsid w:val="00F15571"/>
    <w:rsid w:val="00F2098F"/>
    <w:rsid w:val="00F20D53"/>
    <w:rsid w:val="00F21485"/>
    <w:rsid w:val="00F24E4D"/>
    <w:rsid w:val="00F25A23"/>
    <w:rsid w:val="00F301E5"/>
    <w:rsid w:val="00F3282E"/>
    <w:rsid w:val="00F331A9"/>
    <w:rsid w:val="00F34AC5"/>
    <w:rsid w:val="00F353A9"/>
    <w:rsid w:val="00F3765A"/>
    <w:rsid w:val="00F40E63"/>
    <w:rsid w:val="00F43CCE"/>
    <w:rsid w:val="00F45967"/>
    <w:rsid w:val="00F4627C"/>
    <w:rsid w:val="00F46AE5"/>
    <w:rsid w:val="00F47C7C"/>
    <w:rsid w:val="00F604A2"/>
    <w:rsid w:val="00F63469"/>
    <w:rsid w:val="00F63C3A"/>
    <w:rsid w:val="00F64011"/>
    <w:rsid w:val="00F66CE4"/>
    <w:rsid w:val="00F6762E"/>
    <w:rsid w:val="00F700F0"/>
    <w:rsid w:val="00F7448C"/>
    <w:rsid w:val="00F80B4B"/>
    <w:rsid w:val="00F825CF"/>
    <w:rsid w:val="00F83913"/>
    <w:rsid w:val="00F87377"/>
    <w:rsid w:val="00F87683"/>
    <w:rsid w:val="00F91A2A"/>
    <w:rsid w:val="00F9658C"/>
    <w:rsid w:val="00FA0D37"/>
    <w:rsid w:val="00FA275E"/>
    <w:rsid w:val="00FA418D"/>
    <w:rsid w:val="00FA5871"/>
    <w:rsid w:val="00FA6A00"/>
    <w:rsid w:val="00FA6CD1"/>
    <w:rsid w:val="00FB07B2"/>
    <w:rsid w:val="00FB2572"/>
    <w:rsid w:val="00FB2E53"/>
    <w:rsid w:val="00FB5ED6"/>
    <w:rsid w:val="00FB619F"/>
    <w:rsid w:val="00FB67FD"/>
    <w:rsid w:val="00FC0032"/>
    <w:rsid w:val="00FC016A"/>
    <w:rsid w:val="00FC332E"/>
    <w:rsid w:val="00FC5F11"/>
    <w:rsid w:val="00FD1520"/>
    <w:rsid w:val="00FD364B"/>
    <w:rsid w:val="00FD3704"/>
    <w:rsid w:val="00FD3B41"/>
    <w:rsid w:val="00FD444B"/>
    <w:rsid w:val="00FD4AE6"/>
    <w:rsid w:val="00FD6874"/>
    <w:rsid w:val="00FE2202"/>
    <w:rsid w:val="00FE375A"/>
    <w:rsid w:val="00FF3097"/>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FACF1"/>
  <w15:chartTrackingRefBased/>
  <w15:docId w15:val="{2A1B2971-C28A-4C9F-AADC-E43A2010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DE4"/>
    <w:pPr>
      <w:spacing w:after="0" w:line="240" w:lineRule="auto"/>
      <w:jc w:val="both"/>
    </w:pPr>
    <w:rPr>
      <w:rFonts w:ascii="Verdana" w:eastAsia="Batang" w:hAnsi="Verdana" w:cs="Times"/>
      <w:sz w:val="20"/>
      <w:szCs w:val="24"/>
      <w:lang w:val="es-ES"/>
    </w:rPr>
  </w:style>
  <w:style w:type="paragraph" w:styleId="Ttulo1">
    <w:name w:val="heading 1"/>
    <w:basedOn w:val="Normal"/>
    <w:next w:val="Normal"/>
    <w:link w:val="Ttulo1Car"/>
    <w:uiPriority w:val="9"/>
    <w:qFormat/>
    <w:rsid w:val="007B0DE4"/>
    <w:pPr>
      <w:keepNext/>
      <w:keepLines/>
      <w:spacing w:before="360" w:after="360"/>
      <w:jc w:val="center"/>
      <w:outlineLvl w:val="0"/>
    </w:pPr>
    <w:rPr>
      <w:rFonts w:eastAsia="Times New Roman" w:cs="Times New Roman"/>
      <w:b/>
      <w:bCs/>
      <w:caps/>
      <w:noProof/>
      <w:snapToGrid w:val="0"/>
      <w:szCs w:val="20"/>
      <w:lang w:val="es-CR" w:eastAsia="es-ES"/>
    </w:rPr>
  </w:style>
  <w:style w:type="paragraph" w:styleId="Ttulo2">
    <w:name w:val="heading 2"/>
    <w:basedOn w:val="Normal"/>
    <w:next w:val="Normal"/>
    <w:link w:val="Ttulo2Car"/>
    <w:uiPriority w:val="9"/>
    <w:qFormat/>
    <w:rsid w:val="007B0DE4"/>
    <w:pPr>
      <w:keepNext/>
      <w:keepLines/>
      <w:numPr>
        <w:numId w:val="5"/>
      </w:numPr>
      <w:spacing w:before="240" w:after="240"/>
      <w:outlineLvl w:val="1"/>
    </w:pPr>
    <w:rPr>
      <w:rFonts w:eastAsia="Times New Roman" w:cs="Times New Roman"/>
      <w:b/>
      <w:bCs/>
      <w:i/>
      <w:noProof/>
      <w:szCs w:val="20"/>
      <w:lang w:val="es-ES_tradnl" w:eastAsia="x-none"/>
    </w:rPr>
  </w:style>
  <w:style w:type="paragraph" w:styleId="Ttulo3">
    <w:name w:val="heading 3"/>
    <w:basedOn w:val="Normal"/>
    <w:next w:val="Normal"/>
    <w:link w:val="Ttulo3Car"/>
    <w:uiPriority w:val="9"/>
    <w:qFormat/>
    <w:rsid w:val="007B0DE4"/>
    <w:pPr>
      <w:keepNext/>
      <w:spacing w:before="240" w:after="240"/>
      <w:ind w:left="1068"/>
      <w:outlineLvl w:val="2"/>
    </w:pPr>
    <w:rPr>
      <w:rFonts w:eastAsia="Times New Roman" w:cs="Times New Roman"/>
      <w:bCs/>
      <w:i/>
      <w:noProof/>
      <w:szCs w:val="20"/>
      <w:lang w:val="es-ES_tradnl" w:eastAsia="x-none"/>
    </w:rPr>
  </w:style>
  <w:style w:type="paragraph" w:styleId="Ttulo4">
    <w:name w:val="heading 4"/>
    <w:basedOn w:val="Normal"/>
    <w:next w:val="Normal"/>
    <w:link w:val="Ttulo4Car"/>
    <w:uiPriority w:val="9"/>
    <w:qFormat/>
    <w:rsid w:val="007B0DE4"/>
    <w:pPr>
      <w:keepNext/>
      <w:keepLines/>
      <w:spacing w:before="240" w:after="240"/>
      <w:ind w:left="1418" w:firstLine="709"/>
      <w:outlineLvl w:val="3"/>
    </w:pPr>
    <w:rPr>
      <w:rFonts w:eastAsia="Times New Roman" w:cs="Times New Roman"/>
      <w:bCs/>
      <w:i/>
      <w:iCs/>
      <w:noProof/>
      <w:lang w:val="es-ES_tradnl" w:eastAsia="x-none"/>
    </w:rPr>
  </w:style>
  <w:style w:type="paragraph" w:styleId="Ttulo5">
    <w:name w:val="heading 5"/>
    <w:basedOn w:val="Normal"/>
    <w:next w:val="Normal"/>
    <w:link w:val="Ttulo5Car"/>
    <w:uiPriority w:val="9"/>
    <w:qFormat/>
    <w:rsid w:val="007B0DE4"/>
    <w:pPr>
      <w:keepNext/>
      <w:keepLines/>
      <w:numPr>
        <w:numId w:val="7"/>
      </w:numPr>
      <w:spacing w:before="240" w:after="240"/>
      <w:outlineLvl w:val="4"/>
    </w:pPr>
    <w:rPr>
      <w:rFonts w:eastAsia="Times New Roman" w:cs="Times New Roman"/>
      <w:i/>
      <w:noProof/>
      <w:lang w:val="es-ES_tradnl" w:eastAsia="x-none"/>
    </w:rPr>
  </w:style>
  <w:style w:type="paragraph" w:styleId="Ttulo7">
    <w:name w:val="heading 7"/>
    <w:basedOn w:val="Normal"/>
    <w:next w:val="Normal"/>
    <w:link w:val="Ttulo7Car"/>
    <w:uiPriority w:val="9"/>
    <w:qFormat/>
    <w:rsid w:val="007B0DE4"/>
    <w:pPr>
      <w:keepNext/>
      <w:keepLines/>
      <w:spacing w:before="200"/>
      <w:outlineLvl w:val="6"/>
    </w:pPr>
    <w:rPr>
      <w:rFonts w:ascii="Cambria" w:eastAsia="Times New Roman" w:hAnsi="Cambria" w:cs="Times New Roman"/>
      <w:i/>
      <w:iCs/>
      <w:noProof/>
      <w:color w:val="40404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0DE4"/>
    <w:rPr>
      <w:rFonts w:ascii="Verdana" w:eastAsia="Times New Roman" w:hAnsi="Verdana" w:cs="Times New Roman"/>
      <w:b/>
      <w:bCs/>
      <w:caps/>
      <w:noProof/>
      <w:snapToGrid w:val="0"/>
      <w:sz w:val="20"/>
      <w:szCs w:val="20"/>
      <w:lang w:val="es-CR" w:eastAsia="es-ES"/>
    </w:rPr>
  </w:style>
  <w:style w:type="character" w:customStyle="1" w:styleId="Ttulo2Car">
    <w:name w:val="Título 2 Car"/>
    <w:basedOn w:val="Fuentedeprrafopredeter"/>
    <w:link w:val="Ttulo2"/>
    <w:uiPriority w:val="9"/>
    <w:rsid w:val="007B0DE4"/>
    <w:rPr>
      <w:rFonts w:ascii="Verdana" w:eastAsia="Times New Roman" w:hAnsi="Verdana" w:cs="Times New Roman"/>
      <w:b/>
      <w:bCs/>
      <w:i/>
      <w:noProof/>
      <w:sz w:val="20"/>
      <w:szCs w:val="20"/>
      <w:lang w:val="es-ES_tradnl" w:eastAsia="x-none"/>
    </w:rPr>
  </w:style>
  <w:style w:type="character" w:customStyle="1" w:styleId="Ttulo3Car">
    <w:name w:val="Título 3 Car"/>
    <w:basedOn w:val="Fuentedeprrafopredeter"/>
    <w:link w:val="Ttulo3"/>
    <w:uiPriority w:val="9"/>
    <w:rsid w:val="007B0DE4"/>
    <w:rPr>
      <w:rFonts w:ascii="Verdana" w:eastAsia="Times New Roman" w:hAnsi="Verdana" w:cs="Times New Roman"/>
      <w:bCs/>
      <w:i/>
      <w:noProof/>
      <w:sz w:val="20"/>
      <w:szCs w:val="20"/>
      <w:lang w:val="es-ES_tradnl" w:eastAsia="x-none"/>
    </w:rPr>
  </w:style>
  <w:style w:type="character" w:customStyle="1" w:styleId="Ttulo4Car">
    <w:name w:val="Título 4 Car"/>
    <w:basedOn w:val="Fuentedeprrafopredeter"/>
    <w:link w:val="Ttulo4"/>
    <w:uiPriority w:val="9"/>
    <w:rsid w:val="007B0DE4"/>
    <w:rPr>
      <w:rFonts w:ascii="Verdana" w:eastAsia="Times New Roman" w:hAnsi="Verdana" w:cs="Times New Roman"/>
      <w:bCs/>
      <w:i/>
      <w:iCs/>
      <w:noProof/>
      <w:sz w:val="20"/>
      <w:szCs w:val="24"/>
      <w:lang w:val="es-ES_tradnl" w:eastAsia="x-none"/>
    </w:rPr>
  </w:style>
  <w:style w:type="character" w:customStyle="1" w:styleId="Ttulo5Car">
    <w:name w:val="Título 5 Car"/>
    <w:basedOn w:val="Fuentedeprrafopredeter"/>
    <w:link w:val="Ttulo5"/>
    <w:uiPriority w:val="9"/>
    <w:rsid w:val="007B0DE4"/>
    <w:rPr>
      <w:rFonts w:ascii="Verdana" w:eastAsia="Times New Roman" w:hAnsi="Verdana" w:cs="Times New Roman"/>
      <w:i/>
      <w:noProof/>
      <w:sz w:val="20"/>
      <w:szCs w:val="24"/>
      <w:lang w:val="es-ES_tradnl" w:eastAsia="x-none"/>
    </w:rPr>
  </w:style>
  <w:style w:type="character" w:customStyle="1" w:styleId="Ttulo7Car">
    <w:name w:val="Título 7 Car"/>
    <w:basedOn w:val="Fuentedeprrafopredeter"/>
    <w:link w:val="Ttulo7"/>
    <w:uiPriority w:val="9"/>
    <w:rsid w:val="007B0DE4"/>
    <w:rPr>
      <w:rFonts w:ascii="Cambria" w:eastAsia="Times New Roman" w:hAnsi="Cambria" w:cs="Times New Roman"/>
      <w:i/>
      <w:iCs/>
      <w:noProof/>
      <w:color w:val="404040"/>
      <w:sz w:val="20"/>
      <w:szCs w:val="24"/>
      <w:lang w:val="es-ES_tradnl" w:eastAsia="x-none"/>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uiPriority w:val="99"/>
    <w:qFormat/>
    <w:rsid w:val="007B0DE4"/>
    <w:rPr>
      <w:rFonts w:cs="Times New Roman"/>
      <w:szCs w:val="20"/>
      <w:vertAlign w:val="superscript"/>
    </w:rPr>
  </w:style>
  <w:style w:type="paragraph" w:styleId="Ttulo">
    <w:name w:val="Title"/>
    <w:basedOn w:val="Normal"/>
    <w:link w:val="TtuloCar"/>
    <w:uiPriority w:val="99"/>
    <w:qFormat/>
    <w:rsid w:val="007B0DE4"/>
    <w:pPr>
      <w:jc w:val="center"/>
    </w:pPr>
    <w:rPr>
      <w:rFonts w:eastAsia="Times New Roman" w:cs="Times New Roman"/>
      <w:b/>
      <w:noProof/>
      <w:szCs w:val="20"/>
      <w:lang w:val="es-ES_tradnl" w:eastAsia="x-none"/>
    </w:rPr>
  </w:style>
  <w:style w:type="character" w:customStyle="1" w:styleId="TtuloCar">
    <w:name w:val="Título Car"/>
    <w:basedOn w:val="Fuentedeprrafopredeter"/>
    <w:link w:val="Ttulo"/>
    <w:uiPriority w:val="99"/>
    <w:rsid w:val="007B0DE4"/>
    <w:rPr>
      <w:rFonts w:ascii="Verdana" w:eastAsia="Times New Roman" w:hAnsi="Verdana" w:cs="Times New Roman"/>
      <w:b/>
      <w:noProof/>
      <w:sz w:val="20"/>
      <w:szCs w:val="20"/>
      <w:lang w:val="es-ES_tradnl" w:eastAsia="x-none"/>
    </w:rPr>
  </w:style>
  <w:style w:type="paragraph" w:styleId="Subttulo">
    <w:name w:val="Subtitle"/>
    <w:basedOn w:val="Normal"/>
    <w:next w:val="Normal"/>
    <w:link w:val="SubttuloCar"/>
    <w:qFormat/>
    <w:rsid w:val="007B0DE4"/>
    <w:pPr>
      <w:numPr>
        <w:ilvl w:val="1"/>
      </w:numPr>
      <w:jc w:val="center"/>
    </w:pPr>
    <w:rPr>
      <w:rFonts w:eastAsia="Times New Roman" w:cs="Times New Roman"/>
      <w:b/>
      <w:i/>
      <w:iCs/>
      <w:noProof/>
      <w:spacing w:val="15"/>
      <w:lang w:val="es-ES_tradnl" w:eastAsia="x-none"/>
    </w:rPr>
  </w:style>
  <w:style w:type="character" w:customStyle="1" w:styleId="SubttuloCar">
    <w:name w:val="Subtítulo Car"/>
    <w:basedOn w:val="Fuentedeprrafopredeter"/>
    <w:link w:val="Subttulo"/>
    <w:rsid w:val="007B0DE4"/>
    <w:rPr>
      <w:rFonts w:ascii="Verdana" w:eastAsia="Times New Roman" w:hAnsi="Verdana" w:cs="Times New Roman"/>
      <w:b/>
      <w:i/>
      <w:iCs/>
      <w:noProof/>
      <w:spacing w:val="15"/>
      <w:sz w:val="20"/>
      <w:szCs w:val="24"/>
      <w:lang w:val="es-ES_tradnl" w:eastAsia="x-none"/>
    </w:rPr>
  </w:style>
  <w:style w:type="paragraph" w:customStyle="1" w:styleId="citaindirecta">
    <w:name w:val="cita indirecta"/>
    <w:basedOn w:val="Normal"/>
    <w:uiPriority w:val="99"/>
    <w:rsid w:val="007B0DE4"/>
    <w:pPr>
      <w:ind w:left="708"/>
    </w:pPr>
    <w:rPr>
      <w:rFonts w:eastAsia="Times New Roman" w:cs="Times New Roman"/>
      <w:szCs w:val="20"/>
    </w:rPr>
  </w:style>
  <w:style w:type="character" w:customStyle="1" w:styleId="Cuadrculamedia1-nfasis2Car">
    <w:name w:val="Cuadrícula media 1 - Énfasis 2 Car"/>
    <w:aliases w:val="Footnote Car,List Paragraph1 Car,Colorful List - Accent 11 Car,Párrafo de lista1 Car"/>
    <w:link w:val="Cuadrculamedia1-nfasis2"/>
    <w:semiHidden/>
    <w:locked/>
    <w:rsid w:val="007B0DE4"/>
    <w:rPr>
      <w:rFonts w:ascii="Verdana" w:eastAsia="Batang" w:hAnsi="Verdana" w:cs="Times"/>
      <w:noProof/>
      <w:sz w:val="20"/>
      <w:szCs w:val="24"/>
      <w:lang w:val="es-ES_tradnl"/>
    </w:rPr>
  </w:style>
  <w:style w:type="table" w:styleId="Cuadrculamedia1-nfasis2">
    <w:name w:val="Medium Grid 1 Accent 2"/>
    <w:basedOn w:val="Tablanormal"/>
    <w:link w:val="Cuadrculamedia1-nfasis2Car"/>
    <w:semiHidden/>
    <w:unhideWhenUsed/>
    <w:rsid w:val="007B0DE4"/>
    <w:pPr>
      <w:spacing w:after="0" w:line="240" w:lineRule="auto"/>
    </w:pPr>
    <w:rPr>
      <w:rFonts w:ascii="Verdana" w:eastAsia="Batang" w:hAnsi="Verdana" w:cs="Times"/>
      <w:noProof/>
      <w:sz w:val="20"/>
      <w:szCs w:val="24"/>
      <w:lang w:val="es-ES_tradnl"/>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Textonotapie">
    <w:name w:val="footnote text"/>
    <w:aliases w:val="2. Footnote Text,Footnote Tesina,FA Fu,Footnote Text Char Char Char Char Char,Footnote Text Char Char Char Char,Footnote reference,Footnote Text Char Char Char,Footnote Text Cha,FA Fußnotentext,FA Fuﬂnotentext,Ca,C,ft,5"/>
    <w:basedOn w:val="Normal"/>
    <w:link w:val="TextonotapieCar1"/>
    <w:unhideWhenUsed/>
    <w:qFormat/>
    <w:rsid w:val="007B0DE4"/>
    <w:pPr>
      <w:spacing w:before="120" w:after="120"/>
    </w:pPr>
    <w:rPr>
      <w:rFonts w:cs="Times New Roman"/>
      <w:noProof/>
      <w:sz w:val="16"/>
      <w:szCs w:val="20"/>
      <w:lang w:val="es-ES_tradnl" w:eastAsia="x-none"/>
    </w:rPr>
  </w:style>
  <w:style w:type="character" w:customStyle="1" w:styleId="TextonotapieCar">
    <w:name w:val="Texto nota pie Car"/>
    <w:basedOn w:val="Fuentedeprrafopredeter"/>
    <w:uiPriority w:val="99"/>
    <w:semiHidden/>
    <w:rsid w:val="007B0DE4"/>
    <w:rPr>
      <w:rFonts w:ascii="Verdana" w:eastAsia="Batang" w:hAnsi="Verdana" w:cs="Times"/>
      <w:sz w:val="20"/>
      <w:szCs w:val="20"/>
      <w:lang w:val="es-ES"/>
    </w:rPr>
  </w:style>
  <w:style w:type="character" w:customStyle="1" w:styleId="TextonotapieCar1">
    <w:name w:val="Texto nota pie Car1"/>
    <w:aliases w:val="2. Footnote Text Car,Footnote Tesina Car,FA Fu Car,Footnote Text Char Char Char Char Char Car,Footnote Text Char Char Char Char Car,Footnote reference Car,Footnote Text Char Char Char Car,Footnote Text Cha Car,FA Fußnotentext Car"/>
    <w:link w:val="Textonotapie"/>
    <w:rsid w:val="007B0DE4"/>
    <w:rPr>
      <w:rFonts w:ascii="Verdana" w:eastAsia="Batang" w:hAnsi="Verdana" w:cs="Times New Roman"/>
      <w:noProof/>
      <w:sz w:val="16"/>
      <w:szCs w:val="20"/>
      <w:lang w:val="es-ES_tradnl" w:eastAsia="x-none"/>
    </w:rPr>
  </w:style>
  <w:style w:type="character" w:customStyle="1" w:styleId="FootnoteTextChar">
    <w:name w:val="Footnote Text Char"/>
    <w:aliases w:val="FA Fußnotentext Char,FA Fuﬂnotentext Char,C Char,ft Char,Texto nota pie Car Char,FA Fu Car Char,FA Fu Car Car Char,2. Footnote Text Char1,Footnote Tesina Char1,FA Fu Char1,Footnote Text Char Char Char Char Char Char1,Ca Char1"/>
    <w:rsid w:val="007B0DE4"/>
    <w:rPr>
      <w:rFonts w:ascii="Verdana" w:eastAsia="Batang" w:hAnsi="Verdana" w:cs="Times"/>
      <w:noProof/>
      <w:sz w:val="20"/>
      <w:szCs w:val="20"/>
      <w:lang w:val="es-ES_tradnl"/>
    </w:rPr>
  </w:style>
  <w:style w:type="paragraph" w:customStyle="1" w:styleId="Estilo1">
    <w:name w:val="Estilo1"/>
    <w:basedOn w:val="Normal"/>
    <w:link w:val="Estilo1Car"/>
    <w:qFormat/>
    <w:rsid w:val="007B0DE4"/>
    <w:pPr>
      <w:spacing w:after="120"/>
      <w:ind w:left="2018" w:right="6" w:hanging="180"/>
    </w:pPr>
    <w:rPr>
      <w:rFonts w:cs="Times New Roman"/>
      <w:i/>
      <w:noProof/>
      <w:lang w:val="es-ES_tradnl" w:eastAsia="x-none"/>
    </w:rPr>
  </w:style>
  <w:style w:type="character" w:customStyle="1" w:styleId="Estilo1Car">
    <w:name w:val="Estilo1 Car"/>
    <w:link w:val="Estilo1"/>
    <w:rsid w:val="007B0DE4"/>
    <w:rPr>
      <w:rFonts w:ascii="Verdana" w:eastAsia="Batang" w:hAnsi="Verdana" w:cs="Times New Roman"/>
      <w:i/>
      <w:noProof/>
      <w:sz w:val="20"/>
      <w:szCs w:val="24"/>
      <w:lang w:val="es-ES_tradnl" w:eastAsia="x-none"/>
    </w:rPr>
  </w:style>
  <w:style w:type="paragraph" w:customStyle="1" w:styleId="Style1">
    <w:name w:val="Style1"/>
    <w:basedOn w:val="Ttulo1"/>
    <w:link w:val="Style1Char"/>
    <w:qFormat/>
    <w:rsid w:val="007B0DE4"/>
    <w:pPr>
      <w:spacing w:before="0"/>
    </w:pPr>
    <w:rPr>
      <w:b w:val="0"/>
      <w:bCs w:val="0"/>
      <w:caps w:val="0"/>
      <w:lang w:val="es-ES"/>
    </w:rPr>
  </w:style>
  <w:style w:type="character" w:customStyle="1" w:styleId="Style1Char">
    <w:name w:val="Style1 Char"/>
    <w:link w:val="Style1"/>
    <w:rsid w:val="007B0DE4"/>
    <w:rPr>
      <w:rFonts w:ascii="Verdana" w:eastAsia="Times New Roman" w:hAnsi="Verdana" w:cs="Times New Roman"/>
      <w:noProof/>
      <w:snapToGrid w:val="0"/>
      <w:sz w:val="20"/>
      <w:szCs w:val="20"/>
      <w:lang w:val="es-ES" w:eastAsia="es-ES"/>
    </w:rPr>
  </w:style>
  <w:style w:type="paragraph" w:customStyle="1" w:styleId="Estilo7">
    <w:name w:val="Estilo7"/>
    <w:basedOn w:val="Normal"/>
    <w:qFormat/>
    <w:rsid w:val="007B0DE4"/>
    <w:pPr>
      <w:numPr>
        <w:ilvl w:val="2"/>
        <w:numId w:val="4"/>
      </w:numPr>
      <w:tabs>
        <w:tab w:val="left" w:pos="567"/>
        <w:tab w:val="left" w:pos="851"/>
      </w:tabs>
      <w:spacing w:before="120" w:after="120"/>
    </w:pPr>
    <w:rPr>
      <w:rFonts w:cs="Times New Roman"/>
      <w:b/>
      <w:i/>
      <w:szCs w:val="20"/>
      <w:lang w:eastAsia="es-MX"/>
    </w:rPr>
  </w:style>
  <w:style w:type="paragraph" w:customStyle="1" w:styleId="Footnotes">
    <w:name w:val="**. Footnotes"/>
    <w:basedOn w:val="Textonotapie"/>
    <w:link w:val="FootnotesChar"/>
    <w:autoRedefine/>
    <w:qFormat/>
    <w:rsid w:val="007B0DE4"/>
    <w:rPr>
      <w:rFonts w:eastAsia="Times New Roman"/>
      <w:bCs/>
      <w:iCs/>
      <w:szCs w:val="16"/>
    </w:rPr>
  </w:style>
  <w:style w:type="character" w:customStyle="1" w:styleId="FootnotesChar">
    <w:name w:val="**. Footnotes Char"/>
    <w:link w:val="Footnotes"/>
    <w:rsid w:val="007B0DE4"/>
    <w:rPr>
      <w:rFonts w:ascii="Verdana" w:eastAsia="Times New Roman" w:hAnsi="Verdana" w:cs="Times New Roman"/>
      <w:bCs/>
      <w:iCs/>
      <w:noProof/>
      <w:sz w:val="16"/>
      <w:szCs w:val="16"/>
      <w:lang w:val="es-ES_tradnl" w:eastAsia="x-none"/>
    </w:rPr>
  </w:style>
  <w:style w:type="character" w:styleId="Hipervnculo">
    <w:name w:val="Hyperlink"/>
    <w:uiPriority w:val="99"/>
    <w:unhideWhenUsed/>
    <w:rsid w:val="007B0DE4"/>
    <w:rPr>
      <w:color w:val="0000FF"/>
      <w:u w:val="single"/>
    </w:rPr>
  </w:style>
  <w:style w:type="paragraph" w:customStyle="1" w:styleId="Style2">
    <w:name w:val="Style2"/>
    <w:basedOn w:val="Ttulo2"/>
    <w:link w:val="Style2Char"/>
    <w:autoRedefine/>
    <w:qFormat/>
    <w:rsid w:val="007B0DE4"/>
    <w:pPr>
      <w:numPr>
        <w:numId w:val="0"/>
      </w:numPr>
      <w:spacing w:before="360"/>
    </w:pPr>
    <w:rPr>
      <w:b w:val="0"/>
      <w:bCs w:val="0"/>
      <w:i w:val="0"/>
      <w:lang w:val="es-CR"/>
    </w:rPr>
  </w:style>
  <w:style w:type="character" w:customStyle="1" w:styleId="Style2Char">
    <w:name w:val="Style2 Char"/>
    <w:link w:val="Style2"/>
    <w:rsid w:val="007B0DE4"/>
    <w:rPr>
      <w:rFonts w:ascii="Verdana" w:eastAsia="Times New Roman" w:hAnsi="Verdana" w:cs="Times New Roman"/>
      <w:noProof/>
      <w:sz w:val="20"/>
      <w:szCs w:val="20"/>
      <w:lang w:val="es-CR" w:eastAsia="x-none"/>
    </w:rPr>
  </w:style>
  <w:style w:type="paragraph" w:customStyle="1" w:styleId="Default">
    <w:name w:val="Default"/>
    <w:rsid w:val="007B0DE4"/>
    <w:pPr>
      <w:autoSpaceDE w:val="0"/>
      <w:autoSpaceDN w:val="0"/>
      <w:adjustRightInd w:val="0"/>
      <w:spacing w:after="0" w:line="240" w:lineRule="auto"/>
    </w:pPr>
    <w:rPr>
      <w:rFonts w:ascii="Verdana" w:eastAsia="Calibri" w:hAnsi="Verdana" w:cs="Verdana"/>
      <w:color w:val="000000"/>
      <w:sz w:val="24"/>
      <w:szCs w:val="24"/>
      <w:lang w:val="en-US"/>
    </w:rPr>
  </w:style>
  <w:style w:type="paragraph" w:styleId="TDC1">
    <w:name w:val="toc 1"/>
    <w:basedOn w:val="Normal"/>
    <w:next w:val="Normal"/>
    <w:autoRedefine/>
    <w:uiPriority w:val="39"/>
    <w:unhideWhenUsed/>
    <w:rsid w:val="007B0DE4"/>
    <w:pPr>
      <w:tabs>
        <w:tab w:val="right" w:leader="dot" w:pos="9356"/>
      </w:tabs>
      <w:spacing w:before="60" w:after="60"/>
    </w:pPr>
    <w:rPr>
      <w:b/>
      <w:sz w:val="18"/>
    </w:rPr>
  </w:style>
  <w:style w:type="paragraph" w:styleId="TDC2">
    <w:name w:val="toc 2"/>
    <w:basedOn w:val="Normal"/>
    <w:next w:val="Normal"/>
    <w:autoRedefine/>
    <w:uiPriority w:val="39"/>
    <w:unhideWhenUsed/>
    <w:rsid w:val="007B0DE4"/>
    <w:pPr>
      <w:tabs>
        <w:tab w:val="left" w:pos="426"/>
        <w:tab w:val="right" w:leader="dot" w:pos="9356"/>
      </w:tabs>
      <w:spacing w:before="60" w:after="60"/>
      <w:ind w:left="142"/>
      <w:contextualSpacing/>
    </w:pPr>
    <w:rPr>
      <w:smallCaps/>
      <w:sz w:val="18"/>
    </w:rPr>
  </w:style>
  <w:style w:type="paragraph" w:styleId="TDC3">
    <w:name w:val="toc 3"/>
    <w:basedOn w:val="Normal"/>
    <w:next w:val="Normal"/>
    <w:autoRedefine/>
    <w:uiPriority w:val="39"/>
    <w:unhideWhenUsed/>
    <w:rsid w:val="007B0DE4"/>
    <w:pPr>
      <w:tabs>
        <w:tab w:val="left" w:pos="851"/>
        <w:tab w:val="right" w:leader="dot" w:pos="9356"/>
      </w:tabs>
      <w:spacing w:before="60" w:after="60"/>
      <w:ind w:left="426" w:right="4"/>
      <w:contextualSpacing/>
    </w:pPr>
    <w:rPr>
      <w:sz w:val="18"/>
    </w:rPr>
  </w:style>
  <w:style w:type="paragraph" w:styleId="TDC4">
    <w:name w:val="toc 4"/>
    <w:basedOn w:val="Normal"/>
    <w:next w:val="Normal"/>
    <w:autoRedefine/>
    <w:uiPriority w:val="39"/>
    <w:unhideWhenUsed/>
    <w:rsid w:val="007B0DE4"/>
    <w:pPr>
      <w:spacing w:before="60" w:after="60"/>
      <w:ind w:left="601"/>
      <w:contextualSpacing/>
    </w:pPr>
    <w:rPr>
      <w:sz w:val="18"/>
    </w:rPr>
  </w:style>
  <w:style w:type="paragraph" w:styleId="TDC5">
    <w:name w:val="toc 5"/>
    <w:basedOn w:val="Normal"/>
    <w:next w:val="Normal"/>
    <w:autoRedefine/>
    <w:uiPriority w:val="39"/>
    <w:unhideWhenUsed/>
    <w:rsid w:val="007B0DE4"/>
    <w:pPr>
      <w:spacing w:before="60" w:after="60"/>
      <w:ind w:left="799"/>
      <w:contextualSpacing/>
    </w:pPr>
    <w:rPr>
      <w:sz w:val="18"/>
    </w:rPr>
  </w:style>
  <w:style w:type="character" w:customStyle="1" w:styleId="TextodegloboCar">
    <w:name w:val="Texto de globo Car"/>
    <w:basedOn w:val="Fuentedeprrafopredeter"/>
    <w:link w:val="Textodeglobo"/>
    <w:uiPriority w:val="99"/>
    <w:semiHidden/>
    <w:rsid w:val="007B0DE4"/>
    <w:rPr>
      <w:rFonts w:ascii="Tahoma" w:eastAsia="Batang" w:hAnsi="Tahoma" w:cs="Times New Roman"/>
      <w:noProof/>
      <w:sz w:val="16"/>
      <w:szCs w:val="16"/>
      <w:lang w:val="es-ES_tradnl" w:eastAsia="x-none"/>
    </w:rPr>
  </w:style>
  <w:style w:type="paragraph" w:styleId="Textodeglobo">
    <w:name w:val="Balloon Text"/>
    <w:basedOn w:val="Normal"/>
    <w:link w:val="TextodegloboCar"/>
    <w:uiPriority w:val="99"/>
    <w:semiHidden/>
    <w:unhideWhenUsed/>
    <w:rsid w:val="007B0DE4"/>
    <w:rPr>
      <w:rFonts w:ascii="Tahoma" w:hAnsi="Tahoma" w:cs="Times New Roman"/>
      <w:noProof/>
      <w:sz w:val="16"/>
      <w:szCs w:val="16"/>
      <w:lang w:val="es-ES_tradnl" w:eastAsia="x-none"/>
    </w:rPr>
  </w:style>
  <w:style w:type="character" w:customStyle="1" w:styleId="TextodegloboCar1">
    <w:name w:val="Texto de globo Car1"/>
    <w:basedOn w:val="Fuentedeprrafopredeter"/>
    <w:uiPriority w:val="99"/>
    <w:semiHidden/>
    <w:rsid w:val="007B0DE4"/>
    <w:rPr>
      <w:rFonts w:ascii="Segoe UI" w:eastAsia="Batang" w:hAnsi="Segoe UI" w:cs="Segoe UI"/>
      <w:sz w:val="18"/>
      <w:szCs w:val="18"/>
      <w:lang w:val="es-ES"/>
    </w:rPr>
  </w:style>
  <w:style w:type="paragraph" w:customStyle="1" w:styleId="PrrafodeSentencia0">
    <w:name w:val="*. Párrafo de Sentencia"/>
    <w:basedOn w:val="Textonotapie"/>
    <w:link w:val="PrrafodeSentenciaChar"/>
    <w:autoRedefine/>
    <w:qFormat/>
    <w:rsid w:val="007B0DE4"/>
    <w:pPr>
      <w:numPr>
        <w:numId w:val="2"/>
      </w:numPr>
      <w:tabs>
        <w:tab w:val="left" w:pos="720"/>
      </w:tabs>
    </w:pPr>
    <w:rPr>
      <w:rFonts w:eastAsia="Times New Roman"/>
      <w:bCs/>
      <w:sz w:val="20"/>
      <w:lang w:eastAsia="es-ES"/>
    </w:rPr>
  </w:style>
  <w:style w:type="character" w:customStyle="1" w:styleId="PrrafodeSentenciaChar">
    <w:name w:val="*. Párrafo de Sentencia Char"/>
    <w:link w:val="PrrafodeSentencia0"/>
    <w:rsid w:val="007B0DE4"/>
    <w:rPr>
      <w:rFonts w:ascii="Verdana" w:eastAsia="Times New Roman" w:hAnsi="Verdana" w:cs="Times New Roman"/>
      <w:bCs/>
      <w:noProof/>
      <w:sz w:val="20"/>
      <w:szCs w:val="20"/>
      <w:lang w:val="es-ES_tradnl" w:eastAsia="es-ES"/>
    </w:rPr>
  </w:style>
  <w:style w:type="paragraph" w:customStyle="1" w:styleId="Estilo2">
    <w:name w:val="Estilo2"/>
    <w:basedOn w:val="Normal"/>
    <w:qFormat/>
    <w:rsid w:val="007B0DE4"/>
    <w:pPr>
      <w:tabs>
        <w:tab w:val="left" w:pos="567"/>
        <w:tab w:val="left" w:pos="1134"/>
        <w:tab w:val="num" w:pos="4767"/>
      </w:tabs>
      <w:spacing w:after="120"/>
      <w:ind w:firstLine="357"/>
    </w:pPr>
    <w:rPr>
      <w:rFonts w:eastAsia="Calibri" w:cs="Times New Roman"/>
      <w:szCs w:val="20"/>
    </w:rPr>
  </w:style>
  <w:style w:type="character" w:customStyle="1" w:styleId="st">
    <w:name w:val="st"/>
    <w:rsid w:val="007B0DE4"/>
    <w:rPr>
      <w:rFonts w:cs="Times New Roman"/>
    </w:rPr>
  </w:style>
  <w:style w:type="paragraph" w:styleId="Textoindependiente">
    <w:name w:val="Body Text"/>
    <w:basedOn w:val="Normal"/>
    <w:link w:val="TextoindependienteCar"/>
    <w:unhideWhenUsed/>
    <w:rsid w:val="007B0DE4"/>
    <w:rPr>
      <w:rFonts w:ascii="Garamond" w:eastAsia="Times" w:hAnsi="Garamond" w:cs="Times New Roman"/>
      <w:noProof/>
      <w:szCs w:val="20"/>
      <w:lang w:val="es-ES_tradnl" w:eastAsia="x-none"/>
    </w:rPr>
  </w:style>
  <w:style w:type="character" w:customStyle="1" w:styleId="TextoindependienteCar">
    <w:name w:val="Texto independiente Car"/>
    <w:basedOn w:val="Fuentedeprrafopredeter"/>
    <w:link w:val="Textoindependiente"/>
    <w:rsid w:val="007B0DE4"/>
    <w:rPr>
      <w:rFonts w:ascii="Garamond" w:eastAsia="Times" w:hAnsi="Garamond" w:cs="Times New Roman"/>
      <w:noProof/>
      <w:sz w:val="20"/>
      <w:szCs w:val="20"/>
      <w:lang w:val="es-ES_tradnl" w:eastAsia="x-none"/>
    </w:rPr>
  </w:style>
  <w:style w:type="paragraph" w:styleId="Encabezado">
    <w:name w:val="header"/>
    <w:basedOn w:val="Normal"/>
    <w:link w:val="EncabezadoCar"/>
    <w:uiPriority w:val="99"/>
    <w:unhideWhenUsed/>
    <w:rsid w:val="007B0DE4"/>
    <w:pPr>
      <w:tabs>
        <w:tab w:val="center" w:pos="4419"/>
        <w:tab w:val="right" w:pos="8838"/>
      </w:tabs>
    </w:pPr>
    <w:rPr>
      <w:rFonts w:cs="Times New Roman"/>
      <w:noProof/>
      <w:lang w:val="es-ES_tradnl" w:eastAsia="x-none"/>
    </w:rPr>
  </w:style>
  <w:style w:type="character" w:customStyle="1" w:styleId="EncabezadoCar">
    <w:name w:val="Encabezado Car"/>
    <w:basedOn w:val="Fuentedeprrafopredeter"/>
    <w:link w:val="Encabezado"/>
    <w:uiPriority w:val="99"/>
    <w:rsid w:val="007B0DE4"/>
    <w:rPr>
      <w:rFonts w:ascii="Verdana" w:eastAsia="Batang" w:hAnsi="Verdana" w:cs="Times New Roman"/>
      <w:noProof/>
      <w:sz w:val="20"/>
      <w:szCs w:val="24"/>
      <w:lang w:val="es-ES_tradnl" w:eastAsia="x-none"/>
    </w:rPr>
  </w:style>
  <w:style w:type="paragraph" w:styleId="Piedepgina">
    <w:name w:val="footer"/>
    <w:basedOn w:val="Normal"/>
    <w:link w:val="PiedepginaCar"/>
    <w:uiPriority w:val="99"/>
    <w:unhideWhenUsed/>
    <w:rsid w:val="007B0DE4"/>
    <w:pPr>
      <w:tabs>
        <w:tab w:val="center" w:pos="4419"/>
        <w:tab w:val="right" w:pos="8838"/>
      </w:tabs>
    </w:pPr>
    <w:rPr>
      <w:rFonts w:cs="Times New Roman"/>
      <w:noProof/>
      <w:lang w:val="es-ES_tradnl" w:eastAsia="x-none"/>
    </w:rPr>
  </w:style>
  <w:style w:type="character" w:customStyle="1" w:styleId="PiedepginaCar">
    <w:name w:val="Pie de página Car"/>
    <w:basedOn w:val="Fuentedeprrafopredeter"/>
    <w:link w:val="Piedepgina"/>
    <w:uiPriority w:val="99"/>
    <w:rsid w:val="007B0DE4"/>
    <w:rPr>
      <w:rFonts w:ascii="Verdana" w:eastAsia="Batang" w:hAnsi="Verdana" w:cs="Times New Roman"/>
      <w:noProof/>
      <w:sz w:val="20"/>
      <w:szCs w:val="24"/>
      <w:lang w:val="es-ES_tradnl" w:eastAsia="x-none"/>
    </w:rPr>
  </w:style>
  <w:style w:type="paragraph" w:customStyle="1" w:styleId="NotasProyectos">
    <w:name w:val="Notas Proyectos"/>
    <w:basedOn w:val="Normal"/>
    <w:link w:val="NotasProyectosChar"/>
    <w:autoRedefine/>
    <w:qFormat/>
    <w:rsid w:val="007B0DE4"/>
    <w:pPr>
      <w:spacing w:before="120"/>
      <w:ind w:left="720"/>
    </w:pPr>
    <w:rPr>
      <w:rFonts w:eastAsia="Times New Roman" w:cs="Times New Roman"/>
      <w:noProof/>
      <w:szCs w:val="20"/>
      <w:lang w:val="es-ES_tradnl" w:eastAsia="es-ES"/>
    </w:rPr>
  </w:style>
  <w:style w:type="character" w:customStyle="1" w:styleId="NotasProyectosChar">
    <w:name w:val="Notas Proyectos Char"/>
    <w:link w:val="NotasProyectos"/>
    <w:rsid w:val="007B0DE4"/>
    <w:rPr>
      <w:rFonts w:ascii="Verdana" w:eastAsia="Times New Roman" w:hAnsi="Verdana" w:cs="Times New Roman"/>
      <w:noProof/>
      <w:sz w:val="20"/>
      <w:szCs w:val="20"/>
      <w:lang w:val="es-ES_tradnl" w:eastAsia="es-ES"/>
    </w:rPr>
  </w:style>
  <w:style w:type="paragraph" w:styleId="Textocomentario">
    <w:name w:val="annotation text"/>
    <w:basedOn w:val="Normal"/>
    <w:link w:val="TextocomentarioCar"/>
    <w:unhideWhenUsed/>
    <w:rsid w:val="007B0DE4"/>
    <w:pPr>
      <w:jc w:val="left"/>
    </w:pPr>
    <w:rPr>
      <w:rFonts w:ascii="Times New Roman" w:eastAsia="Times New Roman" w:hAnsi="Times New Roman" w:cs="Times New Roman"/>
      <w:noProof/>
      <w:szCs w:val="20"/>
      <w:lang w:val="es-ES_tradnl" w:eastAsia="x-none"/>
    </w:rPr>
  </w:style>
  <w:style w:type="character" w:customStyle="1" w:styleId="TextocomentarioCar">
    <w:name w:val="Texto comentario Car"/>
    <w:basedOn w:val="Fuentedeprrafopredeter"/>
    <w:link w:val="Textocomentario"/>
    <w:rsid w:val="007B0DE4"/>
    <w:rPr>
      <w:rFonts w:ascii="Times New Roman" w:eastAsia="Times New Roman" w:hAnsi="Times New Roman" w:cs="Times New Roman"/>
      <w:noProof/>
      <w:sz w:val="20"/>
      <w:szCs w:val="20"/>
      <w:lang w:val="es-ES_tradnl" w:eastAsia="x-none"/>
    </w:rPr>
  </w:style>
  <w:style w:type="paragraph" w:customStyle="1" w:styleId="1Prrafosentencia">
    <w:name w:val="1. Párrafo sentencia"/>
    <w:autoRedefine/>
    <w:qFormat/>
    <w:rsid w:val="007B0DE4"/>
    <w:pPr>
      <w:spacing w:before="120" w:after="120"/>
      <w:ind w:left="1440" w:hanging="360"/>
      <w:jc w:val="both"/>
    </w:pPr>
    <w:rPr>
      <w:rFonts w:eastAsia="Times New Roman" w:cs="Univers"/>
      <w:color w:val="000000"/>
      <w:sz w:val="24"/>
      <w:lang w:eastAsia="x-none"/>
    </w:rPr>
  </w:style>
  <w:style w:type="paragraph" w:styleId="Sangradetextonormal">
    <w:name w:val="Body Text Indent"/>
    <w:basedOn w:val="Normal"/>
    <w:link w:val="SangradetextonormalCar"/>
    <w:uiPriority w:val="99"/>
    <w:unhideWhenUsed/>
    <w:rsid w:val="007B0DE4"/>
    <w:pPr>
      <w:tabs>
        <w:tab w:val="left" w:pos="1276"/>
      </w:tabs>
      <w:spacing w:before="120" w:after="120"/>
      <w:ind w:left="1996" w:firstLine="164"/>
    </w:pPr>
    <w:rPr>
      <w:rFonts w:cs="Times New Roman"/>
      <w:i/>
      <w:noProof/>
      <w:szCs w:val="20"/>
      <w:lang w:val="es-ES_tradnl" w:eastAsia="x-none"/>
    </w:rPr>
  </w:style>
  <w:style w:type="character" w:customStyle="1" w:styleId="SangradetextonormalCar">
    <w:name w:val="Sangría de texto normal Car"/>
    <w:basedOn w:val="Fuentedeprrafopredeter"/>
    <w:link w:val="Sangradetextonormal"/>
    <w:uiPriority w:val="99"/>
    <w:rsid w:val="007B0DE4"/>
    <w:rPr>
      <w:rFonts w:ascii="Verdana" w:eastAsia="Batang" w:hAnsi="Verdana" w:cs="Times New Roman"/>
      <w:i/>
      <w:noProof/>
      <w:sz w:val="20"/>
      <w:szCs w:val="20"/>
      <w:lang w:val="es-ES_tradnl" w:eastAsia="x-none"/>
    </w:rPr>
  </w:style>
  <w:style w:type="character" w:styleId="nfasis">
    <w:name w:val="Emphasis"/>
    <w:uiPriority w:val="20"/>
    <w:qFormat/>
    <w:rsid w:val="007B0DE4"/>
    <w:rPr>
      <w:i/>
      <w:iCs/>
    </w:rPr>
  </w:style>
  <w:style w:type="paragraph" w:customStyle="1" w:styleId="Prrafonumerado">
    <w:name w:val="Párrafo numerado"/>
    <w:basedOn w:val="Normal"/>
    <w:autoRedefine/>
    <w:rsid w:val="007B0DE4"/>
    <w:pPr>
      <w:spacing w:before="120" w:after="120"/>
      <w:ind w:left="567" w:right="855"/>
    </w:pPr>
    <w:rPr>
      <w:rFonts w:eastAsia="Times New Roman" w:cs="Times New Roman"/>
      <w:sz w:val="16"/>
      <w:szCs w:val="16"/>
      <w:lang w:val="es-CO" w:eastAsia="es-ES"/>
    </w:rPr>
  </w:style>
  <w:style w:type="paragraph" w:customStyle="1" w:styleId="2Footnotes">
    <w:name w:val="2. Footnotes"/>
    <w:basedOn w:val="Textonotapie"/>
    <w:link w:val="2FootnotesChar"/>
    <w:autoRedefine/>
    <w:qFormat/>
    <w:rsid w:val="007B0DE4"/>
    <w:rPr>
      <w:rFonts w:eastAsia="Times New Roman"/>
      <w:iCs/>
      <w:szCs w:val="18"/>
    </w:rPr>
  </w:style>
  <w:style w:type="character" w:customStyle="1" w:styleId="2FootnotesChar">
    <w:name w:val="2. Footnotes Char"/>
    <w:link w:val="2Footnotes"/>
    <w:rsid w:val="007B0DE4"/>
    <w:rPr>
      <w:rFonts w:ascii="Verdana" w:eastAsia="Times New Roman" w:hAnsi="Verdana" w:cs="Times New Roman"/>
      <w:iCs/>
      <w:noProof/>
      <w:sz w:val="16"/>
      <w:szCs w:val="18"/>
      <w:lang w:val="es-ES_tradnl" w:eastAsia="x-none"/>
    </w:rPr>
  </w:style>
  <w:style w:type="character" w:customStyle="1" w:styleId="MapadeldocumentoCar">
    <w:name w:val="Mapa del documento Car"/>
    <w:basedOn w:val="Fuentedeprrafopredeter"/>
    <w:link w:val="Mapadeldocumento"/>
    <w:uiPriority w:val="99"/>
    <w:semiHidden/>
    <w:rsid w:val="007B0DE4"/>
    <w:rPr>
      <w:rFonts w:ascii="Tahoma" w:eastAsia="Batang" w:hAnsi="Tahoma" w:cs="Times New Roman"/>
      <w:noProof/>
      <w:sz w:val="16"/>
      <w:szCs w:val="16"/>
      <w:lang w:val="es-ES_tradnl" w:eastAsia="x-none"/>
    </w:rPr>
  </w:style>
  <w:style w:type="paragraph" w:styleId="Mapadeldocumento">
    <w:name w:val="Document Map"/>
    <w:basedOn w:val="Normal"/>
    <w:link w:val="MapadeldocumentoCar"/>
    <w:uiPriority w:val="99"/>
    <w:semiHidden/>
    <w:unhideWhenUsed/>
    <w:rsid w:val="007B0DE4"/>
    <w:rPr>
      <w:rFonts w:ascii="Tahoma" w:hAnsi="Tahoma" w:cs="Times New Roman"/>
      <w:noProof/>
      <w:sz w:val="16"/>
      <w:szCs w:val="16"/>
      <w:lang w:val="es-ES_tradnl" w:eastAsia="x-none"/>
    </w:rPr>
  </w:style>
  <w:style w:type="character" w:customStyle="1" w:styleId="MapadeldocumentoCar1">
    <w:name w:val="Mapa del documento Car1"/>
    <w:basedOn w:val="Fuentedeprrafopredeter"/>
    <w:uiPriority w:val="99"/>
    <w:semiHidden/>
    <w:rsid w:val="007B0DE4"/>
    <w:rPr>
      <w:rFonts w:ascii="Segoe UI" w:eastAsia="Batang" w:hAnsi="Segoe UI" w:cs="Segoe UI"/>
      <w:sz w:val="16"/>
      <w:szCs w:val="16"/>
      <w:lang w:val="es-ES"/>
    </w:rPr>
  </w:style>
  <w:style w:type="character" w:customStyle="1" w:styleId="TextonotaalfinalCar">
    <w:name w:val="Texto nota al final Car"/>
    <w:basedOn w:val="Fuentedeprrafopredeter"/>
    <w:link w:val="Textonotaalfinal"/>
    <w:uiPriority w:val="99"/>
    <w:semiHidden/>
    <w:rsid w:val="007B0DE4"/>
    <w:rPr>
      <w:rFonts w:ascii="Verdana" w:eastAsia="Batang" w:hAnsi="Verdana" w:cs="Times New Roman"/>
      <w:noProof/>
      <w:sz w:val="20"/>
      <w:szCs w:val="20"/>
      <w:lang w:val="es-ES_tradnl" w:eastAsia="x-none"/>
    </w:rPr>
  </w:style>
  <w:style w:type="paragraph" w:styleId="Textonotaalfinal">
    <w:name w:val="endnote text"/>
    <w:basedOn w:val="Normal"/>
    <w:link w:val="TextonotaalfinalCar"/>
    <w:uiPriority w:val="99"/>
    <w:semiHidden/>
    <w:unhideWhenUsed/>
    <w:rsid w:val="007B0DE4"/>
    <w:rPr>
      <w:rFonts w:cs="Times New Roman"/>
      <w:noProof/>
      <w:szCs w:val="20"/>
      <w:lang w:val="es-ES_tradnl" w:eastAsia="x-none"/>
    </w:rPr>
  </w:style>
  <w:style w:type="character" w:customStyle="1" w:styleId="TextonotaalfinalCar1">
    <w:name w:val="Texto nota al final Car1"/>
    <w:basedOn w:val="Fuentedeprrafopredeter"/>
    <w:uiPriority w:val="99"/>
    <w:semiHidden/>
    <w:rsid w:val="007B0DE4"/>
    <w:rPr>
      <w:rFonts w:ascii="Verdana" w:eastAsia="Batang" w:hAnsi="Verdana" w:cs="Times"/>
      <w:sz w:val="20"/>
      <w:szCs w:val="20"/>
      <w:lang w:val="es-ES"/>
    </w:rPr>
  </w:style>
  <w:style w:type="paragraph" w:customStyle="1" w:styleId="PrrafodeSentencia">
    <w:name w:val="Párrafo de Sentencia"/>
    <w:autoRedefine/>
    <w:qFormat/>
    <w:rsid w:val="007B0DE4"/>
    <w:pPr>
      <w:numPr>
        <w:ilvl w:val="4"/>
        <w:numId w:val="6"/>
      </w:numPr>
      <w:tabs>
        <w:tab w:val="num" w:pos="360"/>
      </w:tabs>
      <w:ind w:left="720" w:firstLine="0"/>
      <w:contextualSpacing/>
      <w:jc w:val="both"/>
    </w:pPr>
    <w:rPr>
      <w:rFonts w:eastAsia="Times New Roman" w:cs="Times New Roman"/>
      <w:szCs w:val="20"/>
      <w:lang w:eastAsia="es-ES"/>
    </w:rPr>
  </w:style>
  <w:style w:type="paragraph" w:styleId="TDC6">
    <w:name w:val="toc 6"/>
    <w:basedOn w:val="Normal"/>
    <w:next w:val="Normal"/>
    <w:autoRedefine/>
    <w:uiPriority w:val="39"/>
    <w:unhideWhenUsed/>
    <w:rsid w:val="007B0DE4"/>
    <w:pPr>
      <w:spacing w:after="100" w:line="276" w:lineRule="auto"/>
      <w:ind w:left="1100"/>
      <w:jc w:val="left"/>
    </w:pPr>
    <w:rPr>
      <w:rFonts w:ascii="Calibri" w:eastAsia="Times New Roman" w:hAnsi="Calibri" w:cs="Times New Roman"/>
      <w:sz w:val="22"/>
      <w:szCs w:val="22"/>
      <w:lang w:val="es-CR" w:eastAsia="es-CR"/>
    </w:rPr>
  </w:style>
  <w:style w:type="paragraph" w:styleId="TDC7">
    <w:name w:val="toc 7"/>
    <w:basedOn w:val="Normal"/>
    <w:next w:val="Normal"/>
    <w:autoRedefine/>
    <w:uiPriority w:val="39"/>
    <w:unhideWhenUsed/>
    <w:rsid w:val="007B0DE4"/>
    <w:pPr>
      <w:spacing w:after="100" w:line="276" w:lineRule="auto"/>
      <w:ind w:left="1320"/>
      <w:jc w:val="left"/>
    </w:pPr>
    <w:rPr>
      <w:rFonts w:ascii="Calibri" w:eastAsia="Times New Roman" w:hAnsi="Calibri" w:cs="Times New Roman"/>
      <w:sz w:val="22"/>
      <w:szCs w:val="22"/>
      <w:lang w:val="es-CR" w:eastAsia="es-CR"/>
    </w:rPr>
  </w:style>
  <w:style w:type="paragraph" w:styleId="TDC8">
    <w:name w:val="toc 8"/>
    <w:basedOn w:val="Normal"/>
    <w:next w:val="Normal"/>
    <w:autoRedefine/>
    <w:uiPriority w:val="39"/>
    <w:unhideWhenUsed/>
    <w:rsid w:val="007B0DE4"/>
    <w:pPr>
      <w:spacing w:after="100" w:line="276" w:lineRule="auto"/>
      <w:ind w:left="1540"/>
      <w:jc w:val="left"/>
    </w:pPr>
    <w:rPr>
      <w:rFonts w:ascii="Calibri" w:eastAsia="Times New Roman" w:hAnsi="Calibri" w:cs="Times New Roman"/>
      <w:sz w:val="22"/>
      <w:szCs w:val="22"/>
      <w:lang w:val="es-CR" w:eastAsia="es-CR"/>
    </w:rPr>
  </w:style>
  <w:style w:type="paragraph" w:styleId="TDC9">
    <w:name w:val="toc 9"/>
    <w:basedOn w:val="Normal"/>
    <w:next w:val="Normal"/>
    <w:autoRedefine/>
    <w:uiPriority w:val="39"/>
    <w:unhideWhenUsed/>
    <w:rsid w:val="007B0DE4"/>
    <w:pPr>
      <w:spacing w:after="100" w:line="276" w:lineRule="auto"/>
      <w:ind w:left="1760"/>
      <w:jc w:val="left"/>
    </w:pPr>
    <w:rPr>
      <w:rFonts w:ascii="Calibri" w:eastAsia="Times New Roman" w:hAnsi="Calibri" w:cs="Times New Roman"/>
      <w:sz w:val="22"/>
      <w:szCs w:val="22"/>
      <w:lang w:val="es-CR" w:eastAsia="es-CR"/>
    </w:rPr>
  </w:style>
  <w:style w:type="character" w:customStyle="1" w:styleId="normalchar">
    <w:name w:val="normal__char"/>
    <w:basedOn w:val="Fuentedeprrafopredeter"/>
    <w:rsid w:val="007B0DE4"/>
  </w:style>
  <w:style w:type="character" w:customStyle="1" w:styleId="apple-converted-space">
    <w:name w:val="apple-converted-space"/>
    <w:basedOn w:val="Fuentedeprrafopredeter"/>
    <w:rsid w:val="007B0DE4"/>
  </w:style>
  <w:style w:type="paragraph" w:styleId="NormalWeb">
    <w:name w:val="Normal (Web)"/>
    <w:basedOn w:val="Normal"/>
    <w:unhideWhenUsed/>
    <w:rsid w:val="007B0DE4"/>
    <w:pPr>
      <w:spacing w:before="100" w:beforeAutospacing="1" w:after="100" w:afterAutospacing="1"/>
      <w:jc w:val="left"/>
    </w:pPr>
    <w:rPr>
      <w:rFonts w:ascii="Times New Roman" w:eastAsia="Times New Roman" w:hAnsi="Times New Roman" w:cs="Times New Roman"/>
      <w:sz w:val="24"/>
      <w:lang w:val="es-CR" w:eastAsia="es-CR"/>
    </w:rPr>
  </w:style>
  <w:style w:type="character" w:customStyle="1" w:styleId="Caracteresdenotafinal">
    <w:name w:val="Caracteres de nota final"/>
    <w:rsid w:val="007B0DE4"/>
    <w:rPr>
      <w:vertAlign w:val="superscript"/>
    </w:rPr>
  </w:style>
  <w:style w:type="character" w:customStyle="1" w:styleId="FootnoteRef">
    <w:name w:val="Footnote Ref"/>
    <w:rsid w:val="007B0DE4"/>
    <w:rPr>
      <w:rFonts w:cs="Times New Roman"/>
      <w:vertAlign w:val="superscript"/>
    </w:rPr>
  </w:style>
  <w:style w:type="paragraph" w:styleId="Textosinformato">
    <w:name w:val="Plain Text"/>
    <w:basedOn w:val="Normal"/>
    <w:link w:val="TextosinformatoCar"/>
    <w:uiPriority w:val="99"/>
    <w:unhideWhenUsed/>
    <w:rsid w:val="007B0DE4"/>
    <w:pPr>
      <w:jc w:val="left"/>
    </w:pPr>
    <w:rPr>
      <w:rFonts w:ascii="Consolas" w:eastAsia="Calibri" w:hAnsi="Consolas" w:cs="Times New Roman"/>
      <w:noProof/>
      <w:sz w:val="21"/>
      <w:szCs w:val="21"/>
      <w:lang w:val="es-CR" w:eastAsia="es-CR"/>
    </w:rPr>
  </w:style>
  <w:style w:type="character" w:customStyle="1" w:styleId="TextosinformatoCar">
    <w:name w:val="Texto sin formato Car"/>
    <w:basedOn w:val="Fuentedeprrafopredeter"/>
    <w:link w:val="Textosinformato"/>
    <w:uiPriority w:val="99"/>
    <w:rsid w:val="007B0DE4"/>
    <w:rPr>
      <w:rFonts w:ascii="Consolas" w:eastAsia="Calibri" w:hAnsi="Consolas" w:cs="Times New Roman"/>
      <w:noProof/>
      <w:sz w:val="21"/>
      <w:szCs w:val="21"/>
      <w:lang w:val="es-CR" w:eastAsia="es-CR"/>
    </w:rPr>
  </w:style>
  <w:style w:type="character" w:customStyle="1" w:styleId="AsuntodelcomentarioCar">
    <w:name w:val="Asunto del comentario Car"/>
    <w:basedOn w:val="TextocomentarioCar"/>
    <w:link w:val="Asuntodelcomentario"/>
    <w:uiPriority w:val="99"/>
    <w:semiHidden/>
    <w:rsid w:val="007B0DE4"/>
    <w:rPr>
      <w:rFonts w:ascii="Times New Roman" w:eastAsia="Times New Roman" w:hAnsi="Times New Roman" w:cs="Times New Roman"/>
      <w:b/>
      <w:bCs/>
      <w:noProof/>
      <w:sz w:val="20"/>
      <w:szCs w:val="20"/>
      <w:lang w:val="es-ES_tradnl" w:eastAsia="x-none"/>
    </w:rPr>
  </w:style>
  <w:style w:type="paragraph" w:styleId="Asuntodelcomentario">
    <w:name w:val="annotation subject"/>
    <w:basedOn w:val="Textocomentario"/>
    <w:next w:val="Textocomentario"/>
    <w:link w:val="AsuntodelcomentarioCar"/>
    <w:uiPriority w:val="99"/>
    <w:semiHidden/>
    <w:unhideWhenUsed/>
    <w:rsid w:val="007B0DE4"/>
    <w:pPr>
      <w:jc w:val="both"/>
    </w:pPr>
    <w:rPr>
      <w:b/>
      <w:bCs/>
    </w:rPr>
  </w:style>
  <w:style w:type="character" w:customStyle="1" w:styleId="AsuntodelcomentarioCar1">
    <w:name w:val="Asunto del comentario Car1"/>
    <w:basedOn w:val="TextocomentarioCar"/>
    <w:uiPriority w:val="99"/>
    <w:semiHidden/>
    <w:rsid w:val="007B0DE4"/>
    <w:rPr>
      <w:rFonts w:ascii="Times New Roman" w:eastAsia="Times New Roman" w:hAnsi="Times New Roman" w:cs="Times New Roman"/>
      <w:b/>
      <w:bCs/>
      <w:noProof/>
      <w:sz w:val="20"/>
      <w:szCs w:val="20"/>
      <w:lang w:val="es-ES_tradnl" w:eastAsia="x-none"/>
    </w:rPr>
  </w:style>
  <w:style w:type="paragraph" w:customStyle="1" w:styleId="CM15">
    <w:name w:val="CM15"/>
    <w:basedOn w:val="Default"/>
    <w:next w:val="Default"/>
    <w:uiPriority w:val="99"/>
    <w:rsid w:val="007B0DE4"/>
    <w:pPr>
      <w:spacing w:line="276" w:lineRule="atLeast"/>
    </w:pPr>
    <w:rPr>
      <w:rFonts w:ascii="Arial" w:hAnsi="Arial" w:cs="Arial"/>
      <w:color w:val="auto"/>
    </w:rPr>
  </w:style>
  <w:style w:type="character" w:customStyle="1" w:styleId="longtext1">
    <w:name w:val="long_text1"/>
    <w:rsid w:val="007B0DE4"/>
    <w:rPr>
      <w:sz w:val="14"/>
      <w:szCs w:val="14"/>
    </w:rPr>
  </w:style>
  <w:style w:type="character" w:customStyle="1" w:styleId="ListParagraphChar1">
    <w:name w:val="List Paragraph Char1"/>
    <w:uiPriority w:val="99"/>
    <w:rsid w:val="007B0DE4"/>
    <w:rPr>
      <w:rFonts w:ascii="Verdana" w:eastAsia="Times New Roman" w:hAnsi="Verdana"/>
      <w:lang w:val="es-ES_tradnl" w:eastAsia="en-US"/>
    </w:rPr>
  </w:style>
  <w:style w:type="character" w:customStyle="1" w:styleId="apple-style-span">
    <w:name w:val="apple-style-span"/>
    <w:basedOn w:val="Fuentedeprrafopredeter"/>
    <w:rsid w:val="007B0DE4"/>
  </w:style>
  <w:style w:type="character" w:customStyle="1" w:styleId="Refdenotaalpie2">
    <w:name w:val="Ref. de nota al pie2"/>
    <w:rsid w:val="007B0DE4"/>
    <w:rPr>
      <w:vertAlign w:val="superscript"/>
    </w:rPr>
  </w:style>
  <w:style w:type="paragraph" w:customStyle="1" w:styleId="xl66">
    <w:name w:val="xl66"/>
    <w:basedOn w:val="Normal"/>
    <w:rsid w:val="007B0DE4"/>
    <w:pPr>
      <w:pBdr>
        <w:top w:val="single" w:sz="8" w:space="0" w:color="auto"/>
        <w:left w:val="single" w:sz="8" w:space="0" w:color="auto"/>
      </w:pBdr>
      <w:spacing w:before="100" w:beforeAutospacing="1" w:after="100" w:afterAutospacing="1"/>
      <w:jc w:val="center"/>
      <w:textAlignment w:val="center"/>
    </w:pPr>
    <w:rPr>
      <w:rFonts w:ascii="Book Antiqua" w:eastAsia="Times New Roman" w:hAnsi="Book Antiqua" w:cs="Times New Roman"/>
      <w:b/>
      <w:bCs/>
      <w:color w:val="000000"/>
      <w:sz w:val="24"/>
      <w:lang w:val="es-CR" w:eastAsia="es-CR"/>
    </w:rPr>
  </w:style>
  <w:style w:type="paragraph" w:customStyle="1" w:styleId="xl67">
    <w:name w:val="xl67"/>
    <w:basedOn w:val="Normal"/>
    <w:rsid w:val="007B0DE4"/>
    <w:pPr>
      <w:pBdr>
        <w:top w:val="single" w:sz="8" w:space="0" w:color="auto"/>
        <w:left w:val="single" w:sz="8" w:space="0" w:color="auto"/>
        <w:right w:val="single" w:sz="8" w:space="0" w:color="auto"/>
      </w:pBdr>
      <w:spacing w:before="100" w:beforeAutospacing="1" w:after="100" w:afterAutospacing="1"/>
      <w:jc w:val="center"/>
      <w:textAlignment w:val="center"/>
    </w:pPr>
    <w:rPr>
      <w:rFonts w:ascii="Book Antiqua" w:eastAsia="Times New Roman" w:hAnsi="Book Antiqua" w:cs="Times New Roman"/>
      <w:b/>
      <w:bCs/>
      <w:color w:val="000000"/>
      <w:sz w:val="24"/>
      <w:lang w:val="es-CR" w:eastAsia="es-CR"/>
    </w:rPr>
  </w:style>
  <w:style w:type="paragraph" w:customStyle="1" w:styleId="xl68">
    <w:name w:val="xl68"/>
    <w:basedOn w:val="Normal"/>
    <w:rsid w:val="007B0DE4"/>
    <w:pPr>
      <w:pBdr>
        <w:top w:val="single" w:sz="8" w:space="0" w:color="auto"/>
      </w:pBdr>
      <w:spacing w:before="100" w:beforeAutospacing="1" w:after="100" w:afterAutospacing="1"/>
      <w:jc w:val="center"/>
      <w:textAlignment w:val="center"/>
    </w:pPr>
    <w:rPr>
      <w:rFonts w:ascii="Book Antiqua" w:eastAsia="Times New Roman" w:hAnsi="Book Antiqua" w:cs="Times New Roman"/>
      <w:b/>
      <w:bCs/>
      <w:color w:val="000000"/>
      <w:sz w:val="24"/>
      <w:lang w:val="es-CR" w:eastAsia="es-CR"/>
    </w:rPr>
  </w:style>
  <w:style w:type="paragraph" w:customStyle="1" w:styleId="xl70">
    <w:name w:val="xl70"/>
    <w:basedOn w:val="Normal"/>
    <w:rsid w:val="007B0DE4"/>
    <w:pPr>
      <w:pBdr>
        <w:top w:val="single" w:sz="4" w:space="0" w:color="auto"/>
        <w:left w:val="single" w:sz="8" w:space="0" w:color="auto"/>
        <w:bottom w:val="single" w:sz="4" w:space="0" w:color="auto"/>
      </w:pBdr>
      <w:spacing w:before="100" w:beforeAutospacing="1" w:after="100" w:afterAutospacing="1"/>
      <w:jc w:val="center"/>
      <w:textAlignment w:val="center"/>
    </w:pPr>
    <w:rPr>
      <w:rFonts w:ascii="Book Antiqua" w:eastAsia="Times New Roman" w:hAnsi="Book Antiqua" w:cs="Times New Roman"/>
      <w:b/>
      <w:bCs/>
      <w:color w:val="000000"/>
      <w:sz w:val="24"/>
      <w:lang w:val="es-CR" w:eastAsia="es-CR"/>
    </w:rPr>
  </w:style>
  <w:style w:type="paragraph" w:customStyle="1" w:styleId="xl71">
    <w:name w:val="xl71"/>
    <w:basedOn w:val="Normal"/>
    <w:rsid w:val="007B0DE4"/>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Book Antiqua" w:eastAsia="Times New Roman" w:hAnsi="Book Antiqua" w:cs="Times New Roman"/>
      <w:color w:val="000000"/>
      <w:sz w:val="24"/>
      <w:lang w:val="es-CR" w:eastAsia="es-CR"/>
    </w:rPr>
  </w:style>
  <w:style w:type="paragraph" w:customStyle="1" w:styleId="xl72">
    <w:name w:val="xl72"/>
    <w:basedOn w:val="Normal"/>
    <w:rsid w:val="007B0DE4"/>
    <w:pPr>
      <w:pBdr>
        <w:top w:val="single" w:sz="4" w:space="0" w:color="auto"/>
        <w:bottom w:val="single" w:sz="4" w:space="0" w:color="auto"/>
      </w:pBdr>
      <w:spacing w:before="100" w:beforeAutospacing="1" w:after="100" w:afterAutospacing="1"/>
      <w:jc w:val="left"/>
      <w:textAlignment w:val="center"/>
    </w:pPr>
    <w:rPr>
      <w:rFonts w:ascii="Book Antiqua" w:eastAsia="Times New Roman" w:hAnsi="Book Antiqua" w:cs="Times New Roman"/>
      <w:color w:val="000000"/>
      <w:sz w:val="24"/>
      <w:lang w:val="es-CR" w:eastAsia="es-CR"/>
    </w:rPr>
  </w:style>
  <w:style w:type="paragraph" w:customStyle="1" w:styleId="xl73">
    <w:name w:val="xl73"/>
    <w:basedOn w:val="Normal"/>
    <w:rsid w:val="007B0DE4"/>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Book Antiqua" w:eastAsia="Times New Roman" w:hAnsi="Book Antiqua" w:cs="Times New Roman"/>
      <w:color w:val="000000"/>
      <w:sz w:val="24"/>
      <w:lang w:val="es-CR" w:eastAsia="es-CR"/>
    </w:rPr>
  </w:style>
  <w:style w:type="paragraph" w:customStyle="1" w:styleId="xl74">
    <w:name w:val="xl74"/>
    <w:basedOn w:val="Normal"/>
    <w:rsid w:val="007B0DE4"/>
    <w:pPr>
      <w:pBdr>
        <w:top w:val="single" w:sz="4" w:space="0" w:color="auto"/>
        <w:left w:val="single" w:sz="8" w:space="0" w:color="auto"/>
        <w:right w:val="single" w:sz="8" w:space="0" w:color="auto"/>
      </w:pBdr>
      <w:spacing w:before="100" w:beforeAutospacing="1" w:after="100" w:afterAutospacing="1"/>
      <w:jc w:val="left"/>
      <w:textAlignment w:val="center"/>
    </w:pPr>
    <w:rPr>
      <w:rFonts w:ascii="Book Antiqua" w:eastAsia="Times New Roman" w:hAnsi="Book Antiqua" w:cs="Times New Roman"/>
      <w:color w:val="000000"/>
      <w:sz w:val="24"/>
      <w:lang w:val="es-CR" w:eastAsia="es-CR"/>
    </w:rPr>
  </w:style>
  <w:style w:type="paragraph" w:customStyle="1" w:styleId="xl75">
    <w:name w:val="xl75"/>
    <w:basedOn w:val="Normal"/>
    <w:rsid w:val="007B0DE4"/>
    <w:pPr>
      <w:pBdr>
        <w:top w:val="single" w:sz="4" w:space="0" w:color="auto"/>
        <w:left w:val="single" w:sz="8" w:space="0" w:color="auto"/>
        <w:bottom w:val="single" w:sz="4" w:space="0" w:color="auto"/>
        <w:right w:val="single" w:sz="8" w:space="0" w:color="auto"/>
      </w:pBdr>
      <w:shd w:val="clear" w:color="000000" w:fill="E6B9B8"/>
      <w:spacing w:before="100" w:beforeAutospacing="1" w:after="100" w:afterAutospacing="1"/>
      <w:jc w:val="left"/>
      <w:textAlignment w:val="center"/>
    </w:pPr>
    <w:rPr>
      <w:rFonts w:ascii="Book Antiqua" w:eastAsia="Times New Roman" w:hAnsi="Book Antiqua" w:cs="Times New Roman"/>
      <w:color w:val="000000"/>
      <w:sz w:val="24"/>
      <w:lang w:val="es-CR" w:eastAsia="es-CR"/>
    </w:rPr>
  </w:style>
  <w:style w:type="paragraph" w:customStyle="1" w:styleId="xl76">
    <w:name w:val="xl76"/>
    <w:basedOn w:val="Normal"/>
    <w:rsid w:val="007B0DE4"/>
    <w:pPr>
      <w:pBdr>
        <w:top w:val="single" w:sz="4" w:space="0" w:color="auto"/>
        <w:bottom w:val="single" w:sz="4" w:space="0" w:color="auto"/>
      </w:pBdr>
      <w:shd w:val="clear" w:color="000000" w:fill="E6B9B8"/>
      <w:spacing w:before="100" w:beforeAutospacing="1" w:after="100" w:afterAutospacing="1"/>
      <w:jc w:val="left"/>
      <w:textAlignment w:val="center"/>
    </w:pPr>
    <w:rPr>
      <w:rFonts w:ascii="Book Antiqua" w:eastAsia="Times New Roman" w:hAnsi="Book Antiqua" w:cs="Times New Roman"/>
      <w:color w:val="000000"/>
      <w:sz w:val="24"/>
      <w:lang w:val="es-CR" w:eastAsia="es-CR"/>
    </w:rPr>
  </w:style>
  <w:style w:type="paragraph" w:customStyle="1" w:styleId="xl77">
    <w:name w:val="xl77"/>
    <w:basedOn w:val="Normal"/>
    <w:rsid w:val="007B0DE4"/>
    <w:pPr>
      <w:pBdr>
        <w:top w:val="single" w:sz="4" w:space="0" w:color="auto"/>
        <w:left w:val="single" w:sz="8" w:space="0" w:color="auto"/>
        <w:bottom w:val="single" w:sz="4" w:space="0" w:color="auto"/>
        <w:right w:val="single" w:sz="8" w:space="0" w:color="auto"/>
      </w:pBdr>
      <w:shd w:val="clear" w:color="000000" w:fill="E6B9B8"/>
      <w:spacing w:before="100" w:beforeAutospacing="1" w:after="100" w:afterAutospacing="1"/>
      <w:jc w:val="left"/>
      <w:textAlignment w:val="center"/>
    </w:pPr>
    <w:rPr>
      <w:rFonts w:ascii="Book Antiqua" w:eastAsia="Times New Roman" w:hAnsi="Book Antiqua" w:cs="Times New Roman"/>
      <w:color w:val="000000"/>
      <w:sz w:val="24"/>
      <w:lang w:val="es-CR" w:eastAsia="es-CR"/>
    </w:rPr>
  </w:style>
  <w:style w:type="paragraph" w:customStyle="1" w:styleId="xl69">
    <w:name w:val="xl69"/>
    <w:basedOn w:val="Normal"/>
    <w:rsid w:val="007B0D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lang w:val="es-CR" w:eastAsia="es-CR"/>
    </w:rPr>
  </w:style>
  <w:style w:type="character" w:customStyle="1" w:styleId="Sangra2detindependienteCar">
    <w:name w:val="Sangría 2 de t. independiente Car"/>
    <w:basedOn w:val="Fuentedeprrafopredeter"/>
    <w:link w:val="Sangra2detindependiente"/>
    <w:uiPriority w:val="99"/>
    <w:semiHidden/>
    <w:rsid w:val="007B0DE4"/>
    <w:rPr>
      <w:rFonts w:ascii="Verdana" w:eastAsia="Batang" w:hAnsi="Verdana" w:cs="Times New Roman"/>
      <w:noProof/>
      <w:sz w:val="20"/>
      <w:szCs w:val="24"/>
      <w:lang w:val="es-ES_tradnl" w:eastAsia="x-none"/>
    </w:rPr>
  </w:style>
  <w:style w:type="paragraph" w:styleId="Sangra2detindependiente">
    <w:name w:val="Body Text Indent 2"/>
    <w:basedOn w:val="Normal"/>
    <w:link w:val="Sangra2detindependienteCar"/>
    <w:uiPriority w:val="99"/>
    <w:semiHidden/>
    <w:unhideWhenUsed/>
    <w:rsid w:val="007B0DE4"/>
    <w:pPr>
      <w:spacing w:after="120" w:line="480" w:lineRule="auto"/>
      <w:ind w:left="283"/>
    </w:pPr>
    <w:rPr>
      <w:rFonts w:cs="Times New Roman"/>
      <w:noProof/>
      <w:lang w:val="es-ES_tradnl" w:eastAsia="x-none"/>
    </w:rPr>
  </w:style>
  <w:style w:type="character" w:customStyle="1" w:styleId="Sangra2detindependienteCar1">
    <w:name w:val="Sangría 2 de t. independiente Car1"/>
    <w:basedOn w:val="Fuentedeprrafopredeter"/>
    <w:uiPriority w:val="99"/>
    <w:semiHidden/>
    <w:rsid w:val="007B0DE4"/>
    <w:rPr>
      <w:rFonts w:ascii="Verdana" w:eastAsia="Batang" w:hAnsi="Verdana" w:cs="Times"/>
      <w:sz w:val="20"/>
      <w:szCs w:val="24"/>
      <w:lang w:val="es-ES"/>
    </w:rPr>
  </w:style>
  <w:style w:type="paragraph" w:customStyle="1" w:styleId="NotasProyectos0">
    <w:name w:val="***. Notas Proyectos"/>
    <w:basedOn w:val="Normal"/>
    <w:link w:val="NotasProyectosChar0"/>
    <w:autoRedefine/>
    <w:qFormat/>
    <w:rsid w:val="007B0DE4"/>
    <w:pPr>
      <w:spacing w:before="120"/>
      <w:ind w:left="720"/>
    </w:pPr>
    <w:rPr>
      <w:rFonts w:eastAsia="Times New Roman" w:cs="Times New Roman"/>
      <w:szCs w:val="20"/>
      <w:lang w:val="es-ES_tradnl" w:eastAsia="es-ES"/>
    </w:rPr>
  </w:style>
  <w:style w:type="character" w:customStyle="1" w:styleId="NotasProyectosChar0">
    <w:name w:val="***. Notas Proyectos Char"/>
    <w:link w:val="NotasProyectos0"/>
    <w:rsid w:val="007B0DE4"/>
    <w:rPr>
      <w:rFonts w:ascii="Verdana" w:eastAsia="Times New Roman" w:hAnsi="Verdana" w:cs="Times New Roman"/>
      <w:sz w:val="20"/>
      <w:szCs w:val="20"/>
      <w:lang w:val="es-ES_tradnl" w:eastAsia="es-ES"/>
    </w:rPr>
  </w:style>
  <w:style w:type="character" w:styleId="Textoennegrita">
    <w:name w:val="Strong"/>
    <w:uiPriority w:val="22"/>
    <w:qFormat/>
    <w:rsid w:val="007B0DE4"/>
    <w:rPr>
      <w:b/>
      <w:bCs/>
    </w:rPr>
  </w:style>
  <w:style w:type="character" w:customStyle="1" w:styleId="column01">
    <w:name w:val="column01"/>
    <w:basedOn w:val="Fuentedeprrafopredeter"/>
    <w:rsid w:val="007B0DE4"/>
  </w:style>
  <w:style w:type="paragraph" w:customStyle="1" w:styleId="NormalNumbered">
    <w:name w:val="Normal Numbered"/>
    <w:basedOn w:val="Normal"/>
    <w:qFormat/>
    <w:rsid w:val="007B0DE4"/>
    <w:rPr>
      <w:rFonts w:eastAsia="Times New Roman" w:cs="Times New Roman"/>
      <w:szCs w:val="20"/>
      <w:lang w:val="x-none" w:eastAsia="x-none"/>
    </w:rPr>
  </w:style>
  <w:style w:type="character" w:customStyle="1" w:styleId="normal--char">
    <w:name w:val="normal--char"/>
    <w:basedOn w:val="Fuentedeprrafopredeter"/>
    <w:uiPriority w:val="99"/>
    <w:rsid w:val="007B0DE4"/>
  </w:style>
  <w:style w:type="paragraph" w:customStyle="1" w:styleId="ju-005fpara">
    <w:name w:val="ju-005fpara"/>
    <w:basedOn w:val="Normal"/>
    <w:rsid w:val="007B0DE4"/>
    <w:pPr>
      <w:spacing w:before="100" w:beforeAutospacing="1" w:after="100" w:afterAutospacing="1"/>
      <w:jc w:val="left"/>
    </w:pPr>
    <w:rPr>
      <w:rFonts w:ascii="Times New Roman" w:eastAsia="Times New Roman" w:hAnsi="Times New Roman" w:cs="Times New Roman"/>
      <w:sz w:val="24"/>
      <w:lang w:eastAsia="es-ES"/>
    </w:rPr>
  </w:style>
  <w:style w:type="character" w:customStyle="1" w:styleId="ju-005fpara--char">
    <w:name w:val="ju-005fpara--char"/>
    <w:basedOn w:val="Fuentedeprrafopredeter"/>
    <w:rsid w:val="007B0DE4"/>
  </w:style>
  <w:style w:type="character" w:customStyle="1" w:styleId="sb8d990e2">
    <w:name w:val="sb8d990e2"/>
    <w:rsid w:val="007B0DE4"/>
  </w:style>
  <w:style w:type="character" w:customStyle="1" w:styleId="s7d2086b4">
    <w:name w:val="s7d2086b4"/>
    <w:rsid w:val="007B0DE4"/>
  </w:style>
  <w:style w:type="character" w:customStyle="1" w:styleId="s6b621b36">
    <w:name w:val="s6b621b36"/>
    <w:rsid w:val="007B0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74</Pages>
  <Words>31993</Words>
  <Characters>175963</Characters>
  <Application>Microsoft Office Word</Application>
  <DocSecurity>0</DocSecurity>
  <Lines>1466</Lines>
  <Paragraphs>415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Francella Hernandez</cp:lastModifiedBy>
  <cp:revision>2</cp:revision>
  <cp:lastPrinted>2020-09-01T21:00:00Z</cp:lastPrinted>
  <dcterms:created xsi:type="dcterms:W3CDTF">2020-09-16T21:39:00Z</dcterms:created>
  <dcterms:modified xsi:type="dcterms:W3CDTF">2020-09-16T21:39:00Z</dcterms:modified>
</cp:coreProperties>
</file>