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C8913" w14:textId="6B500794" w:rsidR="00BF44FD" w:rsidRPr="005C6C94" w:rsidRDefault="00BF44FD" w:rsidP="00E30D42">
      <w:pPr>
        <w:spacing w:line="240" w:lineRule="auto"/>
        <w:rPr>
          <w:rFonts w:eastAsia="Calibri" w:cs="Verdana Bold"/>
          <w:caps/>
          <w:sz w:val="16"/>
          <w:szCs w:val="16"/>
          <w:lang w:val="en-US"/>
        </w:rPr>
      </w:pPr>
    </w:p>
    <w:p w14:paraId="783FACAD" w14:textId="3DD0690D" w:rsidR="00F96B98" w:rsidRPr="005C6C94" w:rsidRDefault="00F96B98" w:rsidP="00E30D42">
      <w:pPr>
        <w:spacing w:line="240" w:lineRule="auto"/>
        <w:rPr>
          <w:rFonts w:eastAsia="Calibri" w:cs="Verdana Bold"/>
          <w:caps/>
          <w:sz w:val="16"/>
          <w:szCs w:val="16"/>
          <w:lang w:val="en-US"/>
        </w:rPr>
      </w:pPr>
    </w:p>
    <w:p w14:paraId="7F5AE977" w14:textId="5DBB80F3" w:rsidR="00F96B98" w:rsidRPr="005C6C94" w:rsidRDefault="00F96B98" w:rsidP="00E30D42">
      <w:pPr>
        <w:spacing w:line="240" w:lineRule="auto"/>
        <w:rPr>
          <w:rFonts w:eastAsia="Calibri" w:cs="Verdana Bold"/>
          <w:caps/>
          <w:sz w:val="16"/>
          <w:szCs w:val="16"/>
          <w:lang w:val="en-US"/>
        </w:rPr>
      </w:pPr>
    </w:p>
    <w:p w14:paraId="7D4EDAE4" w14:textId="55305D41" w:rsidR="00F96B98" w:rsidRPr="005C6C94" w:rsidRDefault="00F96B98" w:rsidP="00E30D42">
      <w:pPr>
        <w:spacing w:line="240" w:lineRule="auto"/>
        <w:rPr>
          <w:rFonts w:eastAsia="Calibri" w:cs="Verdana Bold"/>
          <w:caps/>
          <w:sz w:val="16"/>
          <w:szCs w:val="16"/>
          <w:lang w:val="en-US"/>
        </w:rPr>
      </w:pPr>
    </w:p>
    <w:p w14:paraId="3B766D57" w14:textId="494D7D91" w:rsidR="00F96B98" w:rsidRPr="005C6C94" w:rsidRDefault="00F96B98" w:rsidP="00E30D42">
      <w:pPr>
        <w:spacing w:line="240" w:lineRule="auto"/>
        <w:rPr>
          <w:rFonts w:eastAsia="Calibri" w:cs="Verdana Bold"/>
          <w:caps/>
          <w:sz w:val="16"/>
          <w:szCs w:val="16"/>
          <w:lang w:val="en-US"/>
        </w:rPr>
      </w:pPr>
    </w:p>
    <w:p w14:paraId="3CD71126" w14:textId="21B9A0BE" w:rsidR="00F96B98" w:rsidRPr="005C6C94" w:rsidRDefault="00F96B98" w:rsidP="00E30D42">
      <w:pPr>
        <w:spacing w:line="240" w:lineRule="auto"/>
        <w:rPr>
          <w:rFonts w:eastAsia="Calibri" w:cs="Verdana Bold"/>
          <w:caps/>
          <w:sz w:val="16"/>
          <w:szCs w:val="16"/>
          <w:lang w:val="en-US"/>
        </w:rPr>
      </w:pPr>
    </w:p>
    <w:p w14:paraId="69586CDE" w14:textId="0055644F" w:rsidR="00F96B98" w:rsidRPr="005C6C94" w:rsidRDefault="00F96B98" w:rsidP="00E30D42">
      <w:pPr>
        <w:spacing w:line="240" w:lineRule="auto"/>
        <w:rPr>
          <w:rFonts w:eastAsia="Calibri" w:cs="Verdana Bold"/>
          <w:caps/>
          <w:sz w:val="16"/>
          <w:szCs w:val="16"/>
          <w:lang w:val="en-US"/>
        </w:rPr>
      </w:pPr>
    </w:p>
    <w:p w14:paraId="66F5CE23" w14:textId="77777777" w:rsidR="00F96B98" w:rsidRPr="005C6C94" w:rsidRDefault="00F96B98" w:rsidP="00E30D42">
      <w:pPr>
        <w:spacing w:line="240" w:lineRule="auto"/>
        <w:rPr>
          <w:rFonts w:eastAsia="Calibri" w:cs="Verdana Bold"/>
          <w:b/>
          <w:bCs/>
          <w:caps/>
          <w:szCs w:val="20"/>
          <w:lang w:val="en-US"/>
        </w:rPr>
      </w:pPr>
    </w:p>
    <w:p w14:paraId="0A55F4E5" w14:textId="77777777" w:rsidR="00A41F7A" w:rsidRPr="005C6C94" w:rsidRDefault="00A41F7A" w:rsidP="0086630B">
      <w:pPr>
        <w:spacing w:line="240" w:lineRule="auto"/>
        <w:rPr>
          <w:rFonts w:eastAsia="Calibri" w:cs="Calibri"/>
          <w:b/>
          <w:szCs w:val="20"/>
          <w:lang w:val="en-US"/>
        </w:rPr>
      </w:pPr>
    </w:p>
    <w:p w14:paraId="724D66FE" w14:textId="77777777" w:rsidR="00A41F7A" w:rsidRPr="005C6C94" w:rsidRDefault="00A41F7A" w:rsidP="0086630B">
      <w:pPr>
        <w:spacing w:line="240" w:lineRule="auto"/>
        <w:rPr>
          <w:rFonts w:eastAsia="Calibri" w:cs="Calibri"/>
          <w:b/>
          <w:szCs w:val="20"/>
          <w:lang w:val="en-US"/>
        </w:rPr>
      </w:pPr>
    </w:p>
    <w:p w14:paraId="1E75139D" w14:textId="77777777" w:rsidR="00A41F7A" w:rsidRPr="005C6C94" w:rsidRDefault="00A41F7A" w:rsidP="0086630B">
      <w:pPr>
        <w:spacing w:line="240" w:lineRule="auto"/>
        <w:rPr>
          <w:rFonts w:eastAsia="Calibri" w:cs="Calibri"/>
          <w:b/>
          <w:szCs w:val="20"/>
          <w:lang w:val="en-US"/>
        </w:rPr>
      </w:pPr>
    </w:p>
    <w:p w14:paraId="46E2A71C" w14:textId="2525CEAC" w:rsidR="00C51E3C" w:rsidRPr="00CE23AE" w:rsidRDefault="00C561DF" w:rsidP="00C561DF">
      <w:pPr>
        <w:spacing w:line="240" w:lineRule="auto"/>
        <w:jc w:val="center"/>
        <w:rPr>
          <w:rFonts w:eastAsia="Calibri" w:cs="Calibri"/>
          <w:b/>
          <w:szCs w:val="20"/>
          <w:lang w:val="en-US"/>
        </w:rPr>
      </w:pPr>
      <w:r w:rsidRPr="00CE23AE">
        <w:rPr>
          <w:rFonts w:eastAsia="Calibri" w:cs="Calibri"/>
          <w:b/>
          <w:szCs w:val="20"/>
          <w:lang w:val="en-US"/>
        </w:rPr>
        <w:t>INTER-AMERICAN COURT OF HUMAN RIGHTS</w:t>
      </w:r>
      <w:r w:rsidR="005A0779" w:rsidRPr="00CE23AE">
        <w:rPr>
          <w:rStyle w:val="Refdenotaalpie"/>
          <w:rFonts w:eastAsia="Calibri" w:cs="Calibri"/>
          <w:b/>
          <w:szCs w:val="20"/>
          <w:lang w:val="en-US"/>
        </w:rPr>
        <w:footnoteReference w:customMarkFollows="1" w:id="1"/>
        <w:t>*</w:t>
      </w:r>
    </w:p>
    <w:p w14:paraId="0031BEF5" w14:textId="77777777" w:rsidR="00C51E3C" w:rsidRPr="00CE23AE" w:rsidRDefault="00C51E3C" w:rsidP="00C51E3C">
      <w:pPr>
        <w:tabs>
          <w:tab w:val="left" w:pos="720"/>
        </w:tabs>
        <w:spacing w:line="240" w:lineRule="auto"/>
        <w:jc w:val="center"/>
        <w:rPr>
          <w:rFonts w:eastAsia="Calibri" w:cs="Verdana"/>
          <w:b/>
          <w:bCs/>
          <w:caps/>
          <w:snapToGrid w:val="0"/>
          <w:szCs w:val="20"/>
          <w:lang w:val="en-US" w:eastAsia="es-ES"/>
        </w:rPr>
      </w:pPr>
    </w:p>
    <w:p w14:paraId="745F4DA3" w14:textId="1779CC85" w:rsidR="00C51E3C" w:rsidRDefault="00936F40" w:rsidP="00251EDE">
      <w:pPr>
        <w:tabs>
          <w:tab w:val="left" w:pos="784"/>
          <w:tab w:val="center" w:pos="5042"/>
        </w:tabs>
        <w:spacing w:line="240" w:lineRule="auto"/>
        <w:jc w:val="left"/>
        <w:rPr>
          <w:rFonts w:eastAsia="Calibri" w:cs="Calibri"/>
          <w:b/>
          <w:szCs w:val="20"/>
          <w:lang w:val="en-US"/>
        </w:rPr>
      </w:pPr>
      <w:r w:rsidRPr="00CE23AE">
        <w:rPr>
          <w:rFonts w:eastAsia="Calibri" w:cs="Calibri"/>
          <w:b/>
          <w:szCs w:val="20"/>
          <w:lang w:val="en-US"/>
        </w:rPr>
        <w:tab/>
      </w:r>
      <w:r w:rsidRPr="00CE23AE">
        <w:rPr>
          <w:rFonts w:eastAsia="Calibri" w:cs="Calibri"/>
          <w:b/>
          <w:szCs w:val="20"/>
          <w:lang w:val="en-US"/>
        </w:rPr>
        <w:tab/>
      </w:r>
      <w:r w:rsidR="00C51E3C" w:rsidRPr="00CE23AE">
        <w:rPr>
          <w:rFonts w:eastAsia="Calibri" w:cs="Calibri"/>
          <w:b/>
          <w:szCs w:val="20"/>
          <w:lang w:val="en-US"/>
        </w:rPr>
        <w:t>CAS</w:t>
      </w:r>
      <w:r w:rsidR="00C561DF" w:rsidRPr="00CE23AE">
        <w:rPr>
          <w:rFonts w:eastAsia="Calibri" w:cs="Calibri"/>
          <w:b/>
          <w:szCs w:val="20"/>
          <w:lang w:val="en-US"/>
        </w:rPr>
        <w:t>E OF</w:t>
      </w:r>
      <w:r w:rsidR="00C51E3C" w:rsidRPr="00CE23AE">
        <w:rPr>
          <w:rFonts w:eastAsia="Calibri" w:cs="Calibri"/>
          <w:b/>
          <w:szCs w:val="20"/>
          <w:lang w:val="en-US"/>
        </w:rPr>
        <w:t xml:space="preserve"> FLOR FREIRE </w:t>
      </w:r>
      <w:r w:rsidR="00C51E3C" w:rsidRPr="00CE23AE">
        <w:rPr>
          <w:rFonts w:eastAsia="Calibri" w:cs="Calibri"/>
          <w:b/>
          <w:i/>
          <w:szCs w:val="20"/>
          <w:lang w:val="en-US"/>
        </w:rPr>
        <w:t>V</w:t>
      </w:r>
      <w:r w:rsidR="00C51E3C" w:rsidRPr="00CE23AE">
        <w:rPr>
          <w:rFonts w:eastAsia="Calibri" w:cs="Calibri"/>
          <w:b/>
          <w:szCs w:val="20"/>
          <w:lang w:val="en-US"/>
        </w:rPr>
        <w:t>. ECUADOR</w:t>
      </w:r>
    </w:p>
    <w:p w14:paraId="36A7BD6B" w14:textId="77777777" w:rsidR="00854016" w:rsidRPr="00CE23AE" w:rsidRDefault="00854016" w:rsidP="00251EDE">
      <w:pPr>
        <w:tabs>
          <w:tab w:val="left" w:pos="784"/>
          <w:tab w:val="center" w:pos="5042"/>
        </w:tabs>
        <w:spacing w:line="240" w:lineRule="auto"/>
        <w:jc w:val="left"/>
        <w:rPr>
          <w:rFonts w:eastAsia="Calibri" w:cs="Calibri"/>
          <w:b/>
          <w:szCs w:val="20"/>
          <w:lang w:val="en-US"/>
        </w:rPr>
      </w:pPr>
    </w:p>
    <w:p w14:paraId="07326A86" w14:textId="2B914F6B" w:rsidR="00C51E3C" w:rsidRPr="00CE23AE" w:rsidRDefault="00C561DF" w:rsidP="00C51E3C">
      <w:pPr>
        <w:tabs>
          <w:tab w:val="left" w:pos="720"/>
        </w:tabs>
        <w:spacing w:line="240" w:lineRule="auto"/>
        <w:jc w:val="center"/>
        <w:rPr>
          <w:rFonts w:eastAsia="Calibri" w:cs="Verdana"/>
          <w:b/>
          <w:bCs/>
          <w:snapToGrid w:val="0"/>
          <w:szCs w:val="20"/>
          <w:lang w:val="en-US" w:eastAsia="es-ES"/>
        </w:rPr>
      </w:pPr>
      <w:r w:rsidRPr="00CE23AE">
        <w:rPr>
          <w:rFonts w:eastAsia="Calibri" w:cs="Verdana"/>
          <w:b/>
          <w:bCs/>
          <w:snapToGrid w:val="0"/>
          <w:szCs w:val="20"/>
          <w:lang w:val="en-US" w:eastAsia="es-ES"/>
        </w:rPr>
        <w:t>JUDGMENT OF</w:t>
      </w:r>
      <w:r w:rsidR="00C51E3C" w:rsidRPr="00CE23AE">
        <w:rPr>
          <w:rFonts w:eastAsia="Calibri" w:cs="Verdana"/>
          <w:b/>
          <w:bCs/>
          <w:snapToGrid w:val="0"/>
          <w:szCs w:val="20"/>
          <w:lang w:val="en-US" w:eastAsia="es-ES"/>
        </w:rPr>
        <w:t xml:space="preserve"> </w:t>
      </w:r>
      <w:r w:rsidRPr="00CE23AE">
        <w:rPr>
          <w:rFonts w:eastAsia="Calibri" w:cs="Verdana"/>
          <w:b/>
          <w:bCs/>
          <w:snapToGrid w:val="0"/>
          <w:szCs w:val="20"/>
          <w:lang w:val="en-US" w:eastAsia="es-ES"/>
        </w:rPr>
        <w:t>AUGUST 31,</w:t>
      </w:r>
      <w:r w:rsidR="00C51E3C" w:rsidRPr="00CE23AE">
        <w:rPr>
          <w:rFonts w:eastAsia="Calibri" w:cs="Verdana"/>
          <w:b/>
          <w:bCs/>
          <w:snapToGrid w:val="0"/>
          <w:szCs w:val="20"/>
          <w:lang w:val="en-US" w:eastAsia="es-ES"/>
        </w:rPr>
        <w:t xml:space="preserve"> 2016</w:t>
      </w:r>
    </w:p>
    <w:p w14:paraId="342D498F" w14:textId="77777777" w:rsidR="00C51E3C" w:rsidRPr="00CE23AE" w:rsidRDefault="00C51E3C" w:rsidP="00C51E3C">
      <w:pPr>
        <w:tabs>
          <w:tab w:val="left" w:pos="720"/>
        </w:tabs>
        <w:spacing w:line="240" w:lineRule="auto"/>
        <w:jc w:val="center"/>
        <w:rPr>
          <w:rFonts w:eastAsia="Calibri" w:cs="Verdana"/>
          <w:b/>
          <w:bCs/>
          <w:caps/>
          <w:snapToGrid w:val="0"/>
          <w:szCs w:val="20"/>
          <w:lang w:val="en-US" w:eastAsia="es-ES"/>
        </w:rPr>
      </w:pPr>
    </w:p>
    <w:p w14:paraId="486BB33D" w14:textId="42F0A6BD" w:rsidR="00C51E3C" w:rsidRPr="00CE23AE" w:rsidRDefault="00C51E3C" w:rsidP="00C51E3C">
      <w:pPr>
        <w:tabs>
          <w:tab w:val="left" w:pos="720"/>
        </w:tabs>
        <w:spacing w:line="240" w:lineRule="auto"/>
        <w:jc w:val="center"/>
        <w:rPr>
          <w:rFonts w:eastAsia="Calibri" w:cs="Verdana"/>
          <w:b/>
          <w:bCs/>
          <w:caps/>
          <w:snapToGrid w:val="0"/>
          <w:szCs w:val="20"/>
          <w:lang w:val="en-US" w:eastAsia="es-ES"/>
        </w:rPr>
      </w:pPr>
      <w:r w:rsidRPr="00CE23AE">
        <w:rPr>
          <w:rFonts w:eastAsia="Calibri" w:cs="Verdana"/>
          <w:b/>
          <w:bCs/>
          <w:i/>
          <w:iCs/>
          <w:snapToGrid w:val="0"/>
          <w:szCs w:val="20"/>
          <w:lang w:val="en-US" w:eastAsia="es-ES"/>
        </w:rPr>
        <w:t>(</w:t>
      </w:r>
      <w:r w:rsidR="00C561DF" w:rsidRPr="00CE23AE">
        <w:rPr>
          <w:rFonts w:eastAsia="Calibri" w:cs="Verdana"/>
          <w:b/>
          <w:bCs/>
          <w:i/>
          <w:iCs/>
          <w:snapToGrid w:val="0"/>
          <w:szCs w:val="20"/>
          <w:lang w:val="en-US" w:eastAsia="es-ES"/>
        </w:rPr>
        <w:t>Preliminary objection, merits, reparations and costs</w:t>
      </w:r>
      <w:r w:rsidRPr="00CE23AE">
        <w:rPr>
          <w:rFonts w:eastAsia="Calibri" w:cs="Verdana"/>
          <w:b/>
          <w:bCs/>
          <w:i/>
          <w:iCs/>
          <w:snapToGrid w:val="0"/>
          <w:szCs w:val="20"/>
          <w:lang w:val="en-US" w:eastAsia="es-ES"/>
        </w:rPr>
        <w:t>)</w:t>
      </w:r>
    </w:p>
    <w:p w14:paraId="66C7FF27" w14:textId="77777777" w:rsidR="0048106D" w:rsidRPr="00CE23AE" w:rsidRDefault="0048106D" w:rsidP="00C51E3C">
      <w:pPr>
        <w:tabs>
          <w:tab w:val="left" w:pos="720"/>
        </w:tabs>
        <w:spacing w:line="240" w:lineRule="auto"/>
        <w:rPr>
          <w:rFonts w:ascii="Verdana Bold" w:eastAsia="Calibri" w:hAnsi="Verdana Bold" w:cs="Verdana"/>
          <w:b/>
          <w:bCs/>
          <w:szCs w:val="20"/>
          <w:lang w:val="en-US"/>
        </w:rPr>
      </w:pPr>
    </w:p>
    <w:p w14:paraId="21946CC3" w14:textId="77777777" w:rsidR="0097043C" w:rsidRPr="00CE23AE" w:rsidRDefault="0097043C" w:rsidP="00C51E3C">
      <w:pPr>
        <w:tabs>
          <w:tab w:val="left" w:pos="720"/>
        </w:tabs>
        <w:spacing w:line="240" w:lineRule="auto"/>
        <w:rPr>
          <w:rFonts w:ascii="Verdana Bold" w:eastAsia="Calibri" w:hAnsi="Verdana Bold" w:cs="Verdana"/>
          <w:b/>
          <w:bCs/>
          <w:szCs w:val="20"/>
          <w:lang w:val="en-US"/>
        </w:rPr>
      </w:pPr>
    </w:p>
    <w:p w14:paraId="06DFC06D" w14:textId="77777777" w:rsidR="00B43BDD" w:rsidRPr="00CE23AE" w:rsidRDefault="00B43BDD" w:rsidP="00C51E3C">
      <w:pPr>
        <w:tabs>
          <w:tab w:val="left" w:pos="720"/>
        </w:tabs>
        <w:spacing w:line="240" w:lineRule="auto"/>
        <w:rPr>
          <w:rFonts w:ascii="Verdana Bold" w:eastAsia="Calibri" w:hAnsi="Verdana Bold" w:cs="Verdana"/>
          <w:b/>
          <w:bCs/>
          <w:szCs w:val="20"/>
          <w:lang w:val="en-US"/>
        </w:rPr>
      </w:pPr>
    </w:p>
    <w:p w14:paraId="50E5D3CA" w14:textId="77777777" w:rsidR="00B43BDD" w:rsidRPr="00CE23AE" w:rsidRDefault="00B43BDD" w:rsidP="00C51E3C">
      <w:pPr>
        <w:tabs>
          <w:tab w:val="left" w:pos="720"/>
        </w:tabs>
        <w:spacing w:line="240" w:lineRule="auto"/>
        <w:rPr>
          <w:rFonts w:ascii="Verdana Bold" w:eastAsia="Calibri" w:hAnsi="Verdana Bold" w:cs="Verdana"/>
          <w:b/>
          <w:bCs/>
          <w:szCs w:val="20"/>
          <w:lang w:val="en-US"/>
        </w:rPr>
      </w:pPr>
    </w:p>
    <w:p w14:paraId="1BFABD15" w14:textId="77777777" w:rsidR="00B43BDD" w:rsidRPr="00CE23AE" w:rsidRDefault="00B43BDD" w:rsidP="00C51E3C">
      <w:pPr>
        <w:tabs>
          <w:tab w:val="left" w:pos="720"/>
        </w:tabs>
        <w:spacing w:line="240" w:lineRule="auto"/>
        <w:rPr>
          <w:rFonts w:ascii="Verdana Bold" w:eastAsia="Calibri" w:hAnsi="Verdana Bold" w:cs="Verdana"/>
          <w:b/>
          <w:bCs/>
          <w:szCs w:val="20"/>
          <w:lang w:val="en-US"/>
        </w:rPr>
      </w:pPr>
    </w:p>
    <w:p w14:paraId="1EA1C4EB" w14:textId="77777777" w:rsidR="0097043C" w:rsidRPr="00CE23AE" w:rsidRDefault="0097043C" w:rsidP="00C51E3C">
      <w:pPr>
        <w:tabs>
          <w:tab w:val="left" w:pos="720"/>
        </w:tabs>
        <w:spacing w:line="240" w:lineRule="auto"/>
        <w:rPr>
          <w:rFonts w:eastAsia="Calibri" w:cs="Verdana"/>
          <w:szCs w:val="20"/>
          <w:lang w:val="en-US"/>
        </w:rPr>
      </w:pPr>
    </w:p>
    <w:p w14:paraId="3F0C334D" w14:textId="77777777" w:rsidR="0097043C" w:rsidRPr="00CE23AE" w:rsidRDefault="0097043C" w:rsidP="00C51E3C">
      <w:pPr>
        <w:tabs>
          <w:tab w:val="left" w:pos="720"/>
        </w:tabs>
        <w:spacing w:line="240" w:lineRule="auto"/>
        <w:rPr>
          <w:rFonts w:eastAsia="Calibri" w:cs="Verdana"/>
          <w:szCs w:val="20"/>
          <w:lang w:val="en-US"/>
        </w:rPr>
      </w:pPr>
    </w:p>
    <w:p w14:paraId="5218F932" w14:textId="65EE3338" w:rsidR="00C51E3C" w:rsidRPr="00CE23AE" w:rsidRDefault="00C561DF" w:rsidP="00C51E3C">
      <w:pPr>
        <w:tabs>
          <w:tab w:val="left" w:pos="720"/>
        </w:tabs>
        <w:spacing w:line="240" w:lineRule="auto"/>
        <w:rPr>
          <w:rFonts w:eastAsia="Calibri" w:cs="Verdana"/>
          <w:i/>
          <w:iCs/>
          <w:szCs w:val="20"/>
          <w:lang w:val="en-US"/>
        </w:rPr>
      </w:pPr>
      <w:r w:rsidRPr="00CE23AE">
        <w:rPr>
          <w:rFonts w:eastAsia="Calibri" w:cs="Verdana"/>
          <w:szCs w:val="20"/>
          <w:lang w:val="en-US"/>
        </w:rPr>
        <w:t>In the case of</w:t>
      </w:r>
      <w:r w:rsidR="00C51E3C" w:rsidRPr="00CE23AE">
        <w:rPr>
          <w:rFonts w:eastAsia="Calibri" w:cs="Verdana"/>
          <w:i/>
          <w:iCs/>
          <w:szCs w:val="20"/>
          <w:lang w:val="en-US"/>
        </w:rPr>
        <w:t xml:space="preserve"> Flor Freire, </w:t>
      </w:r>
    </w:p>
    <w:p w14:paraId="231CE668" w14:textId="77777777" w:rsidR="00C51E3C" w:rsidRPr="00CE23AE" w:rsidRDefault="00C51E3C" w:rsidP="00C51E3C">
      <w:pPr>
        <w:tabs>
          <w:tab w:val="left" w:pos="720"/>
        </w:tabs>
        <w:spacing w:line="240" w:lineRule="auto"/>
        <w:rPr>
          <w:rFonts w:eastAsia="Calibri" w:cs="Verdana"/>
          <w:szCs w:val="20"/>
          <w:lang w:val="en-US"/>
        </w:rPr>
      </w:pPr>
    </w:p>
    <w:p w14:paraId="26BFE532" w14:textId="45CE85DA" w:rsidR="00C51E3C" w:rsidRPr="00CE23AE" w:rsidRDefault="00C561DF" w:rsidP="00C51E3C">
      <w:pPr>
        <w:tabs>
          <w:tab w:val="left" w:pos="720"/>
        </w:tabs>
        <w:spacing w:line="240" w:lineRule="auto"/>
        <w:rPr>
          <w:rFonts w:eastAsia="Calibri" w:cs="Verdana"/>
          <w:szCs w:val="20"/>
          <w:lang w:val="en-US"/>
        </w:rPr>
      </w:pPr>
      <w:r w:rsidRPr="00CE23AE">
        <w:rPr>
          <w:rFonts w:eastAsia="Calibri" w:cs="Verdana"/>
          <w:szCs w:val="20"/>
          <w:lang w:val="en-US"/>
        </w:rPr>
        <w:t>the Inter-American Court of Human Rights</w:t>
      </w:r>
      <w:r w:rsidR="00C51E3C" w:rsidRPr="00CE23AE">
        <w:rPr>
          <w:rFonts w:eastAsia="Calibri" w:cs="Verdana"/>
          <w:szCs w:val="20"/>
          <w:lang w:val="en-US"/>
        </w:rPr>
        <w:t xml:space="preserve"> (</w:t>
      </w:r>
      <w:r w:rsidRPr="00CE23AE">
        <w:rPr>
          <w:rFonts w:eastAsia="Calibri" w:cs="Verdana"/>
          <w:szCs w:val="20"/>
          <w:lang w:val="en-US"/>
        </w:rPr>
        <w:t>hereinafter</w:t>
      </w:r>
      <w:r w:rsidR="00C51E3C" w:rsidRPr="00CE23AE">
        <w:rPr>
          <w:rFonts w:eastAsia="Calibri" w:cs="Verdana"/>
          <w:szCs w:val="20"/>
          <w:lang w:val="en-US"/>
        </w:rPr>
        <w:t xml:space="preserve"> “</w:t>
      </w:r>
      <w:r w:rsidRPr="00CE23AE">
        <w:rPr>
          <w:rFonts w:eastAsia="Calibri" w:cs="Verdana"/>
          <w:szCs w:val="20"/>
          <w:lang w:val="en-US"/>
        </w:rPr>
        <w:t>the Inter-American Court</w:t>
      </w:r>
      <w:r w:rsidR="00C51E3C" w:rsidRPr="00CE23AE">
        <w:rPr>
          <w:rFonts w:eastAsia="Calibri" w:cs="Verdana"/>
          <w:szCs w:val="20"/>
          <w:lang w:val="en-US"/>
        </w:rPr>
        <w:t>”</w:t>
      </w:r>
      <w:r w:rsidRPr="00CE23AE">
        <w:rPr>
          <w:rFonts w:eastAsia="Calibri" w:cs="Verdana"/>
          <w:szCs w:val="20"/>
          <w:lang w:val="en-US"/>
        </w:rPr>
        <w:t xml:space="preserve"> or </w:t>
      </w:r>
      <w:r w:rsidR="00C51E3C" w:rsidRPr="00CE23AE">
        <w:rPr>
          <w:rFonts w:eastAsia="Calibri" w:cs="Verdana"/>
          <w:szCs w:val="20"/>
          <w:lang w:val="en-US"/>
        </w:rPr>
        <w:t>“</w:t>
      </w:r>
      <w:r w:rsidRPr="00CE23AE">
        <w:rPr>
          <w:rFonts w:eastAsia="Calibri" w:cs="Verdana"/>
          <w:szCs w:val="20"/>
          <w:lang w:val="en-US"/>
        </w:rPr>
        <w:t>the Court</w:t>
      </w:r>
      <w:r w:rsidR="00C51E3C" w:rsidRPr="00CE23AE">
        <w:rPr>
          <w:rFonts w:eastAsia="Calibri" w:cs="Verdana"/>
          <w:szCs w:val="20"/>
          <w:lang w:val="en-US"/>
        </w:rPr>
        <w:t xml:space="preserve">”), </w:t>
      </w:r>
      <w:r w:rsidRPr="00CE23AE">
        <w:rPr>
          <w:rFonts w:eastAsia="Calibri" w:cs="Verdana"/>
          <w:szCs w:val="20"/>
          <w:lang w:val="en-US"/>
        </w:rPr>
        <w:t>composed of the following judges</w:t>
      </w:r>
      <w:r w:rsidR="00C51E3C" w:rsidRPr="00CE23AE">
        <w:rPr>
          <w:rFonts w:eastAsia="Calibri" w:cs="Verdana"/>
          <w:szCs w:val="20"/>
          <w:lang w:val="en-US"/>
        </w:rPr>
        <w:t>:</w:t>
      </w:r>
    </w:p>
    <w:p w14:paraId="2AC87898" w14:textId="77777777" w:rsidR="00C51E3C" w:rsidRPr="00CE23AE" w:rsidRDefault="00C51E3C" w:rsidP="00C51E3C">
      <w:pPr>
        <w:tabs>
          <w:tab w:val="left" w:pos="720"/>
        </w:tabs>
        <w:spacing w:line="240" w:lineRule="auto"/>
        <w:rPr>
          <w:rFonts w:eastAsia="Calibri" w:cs="Verdana"/>
          <w:szCs w:val="20"/>
          <w:lang w:val="en-US"/>
        </w:rPr>
      </w:pPr>
    </w:p>
    <w:p w14:paraId="67C7395B" w14:textId="77070DD8" w:rsidR="00C51E3C" w:rsidRPr="00CE23AE" w:rsidRDefault="00C51E3C" w:rsidP="00C51E3C">
      <w:pPr>
        <w:tabs>
          <w:tab w:val="left" w:pos="720"/>
        </w:tabs>
        <w:spacing w:line="240" w:lineRule="auto"/>
        <w:rPr>
          <w:rFonts w:eastAsia="Calibri" w:cs="Verdana"/>
          <w:szCs w:val="20"/>
          <w:lang w:val="en-US"/>
        </w:rPr>
      </w:pPr>
      <w:r w:rsidRPr="00CE23AE">
        <w:rPr>
          <w:rFonts w:eastAsia="Calibri" w:cs="Verdana"/>
          <w:szCs w:val="20"/>
          <w:lang w:val="en-US"/>
        </w:rPr>
        <w:t>Roberto F. Caldas, President</w:t>
      </w:r>
    </w:p>
    <w:p w14:paraId="60F0459A" w14:textId="7EAABC4F" w:rsidR="00C51E3C" w:rsidRPr="00CE23AE" w:rsidRDefault="00C51E3C" w:rsidP="00C51E3C">
      <w:pPr>
        <w:tabs>
          <w:tab w:val="left" w:pos="720"/>
        </w:tabs>
        <w:spacing w:line="240" w:lineRule="auto"/>
        <w:rPr>
          <w:rFonts w:eastAsia="Calibri" w:cs="Verdana"/>
          <w:szCs w:val="20"/>
          <w:lang w:val="en-US"/>
        </w:rPr>
      </w:pPr>
      <w:r w:rsidRPr="00CE23AE">
        <w:rPr>
          <w:rFonts w:eastAsia="Calibri" w:cs="Verdana"/>
          <w:color w:val="000000"/>
          <w:szCs w:val="20"/>
          <w:lang w:val="en-US"/>
        </w:rPr>
        <w:t>Eduardo Ferrer Mac-Gregor Poisot</w:t>
      </w:r>
      <w:r w:rsidRPr="00CE23AE">
        <w:rPr>
          <w:rFonts w:eastAsia="Calibri" w:cs="Verdana"/>
          <w:szCs w:val="20"/>
          <w:lang w:val="en-US"/>
        </w:rPr>
        <w:t>, Vice</w:t>
      </w:r>
      <w:r w:rsidR="00C561DF" w:rsidRPr="00CE23AE">
        <w:rPr>
          <w:rFonts w:eastAsia="Calibri" w:cs="Verdana"/>
          <w:szCs w:val="20"/>
          <w:lang w:val="en-US"/>
        </w:rPr>
        <w:t xml:space="preserve"> P</w:t>
      </w:r>
      <w:r w:rsidRPr="00CE23AE">
        <w:rPr>
          <w:rFonts w:eastAsia="Calibri" w:cs="Verdana"/>
          <w:szCs w:val="20"/>
          <w:lang w:val="en-US"/>
        </w:rPr>
        <w:t>resident</w:t>
      </w:r>
    </w:p>
    <w:p w14:paraId="7CAB1436" w14:textId="12C60CCA" w:rsidR="00C51E3C" w:rsidRPr="00CE23AE" w:rsidRDefault="00C51E3C" w:rsidP="00C51E3C">
      <w:pPr>
        <w:tabs>
          <w:tab w:val="left" w:pos="720"/>
        </w:tabs>
        <w:spacing w:line="240" w:lineRule="auto"/>
        <w:rPr>
          <w:rFonts w:eastAsia="Calibri" w:cs="Verdana"/>
          <w:szCs w:val="20"/>
          <w:lang w:val="en-US"/>
        </w:rPr>
      </w:pPr>
      <w:r w:rsidRPr="00CE23AE">
        <w:rPr>
          <w:rFonts w:eastAsia="Calibri" w:cs="Verdana"/>
          <w:szCs w:val="20"/>
          <w:lang w:val="en-US"/>
        </w:rPr>
        <w:t xml:space="preserve">Eduardo Vio Grossi, </w:t>
      </w:r>
      <w:r w:rsidR="00C561DF" w:rsidRPr="00CE23AE">
        <w:rPr>
          <w:rFonts w:eastAsia="Calibri" w:cs="Verdana"/>
          <w:szCs w:val="20"/>
          <w:lang w:val="en-US"/>
        </w:rPr>
        <w:t>Judge</w:t>
      </w:r>
    </w:p>
    <w:p w14:paraId="4A3351B4" w14:textId="44E97717" w:rsidR="00C51E3C" w:rsidRPr="00CE23AE" w:rsidRDefault="00C51E3C" w:rsidP="00C51E3C">
      <w:pPr>
        <w:tabs>
          <w:tab w:val="left" w:pos="720"/>
        </w:tabs>
        <w:spacing w:line="240" w:lineRule="auto"/>
        <w:rPr>
          <w:rFonts w:eastAsia="Calibri" w:cs="Verdana"/>
          <w:szCs w:val="20"/>
          <w:lang w:val="en-US"/>
        </w:rPr>
      </w:pPr>
      <w:r w:rsidRPr="00CE23AE">
        <w:rPr>
          <w:rFonts w:eastAsia="Calibri" w:cs="Verdana"/>
          <w:szCs w:val="20"/>
          <w:lang w:val="en-US"/>
        </w:rPr>
        <w:t xml:space="preserve">Humberto Antonio Sierra Porto, </w:t>
      </w:r>
      <w:r w:rsidR="00C561DF" w:rsidRPr="00CE23AE">
        <w:rPr>
          <w:rFonts w:eastAsia="Calibri" w:cs="Verdana"/>
          <w:szCs w:val="20"/>
          <w:lang w:val="en-US"/>
        </w:rPr>
        <w:t>Judge</w:t>
      </w:r>
    </w:p>
    <w:p w14:paraId="2DD24A6C" w14:textId="57C66C23" w:rsidR="00C51E3C" w:rsidRPr="00CE23AE" w:rsidRDefault="00C51E3C" w:rsidP="00C51E3C">
      <w:pPr>
        <w:tabs>
          <w:tab w:val="left" w:pos="720"/>
        </w:tabs>
        <w:spacing w:line="240" w:lineRule="auto"/>
        <w:rPr>
          <w:rFonts w:eastAsia="Calibri" w:cs="Verdana"/>
          <w:szCs w:val="20"/>
          <w:lang w:val="en-US"/>
        </w:rPr>
      </w:pPr>
      <w:r w:rsidRPr="00CE23AE">
        <w:rPr>
          <w:rFonts w:eastAsia="Calibri" w:cs="Verdana"/>
          <w:szCs w:val="20"/>
          <w:lang w:val="en-US"/>
        </w:rPr>
        <w:t xml:space="preserve">Elizabeth Odio Benito, </w:t>
      </w:r>
      <w:r w:rsidR="00C561DF" w:rsidRPr="00CE23AE">
        <w:rPr>
          <w:rFonts w:eastAsia="Calibri" w:cs="Verdana"/>
          <w:szCs w:val="20"/>
          <w:lang w:val="en-US"/>
        </w:rPr>
        <w:t>Judge, and</w:t>
      </w:r>
    </w:p>
    <w:p w14:paraId="777DD784" w14:textId="722F706D" w:rsidR="00C51E3C" w:rsidRPr="00CE23AE" w:rsidRDefault="00C51E3C" w:rsidP="00C51E3C">
      <w:pPr>
        <w:tabs>
          <w:tab w:val="left" w:pos="720"/>
        </w:tabs>
        <w:spacing w:line="240" w:lineRule="auto"/>
        <w:rPr>
          <w:rFonts w:eastAsia="Calibri" w:cs="Verdana"/>
          <w:szCs w:val="20"/>
          <w:lang w:val="en-US"/>
        </w:rPr>
      </w:pPr>
      <w:r w:rsidRPr="00CE23AE">
        <w:rPr>
          <w:rFonts w:eastAsia="Calibri" w:cs="Verdana"/>
          <w:szCs w:val="20"/>
          <w:lang w:val="en-US"/>
        </w:rPr>
        <w:t xml:space="preserve">Eugenio Raúl Zaffaroni, </w:t>
      </w:r>
      <w:r w:rsidR="00C561DF" w:rsidRPr="00CE23AE">
        <w:rPr>
          <w:rFonts w:eastAsia="Calibri" w:cs="Verdana"/>
          <w:szCs w:val="20"/>
          <w:lang w:val="en-US"/>
        </w:rPr>
        <w:t>Judge</w:t>
      </w:r>
    </w:p>
    <w:p w14:paraId="31C1CB54" w14:textId="77777777" w:rsidR="00C51E3C" w:rsidRPr="00CE23AE" w:rsidRDefault="00C51E3C" w:rsidP="00C51E3C">
      <w:pPr>
        <w:tabs>
          <w:tab w:val="left" w:pos="720"/>
        </w:tabs>
        <w:spacing w:line="240" w:lineRule="auto"/>
        <w:rPr>
          <w:rFonts w:eastAsia="Calibri" w:cs="Verdana"/>
          <w:szCs w:val="20"/>
          <w:lang w:val="en-US"/>
        </w:rPr>
      </w:pPr>
    </w:p>
    <w:p w14:paraId="72A23067" w14:textId="310EDC79" w:rsidR="00C51E3C" w:rsidRPr="00CE23AE" w:rsidRDefault="00C561DF" w:rsidP="00C51E3C">
      <w:pPr>
        <w:tabs>
          <w:tab w:val="left" w:pos="720"/>
        </w:tabs>
        <w:spacing w:line="240" w:lineRule="auto"/>
        <w:rPr>
          <w:rFonts w:eastAsia="Calibri" w:cs="Verdana"/>
          <w:szCs w:val="20"/>
          <w:lang w:val="en-US"/>
        </w:rPr>
      </w:pPr>
      <w:r w:rsidRPr="00CE23AE">
        <w:rPr>
          <w:rFonts w:eastAsia="Calibri" w:cs="Verdana"/>
          <w:szCs w:val="20"/>
          <w:lang w:val="en-US"/>
        </w:rPr>
        <w:t>also present</w:t>
      </w:r>
      <w:r w:rsidR="00C51E3C" w:rsidRPr="00CE23AE">
        <w:rPr>
          <w:rFonts w:eastAsia="Calibri" w:cs="Verdana"/>
          <w:szCs w:val="20"/>
          <w:lang w:val="en-US"/>
        </w:rPr>
        <w:t>,</w:t>
      </w:r>
    </w:p>
    <w:p w14:paraId="5327C5EB" w14:textId="77777777" w:rsidR="00C51E3C" w:rsidRPr="00CE23AE" w:rsidRDefault="00C51E3C" w:rsidP="00C51E3C">
      <w:pPr>
        <w:tabs>
          <w:tab w:val="left" w:pos="720"/>
        </w:tabs>
        <w:spacing w:line="240" w:lineRule="auto"/>
        <w:rPr>
          <w:rFonts w:eastAsia="Calibri" w:cs="Verdana"/>
          <w:szCs w:val="20"/>
          <w:lang w:val="en-US"/>
        </w:rPr>
      </w:pPr>
    </w:p>
    <w:p w14:paraId="37E0B4CB" w14:textId="21EF395A" w:rsidR="00C51E3C" w:rsidRPr="00CE23AE" w:rsidRDefault="00C51E3C" w:rsidP="00C51E3C">
      <w:pPr>
        <w:tabs>
          <w:tab w:val="left" w:pos="720"/>
        </w:tabs>
        <w:spacing w:line="240" w:lineRule="auto"/>
        <w:rPr>
          <w:rFonts w:eastAsia="Calibri" w:cs="Verdana"/>
          <w:szCs w:val="20"/>
          <w:lang w:val="en-US"/>
        </w:rPr>
      </w:pPr>
      <w:r w:rsidRPr="00CE23AE">
        <w:rPr>
          <w:rFonts w:eastAsia="Calibri" w:cs="Verdana"/>
          <w:szCs w:val="20"/>
          <w:lang w:val="en-US"/>
        </w:rPr>
        <w:t xml:space="preserve">Pablo Saavedra Alessandri, </w:t>
      </w:r>
      <w:r w:rsidR="00C561DF" w:rsidRPr="00CE23AE">
        <w:rPr>
          <w:rFonts w:eastAsia="Calibri" w:cs="Verdana"/>
          <w:szCs w:val="20"/>
          <w:lang w:val="en-US"/>
        </w:rPr>
        <w:t>Secretary</w:t>
      </w:r>
      <w:r w:rsidRPr="00CE23AE">
        <w:rPr>
          <w:rFonts w:eastAsia="Calibri" w:cs="Verdana"/>
          <w:szCs w:val="20"/>
          <w:lang w:val="en-US"/>
        </w:rPr>
        <w:t xml:space="preserve">, </w:t>
      </w:r>
      <w:r w:rsidR="00C561DF" w:rsidRPr="00CE23AE">
        <w:rPr>
          <w:rFonts w:eastAsia="Calibri" w:cs="Verdana"/>
          <w:szCs w:val="20"/>
          <w:lang w:val="en-US"/>
        </w:rPr>
        <w:t>and</w:t>
      </w:r>
      <w:r w:rsidRPr="00CE23AE">
        <w:rPr>
          <w:rFonts w:eastAsia="Calibri" w:cs="Verdana"/>
          <w:szCs w:val="20"/>
          <w:lang w:val="en-US"/>
        </w:rPr>
        <w:t xml:space="preserve"> </w:t>
      </w:r>
    </w:p>
    <w:p w14:paraId="4284A337" w14:textId="1C0D66D3" w:rsidR="00C51E3C" w:rsidRPr="00CE23AE" w:rsidRDefault="00C51E3C" w:rsidP="00C51E3C">
      <w:pPr>
        <w:tabs>
          <w:tab w:val="left" w:pos="720"/>
        </w:tabs>
        <w:spacing w:line="240" w:lineRule="auto"/>
        <w:rPr>
          <w:rFonts w:eastAsia="Calibri" w:cs="Verdana"/>
          <w:szCs w:val="20"/>
          <w:lang w:val="en-US"/>
        </w:rPr>
      </w:pPr>
      <w:r w:rsidRPr="00CE23AE">
        <w:rPr>
          <w:rFonts w:eastAsia="Calibri" w:cs="Verdana"/>
          <w:szCs w:val="20"/>
          <w:lang w:val="en-US" w:eastAsia="es-MX"/>
        </w:rPr>
        <w:t xml:space="preserve">Emilia Segares Rodríguez, </w:t>
      </w:r>
      <w:r w:rsidR="00C561DF" w:rsidRPr="00CE23AE">
        <w:rPr>
          <w:rFonts w:eastAsia="Calibri" w:cs="Verdana"/>
          <w:szCs w:val="20"/>
          <w:lang w:val="en-US" w:eastAsia="es-MX"/>
        </w:rPr>
        <w:t>Deputy Secretary</w:t>
      </w:r>
      <w:r w:rsidRPr="00CE23AE">
        <w:rPr>
          <w:rFonts w:eastAsia="Calibri" w:cs="Verdana"/>
          <w:szCs w:val="20"/>
          <w:lang w:val="en-US" w:eastAsia="es-MX"/>
        </w:rPr>
        <w:t>,</w:t>
      </w:r>
    </w:p>
    <w:p w14:paraId="75765C27" w14:textId="77777777" w:rsidR="00C51E3C" w:rsidRPr="00CE23AE" w:rsidRDefault="00C51E3C" w:rsidP="00C51E3C">
      <w:pPr>
        <w:tabs>
          <w:tab w:val="left" w:pos="720"/>
        </w:tabs>
        <w:spacing w:line="240" w:lineRule="auto"/>
        <w:rPr>
          <w:rFonts w:eastAsia="Calibri" w:cs="Verdana"/>
          <w:szCs w:val="20"/>
          <w:lang w:val="en-US"/>
        </w:rPr>
      </w:pPr>
    </w:p>
    <w:p w14:paraId="58BA48F1" w14:textId="6D3A3488" w:rsidR="00C51E3C" w:rsidRPr="00CE23AE" w:rsidRDefault="00C561DF" w:rsidP="00C561DF">
      <w:pPr>
        <w:tabs>
          <w:tab w:val="left" w:pos="720"/>
          <w:tab w:val="left" w:pos="3240"/>
        </w:tabs>
        <w:spacing w:line="240" w:lineRule="auto"/>
        <w:rPr>
          <w:rFonts w:eastAsia="Calibri" w:cs="Verdana"/>
          <w:szCs w:val="20"/>
          <w:lang w:val="en-US"/>
        </w:rPr>
      </w:pPr>
      <w:r w:rsidRPr="00CE23AE">
        <w:rPr>
          <w:rFonts w:eastAsia="Calibri" w:cs="Verdana"/>
          <w:szCs w:val="20"/>
          <w:lang w:val="en-US"/>
        </w:rPr>
        <w:t>pursuant to</w:t>
      </w:r>
      <w:r w:rsidR="00C51E3C" w:rsidRPr="00CE23AE">
        <w:rPr>
          <w:rFonts w:eastAsia="Calibri" w:cs="Verdana"/>
          <w:szCs w:val="20"/>
          <w:lang w:val="en-US"/>
        </w:rPr>
        <w:t xml:space="preserve"> </w:t>
      </w:r>
      <w:r w:rsidRPr="00CE23AE">
        <w:rPr>
          <w:rFonts w:eastAsia="Calibri" w:cs="Verdana"/>
          <w:szCs w:val="20"/>
          <w:lang w:val="en-US"/>
        </w:rPr>
        <w:t>Articles</w:t>
      </w:r>
      <w:r w:rsidR="00C51E3C" w:rsidRPr="00CE23AE">
        <w:rPr>
          <w:rFonts w:eastAsia="Calibri" w:cs="Verdana"/>
          <w:szCs w:val="20"/>
          <w:lang w:val="en-US"/>
        </w:rPr>
        <w:t xml:space="preserve"> </w:t>
      </w:r>
      <w:r w:rsidRPr="00CE23AE">
        <w:rPr>
          <w:rFonts w:eastAsia="Calibri" w:cs="Verdana"/>
          <w:szCs w:val="20"/>
          <w:lang w:val="en-US"/>
        </w:rPr>
        <w:t>62(3)</w:t>
      </w:r>
      <w:r w:rsidR="00C51E3C" w:rsidRPr="00CE23AE">
        <w:rPr>
          <w:rFonts w:eastAsia="Calibri" w:cs="Verdana"/>
          <w:szCs w:val="20"/>
          <w:lang w:val="en-US"/>
        </w:rPr>
        <w:t xml:space="preserve"> </w:t>
      </w:r>
      <w:r w:rsidRPr="00CE23AE">
        <w:rPr>
          <w:rFonts w:eastAsia="Calibri" w:cs="Verdana"/>
          <w:szCs w:val="20"/>
          <w:lang w:val="en-US"/>
        </w:rPr>
        <w:t>and</w:t>
      </w:r>
      <w:r w:rsidR="00C51E3C" w:rsidRPr="00CE23AE">
        <w:rPr>
          <w:rFonts w:eastAsia="Calibri" w:cs="Verdana"/>
          <w:szCs w:val="20"/>
          <w:lang w:val="en-US"/>
        </w:rPr>
        <w:t xml:space="preserve"> </w:t>
      </w:r>
      <w:r w:rsidRPr="00CE23AE">
        <w:rPr>
          <w:rFonts w:eastAsia="Calibri" w:cs="Verdana"/>
          <w:szCs w:val="20"/>
          <w:lang w:val="en-US"/>
        </w:rPr>
        <w:t>63(1) of the American Convention on Human Rights</w:t>
      </w:r>
      <w:r w:rsidR="00C51E3C" w:rsidRPr="00CE23AE">
        <w:rPr>
          <w:rFonts w:eastAsia="Calibri" w:cs="Verdana"/>
          <w:szCs w:val="20"/>
          <w:lang w:val="en-US"/>
        </w:rPr>
        <w:t xml:space="preserve"> (</w:t>
      </w:r>
      <w:r w:rsidRPr="00CE23AE">
        <w:rPr>
          <w:rFonts w:eastAsia="Calibri" w:cs="Verdana"/>
          <w:szCs w:val="20"/>
          <w:lang w:val="en-US"/>
        </w:rPr>
        <w:t>hereinafter</w:t>
      </w:r>
      <w:r w:rsidR="00C51E3C" w:rsidRPr="00CE23AE">
        <w:rPr>
          <w:rFonts w:eastAsia="Calibri" w:cs="Verdana"/>
          <w:szCs w:val="20"/>
          <w:lang w:val="en-US"/>
        </w:rPr>
        <w:t xml:space="preserve"> “</w:t>
      </w:r>
      <w:r w:rsidRPr="00CE23AE">
        <w:rPr>
          <w:rFonts w:eastAsia="Calibri" w:cs="Verdana"/>
          <w:szCs w:val="20"/>
          <w:lang w:val="en-US"/>
        </w:rPr>
        <w:t>the American Convention</w:t>
      </w:r>
      <w:r w:rsidR="00C51E3C" w:rsidRPr="00CE23AE">
        <w:rPr>
          <w:rFonts w:eastAsia="Calibri" w:cs="Verdana"/>
          <w:szCs w:val="20"/>
          <w:lang w:val="en-US"/>
        </w:rPr>
        <w:t>” o</w:t>
      </w:r>
      <w:r w:rsidRPr="00CE23AE">
        <w:rPr>
          <w:rFonts w:eastAsia="Calibri" w:cs="Verdana"/>
          <w:szCs w:val="20"/>
          <w:lang w:val="en-US"/>
        </w:rPr>
        <w:t>r</w:t>
      </w:r>
      <w:r w:rsidR="00C51E3C" w:rsidRPr="00CE23AE">
        <w:rPr>
          <w:rFonts w:eastAsia="Calibri" w:cs="Verdana"/>
          <w:szCs w:val="20"/>
          <w:lang w:val="en-US"/>
        </w:rPr>
        <w:t xml:space="preserve"> “</w:t>
      </w:r>
      <w:r w:rsidRPr="00CE23AE">
        <w:rPr>
          <w:rFonts w:eastAsia="Calibri" w:cs="Verdana"/>
          <w:szCs w:val="20"/>
          <w:lang w:val="en-US"/>
        </w:rPr>
        <w:t>the Convention</w:t>
      </w:r>
      <w:r w:rsidR="00C51E3C" w:rsidRPr="00CE23AE">
        <w:rPr>
          <w:rFonts w:eastAsia="Calibri" w:cs="Verdana"/>
          <w:szCs w:val="20"/>
          <w:lang w:val="en-US"/>
        </w:rPr>
        <w:t xml:space="preserve">”) </w:t>
      </w:r>
      <w:r w:rsidRPr="00CE23AE">
        <w:rPr>
          <w:rFonts w:eastAsia="Calibri" w:cs="Verdana"/>
          <w:szCs w:val="20"/>
          <w:lang w:val="en-US"/>
        </w:rPr>
        <w:t>and</w:t>
      </w:r>
      <w:r w:rsidR="00C51E3C" w:rsidRPr="00CE23AE">
        <w:rPr>
          <w:rFonts w:eastAsia="Calibri" w:cs="Verdana"/>
          <w:szCs w:val="20"/>
          <w:lang w:val="en-US"/>
        </w:rPr>
        <w:t xml:space="preserve"> </w:t>
      </w:r>
      <w:r w:rsidRPr="00CE23AE">
        <w:rPr>
          <w:rFonts w:eastAsia="Calibri" w:cs="Verdana"/>
          <w:szCs w:val="20"/>
          <w:lang w:val="en-US"/>
        </w:rPr>
        <w:t>Articles</w:t>
      </w:r>
      <w:r w:rsidR="00C51E3C" w:rsidRPr="00CE23AE">
        <w:rPr>
          <w:rFonts w:eastAsia="Calibri" w:cs="Verdana"/>
          <w:szCs w:val="20"/>
          <w:lang w:val="en-US"/>
        </w:rPr>
        <w:t xml:space="preserve"> 31, 32, 42, 65 </w:t>
      </w:r>
      <w:r w:rsidRPr="00CE23AE">
        <w:rPr>
          <w:rFonts w:eastAsia="Calibri" w:cs="Verdana"/>
          <w:szCs w:val="20"/>
          <w:lang w:val="en-US"/>
        </w:rPr>
        <w:t>and</w:t>
      </w:r>
      <w:r w:rsidR="00C51E3C" w:rsidRPr="00CE23AE">
        <w:rPr>
          <w:rFonts w:eastAsia="Calibri" w:cs="Verdana"/>
          <w:szCs w:val="20"/>
          <w:lang w:val="en-US"/>
        </w:rPr>
        <w:t xml:space="preserve"> 67</w:t>
      </w:r>
      <w:r w:rsidRPr="00CE23AE">
        <w:rPr>
          <w:rFonts w:eastAsia="Calibri" w:cs="Verdana"/>
          <w:szCs w:val="20"/>
          <w:lang w:val="en-US"/>
        </w:rPr>
        <w:t xml:space="preserve"> of the Rules of Procedure of the Court</w:t>
      </w:r>
      <w:r w:rsidR="00C51E3C" w:rsidRPr="00CE23AE">
        <w:rPr>
          <w:rFonts w:eastAsia="Calibri" w:cs="Verdana"/>
          <w:szCs w:val="20"/>
          <w:lang w:val="en-US"/>
        </w:rPr>
        <w:t xml:space="preserve"> (</w:t>
      </w:r>
      <w:r w:rsidRPr="00CE23AE">
        <w:rPr>
          <w:rFonts w:eastAsia="Calibri" w:cs="Verdana"/>
          <w:szCs w:val="20"/>
          <w:lang w:val="en-US"/>
        </w:rPr>
        <w:t>hereinafter</w:t>
      </w:r>
      <w:r w:rsidR="00C51E3C" w:rsidRPr="00CE23AE">
        <w:rPr>
          <w:rFonts w:eastAsia="Calibri" w:cs="Verdana"/>
          <w:szCs w:val="20"/>
          <w:lang w:val="en-US"/>
        </w:rPr>
        <w:t xml:space="preserve"> “</w:t>
      </w:r>
      <w:r w:rsidRPr="00CE23AE">
        <w:rPr>
          <w:rFonts w:eastAsia="Calibri" w:cs="Verdana"/>
          <w:szCs w:val="20"/>
          <w:lang w:val="en-US"/>
        </w:rPr>
        <w:t>the Rules of Procedure</w:t>
      </w:r>
      <w:r w:rsidR="00C51E3C" w:rsidRPr="00CE23AE">
        <w:rPr>
          <w:rFonts w:eastAsia="Calibri" w:cs="Verdana"/>
          <w:szCs w:val="20"/>
          <w:lang w:val="en-US"/>
        </w:rPr>
        <w:t>” o</w:t>
      </w:r>
      <w:r w:rsidRPr="00CE23AE">
        <w:rPr>
          <w:rFonts w:eastAsia="Calibri" w:cs="Verdana"/>
          <w:szCs w:val="20"/>
          <w:lang w:val="en-US"/>
        </w:rPr>
        <w:t>r</w:t>
      </w:r>
      <w:r w:rsidR="00C51E3C" w:rsidRPr="00CE23AE">
        <w:rPr>
          <w:rFonts w:eastAsia="Calibri" w:cs="Verdana"/>
          <w:szCs w:val="20"/>
          <w:lang w:val="en-US"/>
        </w:rPr>
        <w:t xml:space="preserve"> “</w:t>
      </w:r>
      <w:r w:rsidRPr="00CE23AE">
        <w:rPr>
          <w:rFonts w:eastAsia="Calibri" w:cs="Verdana"/>
          <w:szCs w:val="20"/>
          <w:lang w:val="en-US"/>
        </w:rPr>
        <w:t>the Court’s Rules of Procedure</w:t>
      </w:r>
      <w:r w:rsidR="00C51E3C" w:rsidRPr="00CE23AE">
        <w:rPr>
          <w:rFonts w:eastAsia="Calibri" w:cs="Verdana"/>
          <w:szCs w:val="20"/>
          <w:lang w:val="en-US"/>
        </w:rPr>
        <w:t>”), d</w:t>
      </w:r>
      <w:r w:rsidRPr="00CE23AE">
        <w:rPr>
          <w:rFonts w:eastAsia="Calibri" w:cs="Verdana"/>
          <w:szCs w:val="20"/>
          <w:lang w:val="en-US"/>
        </w:rPr>
        <w:t>elivers this judgment structured as follows:</w:t>
      </w:r>
    </w:p>
    <w:p w14:paraId="7D8D1A4B" w14:textId="77777777" w:rsidR="00C51E3C" w:rsidRPr="00CE23AE" w:rsidRDefault="00C51E3C" w:rsidP="00C51E3C">
      <w:pPr>
        <w:tabs>
          <w:tab w:val="left" w:pos="720"/>
        </w:tabs>
        <w:spacing w:line="240" w:lineRule="auto"/>
        <w:rPr>
          <w:rFonts w:eastAsia="Calibri" w:cs="Verdana"/>
          <w:szCs w:val="20"/>
          <w:lang w:val="en-US"/>
        </w:rPr>
      </w:pPr>
    </w:p>
    <w:p w14:paraId="2AA1CE33" w14:textId="59502B43" w:rsidR="00530412" w:rsidRPr="00CE23AE" w:rsidRDefault="00C51E3C" w:rsidP="0086630B">
      <w:pPr>
        <w:widowControl/>
        <w:adjustRightInd/>
        <w:spacing w:before="60" w:line="240" w:lineRule="auto"/>
        <w:jc w:val="center"/>
        <w:textAlignment w:val="auto"/>
        <w:rPr>
          <w:b/>
          <w:sz w:val="18"/>
          <w:szCs w:val="18"/>
          <w:lang w:val="en-US"/>
        </w:rPr>
      </w:pPr>
      <w:bookmarkStart w:id="0" w:name="_Toc373093233"/>
      <w:bookmarkStart w:id="1" w:name="_Toc373350045"/>
      <w:bookmarkStart w:id="2" w:name="_Toc375560891"/>
      <w:bookmarkStart w:id="3" w:name="_Toc401931877"/>
      <w:bookmarkStart w:id="4" w:name="_Toc428369976"/>
      <w:bookmarkStart w:id="5" w:name="_Ref305145750"/>
      <w:r w:rsidRPr="00CE23AE">
        <w:rPr>
          <w:lang w:val="en-US"/>
        </w:rPr>
        <w:br w:type="page"/>
      </w:r>
      <w:r w:rsidR="00651736" w:rsidRPr="00CE23AE">
        <w:rPr>
          <w:b/>
          <w:sz w:val="18"/>
          <w:szCs w:val="18"/>
          <w:lang w:val="en-US"/>
        </w:rPr>
        <w:lastRenderedPageBreak/>
        <w:t>T</w:t>
      </w:r>
      <w:r w:rsidR="006217B9" w:rsidRPr="00CE23AE">
        <w:rPr>
          <w:b/>
          <w:sz w:val="18"/>
          <w:szCs w:val="18"/>
          <w:lang w:val="en-US"/>
        </w:rPr>
        <w:t>ABL</w:t>
      </w:r>
      <w:r w:rsidR="00C561DF" w:rsidRPr="00CE23AE">
        <w:rPr>
          <w:b/>
          <w:sz w:val="18"/>
          <w:szCs w:val="18"/>
          <w:lang w:val="en-US"/>
        </w:rPr>
        <w:t>E OF CONTENTS</w:t>
      </w:r>
    </w:p>
    <w:p w14:paraId="35E278B4" w14:textId="77777777" w:rsidR="00C63C71" w:rsidRPr="00CE23AE" w:rsidRDefault="00C63C71" w:rsidP="006211E0">
      <w:pPr>
        <w:widowControl/>
        <w:adjustRightInd/>
        <w:spacing w:before="60" w:after="60" w:line="240" w:lineRule="auto"/>
        <w:jc w:val="center"/>
        <w:textAlignment w:val="auto"/>
        <w:rPr>
          <w:b/>
          <w:sz w:val="18"/>
          <w:szCs w:val="18"/>
          <w:lang w:val="en-US"/>
        </w:rPr>
      </w:pPr>
    </w:p>
    <w:bookmarkStart w:id="6" w:name="_Toc453874300"/>
    <w:bookmarkStart w:id="7" w:name="_Toc454891461"/>
    <w:bookmarkStart w:id="8" w:name="_Toc457840565"/>
    <w:p w14:paraId="001E4C8A" w14:textId="7140F9DC" w:rsidR="006C3580" w:rsidRPr="00CE23AE" w:rsidRDefault="00530412">
      <w:pPr>
        <w:pStyle w:val="TDC1"/>
        <w:rPr>
          <w:rFonts w:eastAsiaTheme="minorEastAsia" w:cstheme="minorBidi"/>
          <w:b w:val="0"/>
          <w:sz w:val="18"/>
          <w:lang w:val="en-US" w:eastAsia="en-US"/>
        </w:rPr>
      </w:pPr>
      <w:r w:rsidRPr="00CE23AE">
        <w:rPr>
          <w:rFonts w:eastAsia="MS ????"/>
          <w:bCs/>
          <w:caps/>
          <w:snapToGrid w:val="0"/>
          <w:sz w:val="18"/>
          <w:lang w:val="en-US" w:eastAsia="es-ES"/>
        </w:rPr>
        <w:fldChar w:fldCharType="begin"/>
      </w:r>
      <w:r w:rsidRPr="00CE23AE">
        <w:rPr>
          <w:rFonts w:eastAsia="MS ????"/>
          <w:bCs/>
          <w:caps/>
          <w:snapToGrid w:val="0"/>
          <w:sz w:val="18"/>
          <w:lang w:val="en-US" w:eastAsia="es-ES"/>
        </w:rPr>
        <w:instrText xml:space="preserve"> TOC \o "1-4" \h \z \u </w:instrText>
      </w:r>
      <w:r w:rsidRPr="00CE23AE">
        <w:rPr>
          <w:rFonts w:eastAsia="MS ????"/>
          <w:bCs/>
          <w:caps/>
          <w:snapToGrid w:val="0"/>
          <w:sz w:val="18"/>
          <w:lang w:val="en-US" w:eastAsia="es-ES"/>
        </w:rPr>
        <w:fldChar w:fldCharType="separate"/>
      </w:r>
      <w:hyperlink w:anchor="_Toc46388339" w:history="1">
        <w:r w:rsidR="006C3580" w:rsidRPr="00CE23AE">
          <w:rPr>
            <w:rStyle w:val="Hipervnculo"/>
            <w:sz w:val="18"/>
            <w:lang w:val="en-US"/>
          </w:rPr>
          <w:t>I. INTRODUCTION OF THE CASE AND PURPOSE OF THE DISPUTE</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_Toc46388339 \h </w:instrText>
        </w:r>
        <w:r w:rsidR="006C3580" w:rsidRPr="00CE23AE">
          <w:rPr>
            <w:webHidden/>
            <w:sz w:val="18"/>
          </w:rPr>
        </w:r>
        <w:r w:rsidR="006C3580" w:rsidRPr="00CE23AE">
          <w:rPr>
            <w:webHidden/>
            <w:sz w:val="18"/>
          </w:rPr>
          <w:fldChar w:fldCharType="separate"/>
        </w:r>
        <w:r w:rsidR="00CB7663" w:rsidRPr="00CE23AE">
          <w:rPr>
            <w:webHidden/>
            <w:sz w:val="18"/>
          </w:rPr>
          <w:t>4</w:t>
        </w:r>
        <w:r w:rsidR="006C3580" w:rsidRPr="00CE23AE">
          <w:rPr>
            <w:webHidden/>
            <w:sz w:val="18"/>
          </w:rPr>
          <w:fldChar w:fldCharType="end"/>
        </w:r>
      </w:hyperlink>
    </w:p>
    <w:p w14:paraId="256AE7CE" w14:textId="758797BC" w:rsidR="006C3580" w:rsidRPr="00CE23AE" w:rsidRDefault="00617A64">
      <w:pPr>
        <w:pStyle w:val="TDC1"/>
        <w:rPr>
          <w:rFonts w:eastAsiaTheme="minorEastAsia" w:cstheme="minorBidi"/>
          <w:b w:val="0"/>
          <w:sz w:val="18"/>
          <w:lang w:val="en-US" w:eastAsia="en-US"/>
        </w:rPr>
      </w:pPr>
      <w:hyperlink w:anchor="_Toc46388340" w:history="1">
        <w:r w:rsidR="006C3580" w:rsidRPr="00CE23AE">
          <w:rPr>
            <w:rStyle w:val="Hipervnculo"/>
            <w:sz w:val="18"/>
            <w:lang w:val="en-US"/>
          </w:rPr>
          <w:t>II. PROCEEDINGS BEFORE THE COURT</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_Toc46388340 \h </w:instrText>
        </w:r>
        <w:r w:rsidR="006C3580" w:rsidRPr="00CE23AE">
          <w:rPr>
            <w:webHidden/>
            <w:sz w:val="18"/>
          </w:rPr>
        </w:r>
        <w:r w:rsidR="006C3580" w:rsidRPr="00CE23AE">
          <w:rPr>
            <w:webHidden/>
            <w:sz w:val="18"/>
          </w:rPr>
          <w:fldChar w:fldCharType="separate"/>
        </w:r>
        <w:r w:rsidR="00CB7663" w:rsidRPr="00CE23AE">
          <w:rPr>
            <w:webHidden/>
            <w:sz w:val="18"/>
          </w:rPr>
          <w:t>5</w:t>
        </w:r>
        <w:r w:rsidR="006C3580" w:rsidRPr="00CE23AE">
          <w:rPr>
            <w:webHidden/>
            <w:sz w:val="18"/>
          </w:rPr>
          <w:fldChar w:fldCharType="end"/>
        </w:r>
      </w:hyperlink>
    </w:p>
    <w:p w14:paraId="114BA0FB" w14:textId="1FE3F2CE" w:rsidR="006C3580" w:rsidRPr="00CE23AE" w:rsidRDefault="00617A64">
      <w:pPr>
        <w:pStyle w:val="TDC1"/>
        <w:rPr>
          <w:rFonts w:eastAsiaTheme="minorEastAsia" w:cstheme="minorBidi"/>
          <w:b w:val="0"/>
          <w:sz w:val="18"/>
          <w:lang w:val="en-US" w:eastAsia="en-US"/>
        </w:rPr>
      </w:pPr>
      <w:hyperlink w:anchor="_Toc46388341" w:history="1">
        <w:r w:rsidR="006C3580" w:rsidRPr="00CE23AE">
          <w:rPr>
            <w:rStyle w:val="Hipervnculo"/>
            <w:sz w:val="18"/>
            <w:lang w:val="en-US"/>
          </w:rPr>
          <w:t>III. JURISDICTION</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_Toc46388341 \h </w:instrText>
        </w:r>
        <w:r w:rsidR="006C3580" w:rsidRPr="00CE23AE">
          <w:rPr>
            <w:webHidden/>
            <w:sz w:val="18"/>
          </w:rPr>
        </w:r>
        <w:r w:rsidR="006C3580" w:rsidRPr="00CE23AE">
          <w:rPr>
            <w:webHidden/>
            <w:sz w:val="18"/>
          </w:rPr>
          <w:fldChar w:fldCharType="separate"/>
        </w:r>
        <w:r w:rsidR="00CB7663" w:rsidRPr="00CE23AE">
          <w:rPr>
            <w:webHidden/>
            <w:sz w:val="18"/>
          </w:rPr>
          <w:t>7</w:t>
        </w:r>
        <w:r w:rsidR="006C3580" w:rsidRPr="00CE23AE">
          <w:rPr>
            <w:webHidden/>
            <w:sz w:val="18"/>
          </w:rPr>
          <w:fldChar w:fldCharType="end"/>
        </w:r>
      </w:hyperlink>
    </w:p>
    <w:p w14:paraId="1D6B8890" w14:textId="551EC502" w:rsidR="006C3580" w:rsidRPr="00CE23AE" w:rsidRDefault="00617A64">
      <w:pPr>
        <w:pStyle w:val="TDC1"/>
        <w:rPr>
          <w:rFonts w:eastAsiaTheme="minorEastAsia" w:cstheme="minorBidi"/>
          <w:b w:val="0"/>
          <w:sz w:val="18"/>
          <w:lang w:val="en-US" w:eastAsia="en-US"/>
        </w:rPr>
      </w:pPr>
      <w:hyperlink w:anchor="_Toc46388342" w:history="1">
        <w:r w:rsidR="006C3580" w:rsidRPr="00CE23AE">
          <w:rPr>
            <w:rStyle w:val="Hipervnculo"/>
            <w:sz w:val="18"/>
            <w:lang w:val="en-US"/>
          </w:rPr>
          <w:t>IV. PRELIMINARY OBJECTION</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_Toc46388342 \h </w:instrText>
        </w:r>
        <w:r w:rsidR="006C3580" w:rsidRPr="00CE23AE">
          <w:rPr>
            <w:webHidden/>
            <w:sz w:val="18"/>
          </w:rPr>
        </w:r>
        <w:r w:rsidR="006C3580" w:rsidRPr="00CE23AE">
          <w:rPr>
            <w:webHidden/>
            <w:sz w:val="18"/>
          </w:rPr>
          <w:fldChar w:fldCharType="separate"/>
        </w:r>
        <w:r w:rsidR="00CB7663" w:rsidRPr="00CE23AE">
          <w:rPr>
            <w:webHidden/>
            <w:sz w:val="18"/>
          </w:rPr>
          <w:t>7</w:t>
        </w:r>
        <w:r w:rsidR="006C3580" w:rsidRPr="00CE23AE">
          <w:rPr>
            <w:webHidden/>
            <w:sz w:val="18"/>
          </w:rPr>
          <w:fldChar w:fldCharType="end"/>
        </w:r>
      </w:hyperlink>
    </w:p>
    <w:p w14:paraId="0631B9B1" w14:textId="69D0CB3A" w:rsidR="006C3580" w:rsidRPr="00CE23AE" w:rsidRDefault="00617A64">
      <w:pPr>
        <w:pStyle w:val="TDC2"/>
        <w:rPr>
          <w:rFonts w:eastAsiaTheme="minorEastAsia" w:cstheme="minorBidi"/>
          <w:noProof/>
          <w:sz w:val="18"/>
          <w:szCs w:val="18"/>
          <w:lang w:val="en-US" w:eastAsia="en-US"/>
        </w:rPr>
      </w:pPr>
      <w:hyperlink w:anchor="_Toc46388344" w:history="1">
        <w:r w:rsidR="006C3580" w:rsidRPr="00CE23AE">
          <w:rPr>
            <w:rStyle w:val="Hipervnculo"/>
            <w:noProof/>
            <w:sz w:val="18"/>
            <w:szCs w:val="18"/>
            <w:lang w:val="en-US"/>
            <w14:scene3d>
              <w14:camera w14:prst="orthographicFront"/>
              <w14:lightRig w14:rig="threePt" w14:dir="t">
                <w14:rot w14:lat="0" w14:lon="0" w14:rev="0"/>
              </w14:lightRig>
            </w14:scene3d>
          </w:rPr>
          <w:t>A.</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Arguments of the State and observations of the Commission and the representative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_Toc46388344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7</w:t>
        </w:r>
        <w:r w:rsidR="006C3580" w:rsidRPr="00CE23AE">
          <w:rPr>
            <w:noProof/>
            <w:webHidden/>
            <w:sz w:val="18"/>
            <w:szCs w:val="18"/>
          </w:rPr>
          <w:fldChar w:fldCharType="end"/>
        </w:r>
      </w:hyperlink>
    </w:p>
    <w:p w14:paraId="3CAD6795" w14:textId="5583B359" w:rsidR="006C3580" w:rsidRPr="00CE23AE" w:rsidRDefault="00617A64">
      <w:pPr>
        <w:pStyle w:val="TDC2"/>
        <w:rPr>
          <w:rFonts w:eastAsiaTheme="minorEastAsia" w:cstheme="minorBidi"/>
          <w:noProof/>
          <w:sz w:val="18"/>
          <w:szCs w:val="18"/>
          <w:lang w:val="en-US" w:eastAsia="en-US"/>
        </w:rPr>
      </w:pPr>
      <w:hyperlink w:anchor="_Toc46388345" w:history="1">
        <w:r w:rsidR="006C3580" w:rsidRPr="00CE23AE">
          <w:rPr>
            <w:rStyle w:val="Hipervnculo"/>
            <w:noProof/>
            <w:sz w:val="18"/>
            <w:szCs w:val="18"/>
            <w:lang w:val="en-US"/>
            <w14:scene3d>
              <w14:camera w14:prst="orthographicFront"/>
              <w14:lightRig w14:rig="threePt" w14:dir="t">
                <w14:rot w14:lat="0" w14:lon="0" w14:rev="0"/>
              </w14:lightRig>
            </w14:scene3d>
          </w:rPr>
          <w:t>B.</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Considerations of the Court</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_Toc46388345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8</w:t>
        </w:r>
        <w:r w:rsidR="006C3580" w:rsidRPr="00CE23AE">
          <w:rPr>
            <w:noProof/>
            <w:webHidden/>
            <w:sz w:val="18"/>
            <w:szCs w:val="18"/>
          </w:rPr>
          <w:fldChar w:fldCharType="end"/>
        </w:r>
      </w:hyperlink>
    </w:p>
    <w:p w14:paraId="636BA661" w14:textId="457E8B0D" w:rsidR="006C3580" w:rsidRPr="00CE23AE" w:rsidRDefault="00617A64">
      <w:pPr>
        <w:pStyle w:val="TDC1"/>
        <w:rPr>
          <w:rFonts w:eastAsiaTheme="minorEastAsia" w:cstheme="minorBidi"/>
          <w:b w:val="0"/>
          <w:sz w:val="18"/>
          <w:lang w:val="en-US" w:eastAsia="en-US"/>
        </w:rPr>
      </w:pPr>
      <w:hyperlink w:anchor="_Toc46388346" w:history="1">
        <w:r w:rsidR="006C3580" w:rsidRPr="00CE23AE">
          <w:rPr>
            <w:rStyle w:val="Hipervnculo"/>
            <w:sz w:val="18"/>
            <w:lang w:val="en-US"/>
          </w:rPr>
          <w:t>V PRELIMINARY CONSIDERATIONS</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_Toc46388346 \h </w:instrText>
        </w:r>
        <w:r w:rsidR="006C3580" w:rsidRPr="00CE23AE">
          <w:rPr>
            <w:webHidden/>
            <w:sz w:val="18"/>
          </w:rPr>
        </w:r>
        <w:r w:rsidR="006C3580" w:rsidRPr="00CE23AE">
          <w:rPr>
            <w:webHidden/>
            <w:sz w:val="18"/>
          </w:rPr>
          <w:fldChar w:fldCharType="separate"/>
        </w:r>
        <w:r w:rsidR="00CB7663" w:rsidRPr="00CE23AE">
          <w:rPr>
            <w:webHidden/>
            <w:sz w:val="18"/>
          </w:rPr>
          <w:t>10</w:t>
        </w:r>
        <w:r w:rsidR="006C3580" w:rsidRPr="00CE23AE">
          <w:rPr>
            <w:webHidden/>
            <w:sz w:val="18"/>
          </w:rPr>
          <w:fldChar w:fldCharType="end"/>
        </w:r>
      </w:hyperlink>
    </w:p>
    <w:p w14:paraId="33DABC9E" w14:textId="5226B79B" w:rsidR="006C3580" w:rsidRPr="00CE23AE" w:rsidRDefault="00617A64">
      <w:pPr>
        <w:pStyle w:val="TDC2"/>
        <w:rPr>
          <w:rFonts w:eastAsiaTheme="minorEastAsia" w:cstheme="minorBidi"/>
          <w:noProof/>
          <w:sz w:val="18"/>
          <w:szCs w:val="18"/>
          <w:lang w:val="en-US" w:eastAsia="en-US"/>
        </w:rPr>
      </w:pPr>
      <w:hyperlink w:anchor="_Toc46388347" w:history="1">
        <w:r w:rsidR="006C3580" w:rsidRPr="00CE23AE">
          <w:rPr>
            <w:rStyle w:val="Hipervnculo"/>
            <w:noProof/>
            <w:sz w:val="18"/>
            <w:szCs w:val="18"/>
            <w:lang w:val="en-US"/>
          </w:rPr>
          <w:t>A.</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The factual framework</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_Toc46388347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10</w:t>
        </w:r>
        <w:r w:rsidR="006C3580" w:rsidRPr="00CE23AE">
          <w:rPr>
            <w:noProof/>
            <w:webHidden/>
            <w:sz w:val="18"/>
            <w:szCs w:val="18"/>
          </w:rPr>
          <w:fldChar w:fldCharType="end"/>
        </w:r>
      </w:hyperlink>
    </w:p>
    <w:p w14:paraId="6982CA05" w14:textId="73471836" w:rsidR="006C3580" w:rsidRPr="00CE23AE" w:rsidRDefault="00617A64">
      <w:pPr>
        <w:pStyle w:val="TDC3"/>
        <w:rPr>
          <w:rFonts w:eastAsiaTheme="minorEastAsia" w:cstheme="minorBidi"/>
          <w:noProof/>
          <w:sz w:val="18"/>
          <w:szCs w:val="18"/>
          <w:lang w:val="en-US" w:eastAsia="en-US"/>
        </w:rPr>
      </w:pPr>
      <w:hyperlink w:anchor="_Toc46388348" w:history="1">
        <w:r w:rsidR="006C3580" w:rsidRPr="00CE23AE">
          <w:rPr>
            <w:rStyle w:val="Hipervnculo"/>
            <w:rFonts w:eastAsia="Batang" w:cs="Arial"/>
            <w:iCs/>
            <w:noProof/>
            <w:sz w:val="18"/>
            <w:szCs w:val="18"/>
            <w:lang w:val="en-US" w:eastAsia="en-US"/>
          </w:rPr>
          <w:t xml:space="preserve">A.1 </w:t>
        </w:r>
        <w:r w:rsidR="006C3580" w:rsidRPr="00CE23AE">
          <w:rPr>
            <w:rStyle w:val="Hipervnculo"/>
            <w:noProof/>
            <w:sz w:val="18"/>
            <w:szCs w:val="18"/>
            <w:lang w:val="en-US"/>
          </w:rPr>
          <w:t>Arguments of the parties and of the Commission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_Toc46388348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10</w:t>
        </w:r>
        <w:r w:rsidR="006C3580" w:rsidRPr="00CE23AE">
          <w:rPr>
            <w:noProof/>
            <w:webHidden/>
            <w:sz w:val="18"/>
            <w:szCs w:val="18"/>
          </w:rPr>
          <w:fldChar w:fldCharType="end"/>
        </w:r>
      </w:hyperlink>
    </w:p>
    <w:p w14:paraId="598D0CBD" w14:textId="79EF06DD" w:rsidR="006C3580" w:rsidRPr="00CE23AE" w:rsidRDefault="00617A64">
      <w:pPr>
        <w:pStyle w:val="TDC3"/>
        <w:rPr>
          <w:rFonts w:eastAsiaTheme="minorEastAsia" w:cstheme="minorBidi"/>
          <w:noProof/>
          <w:sz w:val="18"/>
          <w:szCs w:val="18"/>
          <w:lang w:val="en-US" w:eastAsia="en-US"/>
        </w:rPr>
      </w:pPr>
      <w:hyperlink w:anchor="_Toc46388349" w:history="1">
        <w:r w:rsidR="006C3580" w:rsidRPr="00CE23AE">
          <w:rPr>
            <w:rStyle w:val="Hipervnculo"/>
            <w:noProof/>
            <w:sz w:val="18"/>
            <w:szCs w:val="18"/>
            <w:lang w:val="en-US"/>
          </w:rPr>
          <w:t>A.2 Considerations of the Court</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_Toc46388349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10</w:t>
        </w:r>
        <w:r w:rsidR="006C3580" w:rsidRPr="00CE23AE">
          <w:rPr>
            <w:noProof/>
            <w:webHidden/>
            <w:sz w:val="18"/>
            <w:szCs w:val="18"/>
          </w:rPr>
          <w:fldChar w:fldCharType="end"/>
        </w:r>
      </w:hyperlink>
    </w:p>
    <w:p w14:paraId="132E9038" w14:textId="7D99F554" w:rsidR="006C3580" w:rsidRPr="00CE23AE" w:rsidRDefault="00617A64">
      <w:pPr>
        <w:pStyle w:val="TDC2"/>
        <w:rPr>
          <w:rFonts w:eastAsiaTheme="minorEastAsia" w:cstheme="minorBidi"/>
          <w:noProof/>
          <w:sz w:val="18"/>
          <w:szCs w:val="18"/>
          <w:lang w:val="en-US" w:eastAsia="en-US"/>
        </w:rPr>
      </w:pPr>
      <w:hyperlink w:anchor="_Toc46388350" w:history="1">
        <w:r w:rsidR="006C3580" w:rsidRPr="00CE23AE">
          <w:rPr>
            <w:rStyle w:val="Hipervnculo"/>
            <w:noProof/>
            <w:sz w:val="18"/>
            <w:szCs w:val="18"/>
            <w:lang w:val="en-US"/>
          </w:rPr>
          <w:t>B.</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Identification of the presumed victim</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_Toc46388350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11</w:t>
        </w:r>
        <w:r w:rsidR="006C3580" w:rsidRPr="00CE23AE">
          <w:rPr>
            <w:noProof/>
            <w:webHidden/>
            <w:sz w:val="18"/>
            <w:szCs w:val="18"/>
          </w:rPr>
          <w:fldChar w:fldCharType="end"/>
        </w:r>
      </w:hyperlink>
    </w:p>
    <w:p w14:paraId="7C5F7AD9" w14:textId="526060D4" w:rsidR="006C3580" w:rsidRPr="00CE23AE" w:rsidRDefault="00617A64">
      <w:pPr>
        <w:pStyle w:val="TDC2"/>
        <w:rPr>
          <w:rFonts w:eastAsiaTheme="minorEastAsia" w:cstheme="minorBidi"/>
          <w:noProof/>
          <w:sz w:val="18"/>
          <w:szCs w:val="18"/>
          <w:lang w:val="en-US" w:eastAsia="en-US"/>
        </w:rPr>
      </w:pPr>
      <w:hyperlink w:anchor="_Toc46388351" w:history="1">
        <w:r w:rsidR="006C3580" w:rsidRPr="00CE23AE">
          <w:rPr>
            <w:rStyle w:val="Hipervnculo"/>
            <w:noProof/>
            <w:sz w:val="18"/>
            <w:szCs w:val="18"/>
            <w:lang w:val="en-US"/>
          </w:rPr>
          <w:t>C.</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The alleged acknowledgement of responsibility by the State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_Toc46388351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11</w:t>
        </w:r>
        <w:r w:rsidR="006C3580" w:rsidRPr="00CE23AE">
          <w:rPr>
            <w:noProof/>
            <w:webHidden/>
            <w:sz w:val="18"/>
            <w:szCs w:val="18"/>
          </w:rPr>
          <w:fldChar w:fldCharType="end"/>
        </w:r>
      </w:hyperlink>
    </w:p>
    <w:p w14:paraId="75F8D41C" w14:textId="1036F427" w:rsidR="006C3580" w:rsidRPr="00CE23AE" w:rsidRDefault="00617A64">
      <w:pPr>
        <w:pStyle w:val="TDC3"/>
        <w:rPr>
          <w:rFonts w:eastAsiaTheme="minorEastAsia" w:cstheme="minorBidi"/>
          <w:noProof/>
          <w:sz w:val="18"/>
          <w:szCs w:val="18"/>
          <w:lang w:val="en-US" w:eastAsia="en-US"/>
        </w:rPr>
      </w:pPr>
      <w:hyperlink w:anchor="_Toc46388352" w:history="1">
        <w:r w:rsidR="006C3580" w:rsidRPr="00CE23AE">
          <w:rPr>
            <w:rStyle w:val="Hipervnculo"/>
            <w:noProof/>
            <w:sz w:val="18"/>
            <w:szCs w:val="18"/>
            <w:lang w:val="en-US"/>
          </w:rPr>
          <w:t>C.1 Arguments of the parties and of the Commission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_Toc46388352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11</w:t>
        </w:r>
        <w:r w:rsidR="006C3580" w:rsidRPr="00CE23AE">
          <w:rPr>
            <w:noProof/>
            <w:webHidden/>
            <w:sz w:val="18"/>
            <w:szCs w:val="18"/>
          </w:rPr>
          <w:fldChar w:fldCharType="end"/>
        </w:r>
      </w:hyperlink>
    </w:p>
    <w:p w14:paraId="65EE2AFC" w14:textId="0D8DDEEF" w:rsidR="006C3580" w:rsidRPr="00CE23AE" w:rsidRDefault="00617A64">
      <w:pPr>
        <w:pStyle w:val="TDC3"/>
        <w:rPr>
          <w:rFonts w:eastAsiaTheme="minorEastAsia" w:cstheme="minorBidi"/>
          <w:noProof/>
          <w:sz w:val="18"/>
          <w:szCs w:val="18"/>
          <w:lang w:val="en-US" w:eastAsia="en-US"/>
        </w:rPr>
      </w:pPr>
      <w:hyperlink w:anchor="_Toc46388353" w:history="1">
        <w:r w:rsidR="006C3580" w:rsidRPr="00CE23AE">
          <w:rPr>
            <w:rStyle w:val="Hipervnculo"/>
            <w:noProof/>
            <w:sz w:val="18"/>
            <w:szCs w:val="18"/>
            <w:lang w:val="en-US"/>
          </w:rPr>
          <w:t>C.2 Considerations of the Court</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_Toc46388353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12</w:t>
        </w:r>
        <w:r w:rsidR="006C3580" w:rsidRPr="00CE23AE">
          <w:rPr>
            <w:noProof/>
            <w:webHidden/>
            <w:sz w:val="18"/>
            <w:szCs w:val="18"/>
          </w:rPr>
          <w:fldChar w:fldCharType="end"/>
        </w:r>
      </w:hyperlink>
    </w:p>
    <w:p w14:paraId="7CF3E647" w14:textId="30B3D380" w:rsidR="006C3580" w:rsidRPr="00CE23AE" w:rsidRDefault="00617A64">
      <w:pPr>
        <w:pStyle w:val="TDC1"/>
        <w:rPr>
          <w:rFonts w:eastAsiaTheme="minorEastAsia" w:cstheme="minorBidi"/>
          <w:b w:val="0"/>
          <w:sz w:val="18"/>
          <w:lang w:val="en-US" w:eastAsia="en-US"/>
        </w:rPr>
      </w:pPr>
      <w:hyperlink w:anchor="_Toc46388354" w:history="1">
        <w:r w:rsidR="006C3580" w:rsidRPr="00CE23AE">
          <w:rPr>
            <w:rStyle w:val="Hipervnculo"/>
            <w:sz w:val="18"/>
            <w:lang w:val="en-US"/>
          </w:rPr>
          <w:t>VI EVIDENCE</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_Toc46388354 \h </w:instrText>
        </w:r>
        <w:r w:rsidR="006C3580" w:rsidRPr="00CE23AE">
          <w:rPr>
            <w:webHidden/>
            <w:sz w:val="18"/>
          </w:rPr>
        </w:r>
        <w:r w:rsidR="006C3580" w:rsidRPr="00CE23AE">
          <w:rPr>
            <w:webHidden/>
            <w:sz w:val="18"/>
          </w:rPr>
          <w:fldChar w:fldCharType="separate"/>
        </w:r>
        <w:r w:rsidR="00CB7663" w:rsidRPr="00CE23AE">
          <w:rPr>
            <w:webHidden/>
            <w:sz w:val="18"/>
          </w:rPr>
          <w:t>14</w:t>
        </w:r>
        <w:r w:rsidR="006C3580" w:rsidRPr="00CE23AE">
          <w:rPr>
            <w:webHidden/>
            <w:sz w:val="18"/>
          </w:rPr>
          <w:fldChar w:fldCharType="end"/>
        </w:r>
      </w:hyperlink>
    </w:p>
    <w:p w14:paraId="386616B2" w14:textId="24B644D7" w:rsidR="006C3580" w:rsidRPr="00CE23AE" w:rsidRDefault="00617A64">
      <w:pPr>
        <w:pStyle w:val="TDC2"/>
        <w:rPr>
          <w:rFonts w:eastAsiaTheme="minorEastAsia" w:cstheme="minorBidi"/>
          <w:noProof/>
          <w:sz w:val="18"/>
          <w:szCs w:val="18"/>
          <w:lang w:val="en-US" w:eastAsia="en-US"/>
        </w:rPr>
      </w:pPr>
      <w:hyperlink w:anchor="_Toc46388356" w:history="1">
        <w:r w:rsidR="006C3580" w:rsidRPr="00CE23AE">
          <w:rPr>
            <w:rStyle w:val="Hipervnculo"/>
            <w:noProof/>
            <w:sz w:val="18"/>
            <w:szCs w:val="18"/>
            <w:lang w:val="en-US"/>
          </w:rPr>
          <w:t>A.</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Documentary, testimonial and expert evidence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_Toc46388356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14</w:t>
        </w:r>
        <w:r w:rsidR="006C3580" w:rsidRPr="00CE23AE">
          <w:rPr>
            <w:noProof/>
            <w:webHidden/>
            <w:sz w:val="18"/>
            <w:szCs w:val="18"/>
          </w:rPr>
          <w:fldChar w:fldCharType="end"/>
        </w:r>
      </w:hyperlink>
    </w:p>
    <w:p w14:paraId="3F8182EE" w14:textId="45805EF9" w:rsidR="006C3580" w:rsidRPr="00CE23AE" w:rsidRDefault="00617A64">
      <w:pPr>
        <w:pStyle w:val="TDC2"/>
        <w:rPr>
          <w:rFonts w:eastAsiaTheme="minorEastAsia" w:cstheme="minorBidi"/>
          <w:noProof/>
          <w:sz w:val="18"/>
          <w:szCs w:val="18"/>
          <w:lang w:val="en-US" w:eastAsia="en-US"/>
        </w:rPr>
      </w:pPr>
      <w:hyperlink w:anchor="_Toc46388357" w:history="1">
        <w:r w:rsidR="006C3580" w:rsidRPr="00CE23AE">
          <w:rPr>
            <w:rStyle w:val="Hipervnculo"/>
            <w:noProof/>
            <w:sz w:val="18"/>
            <w:szCs w:val="18"/>
            <w:lang w:val="en-US"/>
          </w:rPr>
          <w:t>B.</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Admission of the evidence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_Toc46388357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15</w:t>
        </w:r>
        <w:r w:rsidR="006C3580" w:rsidRPr="00CE23AE">
          <w:rPr>
            <w:noProof/>
            <w:webHidden/>
            <w:sz w:val="18"/>
            <w:szCs w:val="18"/>
          </w:rPr>
          <w:fldChar w:fldCharType="end"/>
        </w:r>
      </w:hyperlink>
    </w:p>
    <w:p w14:paraId="6688BD40" w14:textId="66C050A9" w:rsidR="006C3580" w:rsidRPr="00CE23AE" w:rsidRDefault="00617A64">
      <w:pPr>
        <w:pStyle w:val="TDC3"/>
        <w:rPr>
          <w:rFonts w:eastAsiaTheme="minorEastAsia" w:cstheme="minorBidi"/>
          <w:noProof/>
          <w:sz w:val="18"/>
          <w:szCs w:val="18"/>
          <w:lang w:val="en-US" w:eastAsia="en-US"/>
        </w:rPr>
      </w:pPr>
      <w:hyperlink w:anchor="_Toc46388358" w:history="1">
        <w:r w:rsidR="006C3580" w:rsidRPr="00CE23AE">
          <w:rPr>
            <w:rStyle w:val="Hipervnculo"/>
            <w:noProof/>
            <w:sz w:val="18"/>
            <w:szCs w:val="18"/>
            <w:lang w:val="en-US"/>
          </w:rPr>
          <w:t>B.1 Admission of the documentary evidence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_Toc46388358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15</w:t>
        </w:r>
        <w:r w:rsidR="006C3580" w:rsidRPr="00CE23AE">
          <w:rPr>
            <w:noProof/>
            <w:webHidden/>
            <w:sz w:val="18"/>
            <w:szCs w:val="18"/>
          </w:rPr>
          <w:fldChar w:fldCharType="end"/>
        </w:r>
      </w:hyperlink>
    </w:p>
    <w:p w14:paraId="26D12375" w14:textId="7D3A9B3D" w:rsidR="006C3580" w:rsidRPr="00CE23AE" w:rsidRDefault="00617A64">
      <w:pPr>
        <w:pStyle w:val="TDC3"/>
        <w:rPr>
          <w:rFonts w:eastAsiaTheme="minorEastAsia" w:cstheme="minorBidi"/>
          <w:noProof/>
          <w:sz w:val="18"/>
          <w:szCs w:val="18"/>
          <w:lang w:val="en-US" w:eastAsia="en-US"/>
        </w:rPr>
      </w:pPr>
      <w:hyperlink w:anchor="_Toc46388359" w:history="1">
        <w:r w:rsidR="006C3580" w:rsidRPr="00CE23AE">
          <w:rPr>
            <w:rStyle w:val="Hipervnculo"/>
            <w:noProof/>
            <w:sz w:val="18"/>
            <w:szCs w:val="18"/>
            <w:lang w:val="en-US"/>
          </w:rPr>
          <w:t>B.2 Admission of the testimonial and expert evidence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_Toc46388359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16</w:t>
        </w:r>
        <w:r w:rsidR="006C3580" w:rsidRPr="00CE23AE">
          <w:rPr>
            <w:noProof/>
            <w:webHidden/>
            <w:sz w:val="18"/>
            <w:szCs w:val="18"/>
          </w:rPr>
          <w:fldChar w:fldCharType="end"/>
        </w:r>
      </w:hyperlink>
    </w:p>
    <w:p w14:paraId="404A05DD" w14:textId="76471BAB" w:rsidR="006C3580" w:rsidRPr="00CE23AE" w:rsidRDefault="00617A64">
      <w:pPr>
        <w:pStyle w:val="TDC2"/>
        <w:rPr>
          <w:rFonts w:eastAsiaTheme="minorEastAsia" w:cstheme="minorBidi"/>
          <w:noProof/>
          <w:sz w:val="18"/>
          <w:szCs w:val="18"/>
          <w:lang w:val="en-US" w:eastAsia="en-US"/>
        </w:rPr>
      </w:pPr>
      <w:hyperlink w:anchor="_Toc46388360" w:history="1">
        <w:r w:rsidR="006C3580" w:rsidRPr="00CE23AE">
          <w:rPr>
            <w:rStyle w:val="Hipervnculo"/>
            <w:noProof/>
            <w:sz w:val="18"/>
            <w:szCs w:val="18"/>
            <w:lang w:val="en-US"/>
          </w:rPr>
          <w:t>C.</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Assessment of the evidence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_Toc46388360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16</w:t>
        </w:r>
        <w:r w:rsidR="006C3580" w:rsidRPr="00CE23AE">
          <w:rPr>
            <w:noProof/>
            <w:webHidden/>
            <w:sz w:val="18"/>
            <w:szCs w:val="18"/>
          </w:rPr>
          <w:fldChar w:fldCharType="end"/>
        </w:r>
      </w:hyperlink>
    </w:p>
    <w:p w14:paraId="72CFB843" w14:textId="36093073" w:rsidR="006C3580" w:rsidRPr="00CE23AE" w:rsidRDefault="00617A64">
      <w:pPr>
        <w:pStyle w:val="TDC1"/>
        <w:rPr>
          <w:rFonts w:eastAsiaTheme="minorEastAsia" w:cstheme="minorBidi"/>
          <w:b w:val="0"/>
          <w:sz w:val="18"/>
          <w:lang w:val="en-US" w:eastAsia="en-US"/>
        </w:rPr>
      </w:pPr>
      <w:hyperlink w:anchor="_Toc46388361" w:history="1">
        <w:r w:rsidR="006C3580" w:rsidRPr="00CE23AE">
          <w:rPr>
            <w:rStyle w:val="Hipervnculo"/>
            <w:sz w:val="18"/>
            <w:lang w:val="en-US"/>
          </w:rPr>
          <w:t>VII FACTS</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_Toc46388361 \h </w:instrText>
        </w:r>
        <w:r w:rsidR="006C3580" w:rsidRPr="00CE23AE">
          <w:rPr>
            <w:webHidden/>
            <w:sz w:val="18"/>
          </w:rPr>
        </w:r>
        <w:r w:rsidR="006C3580" w:rsidRPr="00CE23AE">
          <w:rPr>
            <w:webHidden/>
            <w:sz w:val="18"/>
          </w:rPr>
          <w:fldChar w:fldCharType="separate"/>
        </w:r>
        <w:r w:rsidR="00CB7663" w:rsidRPr="00CE23AE">
          <w:rPr>
            <w:webHidden/>
            <w:sz w:val="18"/>
          </w:rPr>
          <w:t>16</w:t>
        </w:r>
        <w:r w:rsidR="006C3580" w:rsidRPr="00CE23AE">
          <w:rPr>
            <w:webHidden/>
            <w:sz w:val="18"/>
          </w:rPr>
          <w:fldChar w:fldCharType="end"/>
        </w:r>
      </w:hyperlink>
    </w:p>
    <w:p w14:paraId="257305AD" w14:textId="6F7E0B19" w:rsidR="006C3580" w:rsidRPr="00CE23AE" w:rsidRDefault="00617A64">
      <w:pPr>
        <w:pStyle w:val="TDC2"/>
        <w:rPr>
          <w:rFonts w:eastAsiaTheme="minorEastAsia" w:cstheme="minorBidi"/>
          <w:noProof/>
          <w:sz w:val="18"/>
          <w:szCs w:val="18"/>
          <w:lang w:val="en-US" w:eastAsia="en-US"/>
        </w:rPr>
      </w:pPr>
      <w:hyperlink w:anchor="_Toc46388363" w:history="1">
        <w:r w:rsidR="006C3580" w:rsidRPr="00CE23AE">
          <w:rPr>
            <w:rStyle w:val="Hipervnculo"/>
            <w:noProof/>
            <w:sz w:val="18"/>
            <w:szCs w:val="18"/>
            <w:lang w:val="en-US"/>
          </w:rPr>
          <w:t>A.</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Affiliation of Homero Flor Freire with the Ecuadorian Ground Forces and the events of November 19, 2000</w:t>
        </w:r>
        <w:r w:rsidR="006C3580" w:rsidRPr="00CE23AE">
          <w:rPr>
            <w:noProof/>
            <w:webHidden/>
            <w:sz w:val="18"/>
            <w:szCs w:val="18"/>
          </w:rPr>
          <w:tab/>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_Toc46388363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16</w:t>
        </w:r>
        <w:r w:rsidR="006C3580" w:rsidRPr="00CE23AE">
          <w:rPr>
            <w:noProof/>
            <w:webHidden/>
            <w:sz w:val="18"/>
            <w:szCs w:val="18"/>
          </w:rPr>
          <w:fldChar w:fldCharType="end"/>
        </w:r>
      </w:hyperlink>
    </w:p>
    <w:p w14:paraId="48AD8B79" w14:textId="3663CD4F" w:rsidR="006C3580" w:rsidRPr="00CE23AE" w:rsidRDefault="00617A64">
      <w:pPr>
        <w:pStyle w:val="TDC2"/>
        <w:rPr>
          <w:rFonts w:eastAsiaTheme="minorEastAsia" w:cstheme="minorBidi"/>
          <w:noProof/>
          <w:sz w:val="18"/>
          <w:szCs w:val="18"/>
          <w:lang w:val="en-US" w:eastAsia="en-US"/>
        </w:rPr>
      </w:pPr>
      <w:hyperlink w:anchor="_Toc46388364" w:history="1">
        <w:r w:rsidR="006C3580" w:rsidRPr="00CE23AE">
          <w:rPr>
            <w:rStyle w:val="Hipervnculo"/>
            <w:noProof/>
            <w:sz w:val="18"/>
            <w:szCs w:val="18"/>
            <w:lang w:val="en-US"/>
          </w:rPr>
          <w:t>B.</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Provisions of Ecuador’s domestic law applicable to the case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_Toc46388364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18</w:t>
        </w:r>
        <w:r w:rsidR="006C3580" w:rsidRPr="00CE23AE">
          <w:rPr>
            <w:noProof/>
            <w:webHidden/>
            <w:sz w:val="18"/>
            <w:szCs w:val="18"/>
          </w:rPr>
          <w:fldChar w:fldCharType="end"/>
        </w:r>
      </w:hyperlink>
    </w:p>
    <w:p w14:paraId="44CC81B1" w14:textId="71E310D4" w:rsidR="006C3580" w:rsidRPr="00CE23AE" w:rsidRDefault="00617A64">
      <w:pPr>
        <w:pStyle w:val="TDC2"/>
        <w:rPr>
          <w:rFonts w:eastAsiaTheme="minorEastAsia" w:cstheme="minorBidi"/>
          <w:noProof/>
          <w:sz w:val="18"/>
          <w:szCs w:val="18"/>
          <w:lang w:val="en-US" w:eastAsia="en-US"/>
        </w:rPr>
      </w:pPr>
      <w:hyperlink w:anchor="_Toc46388365" w:history="1">
        <w:r w:rsidR="006C3580" w:rsidRPr="00CE23AE">
          <w:rPr>
            <w:rStyle w:val="Hipervnculo"/>
            <w:noProof/>
            <w:sz w:val="18"/>
            <w:szCs w:val="18"/>
            <w:lang w:val="en-US"/>
          </w:rPr>
          <w:t>C.</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Summary inquiry disciplinary procedure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_Toc46388365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19</w:t>
        </w:r>
        <w:r w:rsidR="006C3580" w:rsidRPr="00CE23AE">
          <w:rPr>
            <w:noProof/>
            <w:webHidden/>
            <w:sz w:val="18"/>
            <w:szCs w:val="18"/>
          </w:rPr>
          <w:fldChar w:fldCharType="end"/>
        </w:r>
      </w:hyperlink>
    </w:p>
    <w:p w14:paraId="749829E1" w14:textId="1D8EB871" w:rsidR="006C3580" w:rsidRPr="00CE23AE" w:rsidRDefault="00617A64">
      <w:pPr>
        <w:pStyle w:val="TDC3"/>
        <w:rPr>
          <w:rFonts w:eastAsiaTheme="minorEastAsia" w:cstheme="minorBidi"/>
          <w:noProof/>
          <w:sz w:val="18"/>
          <w:szCs w:val="18"/>
          <w:lang w:val="en-US" w:eastAsia="en-US"/>
        </w:rPr>
      </w:pPr>
      <w:hyperlink w:anchor="_Toc46388366" w:history="1">
        <w:r w:rsidR="006C3580" w:rsidRPr="00CE23AE">
          <w:rPr>
            <w:rStyle w:val="Hipervnculo"/>
            <w:noProof/>
            <w:sz w:val="18"/>
            <w:szCs w:val="18"/>
            <w:lang w:val="en-US"/>
          </w:rPr>
          <w:t>C.1 The summary inquiry procedure and the organs that intervene in its processing</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_Toc46388366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19</w:t>
        </w:r>
        <w:r w:rsidR="006C3580" w:rsidRPr="00CE23AE">
          <w:rPr>
            <w:noProof/>
            <w:webHidden/>
            <w:sz w:val="18"/>
            <w:szCs w:val="18"/>
          </w:rPr>
          <w:fldChar w:fldCharType="end"/>
        </w:r>
      </w:hyperlink>
    </w:p>
    <w:p w14:paraId="0C8BA0FD" w14:textId="36D17377" w:rsidR="006C3580" w:rsidRPr="00CE23AE" w:rsidRDefault="00617A64">
      <w:pPr>
        <w:pStyle w:val="TDC3"/>
        <w:rPr>
          <w:rFonts w:eastAsiaTheme="minorEastAsia" w:cstheme="minorBidi"/>
          <w:noProof/>
          <w:sz w:val="18"/>
          <w:szCs w:val="18"/>
          <w:lang w:val="en-US" w:eastAsia="en-US"/>
        </w:rPr>
      </w:pPr>
      <w:hyperlink w:anchor="_Toc46388367" w:history="1">
        <w:r w:rsidR="006C3580" w:rsidRPr="00CE23AE">
          <w:rPr>
            <w:rStyle w:val="Hipervnculo"/>
            <w:noProof/>
            <w:sz w:val="18"/>
            <w:szCs w:val="18"/>
            <w:lang w:val="en-US"/>
          </w:rPr>
          <w:t>C.2 Initiation of the proceedings against Mr. Flor Freire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_Toc46388367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21</w:t>
        </w:r>
        <w:r w:rsidR="006C3580" w:rsidRPr="00CE23AE">
          <w:rPr>
            <w:noProof/>
            <w:webHidden/>
            <w:sz w:val="18"/>
            <w:szCs w:val="18"/>
          </w:rPr>
          <w:fldChar w:fldCharType="end"/>
        </w:r>
      </w:hyperlink>
    </w:p>
    <w:p w14:paraId="63ABD450" w14:textId="7A7B59E0" w:rsidR="006C3580" w:rsidRPr="00CE23AE" w:rsidRDefault="00617A64">
      <w:pPr>
        <w:pStyle w:val="TDC3"/>
        <w:rPr>
          <w:rFonts w:eastAsiaTheme="minorEastAsia" w:cstheme="minorBidi"/>
          <w:noProof/>
          <w:sz w:val="18"/>
          <w:szCs w:val="18"/>
          <w:lang w:val="en-US" w:eastAsia="en-US"/>
        </w:rPr>
      </w:pPr>
      <w:hyperlink w:anchor="_Toc46388368" w:history="1">
        <w:r w:rsidR="006C3580" w:rsidRPr="00CE23AE">
          <w:rPr>
            <w:rStyle w:val="Hipervnculo"/>
            <w:noProof/>
            <w:sz w:val="18"/>
            <w:szCs w:val="18"/>
            <w:lang w:val="en-US"/>
          </w:rPr>
          <w:t>C.3 Decision of the Court of Law of the Fourth Military Zone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_Toc46388368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22</w:t>
        </w:r>
        <w:r w:rsidR="006C3580" w:rsidRPr="00CE23AE">
          <w:rPr>
            <w:noProof/>
            <w:webHidden/>
            <w:sz w:val="18"/>
            <w:szCs w:val="18"/>
          </w:rPr>
          <w:fldChar w:fldCharType="end"/>
        </w:r>
      </w:hyperlink>
    </w:p>
    <w:p w14:paraId="51FCE910" w14:textId="05194500" w:rsidR="006C3580" w:rsidRPr="00CE23AE" w:rsidRDefault="00617A64">
      <w:pPr>
        <w:pStyle w:val="TDC3"/>
        <w:rPr>
          <w:rFonts w:eastAsiaTheme="minorEastAsia" w:cstheme="minorBidi"/>
          <w:noProof/>
          <w:sz w:val="18"/>
          <w:szCs w:val="18"/>
          <w:lang w:val="en-US" w:eastAsia="en-US"/>
        </w:rPr>
      </w:pPr>
      <w:hyperlink w:anchor="_Toc46388369" w:history="1">
        <w:r w:rsidR="006C3580" w:rsidRPr="00CE23AE">
          <w:rPr>
            <w:rStyle w:val="Hipervnculo"/>
            <w:noProof/>
            <w:sz w:val="18"/>
            <w:szCs w:val="18"/>
            <w:lang w:val="en-US"/>
          </w:rPr>
          <w:t>C.4 Decisions of the Junior and Senior Officers Boards</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_Toc46388369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24</w:t>
        </w:r>
        <w:r w:rsidR="006C3580" w:rsidRPr="00CE23AE">
          <w:rPr>
            <w:noProof/>
            <w:webHidden/>
            <w:sz w:val="18"/>
            <w:szCs w:val="18"/>
          </w:rPr>
          <w:fldChar w:fldCharType="end"/>
        </w:r>
      </w:hyperlink>
    </w:p>
    <w:p w14:paraId="6E85E925" w14:textId="73E87B92" w:rsidR="006C3580" w:rsidRPr="00CE23AE" w:rsidRDefault="00617A64">
      <w:pPr>
        <w:pStyle w:val="TDC2"/>
        <w:rPr>
          <w:rFonts w:eastAsiaTheme="minorEastAsia" w:cstheme="minorBidi"/>
          <w:noProof/>
          <w:sz w:val="18"/>
          <w:szCs w:val="18"/>
          <w:lang w:val="en-US" w:eastAsia="en-US"/>
        </w:rPr>
      </w:pPr>
      <w:hyperlink w:anchor="_Toc46388370" w:history="1">
        <w:r w:rsidR="006C3580" w:rsidRPr="00CE23AE">
          <w:rPr>
            <w:rStyle w:val="Hipervnculo"/>
            <w:noProof/>
            <w:sz w:val="18"/>
            <w:szCs w:val="18"/>
            <w:lang w:val="en-US"/>
          </w:rPr>
          <w:t>D.</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Constitutional amparo proceeding</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_Toc46388370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25</w:t>
        </w:r>
        <w:r w:rsidR="006C3580" w:rsidRPr="00CE23AE">
          <w:rPr>
            <w:noProof/>
            <w:webHidden/>
            <w:sz w:val="18"/>
            <w:szCs w:val="18"/>
          </w:rPr>
          <w:fldChar w:fldCharType="end"/>
        </w:r>
      </w:hyperlink>
    </w:p>
    <w:p w14:paraId="224E2495" w14:textId="09497CB2" w:rsidR="006C3580" w:rsidRPr="00CE23AE" w:rsidRDefault="00617A64">
      <w:pPr>
        <w:pStyle w:val="TDC3"/>
        <w:rPr>
          <w:rFonts w:eastAsiaTheme="minorEastAsia" w:cstheme="minorBidi"/>
          <w:noProof/>
          <w:sz w:val="18"/>
          <w:szCs w:val="18"/>
          <w:lang w:val="en-US" w:eastAsia="en-US"/>
        </w:rPr>
      </w:pPr>
      <w:hyperlink w:anchor="_Toc46388371" w:history="1">
        <w:r w:rsidR="006C3580" w:rsidRPr="00CE23AE">
          <w:rPr>
            <w:rStyle w:val="Hipervnculo"/>
            <w:noProof/>
            <w:sz w:val="18"/>
            <w:szCs w:val="18"/>
            <w:lang w:val="en-US"/>
          </w:rPr>
          <w:t>D.1 Application for constitutional amparo and hearing</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_Toc46388371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25</w:t>
        </w:r>
        <w:r w:rsidR="006C3580" w:rsidRPr="00CE23AE">
          <w:rPr>
            <w:noProof/>
            <w:webHidden/>
            <w:sz w:val="18"/>
            <w:szCs w:val="18"/>
          </w:rPr>
          <w:fldChar w:fldCharType="end"/>
        </w:r>
      </w:hyperlink>
    </w:p>
    <w:p w14:paraId="2ADE3096" w14:textId="616E00C6" w:rsidR="006C3580" w:rsidRPr="00CE23AE" w:rsidRDefault="00617A64">
      <w:pPr>
        <w:pStyle w:val="TDC3"/>
        <w:rPr>
          <w:rFonts w:eastAsiaTheme="minorEastAsia" w:cstheme="minorBidi"/>
          <w:noProof/>
          <w:sz w:val="18"/>
          <w:szCs w:val="18"/>
          <w:lang w:val="en-US" w:eastAsia="en-US"/>
        </w:rPr>
      </w:pPr>
      <w:hyperlink w:anchor="_Toc46388372" w:history="1">
        <w:r w:rsidR="006C3580" w:rsidRPr="00CE23AE">
          <w:rPr>
            <w:rStyle w:val="Hipervnculo"/>
            <w:noProof/>
            <w:sz w:val="18"/>
            <w:szCs w:val="18"/>
            <w:lang w:val="en-US"/>
          </w:rPr>
          <w:t>D.2 Decision on the application for amparo</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_Toc46388372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27</w:t>
        </w:r>
        <w:r w:rsidR="006C3580" w:rsidRPr="00CE23AE">
          <w:rPr>
            <w:noProof/>
            <w:webHidden/>
            <w:sz w:val="18"/>
            <w:szCs w:val="18"/>
          </w:rPr>
          <w:fldChar w:fldCharType="end"/>
        </w:r>
      </w:hyperlink>
    </w:p>
    <w:p w14:paraId="28FAB6C5" w14:textId="7F0C047C" w:rsidR="006C3580" w:rsidRPr="00CE23AE" w:rsidRDefault="00617A64">
      <w:pPr>
        <w:pStyle w:val="TDC3"/>
        <w:rPr>
          <w:rFonts w:eastAsiaTheme="minorEastAsia" w:cstheme="minorBidi"/>
          <w:noProof/>
          <w:sz w:val="18"/>
          <w:szCs w:val="18"/>
          <w:lang w:val="en-US" w:eastAsia="en-US"/>
        </w:rPr>
      </w:pPr>
      <w:hyperlink w:anchor="_Toc46388373" w:history="1">
        <w:r w:rsidR="006C3580" w:rsidRPr="00CE23AE">
          <w:rPr>
            <w:rStyle w:val="Hipervnculo"/>
            <w:noProof/>
            <w:sz w:val="18"/>
            <w:szCs w:val="18"/>
            <w:lang w:val="en-US"/>
          </w:rPr>
          <w:t>D.3 Decision on the application for constitutional amparo</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_Toc46388373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28</w:t>
        </w:r>
        <w:r w:rsidR="006C3580" w:rsidRPr="00CE23AE">
          <w:rPr>
            <w:noProof/>
            <w:webHidden/>
            <w:sz w:val="18"/>
            <w:szCs w:val="18"/>
          </w:rPr>
          <w:fldChar w:fldCharType="end"/>
        </w:r>
      </w:hyperlink>
    </w:p>
    <w:p w14:paraId="354279F6" w14:textId="4055D67A" w:rsidR="006C3580" w:rsidRPr="00CE23AE" w:rsidRDefault="00617A64">
      <w:pPr>
        <w:pStyle w:val="TDC1"/>
        <w:rPr>
          <w:rFonts w:eastAsiaTheme="minorEastAsia" w:cstheme="minorBidi"/>
          <w:b w:val="0"/>
          <w:sz w:val="18"/>
          <w:lang w:val="en-US" w:eastAsia="en-US"/>
        </w:rPr>
      </w:pPr>
      <w:hyperlink w:anchor="_Toc46388374" w:history="1">
        <w:r w:rsidR="006C3580" w:rsidRPr="00CE23AE">
          <w:rPr>
            <w:rStyle w:val="Hipervnculo"/>
            <w:sz w:val="18"/>
            <w:lang w:val="en-US"/>
          </w:rPr>
          <w:t>VIII MERITS</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_Toc46388374 \h </w:instrText>
        </w:r>
        <w:r w:rsidR="006C3580" w:rsidRPr="00CE23AE">
          <w:rPr>
            <w:webHidden/>
            <w:sz w:val="18"/>
          </w:rPr>
        </w:r>
        <w:r w:rsidR="006C3580" w:rsidRPr="00CE23AE">
          <w:rPr>
            <w:webHidden/>
            <w:sz w:val="18"/>
          </w:rPr>
          <w:fldChar w:fldCharType="separate"/>
        </w:r>
        <w:r w:rsidR="00CB7663" w:rsidRPr="00CE23AE">
          <w:rPr>
            <w:webHidden/>
            <w:sz w:val="18"/>
          </w:rPr>
          <w:t>29</w:t>
        </w:r>
        <w:r w:rsidR="006C3580" w:rsidRPr="00CE23AE">
          <w:rPr>
            <w:webHidden/>
            <w:sz w:val="18"/>
          </w:rPr>
          <w:fldChar w:fldCharType="end"/>
        </w:r>
      </w:hyperlink>
    </w:p>
    <w:p w14:paraId="058FC490" w14:textId="22BCE074" w:rsidR="006C3580" w:rsidRPr="00CE23AE" w:rsidRDefault="00617A64">
      <w:pPr>
        <w:pStyle w:val="TDC1"/>
        <w:rPr>
          <w:rFonts w:eastAsiaTheme="minorEastAsia" w:cstheme="minorBidi"/>
          <w:b w:val="0"/>
          <w:sz w:val="18"/>
          <w:lang w:val="en-US" w:eastAsia="en-US"/>
        </w:rPr>
      </w:pPr>
      <w:hyperlink w:anchor="_Toc46388376" w:history="1">
        <w:r w:rsidR="006C3580" w:rsidRPr="00CE23AE">
          <w:rPr>
            <w:rStyle w:val="Hipervnculo"/>
            <w:color w:val="auto"/>
            <w:sz w:val="18"/>
            <w:u w:val="none"/>
            <w:lang w:val="en-US"/>
          </w:rPr>
          <w:t xml:space="preserve">VIII-1 </w:t>
        </w:r>
        <w:hyperlink w:anchor="_Toc46388377" w:history="1">
          <w:r w:rsidR="006C3580" w:rsidRPr="00CE23AE">
            <w:rPr>
              <w:rStyle w:val="Hipervnculo"/>
              <w:color w:val="auto"/>
              <w:sz w:val="18"/>
              <w:u w:val="none"/>
              <w:lang w:val="en-US"/>
            </w:rPr>
            <w:t>RIGHT TO EQUALITY BEFORE THE LAW AND PROHIBITION OF DISCRIMINATION IN RELATION TO THE OBLIGATION TO RESPECT AND TO ENSURE RIGHTS AND THE OBLIGATION TO ADOPT DOMESTIC LEGAL PROVISIONS</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_Toc46388377 \h </w:instrText>
          </w:r>
          <w:r w:rsidR="006C3580" w:rsidRPr="00CE23AE">
            <w:rPr>
              <w:webHidden/>
              <w:sz w:val="18"/>
            </w:rPr>
          </w:r>
          <w:r w:rsidR="006C3580" w:rsidRPr="00CE23AE">
            <w:rPr>
              <w:webHidden/>
              <w:sz w:val="18"/>
            </w:rPr>
            <w:fldChar w:fldCharType="separate"/>
          </w:r>
          <w:r w:rsidR="00CB7663" w:rsidRPr="00CE23AE">
            <w:rPr>
              <w:webHidden/>
              <w:sz w:val="18"/>
            </w:rPr>
            <w:t>29</w:t>
          </w:r>
          <w:r w:rsidR="006C3580" w:rsidRPr="00CE23AE">
            <w:rPr>
              <w:webHidden/>
              <w:sz w:val="18"/>
            </w:rPr>
            <w:fldChar w:fldCharType="end"/>
          </w:r>
        </w:hyperlink>
      </w:hyperlink>
    </w:p>
    <w:p w14:paraId="4C2AD5A1" w14:textId="476B3713" w:rsidR="006C3580" w:rsidRPr="00CE23AE" w:rsidRDefault="00617A64">
      <w:pPr>
        <w:pStyle w:val="TDC2"/>
        <w:rPr>
          <w:rFonts w:eastAsiaTheme="minorEastAsia" w:cstheme="minorBidi"/>
          <w:noProof/>
          <w:sz w:val="18"/>
          <w:szCs w:val="18"/>
          <w:lang w:val="en-US" w:eastAsia="en-US"/>
        </w:rPr>
      </w:pPr>
      <w:hyperlink w:anchor="_Toc46388378" w:history="1">
        <w:r w:rsidR="006C3580" w:rsidRPr="00CE23AE">
          <w:rPr>
            <w:rStyle w:val="Hipervnculo"/>
            <w:noProof/>
            <w:sz w:val="18"/>
            <w:szCs w:val="18"/>
            <w:lang w:val="en-US"/>
            <w14:scene3d>
              <w14:camera w14:prst="orthographicFront"/>
              <w14:lightRig w14:rig="threePt" w14:dir="t">
                <w14:rot w14:lat="0" w14:lon="0" w14:rev="0"/>
              </w14:lightRig>
            </w14:scene3d>
          </w:rPr>
          <w:t>A.</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Arguments of the parties and of the Commission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_Toc46388378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30</w:t>
        </w:r>
        <w:r w:rsidR="006C3580" w:rsidRPr="00CE23AE">
          <w:rPr>
            <w:noProof/>
            <w:webHidden/>
            <w:sz w:val="18"/>
            <w:szCs w:val="18"/>
          </w:rPr>
          <w:fldChar w:fldCharType="end"/>
        </w:r>
      </w:hyperlink>
    </w:p>
    <w:p w14:paraId="225268AB" w14:textId="07B347F8" w:rsidR="006C3580" w:rsidRPr="00CE23AE" w:rsidRDefault="00617A64">
      <w:pPr>
        <w:pStyle w:val="TDC2"/>
        <w:rPr>
          <w:rFonts w:eastAsiaTheme="minorEastAsia" w:cstheme="minorBidi"/>
          <w:noProof/>
          <w:sz w:val="18"/>
          <w:szCs w:val="18"/>
          <w:lang w:val="en-US" w:eastAsia="en-US"/>
        </w:rPr>
      </w:pPr>
      <w:hyperlink w:anchor="_Toc46388379" w:history="1">
        <w:r w:rsidR="006C3580" w:rsidRPr="00CE23AE">
          <w:rPr>
            <w:rStyle w:val="Hipervnculo"/>
            <w:noProof/>
            <w:sz w:val="18"/>
            <w:szCs w:val="18"/>
            <w:lang w:val="en-US"/>
            <w14:scene3d>
              <w14:camera w14:prst="orthographicFront"/>
              <w14:lightRig w14:rig="threePt" w14:dir="t">
                <w14:rot w14:lat="0" w14:lon="0" w14:rev="0"/>
              </w14:lightRig>
            </w14:scene3d>
          </w:rPr>
          <w:t>B.</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Considerations of the Court</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_Toc46388379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31</w:t>
        </w:r>
        <w:r w:rsidR="006C3580" w:rsidRPr="00CE23AE">
          <w:rPr>
            <w:noProof/>
            <w:webHidden/>
            <w:sz w:val="18"/>
            <w:szCs w:val="18"/>
          </w:rPr>
          <w:fldChar w:fldCharType="end"/>
        </w:r>
      </w:hyperlink>
    </w:p>
    <w:p w14:paraId="4E86202B" w14:textId="408F997E" w:rsidR="006C3580" w:rsidRPr="00CE23AE" w:rsidRDefault="00617A64">
      <w:pPr>
        <w:pStyle w:val="TDC3"/>
        <w:rPr>
          <w:rFonts w:eastAsiaTheme="minorEastAsia" w:cstheme="minorBidi"/>
          <w:noProof/>
          <w:sz w:val="18"/>
          <w:szCs w:val="18"/>
          <w:lang w:val="en-US" w:eastAsia="en-US"/>
        </w:rPr>
      </w:pPr>
      <w:hyperlink w:anchor="_Toc46388380" w:history="1">
        <w:r w:rsidR="006C3580" w:rsidRPr="00CE23AE">
          <w:rPr>
            <w:rStyle w:val="Hipervnculo"/>
            <w:noProof/>
            <w:sz w:val="18"/>
            <w:szCs w:val="18"/>
            <w:lang w:val="en-US"/>
          </w:rPr>
          <w:t>B.1 General considerations on the right to equality and non-discrimination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_Toc46388380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31</w:t>
        </w:r>
        <w:r w:rsidR="006C3580" w:rsidRPr="00CE23AE">
          <w:rPr>
            <w:noProof/>
            <w:webHidden/>
            <w:sz w:val="18"/>
            <w:szCs w:val="18"/>
          </w:rPr>
          <w:fldChar w:fldCharType="end"/>
        </w:r>
      </w:hyperlink>
    </w:p>
    <w:p w14:paraId="0A8CE65E" w14:textId="04920632" w:rsidR="006C3580" w:rsidRPr="00CE23AE" w:rsidRDefault="00617A64">
      <w:pPr>
        <w:pStyle w:val="TDC3"/>
        <w:rPr>
          <w:rFonts w:eastAsiaTheme="minorEastAsia" w:cstheme="minorBidi"/>
          <w:noProof/>
          <w:sz w:val="18"/>
          <w:szCs w:val="18"/>
          <w:lang w:val="en-US" w:eastAsia="en-US"/>
        </w:rPr>
      </w:pPr>
      <w:hyperlink w:anchor="_Toc46388381" w:history="1">
        <w:r w:rsidR="006C3580" w:rsidRPr="00CE23AE">
          <w:rPr>
            <w:rStyle w:val="Hipervnculo"/>
            <w:noProof/>
            <w:sz w:val="18"/>
            <w:szCs w:val="18"/>
            <w:lang w:val="en-US"/>
          </w:rPr>
          <w:t>B.2 Right to equality before the law in this case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_Toc46388381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32</w:t>
        </w:r>
        <w:r w:rsidR="006C3580" w:rsidRPr="00CE23AE">
          <w:rPr>
            <w:noProof/>
            <w:webHidden/>
            <w:sz w:val="18"/>
            <w:szCs w:val="18"/>
          </w:rPr>
          <w:fldChar w:fldCharType="end"/>
        </w:r>
      </w:hyperlink>
    </w:p>
    <w:p w14:paraId="5A6E6855" w14:textId="5299086F" w:rsidR="006C3580" w:rsidRPr="00CE23AE" w:rsidRDefault="00617A64">
      <w:pPr>
        <w:pStyle w:val="TDC4"/>
        <w:rPr>
          <w:rFonts w:eastAsiaTheme="minorEastAsia" w:cstheme="minorBidi"/>
          <w:noProof/>
          <w:sz w:val="18"/>
          <w:szCs w:val="18"/>
          <w:lang w:val="en-US" w:eastAsia="en-US"/>
        </w:rPr>
      </w:pPr>
      <w:hyperlink w:anchor="_Toc46388382" w:history="1">
        <w:r w:rsidR="006C3580" w:rsidRPr="00CE23AE">
          <w:rPr>
            <w:rStyle w:val="Hipervnculo"/>
            <w:noProof/>
            <w:sz w:val="18"/>
            <w:szCs w:val="18"/>
            <w:lang w:val="en-US"/>
          </w:rPr>
          <w:t>B.2.a The difference in treatment in articles 67 and 117 of the Military Discipline Regulations and Article 87(i) of the Law on Armed Forces Personnel</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_Toc46388382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32</w:t>
        </w:r>
        <w:r w:rsidR="006C3580" w:rsidRPr="00CE23AE">
          <w:rPr>
            <w:noProof/>
            <w:webHidden/>
            <w:sz w:val="18"/>
            <w:szCs w:val="18"/>
          </w:rPr>
          <w:fldChar w:fldCharType="end"/>
        </w:r>
      </w:hyperlink>
    </w:p>
    <w:p w14:paraId="58A569F5" w14:textId="257C4BB0" w:rsidR="006C3580" w:rsidRPr="00CE23AE" w:rsidRDefault="00617A64">
      <w:pPr>
        <w:pStyle w:val="TDC4"/>
        <w:rPr>
          <w:rFonts w:eastAsiaTheme="minorEastAsia" w:cstheme="minorBidi"/>
          <w:noProof/>
          <w:sz w:val="18"/>
          <w:szCs w:val="18"/>
          <w:lang w:val="en-US" w:eastAsia="en-US"/>
        </w:rPr>
      </w:pPr>
      <w:hyperlink w:anchor="_Toc46388383" w:history="1">
        <w:r w:rsidR="006C3580" w:rsidRPr="00CE23AE">
          <w:rPr>
            <w:rStyle w:val="Hipervnculo"/>
            <w:noProof/>
            <w:sz w:val="18"/>
            <w:szCs w:val="18"/>
            <w:lang w:val="en-US"/>
          </w:rPr>
          <w:t>B.2.b Sexual orientation as a category protected by Article 1(1) of the American Convention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_Toc46388383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33</w:t>
        </w:r>
        <w:r w:rsidR="006C3580" w:rsidRPr="00CE23AE">
          <w:rPr>
            <w:noProof/>
            <w:webHidden/>
            <w:sz w:val="18"/>
            <w:szCs w:val="18"/>
          </w:rPr>
          <w:fldChar w:fldCharType="end"/>
        </w:r>
      </w:hyperlink>
    </w:p>
    <w:p w14:paraId="5CDEB71E" w14:textId="6C613AD1" w:rsidR="006C3580" w:rsidRPr="00CE23AE" w:rsidRDefault="00617A64">
      <w:pPr>
        <w:pStyle w:val="TDC4"/>
        <w:rPr>
          <w:rFonts w:eastAsiaTheme="minorEastAsia" w:cstheme="minorBidi"/>
          <w:noProof/>
          <w:sz w:val="18"/>
          <w:szCs w:val="18"/>
          <w:lang w:val="en-US" w:eastAsia="en-US"/>
        </w:rPr>
      </w:pPr>
      <w:hyperlink w:anchor="_Toc46388384" w:history="1">
        <w:r w:rsidR="006C3580" w:rsidRPr="00CE23AE">
          <w:rPr>
            <w:rStyle w:val="Hipervnculo"/>
            <w:noProof/>
            <w:sz w:val="18"/>
            <w:szCs w:val="18"/>
            <w:lang w:val="en-US"/>
          </w:rPr>
          <w:t xml:space="preserve">B.2.c The discriminatory nature of the difference in treatment in articles 67 and 117 of the Military </w:t>
        </w:r>
        <w:r w:rsidR="006C3580" w:rsidRPr="00CE23AE">
          <w:rPr>
            <w:rStyle w:val="Hipervnculo"/>
            <w:noProof/>
            <w:sz w:val="18"/>
            <w:szCs w:val="18"/>
            <w:lang w:val="en-US"/>
          </w:rPr>
          <w:lastRenderedPageBreak/>
          <w:t>Discipline Regulations and article 87(i) of the Law on Armed Forces Personnel</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_Toc46388384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36</w:t>
        </w:r>
        <w:r w:rsidR="006C3580" w:rsidRPr="00CE23AE">
          <w:rPr>
            <w:noProof/>
            <w:webHidden/>
            <w:sz w:val="18"/>
            <w:szCs w:val="18"/>
          </w:rPr>
          <w:fldChar w:fldCharType="end"/>
        </w:r>
      </w:hyperlink>
    </w:p>
    <w:p w14:paraId="6723CEF1" w14:textId="2FDFCD05" w:rsidR="006C3580" w:rsidRPr="00CE23AE" w:rsidRDefault="00617A64">
      <w:pPr>
        <w:pStyle w:val="TDC3"/>
        <w:rPr>
          <w:rFonts w:eastAsiaTheme="minorEastAsia" w:cstheme="minorBidi"/>
          <w:noProof/>
          <w:sz w:val="18"/>
          <w:szCs w:val="18"/>
          <w:lang w:val="en-US" w:eastAsia="en-US"/>
        </w:rPr>
      </w:pPr>
      <w:hyperlink w:anchor="_Toc46388385" w:history="1">
        <w:r w:rsidR="006C3580" w:rsidRPr="00CE23AE">
          <w:rPr>
            <w:rStyle w:val="Hipervnculo"/>
            <w:noProof/>
            <w:sz w:val="18"/>
            <w:szCs w:val="18"/>
            <w:lang w:val="en-US"/>
          </w:rPr>
          <w:t>B.3 Conclusion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_Toc46388385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41</w:t>
        </w:r>
        <w:r w:rsidR="006C3580" w:rsidRPr="00CE23AE">
          <w:rPr>
            <w:noProof/>
            <w:webHidden/>
            <w:sz w:val="18"/>
            <w:szCs w:val="18"/>
          </w:rPr>
          <w:fldChar w:fldCharType="end"/>
        </w:r>
      </w:hyperlink>
    </w:p>
    <w:p w14:paraId="5DB0DC44" w14:textId="34934E99" w:rsidR="006C3580" w:rsidRPr="00CE23AE" w:rsidRDefault="00617A64">
      <w:pPr>
        <w:pStyle w:val="TDC1"/>
        <w:rPr>
          <w:rFonts w:eastAsiaTheme="minorEastAsia" w:cstheme="minorBidi"/>
          <w:b w:val="0"/>
          <w:sz w:val="18"/>
          <w:lang w:val="en-US" w:eastAsia="en-US"/>
        </w:rPr>
      </w:pPr>
      <w:hyperlink w:anchor="_Toc46388386" w:history="1">
        <w:r w:rsidR="006C3580" w:rsidRPr="00CE23AE">
          <w:rPr>
            <w:rStyle w:val="Hipervnculo"/>
            <w:sz w:val="18"/>
            <w:lang w:val="en-US"/>
          </w:rPr>
          <w:t>VIII-2</w:t>
        </w:r>
        <w:r w:rsidR="006C3580" w:rsidRPr="00CE23AE">
          <w:rPr>
            <w:webHidden/>
            <w:sz w:val="18"/>
          </w:rPr>
          <w:tab/>
        </w:r>
      </w:hyperlink>
      <w:r w:rsidR="006C3580" w:rsidRPr="00CE23AE">
        <w:rPr>
          <w:rFonts w:eastAsiaTheme="minorEastAsia" w:cstheme="minorBidi"/>
          <w:b w:val="0"/>
          <w:sz w:val="18"/>
          <w:lang w:val="en-US" w:eastAsia="en-US"/>
        </w:rPr>
        <w:t xml:space="preserve"> </w:t>
      </w:r>
      <w:hyperlink w:anchor="_Toc46388387" w:history="1">
        <w:r w:rsidR="006C3580" w:rsidRPr="00CE23AE">
          <w:rPr>
            <w:rStyle w:val="Hipervnculo"/>
            <w:sz w:val="18"/>
            <w:lang w:val="en-US"/>
          </w:rPr>
          <w:t>PRINCIPLE OF LEGALITY AND PROTECTION OF HONOR AND DIGNITY, IN RELATION TO THE OBLIGATION TO RESPECT AND TO ENSURE RIGHTS</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_Toc46388387 \h </w:instrText>
        </w:r>
        <w:r w:rsidR="006C3580" w:rsidRPr="00CE23AE">
          <w:rPr>
            <w:webHidden/>
            <w:sz w:val="18"/>
          </w:rPr>
        </w:r>
        <w:r w:rsidR="006C3580" w:rsidRPr="00CE23AE">
          <w:rPr>
            <w:webHidden/>
            <w:sz w:val="18"/>
          </w:rPr>
          <w:fldChar w:fldCharType="separate"/>
        </w:r>
        <w:r w:rsidR="00CB7663" w:rsidRPr="00CE23AE">
          <w:rPr>
            <w:webHidden/>
            <w:sz w:val="18"/>
          </w:rPr>
          <w:t>41</w:t>
        </w:r>
        <w:r w:rsidR="006C3580" w:rsidRPr="00CE23AE">
          <w:rPr>
            <w:webHidden/>
            <w:sz w:val="18"/>
          </w:rPr>
          <w:fldChar w:fldCharType="end"/>
        </w:r>
      </w:hyperlink>
    </w:p>
    <w:p w14:paraId="64FEF950" w14:textId="7DCE0D78" w:rsidR="006C3580" w:rsidRPr="00CE23AE" w:rsidRDefault="00617A64">
      <w:pPr>
        <w:pStyle w:val="TDC2"/>
        <w:rPr>
          <w:rFonts w:eastAsiaTheme="minorEastAsia" w:cstheme="minorBidi"/>
          <w:noProof/>
          <w:sz w:val="18"/>
          <w:szCs w:val="18"/>
          <w:lang w:val="en-US" w:eastAsia="en-US"/>
        </w:rPr>
      </w:pPr>
      <w:hyperlink w:anchor="_Toc46388388" w:history="1">
        <w:r w:rsidR="006C3580" w:rsidRPr="00CE23AE">
          <w:rPr>
            <w:rStyle w:val="Hipervnculo"/>
            <w:noProof/>
            <w:sz w:val="18"/>
            <w:szCs w:val="18"/>
            <w:lang w:val="en-US"/>
            <w14:scene3d>
              <w14:camera w14:prst="orthographicFront"/>
              <w14:lightRig w14:rig="threePt" w14:dir="t">
                <w14:rot w14:lat="0" w14:lon="0" w14:rev="0"/>
              </w14:lightRig>
            </w14:scene3d>
          </w:rPr>
          <w:t>A.</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Alleged violation of the principle of legality</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_Toc46388388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41</w:t>
        </w:r>
        <w:r w:rsidR="006C3580" w:rsidRPr="00CE23AE">
          <w:rPr>
            <w:noProof/>
            <w:webHidden/>
            <w:sz w:val="18"/>
            <w:szCs w:val="18"/>
          </w:rPr>
          <w:fldChar w:fldCharType="end"/>
        </w:r>
      </w:hyperlink>
    </w:p>
    <w:p w14:paraId="24AF5F63" w14:textId="255B071A" w:rsidR="006C3580" w:rsidRPr="00CE23AE" w:rsidRDefault="00617A64">
      <w:pPr>
        <w:pStyle w:val="TDC3"/>
        <w:rPr>
          <w:rFonts w:eastAsiaTheme="minorEastAsia" w:cstheme="minorBidi"/>
          <w:noProof/>
          <w:sz w:val="18"/>
          <w:szCs w:val="18"/>
          <w:lang w:val="en-US" w:eastAsia="en-US"/>
        </w:rPr>
      </w:pPr>
      <w:hyperlink w:anchor="_Toc46388389" w:history="1">
        <w:r w:rsidR="006C3580" w:rsidRPr="00CE23AE">
          <w:rPr>
            <w:rStyle w:val="Hipervnculo"/>
            <w:noProof/>
            <w:sz w:val="18"/>
            <w:szCs w:val="18"/>
            <w:lang w:val="en-US"/>
          </w:rPr>
          <w:t>A.1 Arguments of the parties and of the Commission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_Toc46388389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41</w:t>
        </w:r>
        <w:r w:rsidR="006C3580" w:rsidRPr="00CE23AE">
          <w:rPr>
            <w:noProof/>
            <w:webHidden/>
            <w:sz w:val="18"/>
            <w:szCs w:val="18"/>
          </w:rPr>
          <w:fldChar w:fldCharType="end"/>
        </w:r>
      </w:hyperlink>
    </w:p>
    <w:p w14:paraId="76EB0CF6" w14:textId="29CC7680" w:rsidR="006C3580" w:rsidRPr="00CE23AE" w:rsidRDefault="00617A64">
      <w:pPr>
        <w:pStyle w:val="TDC3"/>
        <w:rPr>
          <w:rFonts w:eastAsiaTheme="minorEastAsia" w:cstheme="minorBidi"/>
          <w:noProof/>
          <w:sz w:val="18"/>
          <w:szCs w:val="18"/>
          <w:lang w:val="en-US" w:eastAsia="en-US"/>
        </w:rPr>
      </w:pPr>
      <w:hyperlink w:anchor="_Toc46388390" w:history="1">
        <w:r w:rsidR="006C3580" w:rsidRPr="00CE23AE">
          <w:rPr>
            <w:rStyle w:val="Hipervnculo"/>
            <w:noProof/>
            <w:sz w:val="18"/>
            <w:szCs w:val="18"/>
            <w:lang w:val="en-US"/>
          </w:rPr>
          <w:t>A.2 Considerations of the Court</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_Toc46388390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41</w:t>
        </w:r>
        <w:r w:rsidR="006C3580" w:rsidRPr="00CE23AE">
          <w:rPr>
            <w:noProof/>
            <w:webHidden/>
            <w:sz w:val="18"/>
            <w:szCs w:val="18"/>
          </w:rPr>
          <w:fldChar w:fldCharType="end"/>
        </w:r>
      </w:hyperlink>
    </w:p>
    <w:p w14:paraId="325D3BD2" w14:textId="0448D827" w:rsidR="006C3580" w:rsidRPr="00CE23AE" w:rsidRDefault="00617A64">
      <w:pPr>
        <w:pStyle w:val="TDC2"/>
        <w:rPr>
          <w:rFonts w:eastAsiaTheme="minorEastAsia" w:cstheme="minorBidi"/>
          <w:noProof/>
          <w:sz w:val="18"/>
          <w:szCs w:val="18"/>
          <w:lang w:val="en-US" w:eastAsia="en-US"/>
        </w:rPr>
      </w:pPr>
      <w:hyperlink w:anchor="_Toc46388391" w:history="1">
        <w:r w:rsidR="006C3580" w:rsidRPr="00CE23AE">
          <w:rPr>
            <w:rStyle w:val="Hipervnculo"/>
            <w:noProof/>
            <w:sz w:val="18"/>
            <w:szCs w:val="18"/>
            <w:lang w:val="en-US"/>
            <w14:scene3d>
              <w14:camera w14:prst="orthographicFront"/>
              <w14:lightRig w14:rig="threePt" w14:dir="t">
                <w14:rot w14:lat="0" w14:lon="0" w14:rev="0"/>
              </w14:lightRig>
            </w14:scene3d>
          </w:rPr>
          <w:t>B.</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Right to honor and dignity</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_Toc46388391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44</w:t>
        </w:r>
        <w:r w:rsidR="006C3580" w:rsidRPr="00CE23AE">
          <w:rPr>
            <w:noProof/>
            <w:webHidden/>
            <w:sz w:val="18"/>
            <w:szCs w:val="18"/>
          </w:rPr>
          <w:fldChar w:fldCharType="end"/>
        </w:r>
      </w:hyperlink>
    </w:p>
    <w:p w14:paraId="6EB8D318" w14:textId="0024ABFC" w:rsidR="006C3580" w:rsidRPr="00CE23AE" w:rsidRDefault="00617A64">
      <w:pPr>
        <w:pStyle w:val="TDC1"/>
        <w:rPr>
          <w:rFonts w:eastAsiaTheme="minorEastAsia" w:cstheme="minorBidi"/>
          <w:b w:val="0"/>
          <w:sz w:val="18"/>
          <w:lang w:val="en-US" w:eastAsia="en-US"/>
        </w:rPr>
      </w:pPr>
      <w:hyperlink w:anchor="_Toc46388392" w:history="1">
        <w:r w:rsidR="006C3580" w:rsidRPr="00CE23AE">
          <w:rPr>
            <w:rStyle w:val="Hipervnculo"/>
            <w:sz w:val="18"/>
            <w:lang w:val="en-US"/>
          </w:rPr>
          <w:t>VIII-3</w:t>
        </w:r>
        <w:r w:rsidR="006C3580" w:rsidRPr="00CE23AE">
          <w:rPr>
            <w:webHidden/>
            <w:sz w:val="18"/>
          </w:rPr>
          <w:tab/>
        </w:r>
      </w:hyperlink>
      <w:r w:rsidR="006C3580" w:rsidRPr="00CE23AE">
        <w:rPr>
          <w:rFonts w:eastAsiaTheme="minorEastAsia" w:cstheme="minorBidi"/>
          <w:b w:val="0"/>
          <w:sz w:val="18"/>
          <w:lang w:val="en-US" w:eastAsia="en-US"/>
        </w:rPr>
        <w:t xml:space="preserve"> </w:t>
      </w:r>
      <w:hyperlink w:anchor="_Toc46388393" w:history="1">
        <w:r w:rsidR="006C3580" w:rsidRPr="00CE23AE">
          <w:rPr>
            <w:rStyle w:val="Hipervnculo"/>
            <w:sz w:val="18"/>
            <w:lang w:val="en-US"/>
          </w:rPr>
          <w:t>RIGHTS TO JUDICIAL GUARANTEES AND TO JUDICIAL PROTECTION IN RELATION TO THE OBLIGATION TO RESPECT AND TO ENSURE RIGHTS AND THE OBLIGATION TO ADOPT DOMESTIC LEGAL PROVISIONS</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_Toc46388393 \h </w:instrText>
        </w:r>
        <w:r w:rsidR="006C3580" w:rsidRPr="00CE23AE">
          <w:rPr>
            <w:webHidden/>
            <w:sz w:val="18"/>
          </w:rPr>
        </w:r>
        <w:r w:rsidR="006C3580" w:rsidRPr="00CE23AE">
          <w:rPr>
            <w:webHidden/>
            <w:sz w:val="18"/>
          </w:rPr>
          <w:fldChar w:fldCharType="separate"/>
        </w:r>
        <w:r w:rsidR="00CB7663" w:rsidRPr="00CE23AE">
          <w:rPr>
            <w:webHidden/>
            <w:sz w:val="18"/>
          </w:rPr>
          <w:t>45</w:t>
        </w:r>
        <w:r w:rsidR="006C3580" w:rsidRPr="00CE23AE">
          <w:rPr>
            <w:webHidden/>
            <w:sz w:val="18"/>
          </w:rPr>
          <w:fldChar w:fldCharType="end"/>
        </w:r>
      </w:hyperlink>
    </w:p>
    <w:p w14:paraId="43873B6D" w14:textId="3F2FE92E" w:rsidR="006C3580" w:rsidRPr="00CE23AE" w:rsidRDefault="00617A64">
      <w:pPr>
        <w:pStyle w:val="TDC2"/>
        <w:rPr>
          <w:rFonts w:eastAsiaTheme="minorEastAsia" w:cstheme="minorBidi"/>
          <w:noProof/>
          <w:sz w:val="18"/>
          <w:szCs w:val="18"/>
          <w:lang w:val="en-US" w:eastAsia="en-US"/>
        </w:rPr>
      </w:pPr>
      <w:hyperlink w:anchor="_Toc46388394" w:history="1">
        <w:r w:rsidR="006C3580" w:rsidRPr="00CE23AE">
          <w:rPr>
            <w:rStyle w:val="Hipervnculo"/>
            <w:noProof/>
            <w:sz w:val="18"/>
            <w:szCs w:val="18"/>
            <w:lang w:val="en-US"/>
            <w14:scene3d>
              <w14:camera w14:prst="orthographicFront"/>
              <w14:lightRig w14:rig="threePt" w14:dir="t">
                <w14:rot w14:lat="0" w14:lon="0" w14:rev="0"/>
              </w14:lightRig>
            </w14:scene3d>
          </w:rPr>
          <w:t>A.</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The guarantee of impartiality and the obligation to provide reasoning</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_Toc46388394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45</w:t>
        </w:r>
        <w:r w:rsidR="006C3580" w:rsidRPr="00CE23AE">
          <w:rPr>
            <w:noProof/>
            <w:webHidden/>
            <w:sz w:val="18"/>
            <w:szCs w:val="18"/>
          </w:rPr>
          <w:fldChar w:fldCharType="end"/>
        </w:r>
      </w:hyperlink>
    </w:p>
    <w:p w14:paraId="35FF9A3E" w14:textId="3132BCCF" w:rsidR="006C3580" w:rsidRPr="00CE23AE" w:rsidRDefault="00617A64">
      <w:pPr>
        <w:pStyle w:val="TDC3"/>
        <w:rPr>
          <w:rFonts w:eastAsiaTheme="minorEastAsia" w:cstheme="minorBidi"/>
          <w:noProof/>
          <w:sz w:val="18"/>
          <w:szCs w:val="18"/>
          <w:lang w:val="en-US" w:eastAsia="en-US"/>
        </w:rPr>
      </w:pPr>
      <w:hyperlink w:anchor="_Toc46388395" w:history="1">
        <w:r w:rsidR="006C3580" w:rsidRPr="00CE23AE">
          <w:rPr>
            <w:rStyle w:val="Hipervnculo"/>
            <w:noProof/>
            <w:sz w:val="18"/>
            <w:szCs w:val="18"/>
            <w:lang w:val="en-US"/>
          </w:rPr>
          <w:t>A.1 Arguments of the parties and of the Commission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_Toc46388395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45</w:t>
        </w:r>
        <w:r w:rsidR="006C3580" w:rsidRPr="00CE23AE">
          <w:rPr>
            <w:noProof/>
            <w:webHidden/>
            <w:sz w:val="18"/>
            <w:szCs w:val="18"/>
          </w:rPr>
          <w:fldChar w:fldCharType="end"/>
        </w:r>
      </w:hyperlink>
    </w:p>
    <w:p w14:paraId="29CD079A" w14:textId="57358ABE" w:rsidR="006C3580" w:rsidRPr="00CE23AE" w:rsidRDefault="00617A64">
      <w:pPr>
        <w:pStyle w:val="TDC3"/>
        <w:rPr>
          <w:rFonts w:eastAsiaTheme="minorEastAsia" w:cstheme="minorBidi"/>
          <w:noProof/>
          <w:sz w:val="18"/>
          <w:szCs w:val="18"/>
          <w:lang w:val="en-US" w:eastAsia="en-US"/>
        </w:rPr>
      </w:pPr>
      <w:hyperlink w:anchor="_Toc46388396" w:history="1">
        <w:r w:rsidR="006C3580" w:rsidRPr="00CE23AE">
          <w:rPr>
            <w:rStyle w:val="Hipervnculo"/>
            <w:noProof/>
            <w:sz w:val="18"/>
            <w:szCs w:val="18"/>
            <w:lang w:val="en-US"/>
          </w:rPr>
          <w:t>A.2 Considerations of the Court</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_Toc46388396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46</w:t>
        </w:r>
        <w:r w:rsidR="006C3580" w:rsidRPr="00CE23AE">
          <w:rPr>
            <w:noProof/>
            <w:webHidden/>
            <w:sz w:val="18"/>
            <w:szCs w:val="18"/>
          </w:rPr>
          <w:fldChar w:fldCharType="end"/>
        </w:r>
      </w:hyperlink>
    </w:p>
    <w:p w14:paraId="39A978EF" w14:textId="13677285" w:rsidR="006C3580" w:rsidRPr="00CE23AE" w:rsidRDefault="00617A64">
      <w:pPr>
        <w:pStyle w:val="TDC4"/>
        <w:rPr>
          <w:rFonts w:eastAsiaTheme="minorEastAsia" w:cstheme="minorBidi"/>
          <w:noProof/>
          <w:sz w:val="18"/>
          <w:szCs w:val="18"/>
          <w:lang w:val="en-US" w:eastAsia="en-US"/>
        </w:rPr>
      </w:pPr>
      <w:hyperlink w:anchor="_Toc46388397" w:history="1">
        <w:r w:rsidR="006C3580" w:rsidRPr="00CE23AE">
          <w:rPr>
            <w:rStyle w:val="Hipervnculo"/>
            <w:noProof/>
            <w:sz w:val="18"/>
            <w:szCs w:val="18"/>
            <w:lang w:val="en-US"/>
          </w:rPr>
          <w:t>A.2.a The guarantee of impartiality</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_Toc46388397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47</w:t>
        </w:r>
        <w:r w:rsidR="006C3580" w:rsidRPr="00CE23AE">
          <w:rPr>
            <w:noProof/>
            <w:webHidden/>
            <w:sz w:val="18"/>
            <w:szCs w:val="18"/>
          </w:rPr>
          <w:fldChar w:fldCharType="end"/>
        </w:r>
      </w:hyperlink>
    </w:p>
    <w:p w14:paraId="3591486F" w14:textId="79E35EAB" w:rsidR="006C3580" w:rsidRPr="00CE23AE" w:rsidRDefault="00617A64">
      <w:pPr>
        <w:pStyle w:val="TDC4"/>
        <w:rPr>
          <w:rFonts w:eastAsiaTheme="minorEastAsia" w:cstheme="minorBidi"/>
          <w:noProof/>
          <w:sz w:val="18"/>
          <w:szCs w:val="18"/>
          <w:lang w:val="en-US" w:eastAsia="en-US"/>
        </w:rPr>
      </w:pPr>
      <w:hyperlink w:anchor="_Toc46388398" w:history="1">
        <w:r w:rsidR="006C3580" w:rsidRPr="00CE23AE">
          <w:rPr>
            <w:rStyle w:val="Hipervnculo"/>
            <w:noProof/>
            <w:sz w:val="18"/>
            <w:szCs w:val="18"/>
            <w:lang w:val="en-US"/>
          </w:rPr>
          <w:t>A.2.b The obligation to provide the reasoning</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_Toc46388398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51</w:t>
        </w:r>
        <w:r w:rsidR="006C3580" w:rsidRPr="00CE23AE">
          <w:rPr>
            <w:noProof/>
            <w:webHidden/>
            <w:sz w:val="18"/>
            <w:szCs w:val="18"/>
          </w:rPr>
          <w:fldChar w:fldCharType="end"/>
        </w:r>
      </w:hyperlink>
    </w:p>
    <w:p w14:paraId="21949B79" w14:textId="676A3434" w:rsidR="006C3580" w:rsidRPr="00CE23AE" w:rsidRDefault="00617A64">
      <w:pPr>
        <w:pStyle w:val="TDC2"/>
        <w:rPr>
          <w:rFonts w:eastAsiaTheme="minorEastAsia" w:cstheme="minorBidi"/>
          <w:noProof/>
          <w:sz w:val="18"/>
          <w:szCs w:val="18"/>
          <w:lang w:val="en-US" w:eastAsia="en-US"/>
        </w:rPr>
      </w:pPr>
      <w:hyperlink w:anchor="_Toc46388399" w:history="1">
        <w:r w:rsidR="006C3580" w:rsidRPr="00CE23AE">
          <w:rPr>
            <w:rStyle w:val="Hipervnculo"/>
            <w:noProof/>
            <w:sz w:val="18"/>
            <w:szCs w:val="18"/>
            <w:lang w:val="en-US"/>
            <w14:scene3d>
              <w14:camera w14:prst="orthographicFront"/>
              <w14:lightRig w14:rig="threePt" w14:dir="t">
                <w14:rot w14:lat="0" w14:lon="0" w14:rev="0"/>
              </w14:lightRig>
            </w14:scene3d>
          </w:rPr>
          <w:t>B.</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Right to an effective remedy</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_Toc46388399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54</w:t>
        </w:r>
        <w:r w:rsidR="006C3580" w:rsidRPr="00CE23AE">
          <w:rPr>
            <w:noProof/>
            <w:webHidden/>
            <w:sz w:val="18"/>
            <w:szCs w:val="18"/>
          </w:rPr>
          <w:fldChar w:fldCharType="end"/>
        </w:r>
      </w:hyperlink>
    </w:p>
    <w:p w14:paraId="5D1D3FEE" w14:textId="6A680CDA" w:rsidR="006C3580" w:rsidRPr="00CE23AE" w:rsidRDefault="00617A64">
      <w:pPr>
        <w:pStyle w:val="TDC3"/>
        <w:rPr>
          <w:rFonts w:eastAsiaTheme="minorEastAsia" w:cstheme="minorBidi"/>
          <w:noProof/>
          <w:sz w:val="18"/>
          <w:szCs w:val="18"/>
          <w:lang w:val="en-US" w:eastAsia="en-US"/>
        </w:rPr>
      </w:pPr>
      <w:hyperlink w:anchor="_Toc46388400" w:history="1">
        <w:r w:rsidR="006C3580" w:rsidRPr="00CE23AE">
          <w:rPr>
            <w:rStyle w:val="Hipervnculo"/>
            <w:noProof/>
            <w:sz w:val="18"/>
            <w:szCs w:val="18"/>
            <w:lang w:val="en-US"/>
          </w:rPr>
          <w:t>B.1 Arguments of the parties and of the Commission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_Toc46388400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54</w:t>
        </w:r>
        <w:r w:rsidR="006C3580" w:rsidRPr="00CE23AE">
          <w:rPr>
            <w:noProof/>
            <w:webHidden/>
            <w:sz w:val="18"/>
            <w:szCs w:val="18"/>
          </w:rPr>
          <w:fldChar w:fldCharType="end"/>
        </w:r>
      </w:hyperlink>
    </w:p>
    <w:p w14:paraId="462A7889" w14:textId="0F444C87" w:rsidR="006C3580" w:rsidRPr="00CE23AE" w:rsidRDefault="00617A64">
      <w:pPr>
        <w:pStyle w:val="TDC3"/>
        <w:rPr>
          <w:rFonts w:eastAsiaTheme="minorEastAsia" w:cstheme="minorBidi"/>
          <w:noProof/>
          <w:sz w:val="18"/>
          <w:szCs w:val="18"/>
          <w:lang w:val="en-US" w:eastAsia="en-US"/>
        </w:rPr>
      </w:pPr>
      <w:hyperlink w:anchor="_Toc46388401" w:history="1">
        <w:r w:rsidR="006C3580" w:rsidRPr="00CE23AE">
          <w:rPr>
            <w:rStyle w:val="Hipervnculo"/>
            <w:noProof/>
            <w:sz w:val="18"/>
            <w:szCs w:val="18"/>
            <w:lang w:val="en-US"/>
          </w:rPr>
          <w:t>B.2 Considerations of the Court</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_Toc46388401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55</w:t>
        </w:r>
        <w:r w:rsidR="006C3580" w:rsidRPr="00CE23AE">
          <w:rPr>
            <w:noProof/>
            <w:webHidden/>
            <w:sz w:val="18"/>
            <w:szCs w:val="18"/>
          </w:rPr>
          <w:fldChar w:fldCharType="end"/>
        </w:r>
      </w:hyperlink>
    </w:p>
    <w:p w14:paraId="0CBC76BE" w14:textId="12428C03" w:rsidR="006C3580" w:rsidRPr="00CE23AE" w:rsidRDefault="00617A64" w:rsidP="006C3580">
      <w:pPr>
        <w:pStyle w:val="TDC1"/>
        <w:rPr>
          <w:rFonts w:eastAsiaTheme="minorEastAsia" w:cstheme="minorBidi"/>
          <w:b w:val="0"/>
          <w:sz w:val="18"/>
          <w:lang w:val="en-US" w:eastAsia="en-US"/>
        </w:rPr>
      </w:pPr>
      <w:hyperlink w:anchor="_Toc46388402" w:history="1">
        <w:r w:rsidR="006C3580" w:rsidRPr="00CE23AE">
          <w:rPr>
            <w:rStyle w:val="Hipervnculo"/>
            <w:sz w:val="18"/>
            <w:lang w:val="en-US"/>
          </w:rPr>
          <w:t>IX REPARATIONS</w:t>
        </w:r>
        <w:r w:rsidR="006C3580" w:rsidRPr="00CE23AE">
          <w:rPr>
            <w:webHidden/>
            <w:sz w:val="18"/>
          </w:rPr>
          <w:tab/>
        </w:r>
      </w:hyperlink>
      <w:r w:rsidR="006C3580" w:rsidRPr="00CE23AE">
        <w:rPr>
          <w:rFonts w:eastAsiaTheme="minorEastAsia" w:cstheme="minorBidi"/>
          <w:bCs/>
          <w:sz w:val="18"/>
          <w:lang w:val="en-US" w:eastAsia="en-US"/>
        </w:rPr>
        <w:t>60</w:t>
      </w:r>
    </w:p>
    <w:p w14:paraId="35241E6E" w14:textId="776313C2" w:rsidR="006C3580" w:rsidRPr="00CE23AE" w:rsidRDefault="00617A64">
      <w:pPr>
        <w:pStyle w:val="TDC2"/>
        <w:rPr>
          <w:rFonts w:eastAsiaTheme="minorEastAsia" w:cstheme="minorBidi"/>
          <w:noProof/>
          <w:sz w:val="18"/>
          <w:szCs w:val="18"/>
          <w:lang w:val="en-US" w:eastAsia="en-US"/>
        </w:rPr>
      </w:pPr>
      <w:hyperlink w:anchor="_Toc46388405" w:history="1">
        <w:r w:rsidR="006C3580" w:rsidRPr="00CE23AE">
          <w:rPr>
            <w:rStyle w:val="Hipervnculo"/>
            <w:noProof/>
            <w:sz w:val="18"/>
            <w:szCs w:val="18"/>
            <w:lang w:val="en-US"/>
            <w14:scene3d>
              <w14:camera w14:prst="orthographicFront"/>
              <w14:lightRig w14:rig="threePt" w14:dir="t">
                <w14:rot w14:lat="0" w14:lon="0" w14:rev="0"/>
              </w14:lightRig>
            </w14:scene3d>
          </w:rPr>
          <w:t>A.</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Injured party</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_Toc46388405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60</w:t>
        </w:r>
        <w:r w:rsidR="006C3580" w:rsidRPr="00CE23AE">
          <w:rPr>
            <w:noProof/>
            <w:webHidden/>
            <w:sz w:val="18"/>
            <w:szCs w:val="18"/>
          </w:rPr>
          <w:fldChar w:fldCharType="end"/>
        </w:r>
      </w:hyperlink>
    </w:p>
    <w:p w14:paraId="45B03FC5" w14:textId="47E94E94" w:rsidR="006C3580" w:rsidRPr="00CE23AE" w:rsidRDefault="00617A64">
      <w:pPr>
        <w:pStyle w:val="TDC2"/>
        <w:rPr>
          <w:rFonts w:eastAsiaTheme="minorEastAsia" w:cstheme="minorBidi"/>
          <w:noProof/>
          <w:sz w:val="18"/>
          <w:szCs w:val="18"/>
          <w:lang w:val="en-US" w:eastAsia="en-US"/>
        </w:rPr>
      </w:pPr>
      <w:hyperlink w:anchor="_Toc46388406" w:history="1">
        <w:r w:rsidR="006C3580" w:rsidRPr="00CE23AE">
          <w:rPr>
            <w:rStyle w:val="Hipervnculo"/>
            <w:noProof/>
            <w:sz w:val="18"/>
            <w:szCs w:val="18"/>
            <w:lang w:val="en-US"/>
            <w14:scene3d>
              <w14:camera w14:prst="orthographicFront"/>
              <w14:lightRig w14:rig="threePt" w14:dir="t">
                <w14:rot w14:lat="0" w14:lon="0" w14:rev="0"/>
              </w14:lightRig>
            </w14:scene3d>
          </w:rPr>
          <w:t>B.</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Measures of integral reparation: restitution, satisfaction and guarantees of non-repetition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_Toc46388406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60</w:t>
        </w:r>
        <w:r w:rsidR="006C3580" w:rsidRPr="00CE23AE">
          <w:rPr>
            <w:noProof/>
            <w:webHidden/>
            <w:sz w:val="18"/>
            <w:szCs w:val="18"/>
          </w:rPr>
          <w:fldChar w:fldCharType="end"/>
        </w:r>
      </w:hyperlink>
    </w:p>
    <w:p w14:paraId="158B524B" w14:textId="0F0B07BC" w:rsidR="006C3580" w:rsidRPr="00CE23AE" w:rsidRDefault="00617A64">
      <w:pPr>
        <w:pStyle w:val="TDC3"/>
        <w:rPr>
          <w:rFonts w:eastAsiaTheme="minorEastAsia" w:cstheme="minorBidi"/>
          <w:noProof/>
          <w:sz w:val="18"/>
          <w:szCs w:val="18"/>
          <w:lang w:val="en-US" w:eastAsia="en-US"/>
        </w:rPr>
      </w:pPr>
      <w:hyperlink w:anchor="_Toc46388407" w:history="1">
        <w:r w:rsidR="006C3580" w:rsidRPr="00CE23AE">
          <w:rPr>
            <w:rStyle w:val="Hipervnculo"/>
            <w:noProof/>
            <w:sz w:val="18"/>
            <w:szCs w:val="18"/>
            <w:lang w:val="en-US"/>
          </w:rPr>
          <w:t xml:space="preserve">B.1 </w:t>
        </w:r>
        <w:r w:rsidR="006C3580" w:rsidRPr="00CE23AE">
          <w:rPr>
            <w:rStyle w:val="Hipervnculo"/>
            <w:rFonts w:eastAsia="Batang"/>
            <w:noProof/>
            <w:sz w:val="18"/>
            <w:szCs w:val="18"/>
            <w:lang w:val="en-US" w:eastAsia="es-MX"/>
          </w:rPr>
          <w:t>Reincorporation of the victim into the Ground Forces</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_Toc46388407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60</w:t>
        </w:r>
        <w:r w:rsidR="006C3580" w:rsidRPr="00CE23AE">
          <w:rPr>
            <w:noProof/>
            <w:webHidden/>
            <w:sz w:val="18"/>
            <w:szCs w:val="18"/>
          </w:rPr>
          <w:fldChar w:fldCharType="end"/>
        </w:r>
      </w:hyperlink>
    </w:p>
    <w:p w14:paraId="1CE0C60A" w14:textId="3A2FBA3A" w:rsidR="006C3580" w:rsidRPr="00CE23AE" w:rsidRDefault="00617A64">
      <w:pPr>
        <w:pStyle w:val="TDC4"/>
        <w:rPr>
          <w:rFonts w:eastAsiaTheme="minorEastAsia" w:cstheme="minorBidi"/>
          <w:noProof/>
          <w:sz w:val="18"/>
          <w:szCs w:val="18"/>
          <w:lang w:val="en-US" w:eastAsia="en-US"/>
        </w:rPr>
      </w:pPr>
      <w:hyperlink w:anchor="_Toc46388408" w:history="1">
        <w:r w:rsidR="006C3580" w:rsidRPr="00CE23AE">
          <w:rPr>
            <w:rStyle w:val="Hipervnculo"/>
            <w:noProof/>
            <w:sz w:val="18"/>
            <w:szCs w:val="18"/>
            <w:lang w:val="en-US"/>
          </w:rPr>
          <w:t>B.1.a Arguments of the parties and of the Commission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_Toc46388408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60</w:t>
        </w:r>
        <w:r w:rsidR="006C3580" w:rsidRPr="00CE23AE">
          <w:rPr>
            <w:noProof/>
            <w:webHidden/>
            <w:sz w:val="18"/>
            <w:szCs w:val="18"/>
          </w:rPr>
          <w:fldChar w:fldCharType="end"/>
        </w:r>
      </w:hyperlink>
    </w:p>
    <w:p w14:paraId="761A2959" w14:textId="55F68C11" w:rsidR="006C3580" w:rsidRPr="00CE23AE" w:rsidRDefault="00617A64">
      <w:pPr>
        <w:pStyle w:val="TDC4"/>
        <w:rPr>
          <w:rFonts w:eastAsiaTheme="minorEastAsia" w:cstheme="minorBidi"/>
          <w:noProof/>
          <w:sz w:val="18"/>
          <w:szCs w:val="18"/>
          <w:lang w:val="en-US" w:eastAsia="en-US"/>
        </w:rPr>
      </w:pPr>
      <w:hyperlink w:anchor="_Toc46388409" w:history="1">
        <w:r w:rsidR="006C3580" w:rsidRPr="00CE23AE">
          <w:rPr>
            <w:rStyle w:val="Hipervnculo"/>
            <w:noProof/>
            <w:sz w:val="18"/>
            <w:szCs w:val="18"/>
            <w:lang w:val="en-US"/>
          </w:rPr>
          <w:t>B.1.b Considerations of the Court</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_Toc46388409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61</w:t>
        </w:r>
        <w:r w:rsidR="006C3580" w:rsidRPr="00CE23AE">
          <w:rPr>
            <w:noProof/>
            <w:webHidden/>
            <w:sz w:val="18"/>
            <w:szCs w:val="18"/>
          </w:rPr>
          <w:fldChar w:fldCharType="end"/>
        </w:r>
      </w:hyperlink>
    </w:p>
    <w:p w14:paraId="64B1329E" w14:textId="3151BE46" w:rsidR="006C3580" w:rsidRPr="00CE23AE" w:rsidRDefault="00617A64">
      <w:pPr>
        <w:pStyle w:val="TDC3"/>
        <w:rPr>
          <w:rFonts w:eastAsiaTheme="minorEastAsia" w:cstheme="minorBidi"/>
          <w:noProof/>
          <w:sz w:val="18"/>
          <w:szCs w:val="18"/>
          <w:lang w:val="en-US" w:eastAsia="en-US"/>
        </w:rPr>
      </w:pPr>
      <w:hyperlink w:anchor="_Toc46388410" w:history="1">
        <w:r w:rsidR="006C3580" w:rsidRPr="00CE23AE">
          <w:rPr>
            <w:rStyle w:val="Hipervnculo"/>
            <w:noProof/>
            <w:sz w:val="18"/>
            <w:szCs w:val="18"/>
            <w:lang w:val="en-US"/>
          </w:rPr>
          <w:t>B.2 Measures of satisfaction: publication of the judgment</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_Toc46388410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63</w:t>
        </w:r>
        <w:r w:rsidR="006C3580" w:rsidRPr="00CE23AE">
          <w:rPr>
            <w:noProof/>
            <w:webHidden/>
            <w:sz w:val="18"/>
            <w:szCs w:val="18"/>
          </w:rPr>
          <w:fldChar w:fldCharType="end"/>
        </w:r>
      </w:hyperlink>
    </w:p>
    <w:p w14:paraId="7CEFB7D4" w14:textId="39E5204C" w:rsidR="006C3580" w:rsidRPr="00CE23AE" w:rsidRDefault="00617A64">
      <w:pPr>
        <w:pStyle w:val="TDC3"/>
        <w:rPr>
          <w:rFonts w:eastAsiaTheme="minorEastAsia" w:cstheme="minorBidi"/>
          <w:noProof/>
          <w:sz w:val="18"/>
          <w:szCs w:val="18"/>
          <w:lang w:val="en-US" w:eastAsia="en-US"/>
        </w:rPr>
      </w:pPr>
      <w:hyperlink w:anchor="_Toc46388411" w:history="1">
        <w:r w:rsidR="006C3580" w:rsidRPr="00CE23AE">
          <w:rPr>
            <w:rStyle w:val="Hipervnculo"/>
            <w:noProof/>
            <w:sz w:val="18"/>
            <w:szCs w:val="18"/>
            <w:lang w:val="en-US"/>
          </w:rPr>
          <w:t>B.3 Guarantees of non-repetition: training activities for state authorities on the prohibition of discrimination owing to sexual orientation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_Toc46388411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64</w:t>
        </w:r>
        <w:r w:rsidR="006C3580" w:rsidRPr="00CE23AE">
          <w:rPr>
            <w:noProof/>
            <w:webHidden/>
            <w:sz w:val="18"/>
            <w:szCs w:val="18"/>
          </w:rPr>
          <w:fldChar w:fldCharType="end"/>
        </w:r>
      </w:hyperlink>
    </w:p>
    <w:p w14:paraId="136C3774" w14:textId="078C2CF5" w:rsidR="006C3580" w:rsidRPr="00CE23AE" w:rsidRDefault="00617A64">
      <w:pPr>
        <w:pStyle w:val="TDC2"/>
        <w:rPr>
          <w:rFonts w:eastAsiaTheme="minorEastAsia" w:cstheme="minorBidi"/>
          <w:noProof/>
          <w:sz w:val="18"/>
          <w:szCs w:val="18"/>
          <w:lang w:val="en-US" w:eastAsia="en-US"/>
        </w:rPr>
      </w:pPr>
      <w:hyperlink w:anchor="_Toc46388412" w:history="1">
        <w:r w:rsidR="006C3580" w:rsidRPr="00CE23AE">
          <w:rPr>
            <w:rStyle w:val="Hipervnculo"/>
            <w:noProof/>
            <w:sz w:val="18"/>
            <w:szCs w:val="18"/>
            <w:lang w:val="en-US"/>
            <w14:scene3d>
              <w14:camera w14:prst="orthographicFront"/>
              <w14:lightRig w14:rig="threePt" w14:dir="t">
                <w14:rot w14:lat="0" w14:lon="0" w14:rev="0"/>
              </w14:lightRig>
            </w14:scene3d>
          </w:rPr>
          <w:t>C.</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Other measures requested</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_Toc46388412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65</w:t>
        </w:r>
        <w:r w:rsidR="006C3580" w:rsidRPr="00CE23AE">
          <w:rPr>
            <w:noProof/>
            <w:webHidden/>
            <w:sz w:val="18"/>
            <w:szCs w:val="18"/>
          </w:rPr>
          <w:fldChar w:fldCharType="end"/>
        </w:r>
      </w:hyperlink>
    </w:p>
    <w:p w14:paraId="3998254C" w14:textId="0D81E391" w:rsidR="006C3580" w:rsidRPr="00CE23AE" w:rsidRDefault="00617A64">
      <w:pPr>
        <w:pStyle w:val="TDC2"/>
        <w:rPr>
          <w:rFonts w:eastAsiaTheme="minorEastAsia" w:cstheme="minorBidi"/>
          <w:noProof/>
          <w:sz w:val="18"/>
          <w:szCs w:val="18"/>
          <w:lang w:val="en-US" w:eastAsia="en-US"/>
        </w:rPr>
      </w:pPr>
      <w:hyperlink w:anchor="_Toc46388413" w:history="1">
        <w:r w:rsidR="006C3580" w:rsidRPr="00CE23AE">
          <w:rPr>
            <w:rStyle w:val="Hipervnculo"/>
            <w:noProof/>
            <w:sz w:val="18"/>
            <w:szCs w:val="18"/>
            <w:lang w:val="en-US"/>
            <w14:scene3d>
              <w14:camera w14:prst="orthographicFront"/>
              <w14:lightRig w14:rig="threePt" w14:dir="t">
                <w14:rot w14:lat="0" w14:lon="0" w14:rev="0"/>
              </w14:lightRig>
            </w14:scene3d>
          </w:rPr>
          <w:t>D.</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Compensation</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_Toc46388413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66</w:t>
        </w:r>
        <w:r w:rsidR="006C3580" w:rsidRPr="00CE23AE">
          <w:rPr>
            <w:noProof/>
            <w:webHidden/>
            <w:sz w:val="18"/>
            <w:szCs w:val="18"/>
          </w:rPr>
          <w:fldChar w:fldCharType="end"/>
        </w:r>
      </w:hyperlink>
    </w:p>
    <w:p w14:paraId="1CDBAB61" w14:textId="72F5F2BF" w:rsidR="006C3580" w:rsidRPr="00CE23AE" w:rsidRDefault="00617A64">
      <w:pPr>
        <w:pStyle w:val="TDC3"/>
        <w:rPr>
          <w:rFonts w:eastAsiaTheme="minorEastAsia" w:cstheme="minorBidi"/>
          <w:noProof/>
          <w:sz w:val="18"/>
          <w:szCs w:val="18"/>
          <w:lang w:val="en-US" w:eastAsia="en-US"/>
        </w:rPr>
      </w:pPr>
      <w:hyperlink w:anchor="_Toc46388414" w:history="1">
        <w:r w:rsidR="006C3580" w:rsidRPr="00CE23AE">
          <w:rPr>
            <w:rStyle w:val="Hipervnculo"/>
            <w:noProof/>
            <w:sz w:val="18"/>
            <w:szCs w:val="18"/>
            <w:lang w:val="en-US"/>
          </w:rPr>
          <w:t>D.1 Pecuniary damage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_Toc46388414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66</w:t>
        </w:r>
        <w:r w:rsidR="006C3580" w:rsidRPr="00CE23AE">
          <w:rPr>
            <w:noProof/>
            <w:webHidden/>
            <w:sz w:val="18"/>
            <w:szCs w:val="18"/>
          </w:rPr>
          <w:fldChar w:fldCharType="end"/>
        </w:r>
      </w:hyperlink>
    </w:p>
    <w:p w14:paraId="324A68C1" w14:textId="09D54C4C" w:rsidR="006C3580" w:rsidRPr="00CE23AE" w:rsidRDefault="00617A64">
      <w:pPr>
        <w:pStyle w:val="TDC4"/>
        <w:rPr>
          <w:rFonts w:eastAsiaTheme="minorEastAsia" w:cstheme="minorBidi"/>
          <w:noProof/>
          <w:sz w:val="18"/>
          <w:szCs w:val="18"/>
          <w:lang w:val="en-US" w:eastAsia="en-US"/>
        </w:rPr>
      </w:pPr>
      <w:hyperlink w:anchor="_Toc46388415" w:history="1">
        <w:r w:rsidR="006C3580" w:rsidRPr="00CE23AE">
          <w:rPr>
            <w:rStyle w:val="Hipervnculo"/>
            <w:noProof/>
            <w:sz w:val="18"/>
            <w:szCs w:val="18"/>
            <w:lang w:val="en-US"/>
          </w:rPr>
          <w:t>D.1.a Arguments of the parties</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_Toc46388415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66</w:t>
        </w:r>
        <w:r w:rsidR="006C3580" w:rsidRPr="00CE23AE">
          <w:rPr>
            <w:noProof/>
            <w:webHidden/>
            <w:sz w:val="18"/>
            <w:szCs w:val="18"/>
          </w:rPr>
          <w:fldChar w:fldCharType="end"/>
        </w:r>
      </w:hyperlink>
    </w:p>
    <w:p w14:paraId="6BA176A6" w14:textId="6DDD2CFF" w:rsidR="006C3580" w:rsidRPr="00CE23AE" w:rsidRDefault="00617A64">
      <w:pPr>
        <w:pStyle w:val="TDC4"/>
        <w:rPr>
          <w:rFonts w:eastAsiaTheme="minorEastAsia" w:cstheme="minorBidi"/>
          <w:noProof/>
          <w:sz w:val="18"/>
          <w:szCs w:val="18"/>
          <w:lang w:val="en-US" w:eastAsia="en-US"/>
        </w:rPr>
      </w:pPr>
      <w:hyperlink w:anchor="_Toc46388416" w:history="1">
        <w:r w:rsidR="006C3580" w:rsidRPr="00CE23AE">
          <w:rPr>
            <w:rStyle w:val="Hipervnculo"/>
            <w:noProof/>
            <w:sz w:val="18"/>
            <w:szCs w:val="18"/>
            <w:lang w:val="en-US"/>
          </w:rPr>
          <w:t>D.1.b Considerations of the Court</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_Toc46388416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67</w:t>
        </w:r>
        <w:r w:rsidR="006C3580" w:rsidRPr="00CE23AE">
          <w:rPr>
            <w:noProof/>
            <w:webHidden/>
            <w:sz w:val="18"/>
            <w:szCs w:val="18"/>
          </w:rPr>
          <w:fldChar w:fldCharType="end"/>
        </w:r>
      </w:hyperlink>
    </w:p>
    <w:p w14:paraId="2C51A389" w14:textId="73154022" w:rsidR="006C3580" w:rsidRPr="00CE23AE" w:rsidRDefault="00617A64">
      <w:pPr>
        <w:pStyle w:val="TDC3"/>
        <w:rPr>
          <w:rFonts w:eastAsiaTheme="minorEastAsia" w:cstheme="minorBidi"/>
          <w:noProof/>
          <w:sz w:val="18"/>
          <w:szCs w:val="18"/>
          <w:lang w:val="en-US" w:eastAsia="en-US"/>
        </w:rPr>
      </w:pPr>
      <w:hyperlink w:anchor="_Toc46388417" w:history="1">
        <w:r w:rsidR="006C3580" w:rsidRPr="00CE23AE">
          <w:rPr>
            <w:rStyle w:val="Hipervnculo"/>
            <w:noProof/>
            <w:sz w:val="18"/>
            <w:szCs w:val="18"/>
            <w:lang w:val="en-US"/>
          </w:rPr>
          <w:t>D.2 Non-pecuniary damage</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_Toc46388417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68</w:t>
        </w:r>
        <w:r w:rsidR="006C3580" w:rsidRPr="00CE23AE">
          <w:rPr>
            <w:noProof/>
            <w:webHidden/>
            <w:sz w:val="18"/>
            <w:szCs w:val="18"/>
          </w:rPr>
          <w:fldChar w:fldCharType="end"/>
        </w:r>
      </w:hyperlink>
    </w:p>
    <w:p w14:paraId="52FB8188" w14:textId="6B3FBC66" w:rsidR="006C3580" w:rsidRPr="00CE23AE" w:rsidRDefault="00617A64">
      <w:pPr>
        <w:pStyle w:val="TDC4"/>
        <w:rPr>
          <w:rFonts w:eastAsiaTheme="minorEastAsia" w:cstheme="minorBidi"/>
          <w:noProof/>
          <w:sz w:val="18"/>
          <w:szCs w:val="18"/>
          <w:lang w:val="en-US" w:eastAsia="en-US"/>
        </w:rPr>
      </w:pPr>
      <w:hyperlink w:anchor="_Toc46388418" w:history="1">
        <w:r w:rsidR="006C3580" w:rsidRPr="00CE23AE">
          <w:rPr>
            <w:rStyle w:val="Hipervnculo"/>
            <w:noProof/>
            <w:sz w:val="18"/>
            <w:szCs w:val="18"/>
            <w:lang w:val="en-US"/>
          </w:rPr>
          <w:t>D.2.a Arguments of the parties</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_Toc46388418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68</w:t>
        </w:r>
        <w:r w:rsidR="006C3580" w:rsidRPr="00CE23AE">
          <w:rPr>
            <w:noProof/>
            <w:webHidden/>
            <w:sz w:val="18"/>
            <w:szCs w:val="18"/>
          </w:rPr>
          <w:fldChar w:fldCharType="end"/>
        </w:r>
      </w:hyperlink>
    </w:p>
    <w:p w14:paraId="15A5122E" w14:textId="2B101912" w:rsidR="006C3580" w:rsidRPr="00CE23AE" w:rsidRDefault="00617A64">
      <w:pPr>
        <w:pStyle w:val="TDC4"/>
        <w:rPr>
          <w:rFonts w:eastAsiaTheme="minorEastAsia" w:cstheme="minorBidi"/>
          <w:noProof/>
          <w:sz w:val="18"/>
          <w:szCs w:val="18"/>
          <w:lang w:val="en-US" w:eastAsia="en-US"/>
        </w:rPr>
      </w:pPr>
      <w:hyperlink w:anchor="_Toc46388419" w:history="1">
        <w:r w:rsidR="006C3580" w:rsidRPr="00CE23AE">
          <w:rPr>
            <w:rStyle w:val="Hipervnculo"/>
            <w:noProof/>
            <w:sz w:val="18"/>
            <w:szCs w:val="18"/>
            <w:lang w:val="en-US"/>
          </w:rPr>
          <w:t>D.2.b Considerations of the Court</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_Toc46388419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68</w:t>
        </w:r>
        <w:r w:rsidR="006C3580" w:rsidRPr="00CE23AE">
          <w:rPr>
            <w:noProof/>
            <w:webHidden/>
            <w:sz w:val="18"/>
            <w:szCs w:val="18"/>
          </w:rPr>
          <w:fldChar w:fldCharType="end"/>
        </w:r>
      </w:hyperlink>
    </w:p>
    <w:p w14:paraId="78B72508" w14:textId="169683F1" w:rsidR="006C3580" w:rsidRPr="00CE23AE" w:rsidRDefault="00617A64">
      <w:pPr>
        <w:pStyle w:val="TDC2"/>
        <w:rPr>
          <w:rFonts w:eastAsiaTheme="minorEastAsia" w:cstheme="minorBidi"/>
          <w:noProof/>
          <w:sz w:val="18"/>
          <w:szCs w:val="18"/>
          <w:lang w:val="en-US" w:eastAsia="en-US"/>
        </w:rPr>
      </w:pPr>
      <w:hyperlink w:anchor="_Toc46388420" w:history="1">
        <w:r w:rsidR="006C3580" w:rsidRPr="00CE23AE">
          <w:rPr>
            <w:rStyle w:val="Hipervnculo"/>
            <w:noProof/>
            <w:sz w:val="18"/>
            <w:szCs w:val="18"/>
            <w:lang w:val="en-US"/>
            <w14:scene3d>
              <w14:camera w14:prst="orthographicFront"/>
              <w14:lightRig w14:rig="threePt" w14:dir="t">
                <w14:rot w14:lat="0" w14:lon="0" w14:rev="0"/>
              </w14:lightRig>
            </w14:scene3d>
          </w:rPr>
          <w:t>E.</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Costs and expenses</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_Toc46388420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69</w:t>
        </w:r>
        <w:r w:rsidR="006C3580" w:rsidRPr="00CE23AE">
          <w:rPr>
            <w:noProof/>
            <w:webHidden/>
            <w:sz w:val="18"/>
            <w:szCs w:val="18"/>
          </w:rPr>
          <w:fldChar w:fldCharType="end"/>
        </w:r>
      </w:hyperlink>
    </w:p>
    <w:p w14:paraId="25149832" w14:textId="529407A3" w:rsidR="006C3580" w:rsidRPr="00CE23AE" w:rsidRDefault="00617A64">
      <w:pPr>
        <w:pStyle w:val="TDC2"/>
        <w:rPr>
          <w:rFonts w:eastAsiaTheme="minorEastAsia" w:cstheme="minorBidi"/>
          <w:noProof/>
          <w:sz w:val="18"/>
          <w:szCs w:val="18"/>
          <w:lang w:val="en-US" w:eastAsia="en-US"/>
        </w:rPr>
      </w:pPr>
      <w:hyperlink w:anchor="_Toc46388421" w:history="1">
        <w:r w:rsidR="006C3580" w:rsidRPr="00CE23AE">
          <w:rPr>
            <w:rStyle w:val="Hipervnculo"/>
            <w:noProof/>
            <w:sz w:val="18"/>
            <w:szCs w:val="18"/>
            <w:lang w:val="en-US"/>
            <w14:scene3d>
              <w14:camera w14:prst="orthographicFront"/>
              <w14:lightRig w14:rig="threePt" w14:dir="t">
                <w14:rot w14:lat="0" w14:lon="0" w14:rev="0"/>
              </w14:lightRig>
            </w14:scene3d>
          </w:rPr>
          <w:t>F.</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Reimbursement of expenses to the Victims’ Legal Assistance Fund</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_Toc46388421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70</w:t>
        </w:r>
        <w:r w:rsidR="006C3580" w:rsidRPr="00CE23AE">
          <w:rPr>
            <w:noProof/>
            <w:webHidden/>
            <w:sz w:val="18"/>
            <w:szCs w:val="18"/>
          </w:rPr>
          <w:fldChar w:fldCharType="end"/>
        </w:r>
      </w:hyperlink>
    </w:p>
    <w:p w14:paraId="221F8C69" w14:textId="59824981" w:rsidR="006C3580" w:rsidRPr="00CE23AE" w:rsidRDefault="00617A64">
      <w:pPr>
        <w:pStyle w:val="TDC2"/>
        <w:rPr>
          <w:rFonts w:eastAsiaTheme="minorEastAsia" w:cstheme="minorBidi"/>
          <w:noProof/>
          <w:sz w:val="18"/>
          <w:szCs w:val="18"/>
          <w:lang w:val="en-US" w:eastAsia="en-US"/>
        </w:rPr>
      </w:pPr>
      <w:hyperlink w:anchor="_Toc46388422" w:history="1">
        <w:r w:rsidR="006C3580" w:rsidRPr="00CE23AE">
          <w:rPr>
            <w:rStyle w:val="Hipervnculo"/>
            <w:noProof/>
            <w:sz w:val="18"/>
            <w:szCs w:val="18"/>
            <w:lang w:val="en-US"/>
            <w14:scene3d>
              <w14:camera w14:prst="orthographicFront"/>
              <w14:lightRig w14:rig="threePt" w14:dir="t">
                <w14:rot w14:lat="0" w14:lon="0" w14:rev="0"/>
              </w14:lightRig>
            </w14:scene3d>
          </w:rPr>
          <w:t>G.</w:t>
        </w:r>
        <w:r w:rsidR="006C3580" w:rsidRPr="00CE23AE">
          <w:rPr>
            <w:rFonts w:eastAsiaTheme="minorEastAsia" w:cstheme="minorBidi"/>
            <w:noProof/>
            <w:sz w:val="18"/>
            <w:szCs w:val="18"/>
            <w:lang w:val="en-US" w:eastAsia="en-US"/>
          </w:rPr>
          <w:tab/>
        </w:r>
        <w:r w:rsidR="006C3580" w:rsidRPr="00CE23AE">
          <w:rPr>
            <w:rStyle w:val="Hipervnculo"/>
            <w:noProof/>
            <w:sz w:val="18"/>
            <w:szCs w:val="18"/>
            <w:lang w:val="en-US"/>
          </w:rPr>
          <w:t>Method of complying with the payments ordered</w:t>
        </w:r>
        <w:r w:rsidR="006C3580" w:rsidRPr="00CE23AE">
          <w:rPr>
            <w:noProof/>
            <w:webHidden/>
            <w:sz w:val="18"/>
            <w:szCs w:val="18"/>
          </w:rPr>
          <w:tab/>
        </w:r>
        <w:r w:rsidR="006C3580" w:rsidRPr="00CE23AE">
          <w:rPr>
            <w:noProof/>
            <w:webHidden/>
            <w:sz w:val="18"/>
            <w:szCs w:val="18"/>
          </w:rPr>
          <w:fldChar w:fldCharType="begin"/>
        </w:r>
        <w:r w:rsidR="006C3580" w:rsidRPr="00CE23AE">
          <w:rPr>
            <w:noProof/>
            <w:webHidden/>
            <w:sz w:val="18"/>
            <w:szCs w:val="18"/>
          </w:rPr>
          <w:instrText xml:space="preserve"> PAGEREF _Toc46388422 \h </w:instrText>
        </w:r>
        <w:r w:rsidR="006C3580" w:rsidRPr="00CE23AE">
          <w:rPr>
            <w:noProof/>
            <w:webHidden/>
            <w:sz w:val="18"/>
            <w:szCs w:val="18"/>
          </w:rPr>
        </w:r>
        <w:r w:rsidR="006C3580" w:rsidRPr="00CE23AE">
          <w:rPr>
            <w:noProof/>
            <w:webHidden/>
            <w:sz w:val="18"/>
            <w:szCs w:val="18"/>
          </w:rPr>
          <w:fldChar w:fldCharType="separate"/>
        </w:r>
        <w:r w:rsidR="00CB7663" w:rsidRPr="00CE23AE">
          <w:rPr>
            <w:noProof/>
            <w:webHidden/>
            <w:sz w:val="18"/>
            <w:szCs w:val="18"/>
          </w:rPr>
          <w:t>70</w:t>
        </w:r>
        <w:r w:rsidR="006C3580" w:rsidRPr="00CE23AE">
          <w:rPr>
            <w:noProof/>
            <w:webHidden/>
            <w:sz w:val="18"/>
            <w:szCs w:val="18"/>
          </w:rPr>
          <w:fldChar w:fldCharType="end"/>
        </w:r>
      </w:hyperlink>
    </w:p>
    <w:p w14:paraId="2F5A4E3E" w14:textId="2E8E8784" w:rsidR="006C3580" w:rsidRPr="00CE23AE" w:rsidRDefault="00617A64">
      <w:pPr>
        <w:pStyle w:val="TDC1"/>
        <w:rPr>
          <w:rFonts w:eastAsiaTheme="minorEastAsia" w:cstheme="minorBidi"/>
          <w:b w:val="0"/>
          <w:sz w:val="18"/>
          <w:lang w:val="en-US" w:eastAsia="en-US"/>
        </w:rPr>
      </w:pPr>
      <w:hyperlink w:anchor="_Toc46388423" w:history="1">
        <w:r w:rsidR="006C3580" w:rsidRPr="00CE23AE">
          <w:rPr>
            <w:rStyle w:val="Hipervnculo"/>
            <w:sz w:val="18"/>
            <w:lang w:val="en-US"/>
          </w:rPr>
          <w:t>X OPERATIVE PARAGRAPHS</w:t>
        </w:r>
        <w:r w:rsidR="006C3580" w:rsidRPr="00CE23AE">
          <w:rPr>
            <w:webHidden/>
            <w:sz w:val="18"/>
          </w:rPr>
          <w:tab/>
        </w:r>
        <w:r w:rsidR="006C3580" w:rsidRPr="00CE23AE">
          <w:rPr>
            <w:webHidden/>
            <w:sz w:val="18"/>
          </w:rPr>
          <w:fldChar w:fldCharType="begin"/>
        </w:r>
        <w:r w:rsidR="006C3580" w:rsidRPr="00CE23AE">
          <w:rPr>
            <w:webHidden/>
            <w:sz w:val="18"/>
          </w:rPr>
          <w:instrText xml:space="preserve"> PAGEREF _Toc46388423 \h </w:instrText>
        </w:r>
        <w:r w:rsidR="006C3580" w:rsidRPr="00CE23AE">
          <w:rPr>
            <w:webHidden/>
            <w:sz w:val="18"/>
          </w:rPr>
        </w:r>
        <w:r w:rsidR="006C3580" w:rsidRPr="00CE23AE">
          <w:rPr>
            <w:webHidden/>
            <w:sz w:val="18"/>
          </w:rPr>
          <w:fldChar w:fldCharType="separate"/>
        </w:r>
        <w:r w:rsidR="00CB7663" w:rsidRPr="00CE23AE">
          <w:rPr>
            <w:webHidden/>
            <w:sz w:val="18"/>
          </w:rPr>
          <w:t>71</w:t>
        </w:r>
        <w:r w:rsidR="006C3580" w:rsidRPr="00CE23AE">
          <w:rPr>
            <w:webHidden/>
            <w:sz w:val="18"/>
          </w:rPr>
          <w:fldChar w:fldCharType="end"/>
        </w:r>
      </w:hyperlink>
    </w:p>
    <w:p w14:paraId="168467F7" w14:textId="47CFC9E3" w:rsidR="006F3726" w:rsidRPr="00CE23AE" w:rsidRDefault="00530412" w:rsidP="006211E0">
      <w:pPr>
        <w:widowControl/>
        <w:tabs>
          <w:tab w:val="right" w:leader="dot" w:pos="10206"/>
        </w:tabs>
        <w:adjustRightInd/>
        <w:spacing w:before="60" w:after="60" w:line="240" w:lineRule="auto"/>
        <w:textAlignment w:val="auto"/>
        <w:rPr>
          <w:rFonts w:eastAsia="MS ????"/>
          <w:b/>
          <w:bCs/>
          <w:caps/>
          <w:snapToGrid w:val="0"/>
          <w:sz w:val="18"/>
          <w:szCs w:val="18"/>
          <w:lang w:val="en-US" w:eastAsia="es-ES"/>
        </w:rPr>
      </w:pPr>
      <w:r w:rsidRPr="00CE23AE">
        <w:rPr>
          <w:rFonts w:eastAsia="MS ????"/>
          <w:b/>
          <w:bCs/>
          <w:caps/>
          <w:snapToGrid w:val="0"/>
          <w:sz w:val="18"/>
          <w:szCs w:val="18"/>
          <w:lang w:val="en-US" w:eastAsia="es-ES"/>
        </w:rPr>
        <w:fldChar w:fldCharType="end"/>
      </w:r>
    </w:p>
    <w:p w14:paraId="5093EB7E" w14:textId="77777777" w:rsidR="00834949" w:rsidRPr="00CE23AE" w:rsidRDefault="00834949" w:rsidP="0086630B">
      <w:pPr>
        <w:pStyle w:val="Ttulo1"/>
        <w:rPr>
          <w:spacing w:val="0"/>
          <w:sz w:val="18"/>
          <w:szCs w:val="18"/>
          <w:lang w:val="en-US"/>
        </w:rPr>
      </w:pPr>
    </w:p>
    <w:p w14:paraId="78F5EBDE" w14:textId="77777777" w:rsidR="00834949" w:rsidRPr="00CE23AE" w:rsidRDefault="00834949" w:rsidP="0086630B">
      <w:pPr>
        <w:pStyle w:val="Ttulo1"/>
        <w:jc w:val="both"/>
        <w:rPr>
          <w:spacing w:val="0"/>
          <w:sz w:val="18"/>
          <w:szCs w:val="18"/>
          <w:lang w:val="en-US"/>
        </w:rPr>
      </w:pPr>
    </w:p>
    <w:p w14:paraId="222D136B" w14:textId="77777777" w:rsidR="00A70844" w:rsidRPr="00CE23AE" w:rsidRDefault="00A70844" w:rsidP="0086630B">
      <w:pPr>
        <w:widowControl/>
        <w:adjustRightInd/>
        <w:spacing w:after="200" w:line="276" w:lineRule="auto"/>
        <w:jc w:val="left"/>
        <w:textAlignment w:val="auto"/>
        <w:rPr>
          <w:rFonts w:eastAsia="MS ????"/>
          <w:b/>
          <w:bCs/>
          <w:caps/>
          <w:snapToGrid w:val="0"/>
          <w:sz w:val="18"/>
          <w:szCs w:val="18"/>
          <w:lang w:val="en-US" w:eastAsia="es-ES"/>
        </w:rPr>
      </w:pPr>
      <w:r w:rsidRPr="00CE23AE">
        <w:rPr>
          <w:sz w:val="18"/>
          <w:szCs w:val="18"/>
          <w:lang w:val="en-US"/>
        </w:rPr>
        <w:br w:type="page"/>
      </w:r>
    </w:p>
    <w:p w14:paraId="3CB8A617" w14:textId="55585824" w:rsidR="00C51E3C" w:rsidRPr="00CE23AE" w:rsidRDefault="00C51E3C" w:rsidP="00C51E3C">
      <w:pPr>
        <w:pStyle w:val="Ttulo1"/>
        <w:rPr>
          <w:spacing w:val="0"/>
          <w:lang w:val="en-US"/>
        </w:rPr>
      </w:pPr>
      <w:bookmarkStart w:id="9" w:name="_Toc464474952"/>
      <w:bookmarkStart w:id="10" w:name="_Toc46388339"/>
      <w:r w:rsidRPr="00CE23AE">
        <w:rPr>
          <w:spacing w:val="0"/>
          <w:lang w:val="en-US"/>
        </w:rPr>
        <w:lastRenderedPageBreak/>
        <w:t>I</w:t>
      </w:r>
      <w:bookmarkStart w:id="11" w:name="_Toc375062709"/>
      <w:bookmarkStart w:id="12" w:name="_Toc375140859"/>
      <w:bookmarkStart w:id="13" w:name="_Toc375504818"/>
      <w:bookmarkStart w:id="14" w:name="_Toc375560892"/>
      <w:bookmarkEnd w:id="0"/>
      <w:bookmarkEnd w:id="1"/>
      <w:bookmarkEnd w:id="2"/>
      <w:r w:rsidRPr="00CE23AE">
        <w:rPr>
          <w:color w:val="FFFFFF"/>
          <w:spacing w:val="0"/>
          <w:lang w:val="en-US"/>
        </w:rPr>
        <w:t>.</w:t>
      </w:r>
      <w:r w:rsidRPr="00CE23AE">
        <w:rPr>
          <w:spacing w:val="0"/>
          <w:lang w:val="en-US"/>
        </w:rPr>
        <w:br/>
      </w:r>
      <w:r w:rsidR="00C561DF" w:rsidRPr="00CE23AE">
        <w:rPr>
          <w:spacing w:val="0"/>
          <w:lang w:val="en-US"/>
        </w:rPr>
        <w:t>INTRODUCTION OF THE CASE AND PURPOSE OF THE DISPUTE</w:t>
      </w:r>
      <w:bookmarkEnd w:id="3"/>
      <w:bookmarkEnd w:id="4"/>
      <w:bookmarkEnd w:id="6"/>
      <w:bookmarkEnd w:id="7"/>
      <w:bookmarkEnd w:id="8"/>
      <w:bookmarkEnd w:id="9"/>
      <w:bookmarkEnd w:id="10"/>
      <w:bookmarkEnd w:id="11"/>
      <w:bookmarkEnd w:id="12"/>
      <w:bookmarkEnd w:id="13"/>
      <w:bookmarkEnd w:id="14"/>
    </w:p>
    <w:p w14:paraId="12C88FA2" w14:textId="77777777" w:rsidR="00C51E3C" w:rsidRPr="00CE23AE" w:rsidRDefault="00C51E3C" w:rsidP="00C51E3C">
      <w:pPr>
        <w:tabs>
          <w:tab w:val="left" w:pos="720"/>
        </w:tabs>
        <w:spacing w:line="240" w:lineRule="auto"/>
        <w:rPr>
          <w:rFonts w:eastAsia="Calibri" w:cs="Verdana"/>
          <w:szCs w:val="20"/>
          <w:lang w:val="en-US" w:eastAsia="es-ES"/>
        </w:rPr>
      </w:pPr>
    </w:p>
    <w:p w14:paraId="103E622D" w14:textId="2A9123A3" w:rsidR="008027C4" w:rsidRPr="00CE23AE" w:rsidRDefault="00C561DF" w:rsidP="00582D8D">
      <w:pPr>
        <w:numPr>
          <w:ilvl w:val="0"/>
          <w:numId w:val="6"/>
        </w:numPr>
        <w:tabs>
          <w:tab w:val="left" w:pos="567"/>
        </w:tabs>
        <w:spacing w:line="240" w:lineRule="auto"/>
        <w:ind w:right="20"/>
        <w:rPr>
          <w:rFonts w:eastAsia="Calibri" w:cs="Verdana"/>
          <w:szCs w:val="20"/>
          <w:lang w:val="en-US"/>
        </w:rPr>
      </w:pPr>
      <w:bookmarkStart w:id="15" w:name="_Ref453869249"/>
      <w:bookmarkStart w:id="16" w:name="_Ref374884888"/>
      <w:r w:rsidRPr="00CE23AE">
        <w:rPr>
          <w:rFonts w:eastAsia="Calibri" w:cs="Verdana"/>
          <w:i/>
          <w:iCs/>
          <w:szCs w:val="20"/>
          <w:lang w:val="en-US"/>
        </w:rPr>
        <w:t>The case submitted to</w:t>
      </w:r>
      <w:r w:rsidR="00C51E3C" w:rsidRPr="00CE23AE">
        <w:rPr>
          <w:rFonts w:eastAsia="Calibri" w:cs="Verdana"/>
          <w:i/>
          <w:iCs/>
          <w:szCs w:val="20"/>
          <w:lang w:val="en-US"/>
        </w:rPr>
        <w:t xml:space="preserve"> </w:t>
      </w:r>
      <w:r w:rsidRPr="00CE23AE">
        <w:rPr>
          <w:rFonts w:eastAsia="Calibri" w:cs="Verdana"/>
          <w:i/>
          <w:iCs/>
          <w:szCs w:val="20"/>
          <w:lang w:val="en-US"/>
        </w:rPr>
        <w:t>the Court</w:t>
      </w:r>
      <w:r w:rsidR="00C51E3C" w:rsidRPr="00CE23AE">
        <w:rPr>
          <w:rFonts w:eastAsia="Calibri" w:cs="Verdana"/>
          <w:i/>
          <w:iCs/>
          <w:szCs w:val="20"/>
          <w:lang w:val="en-US"/>
        </w:rPr>
        <w:t>.</w:t>
      </w:r>
      <w:r w:rsidR="00C51E3C" w:rsidRPr="00CE23AE">
        <w:rPr>
          <w:rFonts w:eastAsia="Calibri" w:cs="Verdana"/>
          <w:szCs w:val="20"/>
          <w:lang w:val="en-US"/>
        </w:rPr>
        <w:t xml:space="preserve"> </w:t>
      </w:r>
      <w:r w:rsidRPr="00CE23AE">
        <w:rPr>
          <w:rFonts w:eastAsia="Calibri" w:cs="Verdana"/>
          <w:szCs w:val="20"/>
          <w:lang w:val="en-US"/>
        </w:rPr>
        <w:t>On December 11,</w:t>
      </w:r>
      <w:r w:rsidR="00C51E3C" w:rsidRPr="00CE23AE">
        <w:rPr>
          <w:rFonts w:eastAsia="Calibri" w:cs="Verdana"/>
          <w:szCs w:val="20"/>
          <w:lang w:val="en-US"/>
        </w:rPr>
        <w:t xml:space="preserve"> 2014, </w:t>
      </w:r>
      <w:r w:rsidRPr="00CE23AE">
        <w:rPr>
          <w:rFonts w:eastAsia="Calibri" w:cs="Verdana"/>
          <w:szCs w:val="20"/>
          <w:lang w:val="en-US"/>
        </w:rPr>
        <w:t>pursuant to Articles</w:t>
      </w:r>
      <w:r w:rsidR="00C51E3C" w:rsidRPr="00CE23AE">
        <w:rPr>
          <w:rFonts w:eastAsia="Calibri" w:cs="Verdana"/>
          <w:szCs w:val="20"/>
          <w:lang w:val="en-US"/>
        </w:rPr>
        <w:t xml:space="preserve"> 51 </w:t>
      </w:r>
      <w:r w:rsidRPr="00CE23AE">
        <w:rPr>
          <w:rFonts w:eastAsia="Calibri" w:cs="Verdana"/>
          <w:szCs w:val="20"/>
          <w:lang w:val="en-US"/>
        </w:rPr>
        <w:t>and</w:t>
      </w:r>
      <w:r w:rsidR="00C51E3C" w:rsidRPr="00CE23AE">
        <w:rPr>
          <w:rFonts w:eastAsia="Calibri" w:cs="Verdana"/>
          <w:szCs w:val="20"/>
          <w:lang w:val="en-US"/>
        </w:rPr>
        <w:t xml:space="preserve"> 61</w:t>
      </w:r>
      <w:r w:rsidRPr="00CE23AE">
        <w:rPr>
          <w:rFonts w:eastAsia="Calibri" w:cs="Verdana"/>
          <w:szCs w:val="20"/>
          <w:lang w:val="en-US"/>
        </w:rPr>
        <w:t xml:space="preserve"> of the American Convention and Article</w:t>
      </w:r>
      <w:r w:rsidR="00C51E3C" w:rsidRPr="00CE23AE">
        <w:rPr>
          <w:rFonts w:eastAsia="Calibri" w:cs="Verdana"/>
          <w:szCs w:val="20"/>
          <w:lang w:val="en-US"/>
        </w:rPr>
        <w:t xml:space="preserve"> 35</w:t>
      </w:r>
      <w:r w:rsidRPr="00CE23AE">
        <w:rPr>
          <w:rFonts w:eastAsia="Calibri" w:cs="Verdana"/>
          <w:szCs w:val="20"/>
          <w:lang w:val="en-US"/>
        </w:rPr>
        <w:t xml:space="preserve"> of the Court’s Rules of Procedure</w:t>
      </w:r>
      <w:r w:rsidR="00C51E3C" w:rsidRPr="00CE23AE">
        <w:rPr>
          <w:rFonts w:eastAsia="Calibri" w:cs="Verdana"/>
          <w:szCs w:val="20"/>
          <w:lang w:val="en-US"/>
        </w:rPr>
        <w:t xml:space="preserve">, </w:t>
      </w:r>
      <w:r w:rsidRPr="00CE23AE">
        <w:rPr>
          <w:rFonts w:eastAsia="Calibri" w:cs="Verdana"/>
          <w:szCs w:val="20"/>
          <w:lang w:val="en-US"/>
        </w:rPr>
        <w:t>the Inter-American Commission on Human Rights</w:t>
      </w:r>
      <w:r w:rsidR="00C51E3C" w:rsidRPr="00CE23AE">
        <w:rPr>
          <w:rFonts w:eastAsia="Calibri" w:cs="Verdana"/>
          <w:szCs w:val="20"/>
          <w:lang w:val="en-US"/>
        </w:rPr>
        <w:t xml:space="preserve"> (</w:t>
      </w:r>
      <w:r w:rsidRPr="00CE23AE">
        <w:rPr>
          <w:rFonts w:eastAsia="Calibri" w:cs="Verdana"/>
          <w:szCs w:val="20"/>
          <w:lang w:val="en-US"/>
        </w:rPr>
        <w:t>hereinafter</w:t>
      </w:r>
      <w:r w:rsidR="00C51E3C" w:rsidRPr="00CE23AE">
        <w:rPr>
          <w:rFonts w:eastAsia="Calibri" w:cs="Verdana"/>
          <w:szCs w:val="20"/>
          <w:lang w:val="en-US"/>
        </w:rPr>
        <w:t xml:space="preserve"> “</w:t>
      </w:r>
      <w:r w:rsidRPr="00CE23AE">
        <w:rPr>
          <w:rFonts w:eastAsia="Calibri" w:cs="Verdana"/>
          <w:szCs w:val="20"/>
          <w:lang w:val="en-US"/>
        </w:rPr>
        <w:t>the Inter-American Commission</w:t>
      </w:r>
      <w:r w:rsidR="00C51E3C" w:rsidRPr="00CE23AE">
        <w:rPr>
          <w:rFonts w:eastAsia="Calibri" w:cs="Verdana"/>
          <w:szCs w:val="20"/>
          <w:lang w:val="en-US"/>
        </w:rPr>
        <w:t>” o</w:t>
      </w:r>
      <w:r w:rsidRPr="00CE23AE">
        <w:rPr>
          <w:rFonts w:eastAsia="Calibri" w:cs="Verdana"/>
          <w:szCs w:val="20"/>
          <w:lang w:val="en-US"/>
        </w:rPr>
        <w:t>r</w:t>
      </w:r>
      <w:r w:rsidR="00C51E3C" w:rsidRPr="00CE23AE">
        <w:rPr>
          <w:rFonts w:eastAsia="Calibri" w:cs="Verdana"/>
          <w:szCs w:val="20"/>
          <w:lang w:val="en-US"/>
        </w:rPr>
        <w:t xml:space="preserve"> “</w:t>
      </w:r>
      <w:r w:rsidRPr="00CE23AE">
        <w:rPr>
          <w:rFonts w:eastAsia="Calibri" w:cs="Verdana"/>
          <w:szCs w:val="20"/>
          <w:lang w:val="en-US"/>
        </w:rPr>
        <w:t>the Commission</w:t>
      </w:r>
      <w:r w:rsidR="00C51E3C" w:rsidRPr="00CE23AE">
        <w:rPr>
          <w:rFonts w:eastAsia="Calibri" w:cs="Verdana"/>
          <w:szCs w:val="20"/>
          <w:lang w:val="en-US"/>
        </w:rPr>
        <w:t xml:space="preserve">”) </w:t>
      </w:r>
      <w:r w:rsidRPr="00CE23AE">
        <w:rPr>
          <w:rFonts w:eastAsia="Calibri" w:cs="Verdana"/>
          <w:szCs w:val="20"/>
          <w:lang w:val="en-US"/>
        </w:rPr>
        <w:t>submitted to the jurisdiction of the Inter-American Court</w:t>
      </w:r>
      <w:r w:rsidR="00C51E3C" w:rsidRPr="00CE23AE">
        <w:rPr>
          <w:rFonts w:eastAsia="Calibri" w:cs="Verdana"/>
          <w:szCs w:val="20"/>
          <w:lang w:val="en-US"/>
        </w:rPr>
        <w:t xml:space="preserve"> </w:t>
      </w:r>
      <w:r w:rsidRPr="00CE23AE">
        <w:rPr>
          <w:rFonts w:eastAsia="Calibri" w:cs="Verdana"/>
          <w:szCs w:val="20"/>
          <w:lang w:val="en-US"/>
        </w:rPr>
        <w:t>the case of</w:t>
      </w:r>
      <w:r w:rsidR="00C51E3C" w:rsidRPr="00CE23AE">
        <w:rPr>
          <w:rFonts w:eastAsia="Calibri" w:cs="Verdana"/>
          <w:szCs w:val="20"/>
          <w:lang w:val="en-US"/>
        </w:rPr>
        <w:t xml:space="preserve"> </w:t>
      </w:r>
      <w:r w:rsidR="00C51E3C" w:rsidRPr="00CE23AE">
        <w:rPr>
          <w:rFonts w:eastAsia="Calibri" w:cs="Verdana"/>
          <w:i/>
          <w:szCs w:val="20"/>
          <w:lang w:val="en-US"/>
        </w:rPr>
        <w:t>Homero Flor Freire</w:t>
      </w:r>
      <w:r w:rsidR="00C51E3C" w:rsidRPr="00CE23AE">
        <w:rPr>
          <w:rFonts w:eastAsia="Calibri" w:cs="Verdana"/>
          <w:szCs w:val="20"/>
          <w:lang w:val="en-US"/>
        </w:rPr>
        <w:t xml:space="preserve"> </w:t>
      </w:r>
      <w:r w:rsidRPr="00CE23AE">
        <w:rPr>
          <w:rFonts w:eastAsia="Calibri" w:cs="Verdana"/>
          <w:i/>
          <w:iCs/>
          <w:szCs w:val="20"/>
          <w:lang w:val="en-US"/>
        </w:rPr>
        <w:t>against the Republic of</w:t>
      </w:r>
      <w:r w:rsidR="00C51E3C" w:rsidRPr="00CE23AE">
        <w:rPr>
          <w:rFonts w:eastAsia="Calibri" w:cs="Verdana"/>
          <w:i/>
          <w:iCs/>
          <w:szCs w:val="20"/>
          <w:lang w:val="en-US"/>
        </w:rPr>
        <w:t xml:space="preserve"> Ecuador </w:t>
      </w:r>
      <w:r w:rsidR="00C51E3C" w:rsidRPr="00CE23AE">
        <w:rPr>
          <w:rFonts w:eastAsia="Calibri" w:cs="Verdana"/>
          <w:szCs w:val="20"/>
          <w:lang w:val="en-US"/>
        </w:rPr>
        <w:t>(</w:t>
      </w:r>
      <w:r w:rsidRPr="00CE23AE">
        <w:rPr>
          <w:rFonts w:eastAsia="Calibri" w:cs="Verdana"/>
          <w:szCs w:val="20"/>
          <w:lang w:val="en-US"/>
        </w:rPr>
        <w:t>hereinafter</w:t>
      </w:r>
      <w:r w:rsidR="00C51E3C" w:rsidRPr="00CE23AE">
        <w:rPr>
          <w:rFonts w:eastAsia="Calibri" w:cs="Verdana"/>
          <w:szCs w:val="20"/>
          <w:lang w:val="en-US"/>
        </w:rPr>
        <w:t xml:space="preserve"> “</w:t>
      </w:r>
      <w:r w:rsidRPr="00CE23AE">
        <w:rPr>
          <w:rFonts w:eastAsia="Calibri" w:cs="Verdana"/>
          <w:szCs w:val="20"/>
          <w:lang w:val="en-US"/>
        </w:rPr>
        <w:t>the State</w:t>
      </w:r>
      <w:r w:rsidR="00C51E3C" w:rsidRPr="00CE23AE">
        <w:rPr>
          <w:rFonts w:eastAsia="Calibri" w:cs="Verdana"/>
          <w:szCs w:val="20"/>
          <w:lang w:val="en-US"/>
        </w:rPr>
        <w:t>” o</w:t>
      </w:r>
      <w:r w:rsidRPr="00CE23AE">
        <w:rPr>
          <w:rFonts w:eastAsia="Calibri" w:cs="Verdana"/>
          <w:szCs w:val="20"/>
          <w:lang w:val="en-US"/>
        </w:rPr>
        <w:t>r</w:t>
      </w:r>
      <w:r w:rsidR="00C51E3C" w:rsidRPr="00CE23AE">
        <w:rPr>
          <w:rFonts w:eastAsia="Calibri" w:cs="Verdana"/>
          <w:szCs w:val="20"/>
          <w:lang w:val="en-US"/>
        </w:rPr>
        <w:t xml:space="preserve"> “Ecuador”)</w:t>
      </w:r>
      <w:r w:rsidR="00C51E3C" w:rsidRPr="00CE23AE">
        <w:rPr>
          <w:rFonts w:eastAsia="Calibri" w:cs="Verdana"/>
          <w:i/>
          <w:iCs/>
          <w:szCs w:val="20"/>
          <w:lang w:val="en-US"/>
        </w:rPr>
        <w:t>.</w:t>
      </w:r>
      <w:r w:rsidR="00C51E3C" w:rsidRPr="00CE23AE">
        <w:rPr>
          <w:rFonts w:eastAsia="Calibri" w:cs="Verdana"/>
          <w:bCs/>
          <w:szCs w:val="20"/>
          <w:lang w:val="en-US"/>
        </w:rPr>
        <w:t xml:space="preserve"> </w:t>
      </w:r>
      <w:r w:rsidRPr="00CE23AE">
        <w:rPr>
          <w:rFonts w:eastAsia="Calibri" w:cs="Verdana"/>
          <w:bCs/>
          <w:szCs w:val="20"/>
          <w:lang w:val="en-US"/>
        </w:rPr>
        <w:t>According to</w:t>
      </w:r>
      <w:r w:rsidR="00C51E3C" w:rsidRPr="00CE23AE">
        <w:rPr>
          <w:rFonts w:eastAsia="Calibri" w:cs="Verdana"/>
          <w:bCs/>
          <w:szCs w:val="20"/>
          <w:lang w:val="en-US"/>
        </w:rPr>
        <w:t xml:space="preserve"> </w:t>
      </w:r>
      <w:r w:rsidRPr="00CE23AE">
        <w:rPr>
          <w:rFonts w:eastAsia="Calibri" w:cs="Verdana"/>
          <w:bCs/>
          <w:szCs w:val="20"/>
          <w:lang w:val="en-US"/>
        </w:rPr>
        <w:t>the Commission</w:t>
      </w:r>
      <w:r w:rsidR="00C51E3C" w:rsidRPr="00CE23AE">
        <w:rPr>
          <w:rFonts w:eastAsia="Calibri" w:cs="Verdana"/>
          <w:bCs/>
          <w:szCs w:val="20"/>
          <w:lang w:val="en-US"/>
        </w:rPr>
        <w:t xml:space="preserve">, </w:t>
      </w:r>
      <w:r w:rsidRPr="00CE23AE">
        <w:rPr>
          <w:rFonts w:eastAsia="Calibri" w:cs="Verdana"/>
          <w:szCs w:val="20"/>
          <w:lang w:val="en-US"/>
        </w:rPr>
        <w:t>this case relates to the alleged international responsibility of the State</w:t>
      </w:r>
      <w:r w:rsidR="00C51E3C" w:rsidRPr="00CE23AE">
        <w:rPr>
          <w:rFonts w:eastAsia="Calibri" w:cs="Verdana"/>
          <w:szCs w:val="20"/>
          <w:lang w:val="en-US"/>
        </w:rPr>
        <w:t xml:space="preserve"> </w:t>
      </w:r>
      <w:r w:rsidRPr="00CE23AE">
        <w:rPr>
          <w:rFonts w:eastAsia="Calibri" w:cs="Verdana"/>
          <w:szCs w:val="20"/>
          <w:lang w:val="en-US"/>
        </w:rPr>
        <w:t xml:space="preserve">as a result of decisions that resulted in the </w:t>
      </w:r>
      <w:r w:rsidR="008027C4" w:rsidRPr="00CE23AE">
        <w:rPr>
          <w:rFonts w:eastAsia="Calibri" w:cs="Verdana"/>
          <w:szCs w:val="20"/>
          <w:lang w:val="en-US"/>
        </w:rPr>
        <w:t>discharge of Homero Flor Freire, a military offic</w:t>
      </w:r>
      <w:r w:rsidR="0063312E" w:rsidRPr="00CE23AE">
        <w:rPr>
          <w:rFonts w:eastAsia="Calibri" w:cs="Verdana"/>
          <w:szCs w:val="20"/>
          <w:lang w:val="en-US"/>
        </w:rPr>
        <w:t>er</w:t>
      </w:r>
      <w:r w:rsidR="008027C4" w:rsidRPr="00CE23AE">
        <w:rPr>
          <w:rFonts w:eastAsia="Calibri" w:cs="Verdana"/>
          <w:szCs w:val="20"/>
          <w:lang w:val="en-US"/>
        </w:rPr>
        <w:t xml:space="preserve"> of the Ecuadorian Ground Force, based on the Military Discipline</w:t>
      </w:r>
      <w:r w:rsidR="0063312E" w:rsidRPr="00CE23AE">
        <w:rPr>
          <w:rFonts w:eastAsia="Calibri" w:cs="Verdana"/>
          <w:szCs w:val="20"/>
          <w:lang w:val="en-US"/>
        </w:rPr>
        <w:t xml:space="preserve"> Regulations</w:t>
      </w:r>
      <w:r w:rsidR="008027C4" w:rsidRPr="00CE23AE">
        <w:rPr>
          <w:rFonts w:eastAsia="Calibri" w:cs="Verdana"/>
          <w:szCs w:val="20"/>
          <w:lang w:val="en-US"/>
        </w:rPr>
        <w:t xml:space="preserve"> in force at the time</w:t>
      </w:r>
      <w:r w:rsidR="0063312E" w:rsidRPr="00CE23AE">
        <w:rPr>
          <w:rFonts w:eastAsia="Calibri" w:cs="Verdana"/>
          <w:szCs w:val="20"/>
          <w:lang w:val="en-US"/>
        </w:rPr>
        <w:t>;</w:t>
      </w:r>
      <w:r w:rsidR="008027C4" w:rsidRPr="00CE23AE">
        <w:rPr>
          <w:rFonts w:eastAsia="Calibri" w:cs="Verdana"/>
          <w:szCs w:val="20"/>
          <w:lang w:val="en-US"/>
        </w:rPr>
        <w:t xml:space="preserve"> specifically, the rule that punished sexual acts between persons of the same sex with discharge from the service. The Commission found that</w:t>
      </w:r>
      <w:r w:rsidR="0063312E" w:rsidRPr="00CE23AE">
        <w:rPr>
          <w:rFonts w:eastAsia="Calibri" w:cs="Verdana"/>
          <w:szCs w:val="20"/>
          <w:lang w:val="en-US"/>
        </w:rPr>
        <w:t>, according to</w:t>
      </w:r>
      <w:r w:rsidR="008027C4" w:rsidRPr="00CE23AE">
        <w:rPr>
          <w:rFonts w:eastAsia="Calibri" w:cs="Verdana"/>
          <w:szCs w:val="20"/>
          <w:lang w:val="en-US"/>
        </w:rPr>
        <w:t xml:space="preserve"> the Regulations in force at the time</w:t>
      </w:r>
      <w:r w:rsidR="0063312E" w:rsidRPr="00CE23AE">
        <w:rPr>
          <w:rFonts w:eastAsia="Calibri" w:cs="Verdana"/>
          <w:szCs w:val="20"/>
          <w:lang w:val="en-US"/>
        </w:rPr>
        <w:t>,</w:t>
      </w:r>
      <w:r w:rsidR="008027C4" w:rsidRPr="00CE23AE">
        <w:rPr>
          <w:rFonts w:eastAsia="Calibri" w:cs="Verdana"/>
          <w:szCs w:val="20"/>
          <w:lang w:val="en-US"/>
        </w:rPr>
        <w:t xml:space="preserve"> </w:t>
      </w:r>
      <w:r w:rsidR="0063312E" w:rsidRPr="00CE23AE">
        <w:rPr>
          <w:rFonts w:eastAsia="Calibri" w:cs="Verdana"/>
          <w:szCs w:val="20"/>
          <w:lang w:val="en-US"/>
        </w:rPr>
        <w:t>the</w:t>
      </w:r>
      <w:r w:rsidR="008027C4" w:rsidRPr="00CE23AE">
        <w:rPr>
          <w:rFonts w:eastAsia="Calibri" w:cs="Verdana"/>
          <w:szCs w:val="20"/>
          <w:lang w:val="en-US"/>
        </w:rPr>
        <w:t xml:space="preserve"> punishment for “unlawful sexual acts”</w:t>
      </w:r>
      <w:r w:rsidR="0094397B" w:rsidRPr="00CE23AE">
        <w:rPr>
          <w:rFonts w:eastAsia="Calibri" w:cs="Verdana"/>
          <w:szCs w:val="20"/>
          <w:lang w:val="en-US"/>
        </w:rPr>
        <w:t xml:space="preserve"> </w:t>
      </w:r>
      <w:r w:rsidR="0063312E" w:rsidRPr="00CE23AE">
        <w:rPr>
          <w:rFonts w:eastAsia="Calibri" w:cs="Verdana"/>
          <w:szCs w:val="20"/>
          <w:lang w:val="en-US"/>
        </w:rPr>
        <w:t>was less harmful than for</w:t>
      </w:r>
      <w:r w:rsidR="0094397B" w:rsidRPr="00CE23AE">
        <w:rPr>
          <w:rFonts w:eastAsia="Calibri" w:cs="Verdana"/>
          <w:szCs w:val="20"/>
          <w:lang w:val="en-US"/>
        </w:rPr>
        <w:t xml:space="preserve"> “acts</w:t>
      </w:r>
      <w:r w:rsidR="0063312E" w:rsidRPr="00CE23AE">
        <w:rPr>
          <w:rFonts w:eastAsia="Calibri" w:cs="Verdana"/>
          <w:szCs w:val="20"/>
          <w:lang w:val="en-US"/>
        </w:rPr>
        <w:t xml:space="preserve"> of homosexuality</w:t>
      </w:r>
      <w:r w:rsidR="0094397B" w:rsidRPr="00CE23AE">
        <w:rPr>
          <w:rFonts w:eastAsia="Calibri" w:cs="Verdana"/>
          <w:szCs w:val="20"/>
          <w:lang w:val="en-US"/>
        </w:rPr>
        <w:t xml:space="preserve">,” and therefore argued that this difference in treatment was discriminatory. It also determined that “during the </w:t>
      </w:r>
      <w:r w:rsidR="0063312E" w:rsidRPr="00CE23AE">
        <w:rPr>
          <w:rFonts w:eastAsia="Calibri" w:cs="Verdana"/>
          <w:szCs w:val="20"/>
          <w:lang w:val="en-US"/>
        </w:rPr>
        <w:t>corresponding</w:t>
      </w:r>
      <w:r w:rsidR="0094397B" w:rsidRPr="00CE23AE">
        <w:rPr>
          <w:rFonts w:eastAsia="Calibri" w:cs="Verdana"/>
          <w:szCs w:val="20"/>
          <w:lang w:val="en-US"/>
        </w:rPr>
        <w:t xml:space="preserve"> proceedings, both the presentation of evidence and the legal reasoning, [presumably] revealed bias and discriminatory prejudices concerning a person’s ability to exercise their functions within a military institution based on their </w:t>
      </w:r>
      <w:r w:rsidR="004570C1" w:rsidRPr="00CE23AE">
        <w:rPr>
          <w:rFonts w:eastAsia="Calibri" w:cs="Verdana"/>
          <w:szCs w:val="20"/>
          <w:lang w:val="en-US"/>
        </w:rPr>
        <w:t>actual or perceived</w:t>
      </w:r>
      <w:r w:rsidR="0094397B" w:rsidRPr="00CE23AE">
        <w:rPr>
          <w:rFonts w:eastAsia="Calibri" w:cs="Verdana"/>
          <w:szCs w:val="20"/>
          <w:lang w:val="en-US"/>
        </w:rPr>
        <w:t xml:space="preserve"> sexual orientation.” Lastly, the Commission alleged that the proceeding</w:t>
      </w:r>
      <w:r w:rsidR="0063312E" w:rsidRPr="00CE23AE">
        <w:rPr>
          <w:rFonts w:eastAsia="Calibri" w:cs="Verdana"/>
          <w:szCs w:val="20"/>
          <w:lang w:val="en-US"/>
        </w:rPr>
        <w:t>s</w:t>
      </w:r>
      <w:r w:rsidR="0094397B" w:rsidRPr="00CE23AE">
        <w:rPr>
          <w:rFonts w:eastAsia="Calibri" w:cs="Verdana"/>
          <w:szCs w:val="20"/>
          <w:lang w:val="en-US"/>
        </w:rPr>
        <w:t xml:space="preserve"> against Homero Flor Freire had presumably violated the guarantee of impartiality and that the application </w:t>
      </w:r>
      <w:r w:rsidR="0063312E" w:rsidRPr="00CE23AE">
        <w:rPr>
          <w:rFonts w:eastAsia="Calibri" w:cs="Verdana"/>
          <w:szCs w:val="20"/>
          <w:lang w:val="en-US"/>
        </w:rPr>
        <w:t>for amparo</w:t>
      </w:r>
      <w:r w:rsidR="0094397B" w:rsidRPr="00CE23AE">
        <w:rPr>
          <w:rFonts w:eastAsia="Calibri" w:cs="Verdana"/>
          <w:szCs w:val="20"/>
          <w:lang w:val="en-US"/>
        </w:rPr>
        <w:t xml:space="preserve"> had not constituted an effective remedy to protect his rights.</w:t>
      </w:r>
    </w:p>
    <w:bookmarkEnd w:id="15"/>
    <w:bookmarkEnd w:id="16"/>
    <w:p w14:paraId="77B2358C" w14:textId="77777777" w:rsidR="00C51E3C" w:rsidRPr="00CE23AE" w:rsidRDefault="00C51E3C" w:rsidP="00C51E3C">
      <w:pPr>
        <w:tabs>
          <w:tab w:val="left" w:pos="567"/>
        </w:tabs>
        <w:spacing w:line="240" w:lineRule="auto"/>
        <w:rPr>
          <w:rFonts w:eastAsia="Calibri" w:cs="Verdana"/>
          <w:szCs w:val="20"/>
          <w:lang w:val="en-US"/>
        </w:rPr>
      </w:pPr>
    </w:p>
    <w:p w14:paraId="0ABD21FD" w14:textId="065B8A24" w:rsidR="008C5658" w:rsidRPr="00CE23AE" w:rsidRDefault="00C561DF" w:rsidP="00582D8D">
      <w:pPr>
        <w:numPr>
          <w:ilvl w:val="0"/>
          <w:numId w:val="6"/>
        </w:numPr>
        <w:tabs>
          <w:tab w:val="left" w:pos="567"/>
        </w:tabs>
        <w:spacing w:line="240" w:lineRule="auto"/>
        <w:rPr>
          <w:rFonts w:eastAsia="Calibri" w:cs="Verdana"/>
          <w:szCs w:val="20"/>
          <w:lang w:val="en-US"/>
        </w:rPr>
      </w:pPr>
      <w:bookmarkStart w:id="17" w:name="_Ref447113252"/>
      <w:r w:rsidRPr="00CE23AE">
        <w:rPr>
          <w:rFonts w:eastAsia="Calibri" w:cs="Verdana"/>
          <w:i/>
          <w:iCs/>
          <w:szCs w:val="20"/>
          <w:lang w:val="en-US"/>
        </w:rPr>
        <w:t>P</w:t>
      </w:r>
      <w:r w:rsidR="00D2490B" w:rsidRPr="00CE23AE">
        <w:rPr>
          <w:rFonts w:eastAsia="Calibri" w:cs="Verdana"/>
          <w:i/>
          <w:iCs/>
          <w:szCs w:val="20"/>
          <w:lang w:val="en-US"/>
        </w:rPr>
        <w:t>r</w:t>
      </w:r>
      <w:r w:rsidRPr="00CE23AE">
        <w:rPr>
          <w:rFonts w:eastAsia="Calibri" w:cs="Verdana"/>
          <w:i/>
          <w:iCs/>
          <w:szCs w:val="20"/>
          <w:lang w:val="en-US"/>
        </w:rPr>
        <w:t>ocedure before</w:t>
      </w:r>
      <w:r w:rsidR="00C51E3C" w:rsidRPr="00CE23AE">
        <w:rPr>
          <w:rFonts w:eastAsia="Calibri" w:cs="Verdana"/>
          <w:i/>
          <w:iCs/>
          <w:szCs w:val="20"/>
          <w:lang w:val="en-US"/>
        </w:rPr>
        <w:t xml:space="preserve"> </w:t>
      </w:r>
      <w:r w:rsidRPr="00CE23AE">
        <w:rPr>
          <w:rFonts w:eastAsia="Calibri" w:cs="Verdana"/>
          <w:i/>
          <w:iCs/>
          <w:szCs w:val="20"/>
          <w:lang w:val="en-US"/>
        </w:rPr>
        <w:t>the Commission</w:t>
      </w:r>
      <w:r w:rsidR="00C51E3C" w:rsidRPr="00CE23AE">
        <w:rPr>
          <w:rFonts w:eastAsia="Calibri" w:cs="Verdana"/>
          <w:i/>
          <w:iCs/>
          <w:szCs w:val="20"/>
          <w:lang w:val="en-US"/>
        </w:rPr>
        <w:t xml:space="preserve">. </w:t>
      </w:r>
      <w:r w:rsidRPr="00CE23AE">
        <w:rPr>
          <w:rFonts w:eastAsia="Calibri" w:cs="Verdana"/>
          <w:szCs w:val="20"/>
          <w:lang w:val="en-US"/>
        </w:rPr>
        <w:t>The procedure before</w:t>
      </w:r>
      <w:r w:rsidR="00C51E3C" w:rsidRPr="00CE23AE">
        <w:rPr>
          <w:rFonts w:eastAsia="Calibri" w:cs="Verdana"/>
          <w:szCs w:val="20"/>
          <w:lang w:val="en-US"/>
        </w:rPr>
        <w:t xml:space="preserve"> </w:t>
      </w:r>
      <w:r w:rsidRPr="00CE23AE">
        <w:rPr>
          <w:rFonts w:eastAsia="Calibri" w:cs="Verdana"/>
          <w:szCs w:val="20"/>
          <w:lang w:val="en-US"/>
        </w:rPr>
        <w:t>the Commission</w:t>
      </w:r>
      <w:r w:rsidR="00C51E3C" w:rsidRPr="00CE23AE">
        <w:rPr>
          <w:rFonts w:eastAsia="Calibri" w:cs="Verdana"/>
          <w:szCs w:val="20"/>
          <w:lang w:val="en-US"/>
        </w:rPr>
        <w:t xml:space="preserve"> </w:t>
      </w:r>
      <w:r w:rsidRPr="00CE23AE">
        <w:rPr>
          <w:rFonts w:eastAsia="Calibri" w:cs="Verdana"/>
          <w:szCs w:val="20"/>
          <w:lang w:val="en-US"/>
        </w:rPr>
        <w:t>was as follows</w:t>
      </w:r>
      <w:r w:rsidR="00C51E3C" w:rsidRPr="00CE23AE">
        <w:rPr>
          <w:rFonts w:eastAsia="Calibri" w:cs="Verdana"/>
          <w:szCs w:val="20"/>
          <w:lang w:val="en-US"/>
        </w:rPr>
        <w:t>:</w:t>
      </w:r>
      <w:bookmarkEnd w:id="17"/>
    </w:p>
    <w:p w14:paraId="14CDB091" w14:textId="77777777" w:rsidR="008C5658" w:rsidRPr="00CE23AE" w:rsidRDefault="008C5658" w:rsidP="008C5658">
      <w:pPr>
        <w:tabs>
          <w:tab w:val="left" w:pos="567"/>
        </w:tabs>
        <w:spacing w:line="240" w:lineRule="auto"/>
        <w:ind w:right="4"/>
        <w:rPr>
          <w:rFonts w:eastAsia="Calibri" w:cs="Verdana"/>
          <w:szCs w:val="20"/>
          <w:lang w:val="en-US"/>
        </w:rPr>
      </w:pPr>
    </w:p>
    <w:p w14:paraId="31FB735B" w14:textId="16442CC5" w:rsidR="008C5658" w:rsidRPr="00CE23AE" w:rsidRDefault="008C5658" w:rsidP="008C5658">
      <w:pPr>
        <w:numPr>
          <w:ilvl w:val="1"/>
          <w:numId w:val="1"/>
        </w:numPr>
        <w:tabs>
          <w:tab w:val="clear" w:pos="1080"/>
          <w:tab w:val="left" w:pos="0"/>
          <w:tab w:val="num" w:pos="851"/>
        </w:tabs>
        <w:spacing w:line="240" w:lineRule="auto"/>
        <w:ind w:left="851" w:hanging="283"/>
        <w:rPr>
          <w:rFonts w:eastAsia="Calibri" w:cs="Verdana"/>
          <w:szCs w:val="20"/>
          <w:lang w:val="en-US"/>
        </w:rPr>
      </w:pPr>
      <w:bookmarkStart w:id="18" w:name="_Ref357063312"/>
      <w:r w:rsidRPr="00CE23AE">
        <w:rPr>
          <w:rFonts w:eastAsia="Calibri" w:cs="Verdana"/>
          <w:i/>
          <w:iCs/>
          <w:szCs w:val="20"/>
          <w:lang w:val="en-US"/>
        </w:rPr>
        <w:t>Peti</w:t>
      </w:r>
      <w:r w:rsidR="00C561DF" w:rsidRPr="00CE23AE">
        <w:rPr>
          <w:rFonts w:eastAsia="Calibri" w:cs="Verdana"/>
          <w:i/>
          <w:iCs/>
          <w:szCs w:val="20"/>
          <w:lang w:val="en-US"/>
        </w:rPr>
        <w:t>tio</w:t>
      </w:r>
      <w:r w:rsidRPr="00CE23AE">
        <w:rPr>
          <w:rFonts w:eastAsia="Calibri" w:cs="Verdana"/>
          <w:i/>
          <w:iCs/>
          <w:szCs w:val="20"/>
          <w:lang w:val="en-US"/>
        </w:rPr>
        <w:t xml:space="preserve">n. </w:t>
      </w:r>
      <w:r w:rsidR="00C561DF" w:rsidRPr="00CE23AE">
        <w:rPr>
          <w:rFonts w:eastAsia="Calibri" w:cs="Verdana"/>
          <w:iCs/>
          <w:szCs w:val="20"/>
          <w:lang w:val="en-US"/>
        </w:rPr>
        <w:t>On August 30,</w:t>
      </w:r>
      <w:r w:rsidRPr="00CE23AE">
        <w:rPr>
          <w:rFonts w:cs="Tahoma"/>
          <w:szCs w:val="20"/>
          <w:lang w:val="en-US"/>
        </w:rPr>
        <w:t xml:space="preserve"> 2002</w:t>
      </w:r>
      <w:r w:rsidR="00C561DF" w:rsidRPr="00CE23AE">
        <w:rPr>
          <w:rFonts w:cs="Tahoma"/>
          <w:szCs w:val="20"/>
          <w:lang w:val="en-US"/>
        </w:rPr>
        <w:t>,</w:t>
      </w:r>
      <w:r w:rsidRPr="00CE23AE">
        <w:rPr>
          <w:rFonts w:eastAsia="Calibri" w:cs="Verdana"/>
          <w:szCs w:val="20"/>
          <w:lang w:val="en-US"/>
        </w:rPr>
        <w:t xml:space="preserve"> Alejandro Ponce Villacís</w:t>
      </w:r>
      <w:r w:rsidR="00C561DF" w:rsidRPr="00CE23AE">
        <w:rPr>
          <w:rFonts w:eastAsia="Calibri" w:cs="Verdana"/>
          <w:szCs w:val="20"/>
          <w:lang w:val="en-US"/>
        </w:rPr>
        <w:t xml:space="preserve"> and </w:t>
      </w:r>
      <w:r w:rsidRPr="00CE23AE">
        <w:rPr>
          <w:rFonts w:eastAsia="Calibri" w:cs="Verdana"/>
          <w:szCs w:val="20"/>
          <w:lang w:val="en-US"/>
        </w:rPr>
        <w:t xml:space="preserve">Juan Manuel Marchán </w:t>
      </w:r>
      <w:r w:rsidR="00C561DF" w:rsidRPr="00CE23AE">
        <w:rPr>
          <w:rFonts w:cs="Tahoma"/>
          <w:szCs w:val="20"/>
          <w:lang w:val="en-US"/>
        </w:rPr>
        <w:t>lodged the initial petition.</w:t>
      </w:r>
      <w:r w:rsidRPr="00CE23AE">
        <w:rPr>
          <w:rFonts w:eastAsia="Calibri" w:cs="Verdana"/>
          <w:szCs w:val="20"/>
          <w:lang w:val="en-US"/>
        </w:rPr>
        <w:t xml:space="preserve"> </w:t>
      </w:r>
      <w:bookmarkEnd w:id="18"/>
    </w:p>
    <w:p w14:paraId="16854B3E" w14:textId="77777777" w:rsidR="008C5658" w:rsidRPr="00CE23AE" w:rsidRDefault="008C5658" w:rsidP="008C5658">
      <w:pPr>
        <w:tabs>
          <w:tab w:val="left" w:pos="0"/>
          <w:tab w:val="num" w:pos="851"/>
        </w:tabs>
        <w:spacing w:line="240" w:lineRule="auto"/>
        <w:ind w:left="851" w:hanging="283"/>
        <w:rPr>
          <w:rFonts w:eastAsia="Calibri" w:cs="Verdana"/>
          <w:szCs w:val="20"/>
          <w:lang w:val="en-US"/>
        </w:rPr>
      </w:pPr>
    </w:p>
    <w:p w14:paraId="12A4538E" w14:textId="1CA3B351" w:rsidR="008C5658" w:rsidRPr="00CE23AE" w:rsidRDefault="00C561DF" w:rsidP="008C5658">
      <w:pPr>
        <w:numPr>
          <w:ilvl w:val="1"/>
          <w:numId w:val="1"/>
        </w:numPr>
        <w:tabs>
          <w:tab w:val="clear" w:pos="1080"/>
          <w:tab w:val="left" w:pos="0"/>
          <w:tab w:val="num" w:pos="851"/>
        </w:tabs>
        <w:spacing w:line="240" w:lineRule="auto"/>
        <w:ind w:left="851" w:hanging="283"/>
        <w:rPr>
          <w:rFonts w:eastAsia="Calibri" w:cs="Verdana"/>
          <w:szCs w:val="20"/>
          <w:lang w:val="en-US"/>
        </w:rPr>
      </w:pPr>
      <w:r w:rsidRPr="00CE23AE">
        <w:rPr>
          <w:rFonts w:eastAsia="Calibri" w:cs="Verdana"/>
          <w:i/>
          <w:iCs/>
          <w:szCs w:val="20"/>
          <w:lang w:val="en-US"/>
        </w:rPr>
        <w:t>Admissibility Report</w:t>
      </w:r>
      <w:r w:rsidR="008C5658" w:rsidRPr="00CE23AE">
        <w:rPr>
          <w:rFonts w:eastAsia="Calibri" w:cs="Verdana"/>
          <w:i/>
          <w:iCs/>
          <w:szCs w:val="20"/>
          <w:lang w:val="en-US"/>
        </w:rPr>
        <w:t>.</w:t>
      </w:r>
      <w:r w:rsidR="008C5658" w:rsidRPr="00CE23AE">
        <w:rPr>
          <w:rFonts w:eastAsia="Calibri" w:cs="Verdana"/>
          <w:szCs w:val="20"/>
          <w:lang w:val="en-US"/>
        </w:rPr>
        <w:t xml:space="preserve"> </w:t>
      </w:r>
      <w:r w:rsidRPr="00CE23AE">
        <w:rPr>
          <w:rFonts w:eastAsia="Calibri" w:cs="Verdana"/>
          <w:szCs w:val="20"/>
          <w:lang w:val="en-US"/>
        </w:rPr>
        <w:t>On March 15,</w:t>
      </w:r>
      <w:r w:rsidR="008C5658" w:rsidRPr="00CE23AE">
        <w:rPr>
          <w:rFonts w:eastAsia="Calibri" w:cs="Verdana"/>
          <w:szCs w:val="20"/>
          <w:lang w:val="en-US"/>
        </w:rPr>
        <w:t xml:space="preserve"> 2010</w:t>
      </w:r>
      <w:r w:rsidRPr="00CE23AE">
        <w:rPr>
          <w:rFonts w:eastAsia="Calibri" w:cs="Verdana"/>
          <w:szCs w:val="20"/>
          <w:lang w:val="en-US"/>
        </w:rPr>
        <w:t>,</w:t>
      </w:r>
      <w:r w:rsidR="008C5658" w:rsidRPr="00CE23AE">
        <w:rPr>
          <w:rFonts w:eastAsia="Calibri" w:cs="Verdana"/>
          <w:szCs w:val="20"/>
          <w:lang w:val="en-US"/>
        </w:rPr>
        <w:t xml:space="preserve"> </w:t>
      </w:r>
      <w:r w:rsidRPr="00CE23AE">
        <w:rPr>
          <w:rFonts w:eastAsia="Calibri" w:cs="Verdana"/>
          <w:szCs w:val="20"/>
          <w:lang w:val="en-US"/>
        </w:rPr>
        <w:t>the Commission</w:t>
      </w:r>
      <w:r w:rsidR="008C5658" w:rsidRPr="00CE23AE">
        <w:rPr>
          <w:rFonts w:eastAsia="Calibri" w:cs="Verdana"/>
          <w:szCs w:val="20"/>
          <w:lang w:val="en-US"/>
        </w:rPr>
        <w:t xml:space="preserve"> a</w:t>
      </w:r>
      <w:r w:rsidRPr="00CE23AE">
        <w:rPr>
          <w:rFonts w:eastAsia="Calibri" w:cs="Verdana"/>
          <w:szCs w:val="20"/>
          <w:lang w:val="en-US"/>
        </w:rPr>
        <w:t>dopted</w:t>
      </w:r>
      <w:r w:rsidR="008C5658" w:rsidRPr="00CE23AE">
        <w:rPr>
          <w:rFonts w:eastAsia="Calibri" w:cs="Verdana"/>
          <w:szCs w:val="20"/>
          <w:lang w:val="en-US"/>
        </w:rPr>
        <w:t xml:space="preserve"> </w:t>
      </w:r>
      <w:r w:rsidRPr="00CE23AE">
        <w:rPr>
          <w:rFonts w:eastAsia="Calibri" w:cs="Verdana"/>
          <w:szCs w:val="20"/>
          <w:lang w:val="en-US"/>
        </w:rPr>
        <w:t>Admissibility Report</w:t>
      </w:r>
      <w:r w:rsidR="008C5658" w:rsidRPr="00CE23AE">
        <w:rPr>
          <w:rFonts w:eastAsia="Calibri" w:cs="Verdana"/>
          <w:szCs w:val="20"/>
          <w:lang w:val="en-US"/>
        </w:rPr>
        <w:t xml:space="preserve"> No. 1/10</w:t>
      </w:r>
      <w:r w:rsidRPr="00CE23AE">
        <w:rPr>
          <w:rFonts w:eastAsia="Calibri" w:cs="Verdana"/>
          <w:szCs w:val="20"/>
          <w:lang w:val="en-US"/>
        </w:rPr>
        <w:t>.</w:t>
      </w:r>
      <w:r w:rsidR="008C5658" w:rsidRPr="00CE23AE">
        <w:rPr>
          <w:rFonts w:eastAsia="Calibri" w:cs="Verdana"/>
          <w:szCs w:val="20"/>
          <w:vertAlign w:val="superscript"/>
          <w:lang w:val="en-US"/>
        </w:rPr>
        <w:footnoteReference w:id="2"/>
      </w:r>
      <w:r w:rsidR="008C5658" w:rsidRPr="00CE23AE">
        <w:rPr>
          <w:rFonts w:eastAsia="Calibri" w:cs="Verdana"/>
          <w:szCs w:val="20"/>
          <w:lang w:val="en-US"/>
        </w:rPr>
        <w:t xml:space="preserve"> </w:t>
      </w:r>
    </w:p>
    <w:p w14:paraId="452633BF" w14:textId="77777777" w:rsidR="008C5658" w:rsidRPr="00CE23AE" w:rsidRDefault="008C5658" w:rsidP="008C5658">
      <w:pPr>
        <w:tabs>
          <w:tab w:val="num" w:pos="851"/>
        </w:tabs>
        <w:spacing w:line="240" w:lineRule="auto"/>
        <w:ind w:left="851" w:hanging="283"/>
        <w:rPr>
          <w:rFonts w:eastAsia="Calibri" w:cs="Verdana"/>
          <w:i/>
          <w:iCs/>
          <w:szCs w:val="20"/>
          <w:lang w:val="en-US"/>
        </w:rPr>
      </w:pPr>
    </w:p>
    <w:p w14:paraId="659BF2F6" w14:textId="5E5EC277" w:rsidR="008C5658" w:rsidRPr="00CE23AE" w:rsidRDefault="00C561DF" w:rsidP="008C5658">
      <w:pPr>
        <w:numPr>
          <w:ilvl w:val="1"/>
          <w:numId w:val="1"/>
        </w:numPr>
        <w:tabs>
          <w:tab w:val="clear" w:pos="1080"/>
          <w:tab w:val="left" w:pos="0"/>
          <w:tab w:val="num" w:pos="851"/>
        </w:tabs>
        <w:spacing w:line="240" w:lineRule="auto"/>
        <w:ind w:left="851" w:hanging="283"/>
        <w:rPr>
          <w:rFonts w:eastAsia="Calibri" w:cs="Verdana"/>
          <w:szCs w:val="20"/>
          <w:lang w:val="en-US"/>
        </w:rPr>
      </w:pPr>
      <w:r w:rsidRPr="00CE23AE">
        <w:rPr>
          <w:rFonts w:eastAsia="Calibri" w:cs="Verdana"/>
          <w:i/>
          <w:iCs/>
          <w:szCs w:val="20"/>
          <w:lang w:val="en-US"/>
        </w:rPr>
        <w:t>Merits Report</w:t>
      </w:r>
      <w:r w:rsidR="008C5658" w:rsidRPr="00CE23AE">
        <w:rPr>
          <w:rFonts w:eastAsia="Calibri" w:cs="Verdana"/>
          <w:i/>
          <w:iCs/>
          <w:szCs w:val="20"/>
          <w:lang w:val="en-US"/>
        </w:rPr>
        <w:t xml:space="preserve">. </w:t>
      </w:r>
      <w:r w:rsidRPr="00CE23AE">
        <w:rPr>
          <w:rFonts w:eastAsia="Calibri" w:cs="Verdana"/>
          <w:iCs/>
          <w:szCs w:val="20"/>
          <w:lang w:val="en-US"/>
        </w:rPr>
        <w:t>On November 4,</w:t>
      </w:r>
      <w:r w:rsidR="008C5658" w:rsidRPr="00CE23AE">
        <w:rPr>
          <w:rFonts w:eastAsia="Calibri" w:cs="Verdana"/>
          <w:szCs w:val="20"/>
          <w:lang w:val="en-US"/>
        </w:rPr>
        <w:t xml:space="preserve"> 2013</w:t>
      </w:r>
      <w:r w:rsidRPr="00CE23AE">
        <w:rPr>
          <w:rFonts w:eastAsia="Calibri" w:cs="Verdana"/>
          <w:szCs w:val="20"/>
          <w:lang w:val="en-US"/>
        </w:rPr>
        <w:t>,</w:t>
      </w:r>
      <w:r w:rsidR="008C5658" w:rsidRPr="00CE23AE">
        <w:rPr>
          <w:rFonts w:eastAsia="Calibri" w:cs="Verdana"/>
          <w:szCs w:val="20"/>
          <w:lang w:val="en-US"/>
        </w:rPr>
        <w:t xml:space="preserve"> </w:t>
      </w:r>
      <w:r w:rsidRPr="00CE23AE">
        <w:rPr>
          <w:rFonts w:eastAsia="Calibri" w:cs="Verdana"/>
          <w:szCs w:val="20"/>
          <w:lang w:val="en-US"/>
        </w:rPr>
        <w:t>the Commission</w:t>
      </w:r>
      <w:r w:rsidR="008C5658" w:rsidRPr="00CE23AE">
        <w:rPr>
          <w:rFonts w:eastAsia="Calibri" w:cs="Verdana"/>
          <w:szCs w:val="20"/>
          <w:lang w:val="en-US"/>
        </w:rPr>
        <w:t xml:space="preserve"> </w:t>
      </w:r>
      <w:r w:rsidRPr="00CE23AE">
        <w:rPr>
          <w:rFonts w:eastAsia="Calibri" w:cs="Verdana"/>
          <w:szCs w:val="20"/>
          <w:lang w:val="en-US"/>
        </w:rPr>
        <w:t>adopted</w:t>
      </w:r>
      <w:r w:rsidR="008C5658" w:rsidRPr="00CE23AE">
        <w:rPr>
          <w:rFonts w:eastAsia="Calibri" w:cs="Verdana"/>
          <w:szCs w:val="20"/>
          <w:lang w:val="en-US"/>
        </w:rPr>
        <w:t xml:space="preserve"> </w:t>
      </w:r>
      <w:r w:rsidRPr="00CE23AE">
        <w:rPr>
          <w:rFonts w:eastAsia="Calibri" w:cs="Verdana"/>
          <w:szCs w:val="20"/>
          <w:lang w:val="en-US"/>
        </w:rPr>
        <w:t>Merits Report</w:t>
      </w:r>
      <w:r w:rsidR="008C5658" w:rsidRPr="00CE23AE">
        <w:rPr>
          <w:rFonts w:eastAsia="Calibri" w:cs="Verdana"/>
          <w:szCs w:val="20"/>
          <w:lang w:val="en-US"/>
        </w:rPr>
        <w:t xml:space="preserve"> No. 81/13</w:t>
      </w:r>
      <w:r w:rsidRPr="00CE23AE">
        <w:rPr>
          <w:rFonts w:eastAsia="Calibri" w:cs="Verdana"/>
          <w:szCs w:val="20"/>
          <w:lang w:val="en-US"/>
        </w:rPr>
        <w:t>,</w:t>
      </w:r>
      <w:r w:rsidR="008C5658" w:rsidRPr="00CE23AE">
        <w:rPr>
          <w:rStyle w:val="Refdenotaalpie"/>
          <w:rFonts w:eastAsia="Calibri" w:cs="Verdana"/>
          <w:lang w:val="en-US"/>
        </w:rPr>
        <w:footnoteReference w:id="3"/>
      </w:r>
      <w:r w:rsidR="008C5658" w:rsidRPr="00CE23AE">
        <w:rPr>
          <w:rFonts w:eastAsia="Calibri" w:cs="Verdana"/>
          <w:szCs w:val="20"/>
          <w:lang w:val="en-US"/>
        </w:rPr>
        <w:t xml:space="preserve"> </w:t>
      </w:r>
      <w:r w:rsidRPr="00CE23AE">
        <w:rPr>
          <w:rFonts w:eastAsia="Calibri" w:cs="Verdana"/>
          <w:szCs w:val="20"/>
          <w:lang w:val="en-US"/>
        </w:rPr>
        <w:t>pursuant to</w:t>
      </w:r>
      <w:r w:rsidR="008C5658" w:rsidRPr="00CE23AE">
        <w:rPr>
          <w:rFonts w:eastAsia="Calibri" w:cs="Verdana"/>
          <w:szCs w:val="20"/>
          <w:lang w:val="en-US"/>
        </w:rPr>
        <w:t xml:space="preserve"> </w:t>
      </w:r>
      <w:r w:rsidRPr="00CE23AE">
        <w:rPr>
          <w:rFonts w:eastAsia="Calibri" w:cs="Verdana"/>
          <w:szCs w:val="20"/>
          <w:lang w:val="en-US"/>
        </w:rPr>
        <w:t>Article</w:t>
      </w:r>
      <w:r w:rsidR="008C5658" w:rsidRPr="00CE23AE">
        <w:rPr>
          <w:rFonts w:eastAsia="Calibri" w:cs="Verdana"/>
          <w:szCs w:val="20"/>
          <w:lang w:val="en-US"/>
        </w:rPr>
        <w:t xml:space="preserve"> 50</w:t>
      </w:r>
      <w:r w:rsidRPr="00CE23AE">
        <w:rPr>
          <w:rFonts w:eastAsia="Calibri" w:cs="Verdana"/>
          <w:szCs w:val="20"/>
          <w:lang w:val="en-US"/>
        </w:rPr>
        <w:t xml:space="preserve"> of the Convention</w:t>
      </w:r>
      <w:r w:rsidR="008C5658" w:rsidRPr="00CE23AE">
        <w:rPr>
          <w:rFonts w:eastAsia="Calibri" w:cs="Verdana"/>
          <w:szCs w:val="20"/>
          <w:lang w:val="en-US"/>
        </w:rPr>
        <w:t xml:space="preserve"> (</w:t>
      </w:r>
      <w:r w:rsidRPr="00CE23AE">
        <w:rPr>
          <w:rFonts w:eastAsia="Calibri" w:cs="Verdana"/>
          <w:szCs w:val="20"/>
          <w:lang w:val="en-US"/>
        </w:rPr>
        <w:t>hereinafter</w:t>
      </w:r>
      <w:r w:rsidR="008C5658" w:rsidRPr="00CE23AE">
        <w:rPr>
          <w:rFonts w:eastAsia="Calibri" w:cs="Verdana"/>
          <w:szCs w:val="20"/>
          <w:lang w:val="en-US"/>
        </w:rPr>
        <w:t xml:space="preserve"> </w:t>
      </w:r>
      <w:r w:rsidRPr="00CE23AE">
        <w:rPr>
          <w:rFonts w:eastAsia="Calibri" w:cs="Verdana"/>
          <w:szCs w:val="20"/>
          <w:lang w:val="en-US"/>
        </w:rPr>
        <w:t>also</w:t>
      </w:r>
      <w:r w:rsidR="008C5658" w:rsidRPr="00CE23AE">
        <w:rPr>
          <w:rFonts w:eastAsia="Calibri" w:cs="Verdana"/>
          <w:szCs w:val="20"/>
          <w:lang w:val="en-US"/>
        </w:rPr>
        <w:t xml:space="preserve"> “</w:t>
      </w:r>
      <w:r w:rsidRPr="00CE23AE">
        <w:rPr>
          <w:rFonts w:eastAsia="Calibri" w:cs="Verdana"/>
          <w:szCs w:val="20"/>
          <w:lang w:val="en-US"/>
        </w:rPr>
        <w:t>the Merits Report</w:t>
      </w:r>
      <w:r w:rsidR="008C5658" w:rsidRPr="00CE23AE">
        <w:rPr>
          <w:rFonts w:eastAsia="Calibri" w:cs="Verdana"/>
          <w:szCs w:val="20"/>
          <w:lang w:val="en-US"/>
        </w:rPr>
        <w:t>”),</w:t>
      </w:r>
      <w:r w:rsidR="008C5658" w:rsidRPr="00CE23AE">
        <w:rPr>
          <w:rFonts w:eastAsia="Calibri" w:cs="Verdana"/>
          <w:bCs/>
          <w:szCs w:val="20"/>
          <w:lang w:val="en-US"/>
        </w:rPr>
        <w:t xml:space="preserve"> </w:t>
      </w:r>
      <w:r w:rsidRPr="00CE23AE">
        <w:rPr>
          <w:rFonts w:eastAsia="Calibri" w:cs="Verdana"/>
          <w:bCs/>
          <w:szCs w:val="20"/>
          <w:lang w:val="en-US"/>
        </w:rPr>
        <w:t>in which it reached a series of conclusions and made several recommendations to the State:</w:t>
      </w:r>
    </w:p>
    <w:p w14:paraId="2AC4B9A2" w14:textId="42728B0F" w:rsidR="008C5658" w:rsidRPr="00CE23AE" w:rsidRDefault="008C5658" w:rsidP="008C5658">
      <w:pPr>
        <w:tabs>
          <w:tab w:val="left" w:pos="567"/>
          <w:tab w:val="num" w:pos="851"/>
        </w:tabs>
        <w:spacing w:line="240" w:lineRule="auto"/>
        <w:ind w:left="851"/>
        <w:rPr>
          <w:rFonts w:eastAsia="Calibri" w:cs="Verdana"/>
          <w:szCs w:val="20"/>
          <w:lang w:val="en-US"/>
        </w:rPr>
      </w:pPr>
    </w:p>
    <w:p w14:paraId="581255C4" w14:textId="73987551" w:rsidR="008C5658" w:rsidRPr="00CE23AE" w:rsidRDefault="00C561DF" w:rsidP="00582D8D">
      <w:pPr>
        <w:pStyle w:val="Prrafodelista"/>
        <w:numPr>
          <w:ilvl w:val="0"/>
          <w:numId w:val="9"/>
        </w:numPr>
        <w:tabs>
          <w:tab w:val="left" w:pos="0"/>
        </w:tabs>
        <w:spacing w:line="240" w:lineRule="auto"/>
        <w:rPr>
          <w:rFonts w:eastAsia="Calibri" w:cs="Verdana"/>
          <w:szCs w:val="20"/>
          <w:lang w:val="en-US"/>
        </w:rPr>
      </w:pPr>
      <w:r w:rsidRPr="00CE23AE">
        <w:rPr>
          <w:rFonts w:eastAsia="Batang" w:cs="Verdana"/>
          <w:i/>
          <w:iCs/>
          <w:szCs w:val="20"/>
          <w:lang w:val="en-US"/>
        </w:rPr>
        <w:t>Conclusions</w:t>
      </w:r>
      <w:r w:rsidR="008C5658" w:rsidRPr="00CE23AE">
        <w:rPr>
          <w:rFonts w:eastAsia="Batang" w:cs="Verdana"/>
          <w:i/>
          <w:iCs/>
          <w:szCs w:val="20"/>
          <w:lang w:val="en-US"/>
        </w:rPr>
        <w:t xml:space="preserve">. </w:t>
      </w:r>
      <w:r w:rsidRPr="00CE23AE">
        <w:rPr>
          <w:szCs w:val="20"/>
          <w:lang w:val="en-US"/>
        </w:rPr>
        <w:t>The Commission</w:t>
      </w:r>
      <w:r w:rsidR="008C5658" w:rsidRPr="00CE23AE">
        <w:rPr>
          <w:szCs w:val="20"/>
          <w:lang w:val="en-US"/>
        </w:rPr>
        <w:t xml:space="preserve"> </w:t>
      </w:r>
      <w:r w:rsidRPr="00CE23AE">
        <w:rPr>
          <w:szCs w:val="20"/>
          <w:lang w:val="en-US"/>
        </w:rPr>
        <w:t>concluded that</w:t>
      </w:r>
      <w:r w:rsidR="008C5658" w:rsidRPr="00CE23AE">
        <w:rPr>
          <w:rFonts w:eastAsia="Calibri" w:cs="Verdana"/>
          <w:szCs w:val="20"/>
          <w:lang w:val="en-US"/>
        </w:rPr>
        <w:t xml:space="preserve"> “</w:t>
      </w:r>
      <w:r w:rsidRPr="00CE23AE">
        <w:rPr>
          <w:rFonts w:eastAsia="Calibri" w:cs="Verdana"/>
          <w:szCs w:val="20"/>
          <w:lang w:val="en-US"/>
        </w:rPr>
        <w:t>the State</w:t>
      </w:r>
      <w:r w:rsidR="008C5658" w:rsidRPr="00CE23AE">
        <w:rPr>
          <w:rFonts w:eastAsia="Calibri" w:cs="Verdana"/>
          <w:szCs w:val="20"/>
          <w:lang w:val="en-US"/>
        </w:rPr>
        <w:t xml:space="preserve"> </w:t>
      </w:r>
      <w:r w:rsidR="0063312E" w:rsidRPr="00CE23AE">
        <w:rPr>
          <w:rFonts w:eastAsia="Calibri" w:cs="Verdana"/>
          <w:szCs w:val="20"/>
          <w:lang w:val="en-US"/>
        </w:rPr>
        <w:t>of</w:t>
      </w:r>
      <w:r w:rsidR="008C5658" w:rsidRPr="00CE23AE">
        <w:rPr>
          <w:rFonts w:eastAsia="Calibri" w:cs="Verdana"/>
          <w:szCs w:val="20"/>
          <w:lang w:val="en-US"/>
        </w:rPr>
        <w:t xml:space="preserve"> Ecuador </w:t>
      </w:r>
      <w:r w:rsidRPr="00CE23AE">
        <w:rPr>
          <w:rFonts w:eastAsia="Calibri" w:cs="Verdana"/>
          <w:szCs w:val="20"/>
          <w:lang w:val="en-US"/>
        </w:rPr>
        <w:t>had violated the rights established in Articles</w:t>
      </w:r>
      <w:r w:rsidR="008C5658" w:rsidRPr="00CE23AE">
        <w:rPr>
          <w:rFonts w:eastAsia="Calibri" w:cs="Verdana"/>
          <w:szCs w:val="20"/>
          <w:lang w:val="en-US"/>
        </w:rPr>
        <w:t xml:space="preserve"> 24, </w:t>
      </w:r>
      <w:r w:rsidRPr="00CE23AE">
        <w:rPr>
          <w:rFonts w:eastAsia="Calibri" w:cs="Verdana"/>
          <w:szCs w:val="20"/>
          <w:lang w:val="en-US"/>
        </w:rPr>
        <w:t>8(1) and 25(1) of the American Convention</w:t>
      </w:r>
      <w:r w:rsidR="008C5658" w:rsidRPr="00CE23AE">
        <w:rPr>
          <w:rFonts w:eastAsia="Calibri" w:cs="Verdana"/>
          <w:szCs w:val="20"/>
          <w:lang w:val="en-US"/>
        </w:rPr>
        <w:t xml:space="preserve">, </w:t>
      </w:r>
      <w:r w:rsidRPr="00CE23AE">
        <w:rPr>
          <w:rFonts w:eastAsia="Calibri" w:cs="Verdana"/>
          <w:szCs w:val="20"/>
          <w:lang w:val="en-US"/>
        </w:rPr>
        <w:t xml:space="preserve">in relation to Articles 1(1) and </w:t>
      </w:r>
      <w:r w:rsidR="008C5658" w:rsidRPr="00CE23AE">
        <w:rPr>
          <w:rFonts w:eastAsia="Calibri" w:cs="Verdana"/>
          <w:szCs w:val="20"/>
          <w:lang w:val="en-US"/>
        </w:rPr>
        <w:t xml:space="preserve">2 </w:t>
      </w:r>
      <w:r w:rsidRPr="00CE23AE">
        <w:rPr>
          <w:rFonts w:eastAsia="Calibri" w:cs="Verdana"/>
          <w:szCs w:val="20"/>
          <w:lang w:val="en-US"/>
        </w:rPr>
        <w:t>of this instrument</w:t>
      </w:r>
      <w:r w:rsidR="008C5658" w:rsidRPr="00CE23AE">
        <w:rPr>
          <w:rFonts w:eastAsia="Calibri" w:cs="Verdana"/>
          <w:szCs w:val="20"/>
          <w:lang w:val="en-US"/>
        </w:rPr>
        <w:t xml:space="preserve">, </w:t>
      </w:r>
      <w:r w:rsidRPr="00CE23AE">
        <w:rPr>
          <w:rFonts w:eastAsia="Calibri" w:cs="Verdana"/>
          <w:szCs w:val="20"/>
          <w:lang w:val="en-US"/>
        </w:rPr>
        <w:t>to the detriment of</w:t>
      </w:r>
      <w:r w:rsidR="008C5658" w:rsidRPr="00CE23AE">
        <w:rPr>
          <w:rFonts w:eastAsia="Calibri" w:cs="Verdana"/>
          <w:szCs w:val="20"/>
          <w:lang w:val="en-US"/>
        </w:rPr>
        <w:t xml:space="preserve"> Homero Flor Freire</w:t>
      </w:r>
      <w:r w:rsidRPr="00CE23AE">
        <w:rPr>
          <w:rFonts w:eastAsia="Calibri" w:cs="Verdana"/>
          <w:szCs w:val="20"/>
          <w:lang w:val="en-US"/>
        </w:rPr>
        <w:t>.</w:t>
      </w:r>
      <w:r w:rsidR="008C5658" w:rsidRPr="00CE23AE">
        <w:rPr>
          <w:rFonts w:eastAsia="Calibri" w:cs="Verdana"/>
          <w:szCs w:val="20"/>
          <w:lang w:val="en-US"/>
        </w:rPr>
        <w:t>”</w:t>
      </w:r>
    </w:p>
    <w:p w14:paraId="527118D8" w14:textId="77777777" w:rsidR="008C5658" w:rsidRPr="00CE23AE" w:rsidRDefault="008C5658" w:rsidP="008C5658">
      <w:pPr>
        <w:numPr>
          <w:ilvl w:val="2"/>
          <w:numId w:val="0"/>
        </w:numPr>
        <w:tabs>
          <w:tab w:val="num" w:pos="851"/>
        </w:tabs>
        <w:spacing w:line="240" w:lineRule="auto"/>
        <w:ind w:left="851" w:right="6"/>
        <w:rPr>
          <w:rFonts w:eastAsia="Batang" w:cs="Verdana"/>
          <w:szCs w:val="20"/>
          <w:lang w:val="en-US"/>
        </w:rPr>
      </w:pPr>
    </w:p>
    <w:p w14:paraId="57D2EBBC" w14:textId="4A49A84D" w:rsidR="008C5658" w:rsidRPr="00CE23AE" w:rsidRDefault="00C561DF" w:rsidP="00582D8D">
      <w:pPr>
        <w:pStyle w:val="Prrafodelista"/>
        <w:numPr>
          <w:ilvl w:val="0"/>
          <w:numId w:val="9"/>
        </w:numPr>
        <w:tabs>
          <w:tab w:val="num" w:pos="851"/>
        </w:tabs>
        <w:spacing w:line="240" w:lineRule="auto"/>
        <w:ind w:right="6"/>
        <w:rPr>
          <w:rFonts w:eastAsia="Batang" w:cs="Verdana"/>
          <w:szCs w:val="20"/>
          <w:lang w:val="en-US"/>
        </w:rPr>
      </w:pPr>
      <w:r w:rsidRPr="00CE23AE">
        <w:rPr>
          <w:rFonts w:eastAsia="Batang" w:cs="Verdana"/>
          <w:i/>
          <w:iCs/>
          <w:szCs w:val="20"/>
          <w:lang w:val="en-US"/>
        </w:rPr>
        <w:t>Recommendations</w:t>
      </w:r>
      <w:r w:rsidR="008C5658" w:rsidRPr="00CE23AE">
        <w:rPr>
          <w:rFonts w:eastAsia="Batang" w:cs="Verdana"/>
          <w:i/>
          <w:iCs/>
          <w:szCs w:val="20"/>
          <w:lang w:val="en-US"/>
        </w:rPr>
        <w:t xml:space="preserve">. </w:t>
      </w:r>
      <w:r w:rsidRPr="00CE23AE">
        <w:rPr>
          <w:rFonts w:eastAsia="Batang" w:cs="Verdana"/>
          <w:szCs w:val="20"/>
          <w:lang w:val="en-US"/>
        </w:rPr>
        <w:t>Consequently</w:t>
      </w:r>
      <w:r w:rsidR="008C5658" w:rsidRPr="00CE23AE">
        <w:rPr>
          <w:rFonts w:eastAsia="Batang" w:cs="Verdana"/>
          <w:szCs w:val="20"/>
          <w:lang w:val="en-US"/>
        </w:rPr>
        <w:t xml:space="preserve">, </w:t>
      </w:r>
      <w:r w:rsidRPr="00CE23AE">
        <w:rPr>
          <w:rFonts w:eastAsia="Batang" w:cs="Verdana"/>
          <w:szCs w:val="20"/>
          <w:lang w:val="en-US"/>
        </w:rPr>
        <w:t>the Commission</w:t>
      </w:r>
      <w:r w:rsidR="008C5658" w:rsidRPr="00CE23AE">
        <w:rPr>
          <w:rFonts w:eastAsia="Batang" w:cs="Verdana"/>
          <w:szCs w:val="20"/>
          <w:lang w:val="en-US"/>
        </w:rPr>
        <w:t xml:space="preserve"> </w:t>
      </w:r>
      <w:r w:rsidRPr="00CE23AE">
        <w:rPr>
          <w:rFonts w:eastAsia="Batang" w:cs="Verdana"/>
          <w:szCs w:val="20"/>
          <w:lang w:val="en-US"/>
        </w:rPr>
        <w:t>made a</w:t>
      </w:r>
      <w:r w:rsidR="008C5658" w:rsidRPr="00CE23AE">
        <w:rPr>
          <w:rFonts w:eastAsia="Batang" w:cs="Verdana"/>
          <w:szCs w:val="20"/>
          <w:lang w:val="en-US"/>
        </w:rPr>
        <w:t xml:space="preserve"> </w:t>
      </w:r>
      <w:r w:rsidRPr="00CE23AE">
        <w:rPr>
          <w:rFonts w:eastAsia="Batang" w:cs="Verdana"/>
          <w:szCs w:val="20"/>
          <w:lang w:val="en-US"/>
        </w:rPr>
        <w:t>series of</w:t>
      </w:r>
      <w:r w:rsidR="008C5658" w:rsidRPr="00CE23AE">
        <w:rPr>
          <w:rFonts w:eastAsia="Batang" w:cs="Verdana"/>
          <w:szCs w:val="20"/>
          <w:lang w:val="en-US"/>
        </w:rPr>
        <w:t xml:space="preserve"> </w:t>
      </w:r>
      <w:r w:rsidRPr="00CE23AE">
        <w:rPr>
          <w:rFonts w:eastAsia="Batang" w:cs="Verdana"/>
          <w:szCs w:val="20"/>
          <w:lang w:val="en-US"/>
        </w:rPr>
        <w:t>recommendations to the State</w:t>
      </w:r>
      <w:r w:rsidR="008C5658" w:rsidRPr="00CE23AE">
        <w:rPr>
          <w:rFonts w:eastAsia="Batang" w:cs="Verdana"/>
          <w:szCs w:val="20"/>
          <w:lang w:val="en-US"/>
        </w:rPr>
        <w:t xml:space="preserve">: </w:t>
      </w:r>
    </w:p>
    <w:p w14:paraId="51AA8042" w14:textId="77777777" w:rsidR="008C5658" w:rsidRPr="00CE23AE" w:rsidRDefault="00690832" w:rsidP="00690832">
      <w:pPr>
        <w:numPr>
          <w:ilvl w:val="2"/>
          <w:numId w:val="0"/>
        </w:numPr>
        <w:tabs>
          <w:tab w:val="num" w:pos="851"/>
        </w:tabs>
        <w:spacing w:line="240" w:lineRule="auto"/>
        <w:ind w:right="6"/>
        <w:rPr>
          <w:rFonts w:eastAsia="Batang" w:cs="Verdana"/>
          <w:szCs w:val="20"/>
          <w:lang w:val="en-US"/>
        </w:rPr>
      </w:pPr>
      <w:r w:rsidRPr="00CE23AE">
        <w:rPr>
          <w:rFonts w:eastAsia="Batang" w:cs="Verdana"/>
          <w:szCs w:val="20"/>
          <w:lang w:val="en-US"/>
        </w:rPr>
        <w:t xml:space="preserve"> </w:t>
      </w:r>
    </w:p>
    <w:p w14:paraId="581A49A9" w14:textId="387F304E" w:rsidR="0094397B" w:rsidRPr="00CE23AE" w:rsidRDefault="0094397B" w:rsidP="0094397B">
      <w:pPr>
        <w:widowControl/>
        <w:numPr>
          <w:ilvl w:val="0"/>
          <w:numId w:val="32"/>
        </w:numPr>
        <w:tabs>
          <w:tab w:val="clear" w:pos="2700"/>
        </w:tabs>
        <w:suppressAutoHyphens/>
        <w:adjustRightInd/>
        <w:spacing w:line="240" w:lineRule="auto"/>
        <w:ind w:left="1800" w:firstLine="0"/>
        <w:textAlignment w:val="auto"/>
        <w:rPr>
          <w:sz w:val="18"/>
          <w:szCs w:val="18"/>
          <w:lang w:val="en-US"/>
        </w:rPr>
      </w:pPr>
      <w:r w:rsidRPr="00CE23AE">
        <w:rPr>
          <w:color w:val="000000"/>
          <w:sz w:val="18"/>
          <w:szCs w:val="18"/>
          <w:lang w:val="en-US"/>
        </w:rPr>
        <w:t xml:space="preserve">Make full reparation to Homero Flor Freire in the terms indicated in th[e Merits] report, both pecuniary and non-pecuniary, including measures of satisfaction for the harm caused. </w:t>
      </w:r>
    </w:p>
    <w:p w14:paraId="0388CA37" w14:textId="77777777" w:rsidR="0094397B" w:rsidRPr="00CE23AE" w:rsidRDefault="0094397B" w:rsidP="0094397B">
      <w:pPr>
        <w:ind w:left="1800"/>
        <w:rPr>
          <w:sz w:val="18"/>
          <w:szCs w:val="18"/>
          <w:lang w:val="en-US"/>
        </w:rPr>
      </w:pPr>
    </w:p>
    <w:p w14:paraId="31C25016" w14:textId="77777777" w:rsidR="0094397B" w:rsidRPr="00CE23AE" w:rsidRDefault="0094397B" w:rsidP="0094397B">
      <w:pPr>
        <w:widowControl/>
        <w:numPr>
          <w:ilvl w:val="0"/>
          <w:numId w:val="32"/>
        </w:numPr>
        <w:tabs>
          <w:tab w:val="clear" w:pos="2700"/>
        </w:tabs>
        <w:suppressAutoHyphens/>
        <w:adjustRightInd/>
        <w:spacing w:line="240" w:lineRule="auto"/>
        <w:ind w:left="1800" w:firstLine="0"/>
        <w:textAlignment w:val="auto"/>
        <w:rPr>
          <w:sz w:val="18"/>
          <w:szCs w:val="18"/>
          <w:lang w:val="en-US"/>
        </w:rPr>
      </w:pPr>
      <w:r w:rsidRPr="00CE23AE">
        <w:rPr>
          <w:sz w:val="18"/>
          <w:szCs w:val="18"/>
          <w:lang w:val="en-US"/>
        </w:rPr>
        <w:t xml:space="preserve">Publicly recognize that Homero Flor Freire was discharged from the Ecuadorian Army in a discriminatory manner. </w:t>
      </w:r>
    </w:p>
    <w:p w14:paraId="06872700" w14:textId="77777777" w:rsidR="0094397B" w:rsidRPr="00CE23AE" w:rsidRDefault="0094397B" w:rsidP="0094397B">
      <w:pPr>
        <w:ind w:left="1800"/>
        <w:rPr>
          <w:sz w:val="18"/>
          <w:szCs w:val="18"/>
          <w:lang w:val="en-US"/>
        </w:rPr>
      </w:pPr>
    </w:p>
    <w:p w14:paraId="09EFD7A9" w14:textId="0541F569" w:rsidR="0094397B" w:rsidRPr="00CE23AE" w:rsidRDefault="0094397B" w:rsidP="0094397B">
      <w:pPr>
        <w:widowControl/>
        <w:numPr>
          <w:ilvl w:val="0"/>
          <w:numId w:val="32"/>
        </w:numPr>
        <w:tabs>
          <w:tab w:val="clear" w:pos="2700"/>
        </w:tabs>
        <w:suppressAutoHyphens/>
        <w:adjustRightInd/>
        <w:spacing w:line="240" w:lineRule="auto"/>
        <w:ind w:left="1800" w:firstLine="0"/>
        <w:textAlignment w:val="auto"/>
        <w:rPr>
          <w:sz w:val="18"/>
          <w:szCs w:val="18"/>
          <w:lang w:val="en-US"/>
        </w:rPr>
      </w:pPr>
      <w:r w:rsidRPr="00CE23AE">
        <w:rPr>
          <w:sz w:val="18"/>
          <w:szCs w:val="18"/>
          <w:lang w:val="en-US"/>
        </w:rPr>
        <w:t xml:space="preserve">Adopt the state measures needed to ensure that persons who work within the Ecuadorian </w:t>
      </w:r>
      <w:r w:rsidR="0074464F" w:rsidRPr="00CE23AE">
        <w:rPr>
          <w:sz w:val="18"/>
          <w:szCs w:val="18"/>
          <w:lang w:val="en-US"/>
        </w:rPr>
        <w:t xml:space="preserve">Ground </w:t>
      </w:r>
      <w:r w:rsidRPr="00CE23AE">
        <w:rPr>
          <w:sz w:val="18"/>
          <w:szCs w:val="18"/>
          <w:lang w:val="en-US"/>
        </w:rPr>
        <w:t xml:space="preserve">Force or any other part of the Ecuadorian Army </w:t>
      </w:r>
      <w:r w:rsidR="0074464F" w:rsidRPr="00CE23AE">
        <w:rPr>
          <w:sz w:val="18"/>
          <w:szCs w:val="18"/>
          <w:lang w:val="en-US"/>
        </w:rPr>
        <w:t>are not</w:t>
      </w:r>
      <w:r w:rsidRPr="00CE23AE">
        <w:rPr>
          <w:sz w:val="18"/>
          <w:szCs w:val="18"/>
          <w:lang w:val="en-US"/>
        </w:rPr>
        <w:t xml:space="preserve"> subject to discrimination </w:t>
      </w:r>
      <w:r w:rsidR="008D3BC5" w:rsidRPr="00CE23AE">
        <w:rPr>
          <w:sz w:val="18"/>
          <w:szCs w:val="18"/>
          <w:lang w:val="en-US"/>
        </w:rPr>
        <w:t>based on</w:t>
      </w:r>
      <w:r w:rsidRPr="00CE23AE">
        <w:rPr>
          <w:sz w:val="18"/>
          <w:szCs w:val="18"/>
          <w:lang w:val="en-US"/>
        </w:rPr>
        <w:t xml:space="preserve"> their actual or perceived</w:t>
      </w:r>
      <w:r w:rsidR="008D3BC5" w:rsidRPr="00CE23AE">
        <w:rPr>
          <w:sz w:val="18"/>
          <w:szCs w:val="18"/>
          <w:lang w:val="en-US"/>
        </w:rPr>
        <w:t xml:space="preserve"> sexual orientation</w:t>
      </w:r>
      <w:r w:rsidRPr="00CE23AE">
        <w:rPr>
          <w:sz w:val="18"/>
          <w:szCs w:val="18"/>
          <w:lang w:val="en-US"/>
        </w:rPr>
        <w:t xml:space="preserve">. </w:t>
      </w:r>
    </w:p>
    <w:p w14:paraId="51312BC3" w14:textId="77777777" w:rsidR="0094397B" w:rsidRPr="00CE23AE" w:rsidRDefault="0094397B" w:rsidP="0094397B">
      <w:pPr>
        <w:ind w:left="1800"/>
        <w:rPr>
          <w:sz w:val="18"/>
          <w:szCs w:val="18"/>
          <w:lang w:val="en-US"/>
        </w:rPr>
      </w:pPr>
    </w:p>
    <w:p w14:paraId="6668A89C" w14:textId="7EE3481E" w:rsidR="0094397B" w:rsidRPr="00CE23AE" w:rsidRDefault="0094397B" w:rsidP="0094397B">
      <w:pPr>
        <w:widowControl/>
        <w:numPr>
          <w:ilvl w:val="0"/>
          <w:numId w:val="32"/>
        </w:numPr>
        <w:tabs>
          <w:tab w:val="clear" w:pos="2700"/>
        </w:tabs>
        <w:suppressAutoHyphens/>
        <w:adjustRightInd/>
        <w:spacing w:line="240" w:lineRule="auto"/>
        <w:ind w:left="1800" w:firstLine="0"/>
        <w:textAlignment w:val="auto"/>
        <w:rPr>
          <w:sz w:val="18"/>
          <w:szCs w:val="18"/>
          <w:lang w:val="en-US"/>
        </w:rPr>
      </w:pPr>
      <w:r w:rsidRPr="00CE23AE">
        <w:rPr>
          <w:sz w:val="18"/>
          <w:szCs w:val="18"/>
          <w:lang w:val="en-US"/>
        </w:rPr>
        <w:t xml:space="preserve">Take the </w:t>
      </w:r>
      <w:r w:rsidR="0074464F" w:rsidRPr="00CE23AE">
        <w:rPr>
          <w:sz w:val="18"/>
          <w:szCs w:val="18"/>
          <w:lang w:val="en-US"/>
        </w:rPr>
        <w:t xml:space="preserve">necessary </w:t>
      </w:r>
      <w:r w:rsidRPr="00CE23AE">
        <w:rPr>
          <w:sz w:val="18"/>
          <w:szCs w:val="18"/>
          <w:lang w:val="en-US"/>
        </w:rPr>
        <w:t xml:space="preserve">state measures </w:t>
      </w:r>
      <w:r w:rsidR="0074464F" w:rsidRPr="00CE23AE">
        <w:rPr>
          <w:sz w:val="18"/>
          <w:szCs w:val="18"/>
          <w:lang w:val="en-US"/>
        </w:rPr>
        <w:t>to ensure that</w:t>
      </w:r>
      <w:r w:rsidRPr="00CE23AE">
        <w:rPr>
          <w:sz w:val="18"/>
          <w:szCs w:val="18"/>
          <w:lang w:val="en-US"/>
        </w:rPr>
        <w:t xml:space="preserve"> the personnel of the Ecuadorian </w:t>
      </w:r>
      <w:r w:rsidR="0074464F" w:rsidRPr="00CE23AE">
        <w:rPr>
          <w:sz w:val="18"/>
          <w:szCs w:val="18"/>
          <w:lang w:val="en-US"/>
        </w:rPr>
        <w:t xml:space="preserve">Ground </w:t>
      </w:r>
      <w:r w:rsidRPr="00CE23AE">
        <w:rPr>
          <w:sz w:val="18"/>
          <w:szCs w:val="18"/>
          <w:lang w:val="en-US"/>
        </w:rPr>
        <w:t xml:space="preserve">Force or any </w:t>
      </w:r>
      <w:r w:rsidR="008D3BC5" w:rsidRPr="00CE23AE">
        <w:rPr>
          <w:sz w:val="18"/>
          <w:szCs w:val="18"/>
          <w:lang w:val="en-US"/>
        </w:rPr>
        <w:t xml:space="preserve">other </w:t>
      </w:r>
      <w:r w:rsidR="0074464F" w:rsidRPr="00CE23AE">
        <w:rPr>
          <w:sz w:val="18"/>
          <w:szCs w:val="18"/>
          <w:lang w:val="en-US"/>
        </w:rPr>
        <w:t>unit</w:t>
      </w:r>
      <w:r w:rsidRPr="00CE23AE">
        <w:rPr>
          <w:sz w:val="18"/>
          <w:szCs w:val="18"/>
          <w:lang w:val="en-US"/>
        </w:rPr>
        <w:t xml:space="preserve"> of the Ecuadorian Army, as well as the courts of law in the military jurisdiction, </w:t>
      </w:r>
      <w:r w:rsidR="0074464F" w:rsidRPr="00CE23AE">
        <w:rPr>
          <w:sz w:val="18"/>
          <w:szCs w:val="18"/>
          <w:lang w:val="en-US"/>
        </w:rPr>
        <w:t>are aware</w:t>
      </w:r>
      <w:r w:rsidRPr="00CE23AE">
        <w:rPr>
          <w:sz w:val="18"/>
          <w:szCs w:val="18"/>
          <w:lang w:val="en-US"/>
        </w:rPr>
        <w:t xml:space="preserve"> of the inter-American standards, and Ecuador</w:t>
      </w:r>
      <w:r w:rsidR="0074464F" w:rsidRPr="00CE23AE">
        <w:rPr>
          <w:sz w:val="18"/>
          <w:szCs w:val="18"/>
          <w:lang w:val="en-US"/>
        </w:rPr>
        <w:t>’s</w:t>
      </w:r>
      <w:r w:rsidRPr="00CE23AE">
        <w:rPr>
          <w:sz w:val="18"/>
          <w:szCs w:val="18"/>
          <w:lang w:val="en-US"/>
        </w:rPr>
        <w:t xml:space="preserve"> domestic law</w:t>
      </w:r>
      <w:r w:rsidR="0074464F" w:rsidRPr="00CE23AE">
        <w:rPr>
          <w:sz w:val="18"/>
          <w:szCs w:val="18"/>
          <w:lang w:val="en-US"/>
        </w:rPr>
        <w:t>s</w:t>
      </w:r>
      <w:r w:rsidRPr="00CE23AE">
        <w:rPr>
          <w:sz w:val="18"/>
          <w:szCs w:val="18"/>
          <w:lang w:val="en-US"/>
        </w:rPr>
        <w:t xml:space="preserve"> </w:t>
      </w:r>
      <w:r w:rsidR="0074464F" w:rsidRPr="00CE23AE">
        <w:rPr>
          <w:sz w:val="18"/>
          <w:szCs w:val="18"/>
          <w:lang w:val="en-US"/>
        </w:rPr>
        <w:t>in relation to</w:t>
      </w:r>
      <w:r w:rsidRPr="00CE23AE">
        <w:rPr>
          <w:sz w:val="18"/>
          <w:szCs w:val="18"/>
          <w:lang w:val="en-US"/>
        </w:rPr>
        <w:t xml:space="preserve"> non-discrimination based on actual or perceived sexual orientation. </w:t>
      </w:r>
    </w:p>
    <w:p w14:paraId="58196188" w14:textId="77777777" w:rsidR="0094397B" w:rsidRPr="00CE23AE" w:rsidRDefault="0094397B" w:rsidP="0094397B">
      <w:pPr>
        <w:ind w:left="1800"/>
        <w:rPr>
          <w:sz w:val="18"/>
          <w:szCs w:val="18"/>
          <w:lang w:val="en-US"/>
        </w:rPr>
      </w:pPr>
    </w:p>
    <w:p w14:paraId="1BC5E68B" w14:textId="0108E1E2" w:rsidR="008C5658" w:rsidRPr="00CE23AE" w:rsidRDefault="0094397B" w:rsidP="0074464F">
      <w:pPr>
        <w:widowControl/>
        <w:numPr>
          <w:ilvl w:val="0"/>
          <w:numId w:val="32"/>
        </w:numPr>
        <w:tabs>
          <w:tab w:val="clear" w:pos="2700"/>
          <w:tab w:val="num" w:pos="851"/>
        </w:tabs>
        <w:suppressAutoHyphens/>
        <w:adjustRightInd/>
        <w:spacing w:line="240" w:lineRule="auto"/>
        <w:ind w:left="1800" w:firstLine="0"/>
        <w:textAlignment w:val="auto"/>
        <w:rPr>
          <w:sz w:val="18"/>
          <w:szCs w:val="18"/>
          <w:lang w:val="en-US"/>
        </w:rPr>
      </w:pPr>
      <w:r w:rsidRPr="00CE23AE">
        <w:rPr>
          <w:sz w:val="18"/>
          <w:szCs w:val="18"/>
          <w:lang w:val="en-US"/>
        </w:rPr>
        <w:t xml:space="preserve">Adopt the </w:t>
      </w:r>
      <w:r w:rsidR="0074464F" w:rsidRPr="00CE23AE">
        <w:rPr>
          <w:sz w:val="18"/>
          <w:szCs w:val="18"/>
          <w:lang w:val="en-US"/>
        </w:rPr>
        <w:t xml:space="preserve">necessary </w:t>
      </w:r>
      <w:r w:rsidRPr="00CE23AE">
        <w:rPr>
          <w:sz w:val="18"/>
          <w:szCs w:val="18"/>
          <w:lang w:val="en-US"/>
        </w:rPr>
        <w:t xml:space="preserve">state measures to guarantee the right to due process </w:t>
      </w:r>
      <w:r w:rsidR="0074464F" w:rsidRPr="00CE23AE">
        <w:rPr>
          <w:sz w:val="18"/>
          <w:szCs w:val="18"/>
          <w:lang w:val="en-US"/>
        </w:rPr>
        <w:t>to</w:t>
      </w:r>
      <w:r w:rsidRPr="00CE23AE">
        <w:rPr>
          <w:sz w:val="18"/>
          <w:szCs w:val="18"/>
          <w:lang w:val="en-US"/>
        </w:rPr>
        <w:t xml:space="preserve"> members of the military tried </w:t>
      </w:r>
      <w:r w:rsidR="008D3BC5" w:rsidRPr="00CE23AE">
        <w:rPr>
          <w:sz w:val="18"/>
          <w:szCs w:val="18"/>
          <w:lang w:val="en-US"/>
        </w:rPr>
        <w:t xml:space="preserve">by courts </w:t>
      </w:r>
      <w:r w:rsidRPr="00CE23AE">
        <w:rPr>
          <w:sz w:val="18"/>
          <w:szCs w:val="18"/>
          <w:lang w:val="en-US"/>
        </w:rPr>
        <w:t xml:space="preserve">in disciplinary proceedings, including the right to an impartial judge or court. </w:t>
      </w:r>
    </w:p>
    <w:p w14:paraId="19EDBB4A" w14:textId="77777777" w:rsidR="008C5658" w:rsidRPr="00CE23AE" w:rsidRDefault="008C5658" w:rsidP="008C5658">
      <w:pPr>
        <w:widowControl/>
        <w:autoSpaceDE w:val="0"/>
        <w:autoSpaceDN w:val="0"/>
        <w:spacing w:line="240" w:lineRule="auto"/>
        <w:textAlignment w:val="auto"/>
        <w:rPr>
          <w:rFonts w:eastAsia="Calibri" w:cs="Verdana"/>
          <w:lang w:val="en-US"/>
        </w:rPr>
      </w:pPr>
    </w:p>
    <w:p w14:paraId="5036C127" w14:textId="743CC4C3" w:rsidR="008C5658" w:rsidRPr="00CE23AE" w:rsidRDefault="008C5658" w:rsidP="008C5658">
      <w:pPr>
        <w:numPr>
          <w:ilvl w:val="1"/>
          <w:numId w:val="1"/>
        </w:numPr>
        <w:tabs>
          <w:tab w:val="clear" w:pos="1080"/>
          <w:tab w:val="left" w:pos="0"/>
          <w:tab w:val="num" w:pos="851"/>
        </w:tabs>
        <w:spacing w:line="240" w:lineRule="auto"/>
        <w:ind w:left="851" w:hanging="283"/>
        <w:rPr>
          <w:rFonts w:eastAsia="Calibri" w:cs="Verdana"/>
          <w:szCs w:val="20"/>
          <w:lang w:val="en-US"/>
        </w:rPr>
      </w:pPr>
      <w:r w:rsidRPr="00CE23AE">
        <w:rPr>
          <w:rFonts w:eastAsia="Calibri" w:cs="Verdana"/>
          <w:i/>
          <w:iCs/>
          <w:szCs w:val="20"/>
          <w:lang w:val="en-US"/>
        </w:rPr>
        <w:t>Notifica</w:t>
      </w:r>
      <w:r w:rsidR="00D2490B" w:rsidRPr="00CE23AE">
        <w:rPr>
          <w:rFonts w:eastAsia="Calibri" w:cs="Verdana"/>
          <w:i/>
          <w:iCs/>
          <w:szCs w:val="20"/>
          <w:lang w:val="en-US"/>
        </w:rPr>
        <w:t>tion of the State.</w:t>
      </w:r>
      <w:r w:rsidRPr="00CE23AE">
        <w:rPr>
          <w:rFonts w:eastAsia="Calibri" w:cs="Verdana"/>
          <w:szCs w:val="20"/>
          <w:lang w:val="en-US"/>
        </w:rPr>
        <w:t xml:space="preserve"> </w:t>
      </w:r>
      <w:r w:rsidR="00D2490B" w:rsidRPr="00CE23AE">
        <w:rPr>
          <w:rFonts w:eastAsia="Calibri" w:cs="Verdana"/>
          <w:szCs w:val="20"/>
          <w:lang w:val="en-US"/>
        </w:rPr>
        <w:t xml:space="preserve">The </w:t>
      </w:r>
      <w:r w:rsidR="00C561DF" w:rsidRPr="00CE23AE">
        <w:rPr>
          <w:rFonts w:eastAsia="Calibri" w:cs="Verdana"/>
          <w:szCs w:val="20"/>
          <w:lang w:val="en-US"/>
        </w:rPr>
        <w:t>Merits Report</w:t>
      </w:r>
      <w:r w:rsidRPr="00CE23AE">
        <w:rPr>
          <w:rFonts w:eastAsia="Calibri" w:cs="Verdana"/>
          <w:szCs w:val="20"/>
          <w:lang w:val="en-US"/>
        </w:rPr>
        <w:t xml:space="preserve"> </w:t>
      </w:r>
      <w:r w:rsidR="00D2490B" w:rsidRPr="00CE23AE">
        <w:rPr>
          <w:rFonts w:eastAsia="Calibri" w:cs="Verdana"/>
          <w:szCs w:val="20"/>
          <w:lang w:val="en-US"/>
        </w:rPr>
        <w:t xml:space="preserve">was notified to the State on December 11, </w:t>
      </w:r>
      <w:r w:rsidRPr="00CE23AE">
        <w:rPr>
          <w:rFonts w:eastAsia="Calibri" w:cs="Verdana"/>
          <w:szCs w:val="20"/>
          <w:lang w:val="en-US"/>
        </w:rPr>
        <w:t xml:space="preserve">2013, </w:t>
      </w:r>
      <w:r w:rsidR="00D2490B" w:rsidRPr="00CE23AE">
        <w:rPr>
          <w:rFonts w:eastAsia="Calibri" w:cs="Verdana"/>
          <w:szCs w:val="20"/>
          <w:lang w:val="en-US"/>
        </w:rPr>
        <w:t>granting it two months to report on compliance with the</w:t>
      </w:r>
      <w:r w:rsidRPr="00CE23AE">
        <w:rPr>
          <w:rFonts w:eastAsia="Calibri" w:cs="Verdana"/>
          <w:szCs w:val="20"/>
          <w:lang w:val="en-US"/>
        </w:rPr>
        <w:t xml:space="preserve"> </w:t>
      </w:r>
      <w:r w:rsidR="00C561DF" w:rsidRPr="00CE23AE">
        <w:rPr>
          <w:rFonts w:eastAsia="Calibri" w:cs="Verdana"/>
          <w:szCs w:val="20"/>
          <w:lang w:val="en-US"/>
        </w:rPr>
        <w:t>recommendations</w:t>
      </w:r>
      <w:r w:rsidRPr="00CE23AE">
        <w:rPr>
          <w:rFonts w:eastAsia="Calibri" w:cs="Verdana"/>
          <w:szCs w:val="20"/>
          <w:lang w:val="en-US"/>
        </w:rPr>
        <w:t>.</w:t>
      </w:r>
      <w:r w:rsidRPr="00CE23AE">
        <w:rPr>
          <w:rFonts w:eastAsia="Calibri" w:cs="Verdana"/>
          <w:bCs/>
          <w:szCs w:val="20"/>
          <w:lang w:val="en-US"/>
        </w:rPr>
        <w:t xml:space="preserve"> </w:t>
      </w:r>
      <w:r w:rsidR="00C561DF" w:rsidRPr="00CE23AE">
        <w:rPr>
          <w:rFonts w:eastAsia="Calibri" w:cs="Verdana"/>
          <w:szCs w:val="20"/>
          <w:lang w:val="en-US"/>
        </w:rPr>
        <w:t>The Commission</w:t>
      </w:r>
      <w:r w:rsidRPr="00CE23AE">
        <w:rPr>
          <w:rFonts w:eastAsia="Calibri" w:cs="Verdana"/>
          <w:szCs w:val="20"/>
          <w:lang w:val="en-US"/>
        </w:rPr>
        <w:t xml:space="preserve"> </w:t>
      </w:r>
      <w:r w:rsidR="008D3BC5" w:rsidRPr="00CE23AE">
        <w:rPr>
          <w:rFonts w:eastAsia="Calibri" w:cs="Verdana"/>
          <w:szCs w:val="20"/>
          <w:lang w:val="en-US"/>
        </w:rPr>
        <w:t>indicated</w:t>
      </w:r>
      <w:r w:rsidR="00D2490B" w:rsidRPr="00CE23AE">
        <w:rPr>
          <w:rFonts w:eastAsia="Calibri" w:cs="Verdana"/>
          <w:szCs w:val="20"/>
          <w:lang w:val="en-US"/>
        </w:rPr>
        <w:t xml:space="preserve"> that</w:t>
      </w:r>
      <w:r w:rsidRPr="00CE23AE">
        <w:rPr>
          <w:rFonts w:eastAsia="Calibri" w:cs="Verdana"/>
          <w:szCs w:val="20"/>
          <w:lang w:val="en-US"/>
        </w:rPr>
        <w:t xml:space="preserve"> “[</w:t>
      </w:r>
      <w:r w:rsidR="00D2490B" w:rsidRPr="00CE23AE">
        <w:rPr>
          <w:rFonts w:eastAsia="Calibri" w:cs="Verdana"/>
          <w:szCs w:val="20"/>
          <w:lang w:val="en-US"/>
        </w:rPr>
        <w:t>f</w:t>
      </w:r>
      <w:r w:rsidRPr="00CE23AE">
        <w:rPr>
          <w:rFonts w:eastAsia="Calibri" w:cs="Verdana"/>
          <w:szCs w:val="20"/>
          <w:lang w:val="en-US"/>
        </w:rPr>
        <w:t>]</w:t>
      </w:r>
      <w:r w:rsidR="00D2490B" w:rsidRPr="00CE23AE">
        <w:rPr>
          <w:rFonts w:eastAsia="Calibri" w:cs="Verdana"/>
          <w:szCs w:val="20"/>
          <w:lang w:val="en-US"/>
        </w:rPr>
        <w:t xml:space="preserve">rom that time and up until [the case was submitted to the Court], it granted the Ecuadorian State a series of extensions.” </w:t>
      </w:r>
      <w:r w:rsidR="00C561DF" w:rsidRPr="00CE23AE">
        <w:rPr>
          <w:rFonts w:eastAsia="Calibri" w:cs="Verdana"/>
          <w:szCs w:val="20"/>
          <w:lang w:val="en-US"/>
        </w:rPr>
        <w:t>The State</w:t>
      </w:r>
      <w:r w:rsidR="00C757D0" w:rsidRPr="00CE23AE">
        <w:rPr>
          <w:rFonts w:eastAsia="Calibri" w:cs="Verdana"/>
          <w:szCs w:val="20"/>
          <w:lang w:val="en-US"/>
        </w:rPr>
        <w:t xml:space="preserve"> </w:t>
      </w:r>
      <w:r w:rsidR="00D2490B" w:rsidRPr="00CE23AE">
        <w:rPr>
          <w:rFonts w:eastAsia="Calibri" w:cs="Verdana"/>
          <w:szCs w:val="20"/>
          <w:lang w:val="en-US"/>
        </w:rPr>
        <w:t>sent three reports on compliance and both parties took different steps to reach a compliance agreement.</w:t>
      </w:r>
      <w:r w:rsidR="00C757D0" w:rsidRPr="00CE23AE">
        <w:rPr>
          <w:rStyle w:val="Refdenotaalpie"/>
          <w:rFonts w:eastAsia="Calibri" w:cs="Verdana"/>
          <w:szCs w:val="20"/>
          <w:lang w:val="en-US"/>
        </w:rPr>
        <w:footnoteReference w:id="4"/>
      </w:r>
      <w:r w:rsidRPr="00CE23AE">
        <w:rPr>
          <w:rFonts w:eastAsia="Calibri" w:cs="Verdana"/>
          <w:szCs w:val="20"/>
          <w:lang w:val="en-US"/>
        </w:rPr>
        <w:t xml:space="preserve"> </w:t>
      </w:r>
      <w:r w:rsidR="00C561DF" w:rsidRPr="00CE23AE">
        <w:rPr>
          <w:rFonts w:eastAsia="Calibri" w:cs="Verdana"/>
          <w:szCs w:val="20"/>
          <w:lang w:val="en-US"/>
        </w:rPr>
        <w:t>The Commission</w:t>
      </w:r>
      <w:r w:rsidR="00C757D0" w:rsidRPr="00CE23AE">
        <w:rPr>
          <w:rFonts w:eastAsia="Calibri" w:cs="Verdana"/>
          <w:szCs w:val="20"/>
          <w:lang w:val="en-US"/>
        </w:rPr>
        <w:t xml:space="preserve"> </w:t>
      </w:r>
      <w:r w:rsidR="00D2490B" w:rsidRPr="00CE23AE">
        <w:rPr>
          <w:rFonts w:eastAsia="Calibri" w:cs="Verdana"/>
          <w:szCs w:val="20"/>
          <w:lang w:val="en-US"/>
        </w:rPr>
        <w:t>indicated that</w:t>
      </w:r>
      <w:r w:rsidR="00C757D0" w:rsidRPr="00CE23AE">
        <w:rPr>
          <w:rFonts w:eastAsia="Calibri" w:cs="Verdana"/>
          <w:szCs w:val="20"/>
          <w:lang w:val="en-US"/>
        </w:rPr>
        <w:t xml:space="preserve"> “</w:t>
      </w:r>
      <w:r w:rsidR="00D2490B" w:rsidRPr="00CE23AE">
        <w:rPr>
          <w:rFonts w:eastAsia="Calibri" w:cs="Verdana"/>
          <w:szCs w:val="20"/>
          <w:lang w:val="en-US"/>
        </w:rPr>
        <w:t xml:space="preserve">despite this, </w:t>
      </w:r>
      <w:r w:rsidR="008D3BC5" w:rsidRPr="00CE23AE">
        <w:rPr>
          <w:rFonts w:eastAsia="Calibri" w:cs="Verdana"/>
          <w:szCs w:val="20"/>
          <w:lang w:val="en-US"/>
        </w:rPr>
        <w:t>the parties were unable to</w:t>
      </w:r>
      <w:r w:rsidR="00D2490B" w:rsidRPr="00CE23AE">
        <w:rPr>
          <w:rFonts w:eastAsia="Calibri" w:cs="Verdana"/>
          <w:szCs w:val="20"/>
          <w:lang w:val="en-US"/>
        </w:rPr>
        <w:t xml:space="preserve"> </w:t>
      </w:r>
      <w:r w:rsidR="008D3BC5" w:rsidRPr="00CE23AE">
        <w:rPr>
          <w:rFonts w:eastAsia="Calibri" w:cs="Verdana"/>
          <w:szCs w:val="20"/>
          <w:lang w:val="en-US"/>
        </w:rPr>
        <w:t>reach</w:t>
      </w:r>
      <w:r w:rsidR="00D2490B" w:rsidRPr="00CE23AE">
        <w:rPr>
          <w:rFonts w:eastAsia="Calibri" w:cs="Verdana"/>
          <w:szCs w:val="20"/>
          <w:lang w:val="en-US"/>
        </w:rPr>
        <w:t xml:space="preserve"> agreement on the scope, content</w:t>
      </w:r>
      <w:r w:rsidR="008D3BC5" w:rsidRPr="00CE23AE">
        <w:rPr>
          <w:rFonts w:eastAsia="Calibri" w:cs="Verdana"/>
          <w:szCs w:val="20"/>
          <w:lang w:val="en-US"/>
        </w:rPr>
        <w:t>,</w:t>
      </w:r>
      <w:r w:rsidR="00D2490B" w:rsidRPr="00CE23AE">
        <w:rPr>
          <w:rFonts w:eastAsia="Calibri" w:cs="Verdana"/>
          <w:szCs w:val="20"/>
          <w:lang w:val="en-US"/>
        </w:rPr>
        <w:t xml:space="preserve"> and method of implementing the reparation in favor of</w:t>
      </w:r>
      <w:r w:rsidRPr="00CE23AE">
        <w:rPr>
          <w:rFonts w:eastAsia="Calibri" w:cs="Verdana"/>
          <w:szCs w:val="20"/>
          <w:lang w:val="en-US"/>
        </w:rPr>
        <w:t xml:space="preserve"> Homero Flor Freire</w:t>
      </w:r>
      <w:r w:rsidR="00D2490B" w:rsidRPr="00CE23AE">
        <w:rPr>
          <w:rFonts w:eastAsia="Calibri" w:cs="Verdana"/>
          <w:szCs w:val="20"/>
          <w:lang w:val="en-US"/>
        </w:rPr>
        <w:t>.</w:t>
      </w:r>
      <w:r w:rsidRPr="00CE23AE">
        <w:rPr>
          <w:rFonts w:eastAsia="Calibri" w:cs="Verdana"/>
          <w:szCs w:val="20"/>
          <w:lang w:val="en-US"/>
        </w:rPr>
        <w:t>”</w:t>
      </w:r>
      <w:r w:rsidRPr="00CE23AE">
        <w:rPr>
          <w:rFonts w:eastAsia="Calibri" w:cs="Verdana"/>
          <w:b/>
          <w:szCs w:val="20"/>
          <w:lang w:val="en-US"/>
        </w:rPr>
        <w:t xml:space="preserve"> </w:t>
      </w:r>
    </w:p>
    <w:p w14:paraId="5F9CC2A4" w14:textId="77777777" w:rsidR="008C5658" w:rsidRPr="00CE23AE" w:rsidRDefault="008C5658" w:rsidP="008C5658">
      <w:pPr>
        <w:tabs>
          <w:tab w:val="left" w:pos="567"/>
        </w:tabs>
        <w:spacing w:line="240" w:lineRule="auto"/>
        <w:rPr>
          <w:rFonts w:eastAsia="Calibri" w:cs="Verdana"/>
          <w:szCs w:val="20"/>
          <w:lang w:val="en-US"/>
        </w:rPr>
      </w:pPr>
    </w:p>
    <w:p w14:paraId="1BE406BD" w14:textId="76C03C04" w:rsidR="00807D73" w:rsidRPr="00CE23AE" w:rsidRDefault="00C561DF" w:rsidP="00582D8D">
      <w:pPr>
        <w:numPr>
          <w:ilvl w:val="0"/>
          <w:numId w:val="6"/>
        </w:numPr>
        <w:tabs>
          <w:tab w:val="left" w:pos="567"/>
        </w:tabs>
        <w:spacing w:line="240" w:lineRule="auto"/>
        <w:rPr>
          <w:rFonts w:eastAsia="Calibri" w:cs="Verdana"/>
          <w:szCs w:val="20"/>
          <w:lang w:val="en-US"/>
        </w:rPr>
      </w:pPr>
      <w:bookmarkStart w:id="19" w:name="_Ref453869259"/>
      <w:r w:rsidRPr="00CE23AE">
        <w:rPr>
          <w:rFonts w:eastAsia="Calibri" w:cs="Verdana"/>
          <w:i/>
          <w:iCs/>
          <w:szCs w:val="20"/>
          <w:lang w:val="en-US"/>
        </w:rPr>
        <w:t>Submission to</w:t>
      </w:r>
      <w:r w:rsidR="00C51E3C" w:rsidRPr="00CE23AE">
        <w:rPr>
          <w:rFonts w:eastAsia="Calibri" w:cs="Verdana"/>
          <w:i/>
          <w:iCs/>
          <w:szCs w:val="20"/>
          <w:lang w:val="en-US"/>
        </w:rPr>
        <w:t xml:space="preserve"> </w:t>
      </w:r>
      <w:r w:rsidRPr="00CE23AE">
        <w:rPr>
          <w:rFonts w:eastAsia="Calibri" w:cs="Verdana"/>
          <w:i/>
          <w:iCs/>
          <w:szCs w:val="20"/>
          <w:lang w:val="en-US"/>
        </w:rPr>
        <w:t>the Court</w:t>
      </w:r>
      <w:r w:rsidR="00C51E3C" w:rsidRPr="00CE23AE">
        <w:rPr>
          <w:rFonts w:eastAsia="Calibri" w:cs="Verdana"/>
          <w:i/>
          <w:iCs/>
          <w:szCs w:val="20"/>
          <w:lang w:val="en-US"/>
        </w:rPr>
        <w:t xml:space="preserve">. </w:t>
      </w:r>
      <w:r w:rsidRPr="00CE23AE">
        <w:rPr>
          <w:rFonts w:eastAsia="Calibri" w:cs="Verdana"/>
          <w:szCs w:val="20"/>
          <w:lang w:val="en-US"/>
        </w:rPr>
        <w:t>On December 11,</w:t>
      </w:r>
      <w:r w:rsidR="00C51E3C" w:rsidRPr="00CE23AE">
        <w:rPr>
          <w:rFonts w:eastAsia="Calibri" w:cs="Verdana"/>
          <w:szCs w:val="20"/>
          <w:lang w:val="en-US"/>
        </w:rPr>
        <w:t xml:space="preserve"> 2014 </w:t>
      </w:r>
      <w:r w:rsidRPr="00CE23AE">
        <w:rPr>
          <w:rFonts w:eastAsia="Calibri" w:cs="Verdana"/>
          <w:szCs w:val="20"/>
          <w:lang w:val="en-US"/>
        </w:rPr>
        <w:t>the Commission</w:t>
      </w:r>
      <w:r w:rsidR="00C51E3C" w:rsidRPr="00CE23AE">
        <w:rPr>
          <w:rFonts w:eastAsia="Calibri" w:cs="Verdana"/>
          <w:szCs w:val="20"/>
          <w:lang w:val="en-US"/>
        </w:rPr>
        <w:t xml:space="preserve"> </w:t>
      </w:r>
      <w:r w:rsidR="005C743F" w:rsidRPr="00CE23AE">
        <w:rPr>
          <w:rFonts w:eastAsia="Calibri" w:cs="Verdana"/>
          <w:szCs w:val="20"/>
          <w:lang w:val="en-US"/>
        </w:rPr>
        <w:t>submitted this case to</w:t>
      </w:r>
      <w:r w:rsidR="00C51E3C" w:rsidRPr="00CE23AE">
        <w:rPr>
          <w:rFonts w:eastAsia="Calibri" w:cs="Verdana"/>
          <w:szCs w:val="20"/>
          <w:lang w:val="en-US"/>
        </w:rPr>
        <w:t xml:space="preserve"> </w:t>
      </w:r>
      <w:r w:rsidRPr="00CE23AE">
        <w:rPr>
          <w:rFonts w:eastAsia="Calibri" w:cs="Verdana"/>
          <w:szCs w:val="20"/>
          <w:lang w:val="en-US"/>
        </w:rPr>
        <w:t>the Court</w:t>
      </w:r>
      <w:r w:rsidR="00C51E3C" w:rsidRPr="00CE23AE">
        <w:rPr>
          <w:rFonts w:eastAsia="Calibri" w:cs="Verdana"/>
          <w:szCs w:val="20"/>
          <w:lang w:val="en-US"/>
        </w:rPr>
        <w:t xml:space="preserve"> </w:t>
      </w:r>
      <w:r w:rsidR="005C743F" w:rsidRPr="00CE23AE">
        <w:rPr>
          <w:rFonts w:eastAsia="Calibri" w:cs="Verdana"/>
          <w:szCs w:val="20"/>
          <w:lang w:val="en-US"/>
        </w:rPr>
        <w:t>indicating that, even though the Ecuadorian State had carried out an act of public apology on July 28,</w:t>
      </w:r>
      <w:r w:rsidR="00C51E3C" w:rsidRPr="00CE23AE">
        <w:rPr>
          <w:rFonts w:eastAsia="Calibri" w:cs="Verdana"/>
          <w:szCs w:val="20"/>
          <w:lang w:val="en-US"/>
        </w:rPr>
        <w:t xml:space="preserve"> 2014, “</w:t>
      </w:r>
      <w:r w:rsidR="0074464F" w:rsidRPr="00CE23AE">
        <w:rPr>
          <w:rFonts w:eastAsia="Calibri" w:cs="Verdana"/>
          <w:szCs w:val="20"/>
          <w:lang w:val="en-US"/>
        </w:rPr>
        <w:t>considering</w:t>
      </w:r>
      <w:r w:rsidR="005C743F" w:rsidRPr="00CE23AE">
        <w:rPr>
          <w:rFonts w:eastAsia="Calibri" w:cs="Verdana"/>
          <w:szCs w:val="20"/>
          <w:lang w:val="en-US"/>
        </w:rPr>
        <w:t xml:space="preserve"> the </w:t>
      </w:r>
      <w:r w:rsidR="0074464F" w:rsidRPr="00CE23AE">
        <w:rPr>
          <w:rFonts w:eastAsia="Calibri" w:cs="Verdana"/>
          <w:szCs w:val="20"/>
          <w:lang w:val="en-US"/>
        </w:rPr>
        <w:t>disagreement</w:t>
      </w:r>
      <w:r w:rsidR="005C743F" w:rsidRPr="00CE23AE">
        <w:rPr>
          <w:rFonts w:eastAsia="Calibri" w:cs="Verdana"/>
          <w:szCs w:val="20"/>
          <w:lang w:val="en-US"/>
        </w:rPr>
        <w:t xml:space="preserve"> between the parties on the </w:t>
      </w:r>
      <w:r w:rsidR="0074464F" w:rsidRPr="00CE23AE">
        <w:rPr>
          <w:rFonts w:eastAsia="Calibri" w:cs="Verdana"/>
          <w:szCs w:val="20"/>
          <w:lang w:val="en-US"/>
        </w:rPr>
        <w:t>remaining</w:t>
      </w:r>
      <w:r w:rsidR="005C743F" w:rsidRPr="00CE23AE">
        <w:rPr>
          <w:rFonts w:eastAsia="Calibri" w:cs="Verdana"/>
          <w:szCs w:val="20"/>
          <w:lang w:val="en-US"/>
        </w:rPr>
        <w:t xml:space="preserve"> reparations and the consequent</w:t>
      </w:r>
      <w:r w:rsidR="0074464F" w:rsidRPr="00CE23AE">
        <w:rPr>
          <w:rFonts w:eastAsia="Calibri" w:cs="Verdana"/>
          <w:szCs w:val="20"/>
          <w:lang w:val="en-US"/>
        </w:rPr>
        <w:t xml:space="preserve"> lack of full rep</w:t>
      </w:r>
      <w:r w:rsidR="00281667" w:rsidRPr="00CE23AE">
        <w:rPr>
          <w:rFonts w:eastAsia="Calibri" w:cs="Verdana"/>
          <w:szCs w:val="20"/>
          <w:lang w:val="en-US"/>
        </w:rPr>
        <w:t>aration</w:t>
      </w:r>
      <w:r w:rsidR="00C51E3C" w:rsidRPr="00CE23AE">
        <w:rPr>
          <w:rFonts w:eastAsia="Calibri" w:cs="Verdana"/>
          <w:szCs w:val="20"/>
          <w:lang w:val="en-US"/>
        </w:rPr>
        <w:t xml:space="preserve">, </w:t>
      </w:r>
      <w:r w:rsidRPr="00CE23AE">
        <w:rPr>
          <w:rFonts w:eastAsia="Calibri" w:cs="Verdana"/>
          <w:szCs w:val="20"/>
          <w:lang w:val="en-US"/>
        </w:rPr>
        <w:t>the Commission</w:t>
      </w:r>
      <w:r w:rsidR="00C51E3C" w:rsidRPr="00CE23AE">
        <w:rPr>
          <w:rFonts w:eastAsia="Calibri" w:cs="Verdana"/>
          <w:szCs w:val="20"/>
          <w:lang w:val="en-US"/>
        </w:rPr>
        <w:t xml:space="preserve"> </w:t>
      </w:r>
      <w:r w:rsidR="005C743F" w:rsidRPr="00CE23AE">
        <w:rPr>
          <w:rFonts w:eastAsia="Calibri" w:cs="Verdana"/>
          <w:szCs w:val="20"/>
          <w:lang w:val="en-US"/>
        </w:rPr>
        <w:t xml:space="preserve">decided to submit </w:t>
      </w:r>
      <w:r w:rsidR="00281667" w:rsidRPr="00CE23AE">
        <w:rPr>
          <w:rFonts w:eastAsia="Calibri" w:cs="Verdana"/>
          <w:szCs w:val="20"/>
          <w:lang w:val="en-US"/>
        </w:rPr>
        <w:t xml:space="preserve">all the facts and human rights violations described in </w:t>
      </w:r>
      <w:r w:rsidRPr="00CE23AE">
        <w:rPr>
          <w:rFonts w:eastAsia="Calibri" w:cs="Verdana"/>
          <w:szCs w:val="20"/>
          <w:lang w:val="en-US"/>
        </w:rPr>
        <w:t>Merits Report</w:t>
      </w:r>
      <w:r w:rsidR="00C51E3C" w:rsidRPr="00CE23AE">
        <w:rPr>
          <w:rFonts w:eastAsia="Calibri" w:cs="Verdana"/>
          <w:szCs w:val="20"/>
          <w:lang w:val="en-US"/>
        </w:rPr>
        <w:t xml:space="preserve"> 81/13</w:t>
      </w:r>
      <w:r w:rsidR="00576908" w:rsidRPr="00CE23AE">
        <w:rPr>
          <w:rFonts w:eastAsia="Calibri" w:cs="Verdana"/>
          <w:szCs w:val="20"/>
          <w:lang w:val="en-US"/>
        </w:rPr>
        <w:t xml:space="preserve"> to the jurisdiction of the Court</w:t>
      </w:r>
      <w:r w:rsidR="00C51E3C" w:rsidRPr="00CE23AE">
        <w:rPr>
          <w:rFonts w:eastAsia="Calibri" w:cs="Verdana"/>
          <w:szCs w:val="20"/>
          <w:lang w:val="en-US"/>
        </w:rPr>
        <w:t xml:space="preserve">, </w:t>
      </w:r>
      <w:r w:rsidR="00281667" w:rsidRPr="00CE23AE">
        <w:rPr>
          <w:rFonts w:eastAsia="Calibri" w:cs="Verdana"/>
          <w:szCs w:val="20"/>
          <w:lang w:val="en-US"/>
        </w:rPr>
        <w:t xml:space="preserve">given the need to obtain justice for the [presumed] victim in this </w:t>
      </w:r>
      <w:r w:rsidR="00522A39" w:rsidRPr="00CE23AE">
        <w:rPr>
          <w:rFonts w:eastAsia="Calibri" w:cs="Verdana"/>
          <w:szCs w:val="20"/>
          <w:lang w:val="en-US"/>
        </w:rPr>
        <w:t>case. “The</w:t>
      </w:r>
      <w:r w:rsidRPr="00CE23AE">
        <w:rPr>
          <w:rFonts w:eastAsia="Calibri" w:cs="Verdana"/>
          <w:szCs w:val="20"/>
          <w:lang w:val="en-US"/>
        </w:rPr>
        <w:t xml:space="preserve"> Commission</w:t>
      </w:r>
      <w:r w:rsidR="00C51E3C" w:rsidRPr="00CE23AE">
        <w:rPr>
          <w:rFonts w:eastAsia="Calibri" w:cs="Verdana"/>
          <w:szCs w:val="20"/>
          <w:lang w:val="en-US"/>
        </w:rPr>
        <w:t xml:space="preserve"> </w:t>
      </w:r>
      <w:r w:rsidR="005C743F" w:rsidRPr="00CE23AE">
        <w:rPr>
          <w:rFonts w:eastAsia="Calibri" w:cs="Verdana"/>
          <w:szCs w:val="20"/>
          <w:lang w:val="en-US"/>
        </w:rPr>
        <w:t>appointed</w:t>
      </w:r>
      <w:r w:rsidR="00C51E3C" w:rsidRPr="00CE23AE">
        <w:rPr>
          <w:rFonts w:eastAsia="Calibri" w:cs="Verdana"/>
          <w:szCs w:val="20"/>
          <w:lang w:val="en-US"/>
        </w:rPr>
        <w:t xml:space="preserve"> </w:t>
      </w:r>
      <w:r w:rsidR="005C743F" w:rsidRPr="00CE23AE">
        <w:rPr>
          <w:rFonts w:eastAsia="Calibri" w:cs="Verdana"/>
          <w:szCs w:val="20"/>
          <w:lang w:val="en-US"/>
        </w:rPr>
        <w:t>Commissioner</w:t>
      </w:r>
      <w:r w:rsidR="00C51E3C" w:rsidRPr="00CE23AE">
        <w:rPr>
          <w:rFonts w:eastAsia="Calibri" w:cs="Verdana"/>
          <w:szCs w:val="20"/>
          <w:lang w:val="en-US"/>
        </w:rPr>
        <w:t xml:space="preserve"> Rose Marie B. Antoine</w:t>
      </w:r>
      <w:r w:rsidRPr="00CE23AE">
        <w:rPr>
          <w:rFonts w:eastAsia="Calibri" w:cs="Verdana"/>
          <w:szCs w:val="20"/>
          <w:lang w:val="en-US"/>
        </w:rPr>
        <w:t xml:space="preserve"> and</w:t>
      </w:r>
      <w:r w:rsidR="00C51E3C" w:rsidRPr="00CE23AE">
        <w:rPr>
          <w:rFonts w:eastAsia="Calibri" w:cs="Verdana"/>
          <w:szCs w:val="20"/>
          <w:lang w:val="en-US"/>
        </w:rPr>
        <w:t xml:space="preserve"> </w:t>
      </w:r>
      <w:r w:rsidR="005C743F" w:rsidRPr="00CE23AE">
        <w:rPr>
          <w:rFonts w:eastAsia="Calibri" w:cs="Verdana"/>
          <w:szCs w:val="20"/>
          <w:lang w:val="en-US"/>
        </w:rPr>
        <w:t xml:space="preserve">Executive </w:t>
      </w:r>
      <w:r w:rsidRPr="00CE23AE">
        <w:rPr>
          <w:rFonts w:eastAsia="Calibri" w:cs="Verdana"/>
          <w:szCs w:val="20"/>
          <w:lang w:val="en-US"/>
        </w:rPr>
        <w:t>Secretary</w:t>
      </w:r>
      <w:r w:rsidR="00C51E3C" w:rsidRPr="00CE23AE">
        <w:rPr>
          <w:rFonts w:eastAsia="Calibri" w:cs="Verdana"/>
          <w:szCs w:val="20"/>
          <w:lang w:val="en-US"/>
        </w:rPr>
        <w:t xml:space="preserve"> Emilio Álvarez lcaza</w:t>
      </w:r>
      <w:r w:rsidR="005C743F" w:rsidRPr="00CE23AE">
        <w:rPr>
          <w:rFonts w:eastAsia="Calibri" w:cs="Verdana"/>
          <w:szCs w:val="20"/>
          <w:lang w:val="en-US"/>
        </w:rPr>
        <w:t xml:space="preserve"> as</w:t>
      </w:r>
      <w:r w:rsidR="00576908" w:rsidRPr="00CE23AE">
        <w:rPr>
          <w:rFonts w:eastAsia="Calibri" w:cs="Verdana"/>
          <w:szCs w:val="20"/>
          <w:lang w:val="en-US"/>
        </w:rPr>
        <w:t xml:space="preserve"> </w:t>
      </w:r>
      <w:r w:rsidR="005C743F" w:rsidRPr="00CE23AE">
        <w:rPr>
          <w:rFonts w:eastAsia="Calibri" w:cs="Verdana"/>
          <w:szCs w:val="20"/>
          <w:lang w:val="en-US"/>
        </w:rPr>
        <w:t>delegates</w:t>
      </w:r>
      <w:r w:rsidR="00576908" w:rsidRPr="00CE23AE">
        <w:rPr>
          <w:rFonts w:eastAsia="Calibri" w:cs="Verdana"/>
          <w:szCs w:val="20"/>
          <w:lang w:val="en-US"/>
        </w:rPr>
        <w:t xml:space="preserve">, and </w:t>
      </w:r>
      <w:r w:rsidR="00C51E3C" w:rsidRPr="00CE23AE">
        <w:rPr>
          <w:rFonts w:eastAsia="Calibri" w:cs="Verdana"/>
          <w:szCs w:val="20"/>
          <w:lang w:val="en-US"/>
        </w:rPr>
        <w:t xml:space="preserve">Elizabeth Abi-Mershed, </w:t>
      </w:r>
      <w:r w:rsidR="005C743F" w:rsidRPr="00CE23AE">
        <w:rPr>
          <w:rFonts w:eastAsia="Calibri" w:cs="Verdana"/>
          <w:szCs w:val="20"/>
          <w:lang w:val="en-US"/>
        </w:rPr>
        <w:t xml:space="preserve">Deputy Executive </w:t>
      </w:r>
      <w:r w:rsidRPr="00CE23AE">
        <w:rPr>
          <w:rFonts w:eastAsia="Calibri" w:cs="Verdana"/>
          <w:szCs w:val="20"/>
          <w:lang w:val="en-US"/>
        </w:rPr>
        <w:t>Secretary</w:t>
      </w:r>
      <w:r w:rsidR="00C51E3C" w:rsidRPr="00CE23AE">
        <w:rPr>
          <w:rFonts w:eastAsia="Calibri" w:cs="Verdana"/>
          <w:szCs w:val="20"/>
          <w:lang w:val="en-US"/>
        </w:rPr>
        <w:t xml:space="preserve">, </w:t>
      </w:r>
      <w:r w:rsidR="005C743F" w:rsidRPr="00CE23AE">
        <w:rPr>
          <w:rFonts w:eastAsia="Calibri" w:cs="Verdana"/>
          <w:szCs w:val="20"/>
          <w:lang w:val="en-US"/>
        </w:rPr>
        <w:t>and</w:t>
      </w:r>
      <w:r w:rsidR="00C51E3C" w:rsidRPr="00CE23AE">
        <w:rPr>
          <w:rFonts w:eastAsia="Calibri" w:cs="Verdana"/>
          <w:szCs w:val="20"/>
          <w:lang w:val="en-US"/>
        </w:rPr>
        <w:t xml:space="preserve"> Silvia Serrano Guzmán, Fanny Gómez Lugo</w:t>
      </w:r>
      <w:r w:rsidRPr="00CE23AE">
        <w:rPr>
          <w:rFonts w:eastAsia="Calibri" w:cs="Verdana"/>
          <w:szCs w:val="20"/>
          <w:lang w:val="en-US"/>
        </w:rPr>
        <w:t xml:space="preserve"> and </w:t>
      </w:r>
      <w:r w:rsidR="00C51E3C" w:rsidRPr="00CE23AE">
        <w:rPr>
          <w:rFonts w:eastAsia="Calibri" w:cs="Verdana"/>
          <w:szCs w:val="20"/>
          <w:lang w:val="en-US"/>
        </w:rPr>
        <w:t xml:space="preserve">Selene Soto Rodríguez, </w:t>
      </w:r>
      <w:r w:rsidR="005C743F" w:rsidRPr="00CE23AE">
        <w:rPr>
          <w:rFonts w:eastAsia="Calibri" w:cs="Verdana"/>
          <w:szCs w:val="20"/>
          <w:lang w:val="en-US"/>
        </w:rPr>
        <w:t xml:space="preserve">Executive Secretariat lawyers, </w:t>
      </w:r>
      <w:bookmarkEnd w:id="5"/>
      <w:r w:rsidR="005C743F" w:rsidRPr="00CE23AE">
        <w:rPr>
          <w:rFonts w:eastAsia="Calibri" w:cs="Verdana"/>
          <w:szCs w:val="20"/>
          <w:lang w:val="en-US"/>
        </w:rPr>
        <w:t>as legal advisers.</w:t>
      </w:r>
      <w:bookmarkEnd w:id="19"/>
    </w:p>
    <w:p w14:paraId="15E34F7D" w14:textId="77777777" w:rsidR="00807D73" w:rsidRPr="00CE23AE" w:rsidRDefault="00807D73" w:rsidP="00807D73">
      <w:pPr>
        <w:tabs>
          <w:tab w:val="left" w:pos="567"/>
        </w:tabs>
        <w:spacing w:line="240" w:lineRule="auto"/>
        <w:rPr>
          <w:rFonts w:eastAsia="Calibri" w:cs="Verdana"/>
          <w:szCs w:val="20"/>
          <w:lang w:val="en-US"/>
        </w:rPr>
      </w:pPr>
    </w:p>
    <w:p w14:paraId="4C6D252F" w14:textId="1DA8F26F" w:rsidR="008C5658" w:rsidRPr="00CE23AE" w:rsidRDefault="00C561DF" w:rsidP="00582D8D">
      <w:pPr>
        <w:numPr>
          <w:ilvl w:val="0"/>
          <w:numId w:val="6"/>
        </w:numPr>
        <w:tabs>
          <w:tab w:val="left" w:pos="567"/>
        </w:tabs>
        <w:spacing w:line="240" w:lineRule="auto"/>
        <w:rPr>
          <w:rFonts w:eastAsia="Calibri" w:cs="Verdana"/>
          <w:szCs w:val="20"/>
          <w:lang w:val="en-US"/>
        </w:rPr>
      </w:pPr>
      <w:r w:rsidRPr="00CE23AE">
        <w:rPr>
          <w:i/>
          <w:lang w:val="en-US"/>
        </w:rPr>
        <w:t>Request</w:t>
      </w:r>
      <w:r w:rsidR="008C5658" w:rsidRPr="00CE23AE">
        <w:rPr>
          <w:i/>
          <w:lang w:val="en-US"/>
        </w:rPr>
        <w:t>s</w:t>
      </w:r>
      <w:r w:rsidRPr="00CE23AE">
        <w:rPr>
          <w:i/>
          <w:lang w:val="en-US"/>
        </w:rPr>
        <w:t xml:space="preserve"> of the Inter-American Commission</w:t>
      </w:r>
      <w:r w:rsidR="008C5658" w:rsidRPr="00CE23AE">
        <w:rPr>
          <w:lang w:val="en-US"/>
        </w:rPr>
        <w:t>.</w:t>
      </w:r>
      <w:r w:rsidR="008D671B" w:rsidRPr="00CE23AE">
        <w:rPr>
          <w:lang w:val="en-US"/>
        </w:rPr>
        <w:t xml:space="preserve"> </w:t>
      </w:r>
      <w:r w:rsidRPr="00CE23AE">
        <w:rPr>
          <w:lang w:val="en-US"/>
        </w:rPr>
        <w:t>Based on the above</w:t>
      </w:r>
      <w:r w:rsidR="008C5658" w:rsidRPr="00CE23AE">
        <w:rPr>
          <w:lang w:val="en-US"/>
        </w:rPr>
        <w:t xml:space="preserve">, </w:t>
      </w:r>
      <w:r w:rsidRPr="00CE23AE">
        <w:rPr>
          <w:lang w:val="en-US"/>
        </w:rPr>
        <w:t>the Inter-American Commission</w:t>
      </w:r>
      <w:r w:rsidR="008C5658" w:rsidRPr="00CE23AE">
        <w:rPr>
          <w:lang w:val="en-US"/>
        </w:rPr>
        <w:t xml:space="preserve"> </w:t>
      </w:r>
      <w:r w:rsidRPr="00CE23AE">
        <w:rPr>
          <w:lang w:val="en-US"/>
        </w:rPr>
        <w:t xml:space="preserve">asked this Court to find and declare the international responsibility of Ecuador for the violations contained in its Merits Report and to require the </w:t>
      </w:r>
      <w:r w:rsidR="00522A39" w:rsidRPr="00CE23AE">
        <w:rPr>
          <w:lang w:val="en-US"/>
        </w:rPr>
        <w:t>State</w:t>
      </w:r>
      <w:r w:rsidRPr="00CE23AE">
        <w:rPr>
          <w:lang w:val="en-US"/>
        </w:rPr>
        <w:t>, as measures of reparation, to comply with the recommendations</w:t>
      </w:r>
      <w:r w:rsidR="008C5658" w:rsidRPr="00CE23AE">
        <w:rPr>
          <w:lang w:val="en-US"/>
        </w:rPr>
        <w:t xml:space="preserve"> </w:t>
      </w:r>
      <w:r w:rsidRPr="00CE23AE">
        <w:rPr>
          <w:lang w:val="en-US"/>
        </w:rPr>
        <w:t>included in that report</w:t>
      </w:r>
      <w:r w:rsidR="008C5658" w:rsidRPr="00CE23AE">
        <w:rPr>
          <w:lang w:val="en-US"/>
        </w:rPr>
        <w:t xml:space="preserve"> (</w:t>
      </w:r>
      <w:r w:rsidR="008C5658" w:rsidRPr="00CE23AE">
        <w:rPr>
          <w:i/>
          <w:lang w:val="en-US"/>
        </w:rPr>
        <w:t>supra</w:t>
      </w:r>
      <w:r w:rsidR="008C5658" w:rsidRPr="00CE23AE">
        <w:rPr>
          <w:lang w:val="en-US"/>
        </w:rPr>
        <w:t xml:space="preserve"> </w:t>
      </w:r>
      <w:r w:rsidR="005C743F" w:rsidRPr="00CE23AE">
        <w:rPr>
          <w:lang w:val="en-US"/>
        </w:rPr>
        <w:t>para.</w:t>
      </w:r>
      <w:r w:rsidR="008C5658" w:rsidRPr="00CE23AE">
        <w:rPr>
          <w:lang w:val="en-US"/>
        </w:rPr>
        <w:t xml:space="preserve"> </w:t>
      </w:r>
      <w:r w:rsidR="008C5658" w:rsidRPr="00CE23AE">
        <w:rPr>
          <w:lang w:val="en-US"/>
        </w:rPr>
        <w:fldChar w:fldCharType="begin"/>
      </w:r>
      <w:r w:rsidR="008C5658" w:rsidRPr="00CE23AE">
        <w:rPr>
          <w:lang w:val="en-US"/>
        </w:rPr>
        <w:instrText xml:space="preserve"> REF _Ref447113252 \r \h </w:instrText>
      </w:r>
      <w:r w:rsidR="00CE23AE">
        <w:rPr>
          <w:lang w:val="en-US"/>
        </w:rPr>
        <w:instrText xml:space="preserve"> \* MERGEFORMAT </w:instrText>
      </w:r>
      <w:r w:rsidR="008C5658" w:rsidRPr="00CE23AE">
        <w:rPr>
          <w:lang w:val="en-US"/>
        </w:rPr>
      </w:r>
      <w:r w:rsidR="008C5658" w:rsidRPr="00CE23AE">
        <w:rPr>
          <w:lang w:val="en-US"/>
        </w:rPr>
        <w:fldChar w:fldCharType="separate"/>
      </w:r>
      <w:r w:rsidR="00BC2953" w:rsidRPr="00CE23AE">
        <w:rPr>
          <w:lang w:val="en-US"/>
        </w:rPr>
        <w:t>2</w:t>
      </w:r>
      <w:r w:rsidR="008C5658" w:rsidRPr="00CE23AE">
        <w:rPr>
          <w:lang w:val="en-US"/>
        </w:rPr>
        <w:fldChar w:fldCharType="end"/>
      </w:r>
      <w:r w:rsidR="008C5658" w:rsidRPr="00CE23AE">
        <w:rPr>
          <w:lang w:val="en-US"/>
        </w:rPr>
        <w:t>).</w:t>
      </w:r>
    </w:p>
    <w:p w14:paraId="12384D73" w14:textId="77777777" w:rsidR="00C51E3C" w:rsidRPr="00CE23AE" w:rsidRDefault="00C51E3C" w:rsidP="00C51E3C">
      <w:pPr>
        <w:tabs>
          <w:tab w:val="left" w:pos="0"/>
          <w:tab w:val="left" w:pos="567"/>
        </w:tabs>
        <w:spacing w:line="240" w:lineRule="auto"/>
        <w:rPr>
          <w:rFonts w:eastAsia="Calibri" w:cs="Verdana"/>
          <w:b/>
          <w:bCs/>
          <w:szCs w:val="20"/>
          <w:lang w:val="en-US"/>
        </w:rPr>
      </w:pPr>
    </w:p>
    <w:p w14:paraId="14FFF24C" w14:textId="17E24E51" w:rsidR="00C51E3C" w:rsidRPr="00CE23AE" w:rsidRDefault="00C51E3C" w:rsidP="00C51E3C">
      <w:pPr>
        <w:pStyle w:val="Ttulo1"/>
        <w:rPr>
          <w:spacing w:val="0"/>
          <w:lang w:val="en-US"/>
        </w:rPr>
      </w:pPr>
      <w:bookmarkStart w:id="20" w:name="_Toc372568229"/>
      <w:bookmarkStart w:id="21" w:name="_Toc373093235"/>
      <w:bookmarkStart w:id="22" w:name="_Toc373350047"/>
      <w:bookmarkStart w:id="23" w:name="_Toc375560893"/>
      <w:bookmarkStart w:id="24" w:name="_Toc401931878"/>
      <w:bookmarkStart w:id="25" w:name="_Toc428369977"/>
      <w:bookmarkStart w:id="26" w:name="_Toc453874301"/>
      <w:bookmarkStart w:id="27" w:name="_Toc454891462"/>
      <w:bookmarkStart w:id="28" w:name="_Toc457840566"/>
      <w:bookmarkStart w:id="29" w:name="_Toc464474953"/>
      <w:bookmarkStart w:id="30" w:name="_Toc46388340"/>
      <w:r w:rsidRPr="00CE23AE">
        <w:rPr>
          <w:spacing w:val="0"/>
          <w:lang w:val="en-US"/>
        </w:rPr>
        <w:t>II</w:t>
      </w:r>
      <w:bookmarkStart w:id="31" w:name="_Toc375062711"/>
      <w:bookmarkStart w:id="32" w:name="_Toc375140861"/>
      <w:bookmarkStart w:id="33" w:name="_Toc375504820"/>
      <w:bookmarkStart w:id="34" w:name="_Toc375560894"/>
      <w:bookmarkEnd w:id="20"/>
      <w:bookmarkEnd w:id="21"/>
      <w:bookmarkEnd w:id="22"/>
      <w:bookmarkEnd w:id="23"/>
      <w:r w:rsidRPr="00CE23AE">
        <w:rPr>
          <w:color w:val="FFFFFF"/>
          <w:spacing w:val="0"/>
          <w:lang w:val="en-US"/>
        </w:rPr>
        <w:t>.</w:t>
      </w:r>
      <w:r w:rsidRPr="00CE23AE">
        <w:rPr>
          <w:spacing w:val="0"/>
          <w:lang w:val="en-US"/>
        </w:rPr>
        <w:br/>
      </w:r>
      <w:r w:rsidR="00C561DF" w:rsidRPr="00CE23AE">
        <w:rPr>
          <w:spacing w:val="0"/>
          <w:lang w:val="en-US"/>
        </w:rPr>
        <w:t>PROCEEDINGS BEFORE</w:t>
      </w:r>
      <w:r w:rsidRPr="00CE23AE">
        <w:rPr>
          <w:spacing w:val="0"/>
          <w:lang w:val="en-US"/>
        </w:rPr>
        <w:t xml:space="preserve"> </w:t>
      </w:r>
      <w:r w:rsidR="00C561DF" w:rsidRPr="00CE23AE">
        <w:rPr>
          <w:spacing w:val="0"/>
          <w:lang w:val="en-US"/>
        </w:rPr>
        <w:t>THE COURT</w:t>
      </w:r>
      <w:bookmarkEnd w:id="24"/>
      <w:bookmarkEnd w:id="25"/>
      <w:bookmarkEnd w:id="26"/>
      <w:bookmarkEnd w:id="27"/>
      <w:bookmarkEnd w:id="28"/>
      <w:bookmarkEnd w:id="29"/>
      <w:bookmarkEnd w:id="30"/>
      <w:bookmarkEnd w:id="31"/>
      <w:bookmarkEnd w:id="32"/>
      <w:bookmarkEnd w:id="33"/>
      <w:bookmarkEnd w:id="34"/>
    </w:p>
    <w:p w14:paraId="39FF05F5" w14:textId="77777777" w:rsidR="00C51E3C" w:rsidRPr="00CE23AE" w:rsidRDefault="00C51E3C" w:rsidP="00C51E3C">
      <w:pPr>
        <w:pStyle w:val="Default"/>
        <w:jc w:val="both"/>
        <w:rPr>
          <w:spacing w:val="0"/>
          <w:sz w:val="20"/>
          <w:szCs w:val="20"/>
          <w:lang w:val="en-US"/>
        </w:rPr>
      </w:pPr>
      <w:bookmarkStart w:id="35" w:name="_Ref305145760"/>
      <w:bookmarkStart w:id="36" w:name="_Ref343193232"/>
      <w:bookmarkStart w:id="37" w:name="_Ref354764277"/>
      <w:bookmarkStart w:id="38" w:name="_Ref292815256"/>
      <w:bookmarkStart w:id="39" w:name="_Ref303533128"/>
    </w:p>
    <w:p w14:paraId="07945243" w14:textId="0F2985D4" w:rsidR="00C51E3C" w:rsidRPr="00CE23AE" w:rsidRDefault="00C51E3C" w:rsidP="00582D8D">
      <w:pPr>
        <w:numPr>
          <w:ilvl w:val="0"/>
          <w:numId w:val="6"/>
        </w:numPr>
        <w:tabs>
          <w:tab w:val="left" w:pos="567"/>
        </w:tabs>
        <w:spacing w:line="240" w:lineRule="auto"/>
        <w:rPr>
          <w:szCs w:val="20"/>
          <w:lang w:val="en-US"/>
        </w:rPr>
      </w:pPr>
      <w:bookmarkStart w:id="40" w:name="_Ref375074590"/>
      <w:r w:rsidRPr="00CE23AE">
        <w:rPr>
          <w:i/>
          <w:iCs/>
          <w:szCs w:val="20"/>
          <w:lang w:val="en-US"/>
        </w:rPr>
        <w:t>Notifica</w:t>
      </w:r>
      <w:r w:rsidR="00C561DF" w:rsidRPr="00CE23AE">
        <w:rPr>
          <w:i/>
          <w:iCs/>
          <w:szCs w:val="20"/>
          <w:lang w:val="en-US"/>
        </w:rPr>
        <w:t xml:space="preserve">tion to the State and to the representative. </w:t>
      </w:r>
      <w:r w:rsidR="00C561DF" w:rsidRPr="00CE23AE">
        <w:rPr>
          <w:szCs w:val="20"/>
          <w:lang w:val="en-US"/>
        </w:rPr>
        <w:t>The submission of the case was notified to the State and to the representative of the presumed victim</w:t>
      </w:r>
      <w:r w:rsidRPr="00CE23AE">
        <w:rPr>
          <w:rStyle w:val="Refdenotaalpie"/>
          <w:szCs w:val="20"/>
          <w:lang w:val="en-US"/>
        </w:rPr>
        <w:footnoteReference w:id="5"/>
      </w:r>
      <w:r w:rsidRPr="00CE23AE">
        <w:rPr>
          <w:szCs w:val="20"/>
          <w:lang w:val="en-US"/>
        </w:rPr>
        <w:t xml:space="preserve"> (</w:t>
      </w:r>
      <w:r w:rsidR="00C561DF" w:rsidRPr="00CE23AE">
        <w:rPr>
          <w:szCs w:val="20"/>
          <w:lang w:val="en-US"/>
        </w:rPr>
        <w:t>hereinafter</w:t>
      </w:r>
      <w:r w:rsidRPr="00CE23AE">
        <w:rPr>
          <w:szCs w:val="20"/>
          <w:lang w:val="en-US"/>
        </w:rPr>
        <w:t xml:space="preserve"> “</w:t>
      </w:r>
      <w:r w:rsidR="00C561DF" w:rsidRPr="00CE23AE">
        <w:rPr>
          <w:szCs w:val="20"/>
          <w:lang w:val="en-US"/>
        </w:rPr>
        <w:t>the representative</w:t>
      </w:r>
      <w:r w:rsidRPr="00CE23AE">
        <w:rPr>
          <w:szCs w:val="20"/>
          <w:lang w:val="en-US"/>
        </w:rPr>
        <w:t xml:space="preserve">”) </w:t>
      </w:r>
      <w:bookmarkEnd w:id="40"/>
      <w:r w:rsidR="00C561DF" w:rsidRPr="00CE23AE">
        <w:rPr>
          <w:szCs w:val="20"/>
          <w:lang w:val="en-US"/>
        </w:rPr>
        <w:t>on January 12,</w:t>
      </w:r>
      <w:r w:rsidRPr="00CE23AE">
        <w:rPr>
          <w:szCs w:val="20"/>
          <w:lang w:val="en-US"/>
        </w:rPr>
        <w:t xml:space="preserve"> 2015</w:t>
      </w:r>
      <w:r w:rsidR="001A0487" w:rsidRPr="00CE23AE">
        <w:rPr>
          <w:szCs w:val="20"/>
          <w:lang w:val="en-US"/>
        </w:rPr>
        <w:t>.</w:t>
      </w:r>
      <w:r w:rsidRPr="00CE23AE">
        <w:rPr>
          <w:szCs w:val="20"/>
          <w:lang w:val="en-US"/>
        </w:rPr>
        <w:t xml:space="preserve"> </w:t>
      </w:r>
      <w:bookmarkStart w:id="41" w:name="_Ref303528952"/>
      <w:bookmarkStart w:id="42" w:name="_Ref313874640"/>
      <w:bookmarkEnd w:id="35"/>
    </w:p>
    <w:p w14:paraId="6024880A" w14:textId="77777777" w:rsidR="00C51E3C" w:rsidRPr="00CE23AE" w:rsidRDefault="00C51E3C" w:rsidP="00C51E3C">
      <w:pPr>
        <w:pStyle w:val="Default"/>
        <w:jc w:val="both"/>
        <w:rPr>
          <w:spacing w:val="0"/>
          <w:sz w:val="20"/>
          <w:szCs w:val="20"/>
          <w:lang w:val="en-US"/>
        </w:rPr>
      </w:pPr>
    </w:p>
    <w:p w14:paraId="7483CE35" w14:textId="37D3BFB8" w:rsidR="00C51E3C" w:rsidRPr="00CE23AE" w:rsidRDefault="005C743F" w:rsidP="00582D8D">
      <w:pPr>
        <w:numPr>
          <w:ilvl w:val="0"/>
          <w:numId w:val="6"/>
        </w:numPr>
        <w:tabs>
          <w:tab w:val="left" w:pos="567"/>
        </w:tabs>
        <w:spacing w:line="240" w:lineRule="auto"/>
        <w:rPr>
          <w:b/>
          <w:bCs/>
          <w:szCs w:val="20"/>
          <w:u w:val="single"/>
          <w:lang w:val="en-US"/>
        </w:rPr>
      </w:pPr>
      <w:bookmarkStart w:id="43" w:name="_Ref374884896"/>
      <w:bookmarkStart w:id="44" w:name="_Ref367870867"/>
      <w:bookmarkStart w:id="45" w:name="_Ref453869266"/>
      <w:r w:rsidRPr="00CE23AE">
        <w:rPr>
          <w:i/>
          <w:iCs/>
          <w:szCs w:val="20"/>
          <w:lang w:val="en-US"/>
        </w:rPr>
        <w:t>Brief with pleadings, motions and evidence</w:t>
      </w:r>
      <w:r w:rsidR="00C51E3C" w:rsidRPr="00CE23AE">
        <w:rPr>
          <w:i/>
          <w:iCs/>
          <w:szCs w:val="20"/>
          <w:lang w:val="en-US"/>
        </w:rPr>
        <w:t xml:space="preserve">. </w:t>
      </w:r>
      <w:r w:rsidRPr="00CE23AE">
        <w:rPr>
          <w:szCs w:val="20"/>
          <w:lang w:val="en-US"/>
        </w:rPr>
        <w:t>On February 11,</w:t>
      </w:r>
      <w:r w:rsidR="00C51E3C" w:rsidRPr="00CE23AE">
        <w:rPr>
          <w:szCs w:val="20"/>
          <w:lang w:val="en-US"/>
        </w:rPr>
        <w:t xml:space="preserve"> 2015</w:t>
      </w:r>
      <w:r w:rsidRPr="00CE23AE">
        <w:rPr>
          <w:szCs w:val="20"/>
          <w:lang w:val="en-US"/>
        </w:rPr>
        <w:t>,</w:t>
      </w:r>
      <w:r w:rsidR="00C51E3C" w:rsidRPr="00CE23AE">
        <w:rPr>
          <w:szCs w:val="20"/>
          <w:lang w:val="en-US"/>
        </w:rPr>
        <w:t xml:space="preserve"> </w:t>
      </w:r>
      <w:r w:rsidR="00C561DF" w:rsidRPr="00CE23AE">
        <w:rPr>
          <w:szCs w:val="20"/>
          <w:lang w:val="en-US"/>
        </w:rPr>
        <w:t>the representative</w:t>
      </w:r>
      <w:r w:rsidR="00C51E3C" w:rsidRPr="00CE23AE">
        <w:rPr>
          <w:szCs w:val="20"/>
          <w:lang w:val="en-US"/>
        </w:rPr>
        <w:t xml:space="preserve"> </w:t>
      </w:r>
      <w:r w:rsidR="006F4956" w:rsidRPr="00CE23AE">
        <w:rPr>
          <w:szCs w:val="20"/>
          <w:lang w:val="en-US"/>
        </w:rPr>
        <w:t>presented his</w:t>
      </w:r>
      <w:r w:rsidR="00C51E3C" w:rsidRPr="00CE23AE">
        <w:rPr>
          <w:szCs w:val="20"/>
          <w:lang w:val="en-US"/>
        </w:rPr>
        <w:t xml:space="preserve"> </w:t>
      </w:r>
      <w:r w:rsidR="006F4956" w:rsidRPr="00CE23AE">
        <w:rPr>
          <w:szCs w:val="20"/>
          <w:lang w:val="en-US"/>
        </w:rPr>
        <w:t>b</w:t>
      </w:r>
      <w:r w:rsidRPr="00CE23AE">
        <w:rPr>
          <w:szCs w:val="20"/>
          <w:lang w:val="en-US"/>
        </w:rPr>
        <w:t>rief with pleadings, motions and evidence</w:t>
      </w:r>
      <w:r w:rsidR="00C51E3C" w:rsidRPr="00CE23AE">
        <w:rPr>
          <w:szCs w:val="20"/>
          <w:lang w:val="en-US"/>
        </w:rPr>
        <w:t xml:space="preserve"> (</w:t>
      </w:r>
      <w:r w:rsidR="00C561DF" w:rsidRPr="00CE23AE">
        <w:rPr>
          <w:szCs w:val="20"/>
          <w:lang w:val="en-US"/>
        </w:rPr>
        <w:t>hereinafter</w:t>
      </w:r>
      <w:r w:rsidR="00C51E3C" w:rsidRPr="00CE23AE">
        <w:rPr>
          <w:szCs w:val="20"/>
          <w:lang w:val="en-US"/>
        </w:rPr>
        <w:t xml:space="preserve"> “</w:t>
      </w:r>
      <w:r w:rsidRPr="00CE23AE">
        <w:rPr>
          <w:szCs w:val="20"/>
          <w:lang w:val="en-US"/>
        </w:rPr>
        <w:t>pleadings and motions brief</w:t>
      </w:r>
      <w:r w:rsidR="00C51E3C" w:rsidRPr="00CE23AE">
        <w:rPr>
          <w:szCs w:val="20"/>
          <w:lang w:val="en-US"/>
        </w:rPr>
        <w:t xml:space="preserve">”), </w:t>
      </w:r>
      <w:r w:rsidR="006F4956" w:rsidRPr="00CE23AE">
        <w:rPr>
          <w:szCs w:val="20"/>
          <w:lang w:val="en-US"/>
        </w:rPr>
        <w:t>pursuant to</w:t>
      </w:r>
      <w:r w:rsidR="00C51E3C" w:rsidRPr="00CE23AE">
        <w:rPr>
          <w:szCs w:val="20"/>
          <w:lang w:val="en-US"/>
        </w:rPr>
        <w:t xml:space="preserve"> </w:t>
      </w:r>
      <w:r w:rsidR="00C561DF" w:rsidRPr="00CE23AE">
        <w:rPr>
          <w:szCs w:val="20"/>
          <w:lang w:val="en-US"/>
        </w:rPr>
        <w:t>Articles</w:t>
      </w:r>
      <w:r w:rsidR="00C51E3C" w:rsidRPr="00CE23AE">
        <w:rPr>
          <w:szCs w:val="20"/>
          <w:lang w:val="en-US"/>
        </w:rPr>
        <w:t xml:space="preserve"> 25</w:t>
      </w:r>
      <w:r w:rsidR="00C561DF" w:rsidRPr="00CE23AE">
        <w:rPr>
          <w:szCs w:val="20"/>
          <w:lang w:val="en-US"/>
        </w:rPr>
        <w:t xml:space="preserve"> and </w:t>
      </w:r>
      <w:r w:rsidR="00C51E3C" w:rsidRPr="00CE23AE">
        <w:rPr>
          <w:szCs w:val="20"/>
          <w:lang w:val="en-US"/>
        </w:rPr>
        <w:t>40</w:t>
      </w:r>
      <w:r w:rsidR="00C561DF" w:rsidRPr="00CE23AE">
        <w:rPr>
          <w:szCs w:val="20"/>
          <w:lang w:val="en-US"/>
        </w:rPr>
        <w:t xml:space="preserve"> of the </w:t>
      </w:r>
      <w:r w:rsidR="006F4956" w:rsidRPr="00CE23AE">
        <w:rPr>
          <w:szCs w:val="20"/>
          <w:lang w:val="en-US"/>
        </w:rPr>
        <w:t xml:space="preserve">Court’s </w:t>
      </w:r>
      <w:r w:rsidR="00C561DF" w:rsidRPr="00CE23AE">
        <w:rPr>
          <w:szCs w:val="20"/>
          <w:lang w:val="en-US"/>
        </w:rPr>
        <w:t>Rules of Procedure</w:t>
      </w:r>
      <w:r w:rsidR="00C51E3C" w:rsidRPr="00CE23AE">
        <w:rPr>
          <w:szCs w:val="20"/>
          <w:lang w:val="en-US"/>
        </w:rPr>
        <w:t xml:space="preserve">. </w:t>
      </w:r>
      <w:bookmarkStart w:id="46" w:name="_Ref303528956"/>
      <w:bookmarkStart w:id="47" w:name="_Ref313874647"/>
      <w:bookmarkEnd w:id="36"/>
      <w:bookmarkEnd w:id="37"/>
      <w:bookmarkEnd w:id="41"/>
      <w:bookmarkEnd w:id="42"/>
      <w:bookmarkEnd w:id="43"/>
      <w:bookmarkEnd w:id="44"/>
      <w:r w:rsidR="006F4956" w:rsidRPr="00CE23AE">
        <w:rPr>
          <w:szCs w:val="20"/>
          <w:lang w:val="en-US"/>
        </w:rPr>
        <w:t xml:space="preserve">In this brief, he agreed with the allegations made by </w:t>
      </w:r>
      <w:r w:rsidR="00C561DF" w:rsidRPr="00CE23AE">
        <w:rPr>
          <w:szCs w:val="20"/>
          <w:lang w:val="en-US"/>
        </w:rPr>
        <w:t xml:space="preserve">the Commission and </w:t>
      </w:r>
      <w:r w:rsidR="006F4956" w:rsidRPr="00CE23AE">
        <w:rPr>
          <w:szCs w:val="20"/>
          <w:lang w:val="en-US"/>
        </w:rPr>
        <w:t xml:space="preserve">added arguments on the presumed violation of </w:t>
      </w:r>
      <w:r w:rsidR="00C561DF" w:rsidRPr="00CE23AE">
        <w:rPr>
          <w:szCs w:val="20"/>
          <w:lang w:val="en-US"/>
        </w:rPr>
        <w:t>Articles</w:t>
      </w:r>
      <w:r w:rsidR="00C51E3C" w:rsidRPr="00CE23AE">
        <w:rPr>
          <w:szCs w:val="20"/>
          <w:lang w:val="en-US"/>
        </w:rPr>
        <w:t xml:space="preserve"> 9</w:t>
      </w:r>
      <w:r w:rsidR="00C561DF" w:rsidRPr="00CE23AE">
        <w:rPr>
          <w:szCs w:val="20"/>
          <w:lang w:val="en-US"/>
        </w:rPr>
        <w:t xml:space="preserve"> and </w:t>
      </w:r>
      <w:r w:rsidR="00C51E3C" w:rsidRPr="00CE23AE">
        <w:rPr>
          <w:szCs w:val="20"/>
          <w:lang w:val="en-US"/>
        </w:rPr>
        <w:t>11</w:t>
      </w:r>
      <w:r w:rsidR="00C561DF" w:rsidRPr="00CE23AE">
        <w:rPr>
          <w:szCs w:val="20"/>
          <w:lang w:val="en-US"/>
        </w:rPr>
        <w:t xml:space="preserve"> of the American Convention</w:t>
      </w:r>
      <w:r w:rsidR="0085680E" w:rsidRPr="00CE23AE">
        <w:rPr>
          <w:szCs w:val="20"/>
          <w:lang w:val="en-US"/>
        </w:rPr>
        <w:t>.</w:t>
      </w:r>
      <w:r w:rsidR="00C51E3C" w:rsidRPr="00CE23AE">
        <w:rPr>
          <w:szCs w:val="20"/>
          <w:lang w:val="en-US"/>
        </w:rPr>
        <w:t xml:space="preserve"> A</w:t>
      </w:r>
      <w:r w:rsidR="006F4956" w:rsidRPr="00CE23AE">
        <w:rPr>
          <w:szCs w:val="20"/>
          <w:lang w:val="en-US"/>
        </w:rPr>
        <w:t>lso, through his representative</w:t>
      </w:r>
      <w:r w:rsidR="00C51E3C" w:rsidRPr="00CE23AE">
        <w:rPr>
          <w:szCs w:val="20"/>
          <w:lang w:val="en-US"/>
        </w:rPr>
        <w:t xml:space="preserve">, </w:t>
      </w:r>
      <w:r w:rsidR="00C561DF" w:rsidRPr="00CE23AE">
        <w:rPr>
          <w:szCs w:val="20"/>
          <w:lang w:val="en-US"/>
        </w:rPr>
        <w:t>the presumed victim</w:t>
      </w:r>
      <w:r w:rsidR="00C51E3C" w:rsidRPr="00CE23AE">
        <w:rPr>
          <w:szCs w:val="20"/>
          <w:lang w:val="en-US"/>
        </w:rPr>
        <w:t xml:space="preserve"> </w:t>
      </w:r>
      <w:r w:rsidR="006F4956" w:rsidRPr="00CE23AE">
        <w:rPr>
          <w:szCs w:val="20"/>
          <w:lang w:val="en-US"/>
        </w:rPr>
        <w:t>requested access to the Victim’s</w:t>
      </w:r>
      <w:r w:rsidR="00C51E3C" w:rsidRPr="00CE23AE">
        <w:rPr>
          <w:szCs w:val="20"/>
          <w:lang w:val="en-US"/>
        </w:rPr>
        <w:t xml:space="preserve"> </w:t>
      </w:r>
      <w:r w:rsidRPr="00CE23AE">
        <w:rPr>
          <w:szCs w:val="20"/>
          <w:lang w:val="en-US"/>
        </w:rPr>
        <w:t>Legal Assistance Fund</w:t>
      </w:r>
      <w:r w:rsidR="00C51E3C" w:rsidRPr="00CE23AE">
        <w:rPr>
          <w:szCs w:val="20"/>
          <w:lang w:val="en-US"/>
        </w:rPr>
        <w:t xml:space="preserve"> </w:t>
      </w:r>
      <w:r w:rsidR="00C561DF" w:rsidRPr="00CE23AE">
        <w:rPr>
          <w:szCs w:val="20"/>
          <w:lang w:val="en-US"/>
        </w:rPr>
        <w:t>of the Inter-American Court</w:t>
      </w:r>
      <w:r w:rsidR="00C51E3C" w:rsidRPr="00CE23AE">
        <w:rPr>
          <w:szCs w:val="20"/>
          <w:lang w:val="en-US"/>
        </w:rPr>
        <w:t xml:space="preserve"> (</w:t>
      </w:r>
      <w:r w:rsidR="00C561DF" w:rsidRPr="00CE23AE">
        <w:rPr>
          <w:szCs w:val="20"/>
          <w:lang w:val="en-US"/>
        </w:rPr>
        <w:t>hereinafter</w:t>
      </w:r>
      <w:r w:rsidR="00C51E3C" w:rsidRPr="00CE23AE">
        <w:rPr>
          <w:szCs w:val="20"/>
          <w:lang w:val="en-US"/>
        </w:rPr>
        <w:t xml:space="preserve"> “</w:t>
      </w:r>
      <w:r w:rsidR="006F4956" w:rsidRPr="00CE23AE">
        <w:rPr>
          <w:szCs w:val="20"/>
          <w:lang w:val="en-US"/>
        </w:rPr>
        <w:t xml:space="preserve">the </w:t>
      </w:r>
      <w:r w:rsidRPr="00CE23AE">
        <w:rPr>
          <w:szCs w:val="20"/>
          <w:lang w:val="en-US"/>
        </w:rPr>
        <w:t>Legal Assistance Fund</w:t>
      </w:r>
      <w:r w:rsidR="00C51E3C" w:rsidRPr="00CE23AE">
        <w:rPr>
          <w:szCs w:val="20"/>
          <w:lang w:val="en-US"/>
        </w:rPr>
        <w:t>”)</w:t>
      </w:r>
      <w:r w:rsidR="0085680E" w:rsidRPr="00CE23AE">
        <w:rPr>
          <w:szCs w:val="20"/>
          <w:lang w:val="en-US"/>
        </w:rPr>
        <w:t>.</w:t>
      </w:r>
      <w:r w:rsidR="00C51E3C" w:rsidRPr="00CE23AE">
        <w:rPr>
          <w:szCs w:val="20"/>
          <w:lang w:val="en-US"/>
        </w:rPr>
        <w:t xml:space="preserve"> </w:t>
      </w:r>
      <w:bookmarkEnd w:id="45"/>
    </w:p>
    <w:p w14:paraId="7F8ABAA4" w14:textId="77777777" w:rsidR="00C51E3C" w:rsidRPr="00CE23AE" w:rsidRDefault="00C51E3C" w:rsidP="00C51E3C">
      <w:pPr>
        <w:pStyle w:val="Default"/>
        <w:tabs>
          <w:tab w:val="left" w:pos="567"/>
        </w:tabs>
        <w:jc w:val="both"/>
        <w:rPr>
          <w:b/>
          <w:bCs/>
          <w:spacing w:val="0"/>
          <w:sz w:val="20"/>
          <w:szCs w:val="20"/>
          <w:u w:val="single"/>
          <w:lang w:val="en-US"/>
        </w:rPr>
      </w:pPr>
    </w:p>
    <w:p w14:paraId="08271B4B" w14:textId="5E7DC081" w:rsidR="00C51E3C" w:rsidRPr="00CE23AE" w:rsidRDefault="005C743F" w:rsidP="00582D8D">
      <w:pPr>
        <w:numPr>
          <w:ilvl w:val="0"/>
          <w:numId w:val="6"/>
        </w:numPr>
        <w:tabs>
          <w:tab w:val="left" w:pos="567"/>
        </w:tabs>
        <w:spacing w:line="240" w:lineRule="auto"/>
        <w:rPr>
          <w:rFonts w:eastAsia="Calibri" w:cs="Verdana"/>
          <w:szCs w:val="20"/>
          <w:lang w:val="en-US"/>
        </w:rPr>
      </w:pPr>
      <w:bookmarkStart w:id="48" w:name="_Ref343193237"/>
      <w:bookmarkStart w:id="49" w:name="_Ref334975428"/>
      <w:bookmarkStart w:id="50" w:name="_Ref351393893"/>
      <w:r w:rsidRPr="00CE23AE">
        <w:rPr>
          <w:rFonts w:eastAsia="Calibri" w:cs="Verdana"/>
          <w:i/>
          <w:szCs w:val="20"/>
          <w:lang w:val="en-US"/>
        </w:rPr>
        <w:t>Answering brief</w:t>
      </w:r>
      <w:r w:rsidR="00C51E3C" w:rsidRPr="00CE23AE">
        <w:rPr>
          <w:rFonts w:eastAsia="Calibri" w:cs="Verdana"/>
          <w:szCs w:val="20"/>
          <w:lang w:val="en-US"/>
        </w:rPr>
        <w:t xml:space="preserve">. </w:t>
      </w:r>
      <w:r w:rsidRPr="00CE23AE">
        <w:rPr>
          <w:rFonts w:eastAsia="Calibri" w:cs="Verdana"/>
          <w:szCs w:val="20"/>
          <w:lang w:val="en-US"/>
        </w:rPr>
        <w:t>On May 23,</w:t>
      </w:r>
      <w:r w:rsidR="00C51E3C" w:rsidRPr="00CE23AE">
        <w:rPr>
          <w:rFonts w:eastAsia="Calibri" w:cs="Verdana"/>
          <w:szCs w:val="20"/>
          <w:lang w:val="en-US"/>
        </w:rPr>
        <w:t xml:space="preserve"> 2015</w:t>
      </w:r>
      <w:r w:rsidRPr="00CE23AE">
        <w:rPr>
          <w:rFonts w:eastAsia="Calibri" w:cs="Verdana"/>
          <w:szCs w:val="20"/>
          <w:lang w:val="en-US"/>
        </w:rPr>
        <w:t>,</w:t>
      </w:r>
      <w:r w:rsidR="00C51E3C" w:rsidRPr="00CE23AE">
        <w:rPr>
          <w:rFonts w:eastAsia="Calibri" w:cs="Verdana"/>
          <w:szCs w:val="20"/>
          <w:lang w:val="en-US"/>
        </w:rPr>
        <w:t xml:space="preserve"> </w:t>
      </w:r>
      <w:r w:rsidR="00C561DF" w:rsidRPr="00CE23AE">
        <w:rPr>
          <w:rFonts w:eastAsia="Calibri" w:cs="Verdana"/>
          <w:szCs w:val="20"/>
          <w:lang w:val="en-US"/>
        </w:rPr>
        <w:t>the State</w:t>
      </w:r>
      <w:r w:rsidR="00C51E3C" w:rsidRPr="00CE23AE">
        <w:rPr>
          <w:rFonts w:eastAsia="Calibri" w:cs="Verdana"/>
          <w:szCs w:val="20"/>
          <w:lang w:val="en-US"/>
        </w:rPr>
        <w:t xml:space="preserve"> </w:t>
      </w:r>
      <w:r w:rsidR="00D2490B" w:rsidRPr="00CE23AE">
        <w:rPr>
          <w:rFonts w:eastAsia="Calibri" w:cs="Verdana"/>
          <w:szCs w:val="20"/>
          <w:lang w:val="en-US"/>
        </w:rPr>
        <w:t xml:space="preserve">submitted to </w:t>
      </w:r>
      <w:r w:rsidR="00C561DF" w:rsidRPr="00CE23AE">
        <w:rPr>
          <w:rFonts w:eastAsia="Calibri" w:cs="Verdana"/>
          <w:szCs w:val="20"/>
          <w:lang w:val="en-US"/>
        </w:rPr>
        <w:t>the Court</w:t>
      </w:r>
      <w:r w:rsidR="00C51E3C" w:rsidRPr="00CE23AE">
        <w:rPr>
          <w:rFonts w:eastAsia="Calibri" w:cs="Verdana"/>
          <w:szCs w:val="20"/>
          <w:lang w:val="en-US"/>
        </w:rPr>
        <w:t xml:space="preserve"> </w:t>
      </w:r>
      <w:r w:rsidR="00D2490B" w:rsidRPr="00CE23AE">
        <w:rPr>
          <w:rFonts w:eastAsia="Calibri" w:cs="Verdana"/>
          <w:szCs w:val="20"/>
          <w:lang w:val="en-US"/>
        </w:rPr>
        <w:t>its brief with</w:t>
      </w:r>
      <w:r w:rsidR="00C51E3C" w:rsidRPr="00CE23AE">
        <w:rPr>
          <w:rFonts w:eastAsia="Calibri" w:cs="Verdana"/>
          <w:szCs w:val="20"/>
          <w:lang w:val="en-US"/>
        </w:rPr>
        <w:t xml:space="preserve"> </w:t>
      </w:r>
      <w:r w:rsidRPr="00CE23AE">
        <w:rPr>
          <w:rFonts w:eastAsia="Calibri" w:cs="Verdana"/>
          <w:szCs w:val="20"/>
          <w:lang w:val="en-US"/>
        </w:rPr>
        <w:t xml:space="preserve">preliminary </w:t>
      </w:r>
      <w:r w:rsidRPr="00CE23AE">
        <w:rPr>
          <w:rFonts w:eastAsia="Calibri" w:cs="Verdana"/>
          <w:szCs w:val="20"/>
          <w:lang w:val="en-US"/>
        </w:rPr>
        <w:lastRenderedPageBreak/>
        <w:t>objections</w:t>
      </w:r>
      <w:r w:rsidR="00C51E3C" w:rsidRPr="00CE23AE">
        <w:rPr>
          <w:rFonts w:eastAsia="Calibri" w:cs="Verdana"/>
          <w:szCs w:val="20"/>
          <w:lang w:val="en-US"/>
        </w:rPr>
        <w:t xml:space="preserve">, </w:t>
      </w:r>
      <w:r w:rsidR="00D2490B" w:rsidRPr="00CE23AE">
        <w:rPr>
          <w:rFonts w:eastAsia="Calibri" w:cs="Verdana"/>
          <w:szCs w:val="20"/>
          <w:lang w:val="en-US"/>
        </w:rPr>
        <w:t xml:space="preserve">answering the submission of the case by </w:t>
      </w:r>
      <w:r w:rsidR="00C561DF" w:rsidRPr="00CE23AE">
        <w:rPr>
          <w:rFonts w:eastAsia="Calibri" w:cs="Verdana"/>
          <w:szCs w:val="20"/>
          <w:lang w:val="en-US"/>
        </w:rPr>
        <w:t>the Commission</w:t>
      </w:r>
      <w:r w:rsidR="00576908" w:rsidRPr="00CE23AE">
        <w:rPr>
          <w:rFonts w:eastAsia="Calibri" w:cs="Verdana"/>
          <w:szCs w:val="20"/>
          <w:lang w:val="en-US"/>
        </w:rPr>
        <w:t>,</w:t>
      </w:r>
      <w:r w:rsidR="00C561DF" w:rsidRPr="00CE23AE">
        <w:rPr>
          <w:rFonts w:eastAsia="Calibri" w:cs="Verdana"/>
          <w:szCs w:val="20"/>
          <w:lang w:val="en-US"/>
        </w:rPr>
        <w:t xml:space="preserve"> and </w:t>
      </w:r>
      <w:r w:rsidR="00D2490B" w:rsidRPr="00CE23AE">
        <w:rPr>
          <w:rFonts w:eastAsia="Calibri" w:cs="Verdana"/>
          <w:szCs w:val="20"/>
          <w:lang w:val="en-US"/>
        </w:rPr>
        <w:t>with</w:t>
      </w:r>
      <w:r w:rsidR="00C51E3C" w:rsidRPr="00CE23AE">
        <w:rPr>
          <w:rFonts w:eastAsia="Calibri" w:cs="Verdana"/>
          <w:szCs w:val="20"/>
          <w:lang w:val="en-US"/>
        </w:rPr>
        <w:t xml:space="preserve"> </w:t>
      </w:r>
      <w:r w:rsidRPr="00CE23AE">
        <w:rPr>
          <w:rFonts w:eastAsia="Calibri" w:cs="Verdana"/>
          <w:szCs w:val="20"/>
          <w:lang w:val="en-US"/>
        </w:rPr>
        <w:t>observations</w:t>
      </w:r>
      <w:r w:rsidR="00C51E3C" w:rsidRPr="00CE23AE">
        <w:rPr>
          <w:rFonts w:eastAsia="Calibri" w:cs="Verdana"/>
          <w:szCs w:val="20"/>
          <w:lang w:val="en-US"/>
        </w:rPr>
        <w:t xml:space="preserve"> </w:t>
      </w:r>
      <w:r w:rsidR="00D2490B" w:rsidRPr="00CE23AE">
        <w:rPr>
          <w:rFonts w:eastAsia="Calibri" w:cs="Verdana"/>
          <w:szCs w:val="20"/>
          <w:lang w:val="en-US"/>
        </w:rPr>
        <w:t>on the</w:t>
      </w:r>
      <w:r w:rsidR="00C51E3C" w:rsidRPr="00CE23AE">
        <w:rPr>
          <w:rFonts w:eastAsia="Calibri" w:cs="Verdana"/>
          <w:szCs w:val="20"/>
          <w:lang w:val="en-US"/>
        </w:rPr>
        <w:t xml:space="preserve"> </w:t>
      </w:r>
      <w:r w:rsidRPr="00CE23AE">
        <w:rPr>
          <w:rFonts w:eastAsia="Calibri" w:cs="Verdana"/>
          <w:szCs w:val="20"/>
          <w:lang w:val="en-US"/>
        </w:rPr>
        <w:t>pleadings and motions brief</w:t>
      </w:r>
      <w:r w:rsidR="00C51E3C" w:rsidRPr="00CE23AE">
        <w:rPr>
          <w:rFonts w:eastAsia="Calibri" w:cs="Verdana"/>
          <w:szCs w:val="20"/>
          <w:lang w:val="en-US"/>
        </w:rPr>
        <w:t xml:space="preserve"> (</w:t>
      </w:r>
      <w:r w:rsidR="00C561DF" w:rsidRPr="00CE23AE">
        <w:rPr>
          <w:rFonts w:eastAsia="Calibri" w:cs="Verdana"/>
          <w:szCs w:val="20"/>
          <w:lang w:val="en-US"/>
        </w:rPr>
        <w:t>hereinafter</w:t>
      </w:r>
      <w:r w:rsidR="00C51E3C" w:rsidRPr="00CE23AE">
        <w:rPr>
          <w:rFonts w:eastAsia="Calibri" w:cs="Verdana"/>
          <w:szCs w:val="20"/>
          <w:lang w:val="en-US"/>
        </w:rPr>
        <w:t xml:space="preserve"> “</w:t>
      </w:r>
      <w:r w:rsidRPr="00CE23AE">
        <w:rPr>
          <w:rFonts w:eastAsia="Calibri" w:cs="Verdana"/>
          <w:szCs w:val="20"/>
          <w:lang w:val="en-US"/>
        </w:rPr>
        <w:t>answering brief</w:t>
      </w:r>
      <w:r w:rsidR="00C51E3C" w:rsidRPr="00CE23AE">
        <w:rPr>
          <w:rFonts w:eastAsia="Calibri" w:cs="Verdana"/>
          <w:szCs w:val="20"/>
          <w:lang w:val="en-US"/>
        </w:rPr>
        <w:t>”)</w:t>
      </w:r>
      <w:r w:rsidR="0085680E" w:rsidRPr="00CE23AE">
        <w:rPr>
          <w:rFonts w:eastAsia="Calibri" w:cs="Verdana"/>
          <w:szCs w:val="20"/>
          <w:lang w:val="en-US"/>
        </w:rPr>
        <w:t>.</w:t>
      </w:r>
      <w:r w:rsidR="00C51E3C" w:rsidRPr="00CE23AE">
        <w:rPr>
          <w:szCs w:val="20"/>
          <w:lang w:val="en-US"/>
        </w:rPr>
        <w:t xml:space="preserve"> </w:t>
      </w:r>
      <w:r w:rsidR="00D2490B" w:rsidRPr="00CE23AE">
        <w:rPr>
          <w:rFonts w:eastAsia="Calibri" w:cs="Verdana"/>
          <w:szCs w:val="20"/>
          <w:lang w:val="en-US"/>
        </w:rPr>
        <w:t>In this brief</w:t>
      </w:r>
      <w:r w:rsidR="00C51E3C" w:rsidRPr="00CE23AE">
        <w:rPr>
          <w:rFonts w:eastAsia="Calibri" w:cs="Verdana"/>
          <w:szCs w:val="20"/>
          <w:lang w:val="en-US"/>
        </w:rPr>
        <w:t xml:space="preserve">, </w:t>
      </w:r>
      <w:r w:rsidR="00C561DF" w:rsidRPr="00CE23AE">
        <w:rPr>
          <w:rFonts w:eastAsia="Calibri" w:cs="Verdana"/>
          <w:szCs w:val="20"/>
          <w:lang w:val="en-US"/>
        </w:rPr>
        <w:t>the State</w:t>
      </w:r>
      <w:r w:rsidR="00C51E3C" w:rsidRPr="00CE23AE">
        <w:rPr>
          <w:rFonts w:eastAsia="Calibri" w:cs="Verdana"/>
          <w:szCs w:val="20"/>
          <w:lang w:val="en-US"/>
        </w:rPr>
        <w:t xml:space="preserve"> </w:t>
      </w:r>
      <w:r w:rsidR="00D2490B" w:rsidRPr="00CE23AE">
        <w:rPr>
          <w:rFonts w:eastAsia="Calibri" w:cs="Verdana"/>
          <w:szCs w:val="20"/>
          <w:lang w:val="en-US" w:eastAsia="es-ES"/>
        </w:rPr>
        <w:t>filed two</w:t>
      </w:r>
      <w:r w:rsidR="00C51E3C" w:rsidRPr="00CE23AE">
        <w:rPr>
          <w:rFonts w:eastAsia="Calibri" w:cs="Verdana"/>
          <w:szCs w:val="20"/>
          <w:lang w:val="en-US" w:eastAsia="es-ES"/>
        </w:rPr>
        <w:t xml:space="preserve"> </w:t>
      </w:r>
      <w:r w:rsidRPr="00CE23AE">
        <w:rPr>
          <w:rFonts w:eastAsia="Calibri" w:cs="Verdana"/>
          <w:szCs w:val="20"/>
          <w:lang w:val="en-US" w:eastAsia="es-ES"/>
        </w:rPr>
        <w:t>preliminary objections</w:t>
      </w:r>
      <w:r w:rsidR="00C51E3C" w:rsidRPr="00CE23AE">
        <w:rPr>
          <w:rFonts w:eastAsia="Calibri" w:cs="Verdana"/>
          <w:szCs w:val="20"/>
          <w:lang w:val="en-US" w:eastAsia="es-ES"/>
        </w:rPr>
        <w:t xml:space="preserve">, </w:t>
      </w:r>
      <w:r w:rsidR="00D2490B" w:rsidRPr="00CE23AE">
        <w:rPr>
          <w:rFonts w:eastAsia="Calibri" w:cs="Verdana"/>
          <w:szCs w:val="20"/>
          <w:lang w:val="en-US" w:eastAsia="es-ES"/>
        </w:rPr>
        <w:t>one relat</w:t>
      </w:r>
      <w:r w:rsidR="00576908" w:rsidRPr="00CE23AE">
        <w:rPr>
          <w:rFonts w:eastAsia="Calibri" w:cs="Verdana"/>
          <w:szCs w:val="20"/>
          <w:lang w:val="en-US" w:eastAsia="es-ES"/>
        </w:rPr>
        <w:t>ing</w:t>
      </w:r>
      <w:r w:rsidR="00D2490B" w:rsidRPr="00CE23AE">
        <w:rPr>
          <w:rFonts w:eastAsia="Calibri" w:cs="Verdana"/>
          <w:szCs w:val="20"/>
          <w:lang w:val="en-US" w:eastAsia="es-ES"/>
        </w:rPr>
        <w:t xml:space="preserve"> to the </w:t>
      </w:r>
      <w:r w:rsidR="00C51E3C" w:rsidRPr="00CE23AE">
        <w:rPr>
          <w:rFonts w:eastAsia="Calibri" w:cs="Verdana"/>
          <w:szCs w:val="20"/>
          <w:lang w:val="en-US" w:eastAsia="es-ES"/>
        </w:rPr>
        <w:t>“</w:t>
      </w:r>
      <w:r w:rsidRPr="00CE23AE">
        <w:rPr>
          <w:rFonts w:eastAsia="Calibri" w:cs="Verdana"/>
          <w:szCs w:val="20"/>
          <w:lang w:val="en-US" w:eastAsia="es-ES"/>
        </w:rPr>
        <w:t>factual framework</w:t>
      </w:r>
      <w:r w:rsidR="00C51E3C" w:rsidRPr="00CE23AE">
        <w:rPr>
          <w:rFonts w:eastAsia="Calibri" w:cs="Verdana"/>
          <w:szCs w:val="20"/>
          <w:lang w:val="en-US" w:eastAsia="es-ES"/>
        </w:rPr>
        <w:t xml:space="preserve">” </w:t>
      </w:r>
      <w:r w:rsidR="00D2490B" w:rsidRPr="00CE23AE">
        <w:rPr>
          <w:rFonts w:eastAsia="Calibri" w:cs="Verdana"/>
          <w:szCs w:val="20"/>
          <w:lang w:val="en-US" w:eastAsia="es-ES"/>
        </w:rPr>
        <w:t xml:space="preserve">of the case, and the other to the presumed “failure to exhaust domestic remedies.” </w:t>
      </w:r>
      <w:r w:rsidR="00C561DF" w:rsidRPr="00CE23AE">
        <w:rPr>
          <w:rFonts w:eastAsia="Calibri" w:cs="Verdana"/>
          <w:szCs w:val="20"/>
          <w:lang w:val="en-US" w:eastAsia="es-ES"/>
        </w:rPr>
        <w:t>The State</w:t>
      </w:r>
      <w:r w:rsidR="00C51E3C" w:rsidRPr="00CE23AE">
        <w:rPr>
          <w:rFonts w:eastAsia="Calibri" w:cs="Verdana"/>
          <w:szCs w:val="20"/>
          <w:lang w:val="en-US" w:eastAsia="es-ES"/>
        </w:rPr>
        <w:t xml:space="preserve"> </w:t>
      </w:r>
      <w:r w:rsidR="00D2490B" w:rsidRPr="00CE23AE">
        <w:rPr>
          <w:rFonts w:eastAsia="Calibri" w:cs="Verdana"/>
          <w:szCs w:val="20"/>
          <w:lang w:val="en-US" w:eastAsia="es-ES"/>
        </w:rPr>
        <w:t>appointed</w:t>
      </w:r>
      <w:r w:rsidR="00C51E3C" w:rsidRPr="00CE23AE">
        <w:rPr>
          <w:rFonts w:eastAsia="Calibri" w:cs="Verdana"/>
          <w:szCs w:val="20"/>
          <w:lang w:val="en-US" w:eastAsia="es-ES"/>
        </w:rPr>
        <w:t xml:space="preserve"> </w:t>
      </w:r>
      <w:r w:rsidR="00D2490B" w:rsidRPr="00CE23AE">
        <w:rPr>
          <w:rFonts w:eastAsia="Calibri" w:cs="Verdana"/>
          <w:szCs w:val="20"/>
          <w:lang w:val="en-US" w:eastAsia="es-ES"/>
        </w:rPr>
        <w:t xml:space="preserve">Ricardo Velasco as its </w:t>
      </w:r>
      <w:r w:rsidR="00C51E3C" w:rsidRPr="00CE23AE">
        <w:rPr>
          <w:rFonts w:eastAsia="Calibri" w:cs="Verdana"/>
          <w:szCs w:val="20"/>
          <w:lang w:val="en-US" w:eastAsia="es-ES"/>
        </w:rPr>
        <w:t>Agent</w:t>
      </w:r>
      <w:r w:rsidR="00D2490B" w:rsidRPr="00CE23AE">
        <w:rPr>
          <w:rFonts w:eastAsia="Calibri" w:cs="Verdana"/>
          <w:szCs w:val="20"/>
          <w:lang w:val="en-US" w:eastAsia="es-ES"/>
        </w:rPr>
        <w:t xml:space="preserve"> for this case, and the lawyers,</w:t>
      </w:r>
      <w:r w:rsidR="00C51E3C" w:rsidRPr="00CE23AE">
        <w:rPr>
          <w:rFonts w:eastAsia="Calibri" w:cs="Verdana"/>
          <w:szCs w:val="20"/>
          <w:lang w:val="en-US" w:eastAsia="es-ES"/>
        </w:rPr>
        <w:t xml:space="preserve"> Carlos Espín</w:t>
      </w:r>
      <w:r w:rsidR="00C561DF" w:rsidRPr="00CE23AE">
        <w:rPr>
          <w:rFonts w:eastAsia="Calibri" w:cs="Verdana"/>
          <w:szCs w:val="20"/>
          <w:lang w:val="en-US" w:eastAsia="es-ES"/>
        </w:rPr>
        <w:t xml:space="preserve"> and </w:t>
      </w:r>
      <w:r w:rsidR="00C51E3C" w:rsidRPr="00CE23AE">
        <w:rPr>
          <w:rFonts w:eastAsia="Calibri" w:cs="Verdana"/>
          <w:szCs w:val="20"/>
          <w:lang w:val="en-US" w:eastAsia="es-ES"/>
        </w:rPr>
        <w:t>Daniela Ulloa</w:t>
      </w:r>
      <w:r w:rsidR="00D2490B" w:rsidRPr="00CE23AE">
        <w:rPr>
          <w:rFonts w:eastAsia="Calibri" w:cs="Verdana"/>
          <w:szCs w:val="20"/>
          <w:lang w:val="en-US" w:eastAsia="es-ES"/>
        </w:rPr>
        <w:t>, as deputy agents</w:t>
      </w:r>
      <w:r w:rsidR="0085680E" w:rsidRPr="00CE23AE">
        <w:rPr>
          <w:rFonts w:eastAsia="Calibri" w:cs="Verdana"/>
          <w:szCs w:val="20"/>
          <w:lang w:val="en-US" w:eastAsia="es-ES"/>
        </w:rPr>
        <w:t>.</w:t>
      </w:r>
      <w:r w:rsidR="00C51E3C" w:rsidRPr="00CE23AE">
        <w:rPr>
          <w:rFonts w:eastAsia="Calibri" w:cs="Verdana"/>
          <w:szCs w:val="20"/>
          <w:lang w:val="en-US" w:eastAsia="es-ES"/>
        </w:rPr>
        <w:t xml:space="preserve"> </w:t>
      </w:r>
      <w:bookmarkEnd w:id="46"/>
      <w:bookmarkEnd w:id="47"/>
      <w:bookmarkEnd w:id="48"/>
      <w:bookmarkEnd w:id="49"/>
      <w:bookmarkEnd w:id="50"/>
    </w:p>
    <w:p w14:paraId="5F4ECD82" w14:textId="4CB992DE" w:rsidR="00C51E3C" w:rsidRPr="00CE23AE" w:rsidRDefault="00C51E3C" w:rsidP="00C51E3C">
      <w:pPr>
        <w:tabs>
          <w:tab w:val="left" w:pos="567"/>
        </w:tabs>
        <w:spacing w:line="240" w:lineRule="auto"/>
        <w:rPr>
          <w:rFonts w:eastAsia="Calibri" w:cs="Verdana"/>
          <w:szCs w:val="20"/>
          <w:lang w:val="en-US"/>
        </w:rPr>
      </w:pPr>
    </w:p>
    <w:p w14:paraId="38D7C603" w14:textId="5EB2C6D4" w:rsidR="00C51E3C" w:rsidRPr="00CE23AE" w:rsidRDefault="005C743F" w:rsidP="00C51E3C">
      <w:pPr>
        <w:numPr>
          <w:ilvl w:val="0"/>
          <w:numId w:val="6"/>
        </w:numPr>
        <w:tabs>
          <w:tab w:val="left" w:pos="567"/>
        </w:tabs>
        <w:spacing w:line="240" w:lineRule="auto"/>
        <w:rPr>
          <w:rFonts w:eastAsia="Calibri" w:cs="Verdana"/>
          <w:szCs w:val="20"/>
          <w:lang w:val="en-US"/>
        </w:rPr>
      </w:pPr>
      <w:r w:rsidRPr="00CE23AE">
        <w:rPr>
          <w:i/>
          <w:szCs w:val="20"/>
          <w:lang w:val="en-US"/>
        </w:rPr>
        <w:t>Legal Assistance Fund</w:t>
      </w:r>
      <w:r w:rsidR="00C51E3C" w:rsidRPr="00CE23AE">
        <w:rPr>
          <w:szCs w:val="20"/>
          <w:lang w:val="en-US"/>
        </w:rPr>
        <w:t xml:space="preserve">. </w:t>
      </w:r>
      <w:r w:rsidRPr="00CE23AE">
        <w:rPr>
          <w:szCs w:val="20"/>
          <w:lang w:val="en-US"/>
        </w:rPr>
        <w:t>In an order of July 3,</w:t>
      </w:r>
      <w:r w:rsidR="00C51E3C" w:rsidRPr="00CE23AE">
        <w:rPr>
          <w:szCs w:val="20"/>
          <w:lang w:val="en-US"/>
        </w:rPr>
        <w:t xml:space="preserve"> 2015</w:t>
      </w:r>
      <w:r w:rsidRPr="00CE23AE">
        <w:rPr>
          <w:szCs w:val="20"/>
          <w:lang w:val="en-US"/>
        </w:rPr>
        <w:t>,</w:t>
      </w:r>
      <w:r w:rsidR="00C51E3C" w:rsidRPr="00CE23AE">
        <w:rPr>
          <w:rStyle w:val="Refdenotaalpie"/>
          <w:szCs w:val="20"/>
          <w:lang w:val="en-US"/>
        </w:rPr>
        <w:footnoteReference w:id="6"/>
      </w:r>
      <w:r w:rsidR="00C51E3C" w:rsidRPr="00CE23AE">
        <w:rPr>
          <w:szCs w:val="20"/>
          <w:lang w:val="en-US"/>
        </w:rPr>
        <w:t xml:space="preserve"> </w:t>
      </w:r>
      <w:r w:rsidR="00C561DF" w:rsidRPr="00CE23AE">
        <w:rPr>
          <w:szCs w:val="20"/>
          <w:lang w:val="en-US"/>
        </w:rPr>
        <w:t>the President</w:t>
      </w:r>
      <w:r w:rsidRPr="00CE23AE">
        <w:rPr>
          <w:szCs w:val="20"/>
          <w:lang w:val="en-US"/>
        </w:rPr>
        <w:t xml:space="preserve"> of </w:t>
      </w:r>
      <w:r w:rsidR="00C561DF" w:rsidRPr="00CE23AE">
        <w:rPr>
          <w:szCs w:val="20"/>
          <w:lang w:val="en-US"/>
        </w:rPr>
        <w:t>the Court</w:t>
      </w:r>
      <w:r w:rsidR="007C10CE" w:rsidRPr="00CE23AE">
        <w:rPr>
          <w:szCs w:val="20"/>
          <w:lang w:val="en-US"/>
        </w:rPr>
        <w:t xml:space="preserve"> admitted the request submitted by </w:t>
      </w:r>
      <w:r w:rsidR="00C561DF" w:rsidRPr="00CE23AE">
        <w:rPr>
          <w:szCs w:val="20"/>
          <w:lang w:val="en-US"/>
        </w:rPr>
        <w:t>the presumed victim</w:t>
      </w:r>
      <w:r w:rsidR="00C51E3C" w:rsidRPr="00CE23AE">
        <w:rPr>
          <w:szCs w:val="20"/>
          <w:lang w:val="en-US"/>
        </w:rPr>
        <w:t xml:space="preserve">, </w:t>
      </w:r>
      <w:r w:rsidR="007C10CE" w:rsidRPr="00CE23AE">
        <w:rPr>
          <w:szCs w:val="20"/>
          <w:lang w:val="en-US"/>
        </w:rPr>
        <w:t>through his representative</w:t>
      </w:r>
      <w:r w:rsidR="00576908" w:rsidRPr="00CE23AE">
        <w:rPr>
          <w:szCs w:val="20"/>
          <w:lang w:val="en-US"/>
        </w:rPr>
        <w:t>,</w:t>
      </w:r>
      <w:r w:rsidR="007C10CE" w:rsidRPr="00CE23AE">
        <w:rPr>
          <w:szCs w:val="20"/>
          <w:lang w:val="en-US"/>
        </w:rPr>
        <w:t xml:space="preserve"> to access the </w:t>
      </w:r>
      <w:r w:rsidRPr="00CE23AE">
        <w:rPr>
          <w:szCs w:val="20"/>
          <w:lang w:val="en-US"/>
        </w:rPr>
        <w:t>Legal Assistance Fund</w:t>
      </w:r>
      <w:r w:rsidR="00C51E3C" w:rsidRPr="00CE23AE">
        <w:rPr>
          <w:szCs w:val="20"/>
          <w:lang w:val="en-US"/>
        </w:rPr>
        <w:t>,</w:t>
      </w:r>
      <w:r w:rsidR="00C561DF" w:rsidRPr="00CE23AE">
        <w:rPr>
          <w:szCs w:val="20"/>
          <w:lang w:val="en-US"/>
        </w:rPr>
        <w:t xml:space="preserve"> and </w:t>
      </w:r>
      <w:r w:rsidR="00C51E3C" w:rsidRPr="00CE23AE">
        <w:rPr>
          <w:szCs w:val="20"/>
          <w:lang w:val="en-US"/>
        </w:rPr>
        <w:t>a</w:t>
      </w:r>
      <w:r w:rsidR="00D2490B" w:rsidRPr="00CE23AE">
        <w:rPr>
          <w:szCs w:val="20"/>
          <w:lang w:val="en-US"/>
        </w:rPr>
        <w:t xml:space="preserve">pproved the financial assistance required for the presentation of the presumed victim’s statement and the opinion of an expert witness, as well as their appearance and that of the representative at the </w:t>
      </w:r>
      <w:r w:rsidRPr="00CE23AE">
        <w:rPr>
          <w:szCs w:val="20"/>
          <w:lang w:val="en-US"/>
        </w:rPr>
        <w:t>public hearing</w:t>
      </w:r>
      <w:r w:rsidR="00C51E3C" w:rsidRPr="00CE23AE">
        <w:rPr>
          <w:szCs w:val="20"/>
          <w:lang w:val="en-US"/>
        </w:rPr>
        <w:t>.</w:t>
      </w:r>
      <w:r w:rsidR="00AD4A6F" w:rsidRPr="00CE23AE">
        <w:rPr>
          <w:szCs w:val="20"/>
          <w:lang w:val="en-US"/>
        </w:rPr>
        <w:t xml:space="preserve"> </w:t>
      </w:r>
    </w:p>
    <w:p w14:paraId="41EFC8D7" w14:textId="77777777" w:rsidR="008F358A" w:rsidRPr="00CE23AE" w:rsidRDefault="008F358A" w:rsidP="008F358A">
      <w:pPr>
        <w:tabs>
          <w:tab w:val="left" w:pos="567"/>
        </w:tabs>
        <w:spacing w:line="240" w:lineRule="auto"/>
        <w:rPr>
          <w:rFonts w:eastAsia="Calibri" w:cs="Verdana"/>
          <w:szCs w:val="20"/>
          <w:lang w:val="en-US"/>
        </w:rPr>
      </w:pPr>
    </w:p>
    <w:p w14:paraId="48D42799" w14:textId="16202299" w:rsidR="00C51E3C" w:rsidRPr="00CE23AE" w:rsidRDefault="005C743F" w:rsidP="00582D8D">
      <w:pPr>
        <w:numPr>
          <w:ilvl w:val="0"/>
          <w:numId w:val="6"/>
        </w:numPr>
        <w:tabs>
          <w:tab w:val="left" w:pos="567"/>
        </w:tabs>
        <w:autoSpaceDE w:val="0"/>
        <w:autoSpaceDN w:val="0"/>
        <w:spacing w:line="240" w:lineRule="auto"/>
        <w:rPr>
          <w:rFonts w:eastAsia="Calibri" w:cs="Verdana"/>
          <w:szCs w:val="20"/>
          <w:lang w:val="en-US"/>
        </w:rPr>
      </w:pPr>
      <w:bookmarkStart w:id="51" w:name="_Ref292292567"/>
      <w:bookmarkStart w:id="52" w:name="_Ref292700362"/>
      <w:bookmarkEnd w:id="38"/>
      <w:r w:rsidRPr="00CE23AE">
        <w:rPr>
          <w:rFonts w:eastAsia="Calibri" w:cs="Verdana"/>
          <w:i/>
          <w:szCs w:val="20"/>
          <w:lang w:val="en-US"/>
        </w:rPr>
        <w:t>Observations</w:t>
      </w:r>
      <w:r w:rsidR="00C51E3C" w:rsidRPr="00CE23AE">
        <w:rPr>
          <w:rFonts w:eastAsia="Calibri" w:cs="Verdana"/>
          <w:i/>
          <w:szCs w:val="20"/>
          <w:lang w:val="en-US"/>
        </w:rPr>
        <w:t xml:space="preserve"> </w:t>
      </w:r>
      <w:r w:rsidRPr="00CE23AE">
        <w:rPr>
          <w:rFonts w:eastAsia="Calibri" w:cs="Verdana"/>
          <w:i/>
          <w:szCs w:val="20"/>
          <w:lang w:val="en-US"/>
        </w:rPr>
        <w:t>on the</w:t>
      </w:r>
      <w:r w:rsidR="00C51E3C" w:rsidRPr="00CE23AE">
        <w:rPr>
          <w:rFonts w:eastAsia="Calibri" w:cs="Verdana"/>
          <w:i/>
          <w:szCs w:val="20"/>
          <w:lang w:val="en-US"/>
        </w:rPr>
        <w:t xml:space="preserve"> </w:t>
      </w:r>
      <w:r w:rsidRPr="00CE23AE">
        <w:rPr>
          <w:rFonts w:eastAsia="Calibri" w:cs="Verdana"/>
          <w:i/>
          <w:szCs w:val="20"/>
          <w:lang w:val="en-US"/>
        </w:rPr>
        <w:t>preliminary objections</w:t>
      </w:r>
      <w:r w:rsidR="00C51E3C" w:rsidRPr="00CE23AE">
        <w:rPr>
          <w:rFonts w:eastAsia="Calibri" w:cs="Verdana"/>
          <w:szCs w:val="20"/>
          <w:lang w:val="en-US"/>
        </w:rPr>
        <w:t xml:space="preserve">. </w:t>
      </w:r>
      <w:r w:rsidRPr="00CE23AE">
        <w:rPr>
          <w:rFonts w:eastAsia="Calibri" w:cs="Verdana"/>
          <w:szCs w:val="20"/>
          <w:lang w:val="en-US"/>
        </w:rPr>
        <w:t>On July</w:t>
      </w:r>
      <w:r w:rsidR="00C51E3C" w:rsidRPr="00CE23AE">
        <w:rPr>
          <w:rFonts w:eastAsia="Calibri" w:cs="Verdana"/>
          <w:szCs w:val="20"/>
          <w:lang w:val="en-US"/>
        </w:rPr>
        <w:t xml:space="preserve"> </w:t>
      </w:r>
      <w:r w:rsidR="00AD4A6F" w:rsidRPr="00CE23AE">
        <w:rPr>
          <w:rFonts w:eastAsia="Calibri" w:cs="Verdana"/>
          <w:szCs w:val="20"/>
          <w:lang w:val="en-US"/>
        </w:rPr>
        <w:t>29</w:t>
      </w:r>
      <w:r w:rsidR="00C561DF" w:rsidRPr="00CE23AE">
        <w:rPr>
          <w:rFonts w:eastAsia="Calibri" w:cs="Verdana"/>
          <w:szCs w:val="20"/>
          <w:lang w:val="en-US"/>
        </w:rPr>
        <w:t xml:space="preserve"> and </w:t>
      </w:r>
      <w:r w:rsidR="00C51E3C" w:rsidRPr="00CE23AE">
        <w:rPr>
          <w:rFonts w:eastAsia="Calibri" w:cs="Verdana"/>
          <w:szCs w:val="20"/>
          <w:lang w:val="en-US"/>
        </w:rPr>
        <w:t>30</w:t>
      </w:r>
      <w:r w:rsidRPr="00CE23AE">
        <w:rPr>
          <w:rFonts w:eastAsia="Calibri" w:cs="Verdana"/>
          <w:szCs w:val="20"/>
          <w:lang w:val="en-US"/>
        </w:rPr>
        <w:t xml:space="preserve">, </w:t>
      </w:r>
      <w:r w:rsidR="00C51E3C" w:rsidRPr="00CE23AE">
        <w:rPr>
          <w:rFonts w:eastAsia="Calibri" w:cs="Verdana"/>
          <w:szCs w:val="20"/>
          <w:lang w:val="en-US"/>
        </w:rPr>
        <w:t>2015</w:t>
      </w:r>
      <w:r w:rsidRPr="00CE23AE">
        <w:rPr>
          <w:rFonts w:eastAsia="Calibri" w:cs="Verdana"/>
          <w:szCs w:val="20"/>
          <w:lang w:val="en-US"/>
        </w:rPr>
        <w:t>,</w:t>
      </w:r>
      <w:r w:rsidR="00C51E3C" w:rsidRPr="00CE23AE">
        <w:rPr>
          <w:rFonts w:eastAsia="Calibri" w:cs="Verdana"/>
          <w:szCs w:val="20"/>
          <w:lang w:val="en-US"/>
        </w:rPr>
        <w:t xml:space="preserve"> </w:t>
      </w:r>
      <w:r w:rsidR="00C561DF" w:rsidRPr="00CE23AE">
        <w:rPr>
          <w:rFonts w:eastAsia="Calibri" w:cs="Verdana"/>
          <w:szCs w:val="20"/>
          <w:lang w:val="en-US"/>
        </w:rPr>
        <w:t>the Inter-American Commission and the representative</w:t>
      </w:r>
      <w:r w:rsidRPr="00CE23AE">
        <w:rPr>
          <w:rFonts w:eastAsia="Calibri" w:cs="Verdana"/>
          <w:szCs w:val="20"/>
          <w:lang w:val="en-US"/>
        </w:rPr>
        <w:t>, respectively, presented their observations</w:t>
      </w:r>
      <w:r w:rsidR="00C51E3C" w:rsidRPr="00CE23AE">
        <w:rPr>
          <w:rFonts w:eastAsia="Calibri" w:cs="Verdana"/>
          <w:szCs w:val="20"/>
          <w:lang w:val="en-US"/>
        </w:rPr>
        <w:t xml:space="preserve"> </w:t>
      </w:r>
      <w:r w:rsidRPr="00CE23AE">
        <w:rPr>
          <w:rFonts w:eastAsia="Calibri" w:cs="Verdana"/>
          <w:szCs w:val="20"/>
          <w:lang w:val="en-US"/>
        </w:rPr>
        <w:t>on the</w:t>
      </w:r>
      <w:r w:rsidR="00C51E3C" w:rsidRPr="00CE23AE">
        <w:rPr>
          <w:rFonts w:eastAsia="Calibri" w:cs="Verdana"/>
          <w:szCs w:val="20"/>
          <w:lang w:val="en-US"/>
        </w:rPr>
        <w:t xml:space="preserve"> </w:t>
      </w:r>
      <w:r w:rsidRPr="00CE23AE">
        <w:rPr>
          <w:rFonts w:eastAsia="Calibri" w:cs="Verdana"/>
          <w:szCs w:val="20"/>
          <w:lang w:val="en-US"/>
        </w:rPr>
        <w:t>preliminary objections</w:t>
      </w:r>
      <w:r w:rsidR="00C51E3C" w:rsidRPr="00CE23AE">
        <w:rPr>
          <w:rFonts w:eastAsia="Calibri" w:cs="Verdana"/>
          <w:szCs w:val="20"/>
          <w:lang w:val="en-US"/>
        </w:rPr>
        <w:t xml:space="preserve"> </w:t>
      </w:r>
      <w:r w:rsidRPr="00CE23AE">
        <w:rPr>
          <w:rFonts w:eastAsia="Calibri" w:cs="Verdana"/>
          <w:szCs w:val="20"/>
          <w:lang w:val="en-US"/>
        </w:rPr>
        <w:t>filed by</w:t>
      </w:r>
      <w:r w:rsidR="00C51E3C" w:rsidRPr="00CE23AE">
        <w:rPr>
          <w:rFonts w:eastAsia="Calibri" w:cs="Verdana"/>
          <w:szCs w:val="20"/>
          <w:lang w:val="en-US"/>
        </w:rPr>
        <w:t xml:space="preserve"> </w:t>
      </w:r>
      <w:r w:rsidR="00C561DF" w:rsidRPr="00CE23AE">
        <w:rPr>
          <w:rFonts w:eastAsia="Calibri" w:cs="Verdana"/>
          <w:szCs w:val="20"/>
          <w:lang w:val="en-US"/>
        </w:rPr>
        <w:t>the State</w:t>
      </w:r>
      <w:r w:rsidR="00AD4A6F" w:rsidRPr="00CE23AE">
        <w:rPr>
          <w:rFonts w:eastAsia="Calibri" w:cs="Verdana"/>
          <w:szCs w:val="20"/>
          <w:lang w:val="en-US"/>
        </w:rPr>
        <w:t>.</w:t>
      </w:r>
      <w:r w:rsidR="00C51E3C" w:rsidRPr="00CE23AE">
        <w:rPr>
          <w:rFonts w:eastAsia="Calibri" w:cs="Verdana"/>
          <w:szCs w:val="20"/>
          <w:lang w:val="en-US"/>
        </w:rPr>
        <w:t xml:space="preserve"> </w:t>
      </w:r>
    </w:p>
    <w:p w14:paraId="0DFFEF81" w14:textId="77777777" w:rsidR="00C51E3C" w:rsidRPr="00CE23AE" w:rsidRDefault="00C51E3C" w:rsidP="00C51E3C">
      <w:pPr>
        <w:tabs>
          <w:tab w:val="left" w:pos="567"/>
        </w:tabs>
        <w:autoSpaceDE w:val="0"/>
        <w:autoSpaceDN w:val="0"/>
        <w:spacing w:line="240" w:lineRule="auto"/>
        <w:rPr>
          <w:rFonts w:eastAsia="Calibri" w:cs="Verdana"/>
          <w:szCs w:val="20"/>
          <w:lang w:val="en-US"/>
        </w:rPr>
      </w:pPr>
    </w:p>
    <w:p w14:paraId="2E93CFF4" w14:textId="48A6F23A" w:rsidR="009215C6" w:rsidRPr="00CE23AE" w:rsidRDefault="005C743F" w:rsidP="007C10CE">
      <w:pPr>
        <w:numPr>
          <w:ilvl w:val="0"/>
          <w:numId w:val="6"/>
        </w:numPr>
        <w:tabs>
          <w:tab w:val="left" w:pos="567"/>
        </w:tabs>
        <w:spacing w:line="240" w:lineRule="auto"/>
        <w:rPr>
          <w:rFonts w:eastAsia="Calibri" w:cs="Verdana"/>
          <w:color w:val="000000"/>
          <w:szCs w:val="20"/>
          <w:lang w:val="en-US"/>
        </w:rPr>
      </w:pPr>
      <w:bookmarkStart w:id="53" w:name="_Ref336443781"/>
      <w:bookmarkStart w:id="54" w:name="_Ref343193354"/>
      <w:bookmarkStart w:id="55" w:name="_Ref374885387"/>
      <w:bookmarkStart w:id="56" w:name="_Ref367194812"/>
      <w:bookmarkStart w:id="57" w:name="_Ref447187437"/>
      <w:r w:rsidRPr="00CE23AE">
        <w:rPr>
          <w:rFonts w:cs="Verdana"/>
          <w:i/>
          <w:szCs w:val="20"/>
          <w:lang w:val="en-US"/>
        </w:rPr>
        <w:t>Public hearing</w:t>
      </w:r>
      <w:r w:rsidR="00C51E3C" w:rsidRPr="00CE23AE">
        <w:rPr>
          <w:rFonts w:cs="Verdana"/>
          <w:i/>
          <w:szCs w:val="20"/>
          <w:lang w:val="en-US"/>
        </w:rPr>
        <w:t>.</w:t>
      </w:r>
      <w:bookmarkStart w:id="58" w:name="_Ref343195764"/>
      <w:bookmarkEnd w:id="53"/>
      <w:bookmarkEnd w:id="54"/>
      <w:bookmarkEnd w:id="55"/>
      <w:bookmarkEnd w:id="56"/>
      <w:r w:rsidRPr="00CE23AE">
        <w:rPr>
          <w:rFonts w:cs="Verdana"/>
          <w:i/>
          <w:szCs w:val="20"/>
          <w:lang w:val="en-US"/>
        </w:rPr>
        <w:t xml:space="preserve"> </w:t>
      </w:r>
      <w:r w:rsidRPr="00CE23AE">
        <w:rPr>
          <w:szCs w:val="20"/>
          <w:lang w:val="en-US"/>
        </w:rPr>
        <w:t>In an order of December 16,</w:t>
      </w:r>
      <w:r w:rsidR="00C51E3C" w:rsidRPr="00CE23AE">
        <w:rPr>
          <w:szCs w:val="20"/>
          <w:lang w:val="en-US"/>
        </w:rPr>
        <w:t xml:space="preserve"> 2015</w:t>
      </w:r>
      <w:bookmarkStart w:id="59" w:name="_Ref447186150"/>
      <w:r w:rsidRPr="00CE23AE">
        <w:rPr>
          <w:szCs w:val="20"/>
          <w:lang w:val="en-US"/>
        </w:rPr>
        <w:t>,</w:t>
      </w:r>
      <w:r w:rsidR="00C51E3C" w:rsidRPr="00CE23AE">
        <w:rPr>
          <w:rStyle w:val="Refdenotaalpie"/>
          <w:szCs w:val="20"/>
          <w:lang w:val="en-US"/>
        </w:rPr>
        <w:footnoteReference w:id="7"/>
      </w:r>
      <w:bookmarkEnd w:id="59"/>
      <w:r w:rsidR="00C51E3C" w:rsidRPr="00CE23AE">
        <w:rPr>
          <w:szCs w:val="20"/>
          <w:lang w:val="en-US"/>
        </w:rPr>
        <w:t xml:space="preserve"> </w:t>
      </w:r>
      <w:r w:rsidR="00C561DF" w:rsidRPr="00CE23AE">
        <w:rPr>
          <w:szCs w:val="20"/>
          <w:lang w:val="en-US"/>
        </w:rPr>
        <w:t>the President</w:t>
      </w:r>
      <w:r w:rsidR="006F4956" w:rsidRPr="00CE23AE">
        <w:rPr>
          <w:szCs w:val="20"/>
          <w:lang w:val="en-US"/>
        </w:rPr>
        <w:t xml:space="preserve"> </w:t>
      </w:r>
      <w:r w:rsidR="007C10CE" w:rsidRPr="00CE23AE">
        <w:rPr>
          <w:szCs w:val="20"/>
          <w:lang w:val="en-US"/>
        </w:rPr>
        <w:t xml:space="preserve">called the parties and </w:t>
      </w:r>
      <w:r w:rsidR="00C561DF" w:rsidRPr="00CE23AE">
        <w:rPr>
          <w:szCs w:val="20"/>
          <w:lang w:val="en-US"/>
        </w:rPr>
        <w:t>the Commission</w:t>
      </w:r>
      <w:r w:rsidR="00C51E3C" w:rsidRPr="00CE23AE">
        <w:rPr>
          <w:szCs w:val="20"/>
          <w:lang w:val="en-US"/>
        </w:rPr>
        <w:t xml:space="preserve"> </w:t>
      </w:r>
      <w:r w:rsidR="007C10CE" w:rsidRPr="00CE23AE">
        <w:rPr>
          <w:szCs w:val="20"/>
          <w:lang w:val="en-US"/>
        </w:rPr>
        <w:t>to a</w:t>
      </w:r>
      <w:r w:rsidR="00C51E3C" w:rsidRPr="00CE23AE">
        <w:rPr>
          <w:szCs w:val="20"/>
          <w:lang w:val="en-US"/>
        </w:rPr>
        <w:t xml:space="preserve"> </w:t>
      </w:r>
      <w:r w:rsidRPr="00CE23AE">
        <w:rPr>
          <w:szCs w:val="20"/>
          <w:lang w:val="en-US"/>
        </w:rPr>
        <w:t>public hearing</w:t>
      </w:r>
      <w:r w:rsidR="007C10CE" w:rsidRPr="00CE23AE">
        <w:rPr>
          <w:szCs w:val="20"/>
          <w:lang w:val="en-US"/>
        </w:rPr>
        <w:t xml:space="preserve"> to receive the final oral arguments </w:t>
      </w:r>
      <w:r w:rsidR="00C561DF" w:rsidRPr="00CE23AE">
        <w:rPr>
          <w:szCs w:val="20"/>
          <w:lang w:val="en-US"/>
        </w:rPr>
        <w:t>of the representative and the State</w:t>
      </w:r>
      <w:r w:rsidR="00C51E3C" w:rsidRPr="00CE23AE">
        <w:rPr>
          <w:szCs w:val="20"/>
          <w:lang w:val="en-US"/>
        </w:rPr>
        <w:t>,</w:t>
      </w:r>
      <w:r w:rsidR="00C561DF" w:rsidRPr="00CE23AE">
        <w:rPr>
          <w:szCs w:val="20"/>
          <w:lang w:val="en-US"/>
        </w:rPr>
        <w:t xml:space="preserve"> and</w:t>
      </w:r>
      <w:r w:rsidR="007C10CE" w:rsidRPr="00CE23AE">
        <w:rPr>
          <w:szCs w:val="20"/>
          <w:lang w:val="en-US"/>
        </w:rPr>
        <w:t xml:space="preserve"> the final oral observations</w:t>
      </w:r>
      <w:r w:rsidR="00C561DF" w:rsidRPr="00CE23AE">
        <w:rPr>
          <w:szCs w:val="20"/>
          <w:lang w:val="en-US"/>
        </w:rPr>
        <w:t xml:space="preserve"> of the Commission</w:t>
      </w:r>
      <w:r w:rsidR="007C10CE" w:rsidRPr="00CE23AE">
        <w:rPr>
          <w:szCs w:val="20"/>
          <w:lang w:val="en-US"/>
        </w:rPr>
        <w:t xml:space="preserve"> on the</w:t>
      </w:r>
      <w:r w:rsidR="00C51E3C" w:rsidRPr="00CE23AE">
        <w:rPr>
          <w:szCs w:val="20"/>
          <w:lang w:val="en-US"/>
        </w:rPr>
        <w:t xml:space="preserve"> </w:t>
      </w:r>
      <w:r w:rsidRPr="00CE23AE">
        <w:rPr>
          <w:szCs w:val="20"/>
          <w:lang w:val="en-US"/>
        </w:rPr>
        <w:t>preliminary objections</w:t>
      </w:r>
      <w:r w:rsidR="00C561DF" w:rsidRPr="00CE23AE">
        <w:rPr>
          <w:szCs w:val="20"/>
          <w:lang w:val="en-US"/>
        </w:rPr>
        <w:t xml:space="preserve"> and </w:t>
      </w:r>
      <w:r w:rsidR="00C51E3C" w:rsidRPr="00CE23AE">
        <w:rPr>
          <w:szCs w:val="20"/>
          <w:lang w:val="en-US"/>
        </w:rPr>
        <w:t xml:space="preserve">eventual </w:t>
      </w:r>
      <w:r w:rsidR="007C10CE" w:rsidRPr="00CE23AE">
        <w:rPr>
          <w:szCs w:val="20"/>
          <w:lang w:val="en-US"/>
        </w:rPr>
        <w:t>m</w:t>
      </w:r>
      <w:r w:rsidR="00C561DF" w:rsidRPr="00CE23AE">
        <w:rPr>
          <w:szCs w:val="20"/>
          <w:lang w:val="en-US"/>
        </w:rPr>
        <w:t xml:space="preserve">erits, </w:t>
      </w:r>
      <w:r w:rsidR="007C10CE" w:rsidRPr="00CE23AE">
        <w:rPr>
          <w:szCs w:val="20"/>
          <w:lang w:val="en-US"/>
        </w:rPr>
        <w:t>r</w:t>
      </w:r>
      <w:r w:rsidR="00C561DF" w:rsidRPr="00CE23AE">
        <w:rPr>
          <w:szCs w:val="20"/>
          <w:lang w:val="en-US"/>
        </w:rPr>
        <w:t>eparations and costs</w:t>
      </w:r>
      <w:r w:rsidR="00C51E3C" w:rsidRPr="00CE23AE">
        <w:rPr>
          <w:szCs w:val="20"/>
          <w:lang w:val="en-US"/>
        </w:rPr>
        <w:t xml:space="preserve">. </w:t>
      </w:r>
      <w:r w:rsidR="007C10CE" w:rsidRPr="00CE23AE">
        <w:rPr>
          <w:szCs w:val="20"/>
          <w:lang w:val="en-US"/>
        </w:rPr>
        <w:t xml:space="preserve">In addition, in this order, </w:t>
      </w:r>
      <w:r w:rsidR="00576908" w:rsidRPr="00CE23AE">
        <w:rPr>
          <w:szCs w:val="20"/>
          <w:lang w:val="en-US"/>
        </w:rPr>
        <w:t>the President</w:t>
      </w:r>
      <w:r w:rsidR="007C10CE" w:rsidRPr="00CE23AE">
        <w:rPr>
          <w:szCs w:val="20"/>
          <w:lang w:val="en-US"/>
        </w:rPr>
        <w:t xml:space="preserve"> required the statements of five witnesses proposed by the representative and a joint opinion of two expert witnesses proposed by the State, to be presented by affidavit, and the</w:t>
      </w:r>
      <w:r w:rsidR="00576908" w:rsidRPr="00CE23AE">
        <w:rPr>
          <w:szCs w:val="20"/>
          <w:lang w:val="en-US"/>
        </w:rPr>
        <w:t xml:space="preserve"> parties submitted the</w:t>
      </w:r>
      <w:r w:rsidR="007C10CE" w:rsidRPr="00CE23AE">
        <w:rPr>
          <w:szCs w:val="20"/>
          <w:lang w:val="en-US"/>
        </w:rPr>
        <w:t xml:space="preserve">se </w:t>
      </w:r>
      <w:r w:rsidR="004002FB" w:rsidRPr="00CE23AE">
        <w:rPr>
          <w:szCs w:val="20"/>
          <w:lang w:val="en-US"/>
        </w:rPr>
        <w:t>on February 3,</w:t>
      </w:r>
      <w:r w:rsidR="00930702" w:rsidRPr="00CE23AE">
        <w:rPr>
          <w:szCs w:val="20"/>
          <w:lang w:val="en-US"/>
        </w:rPr>
        <w:t xml:space="preserve"> </w:t>
      </w:r>
      <w:r w:rsidR="00C51E3C" w:rsidRPr="00CE23AE">
        <w:rPr>
          <w:szCs w:val="20"/>
          <w:lang w:val="en-US"/>
        </w:rPr>
        <w:t xml:space="preserve">2016. </w:t>
      </w:r>
      <w:r w:rsidR="00C561DF" w:rsidRPr="00CE23AE">
        <w:rPr>
          <w:szCs w:val="20"/>
          <w:lang w:val="en-US"/>
        </w:rPr>
        <w:t>The representative and the State</w:t>
      </w:r>
      <w:r w:rsidR="00C51E3C" w:rsidRPr="00CE23AE">
        <w:rPr>
          <w:szCs w:val="20"/>
          <w:lang w:val="en-US"/>
        </w:rPr>
        <w:t xml:space="preserve"> </w:t>
      </w:r>
      <w:r w:rsidR="007C10CE" w:rsidRPr="00CE23AE">
        <w:rPr>
          <w:szCs w:val="20"/>
          <w:lang w:val="en-US"/>
        </w:rPr>
        <w:t xml:space="preserve">were able to make observations </w:t>
      </w:r>
      <w:r w:rsidR="00576908" w:rsidRPr="00CE23AE">
        <w:rPr>
          <w:szCs w:val="20"/>
          <w:lang w:val="en-US"/>
        </w:rPr>
        <w:t xml:space="preserve">and pose questions </w:t>
      </w:r>
      <w:r w:rsidR="007C10CE" w:rsidRPr="00CE23AE">
        <w:rPr>
          <w:szCs w:val="20"/>
          <w:lang w:val="en-US"/>
        </w:rPr>
        <w:t>to the deponents offered by the other party. In addition, in the said order, the presumed victim, Homero Flor Freire, and three expert witnesses proposed by the State, the representative and the Commission, respectively, were called to declare at the public hearing. This hearing took place on February 17, 2016, during the 113</w:t>
      </w:r>
      <w:r w:rsidR="007C10CE" w:rsidRPr="00CE23AE">
        <w:rPr>
          <w:szCs w:val="20"/>
          <w:vertAlign w:val="superscript"/>
          <w:lang w:val="en-US"/>
        </w:rPr>
        <w:t>th</w:t>
      </w:r>
      <w:r w:rsidR="007C10CE" w:rsidRPr="00CE23AE">
        <w:rPr>
          <w:szCs w:val="20"/>
          <w:lang w:val="en-US"/>
        </w:rPr>
        <w:t xml:space="preserve"> regular session of the Court held at its seat.</w:t>
      </w:r>
      <w:r w:rsidR="00C51E3C" w:rsidRPr="00CE23AE">
        <w:rPr>
          <w:rStyle w:val="Refdenotaalpie"/>
          <w:szCs w:val="20"/>
          <w:lang w:val="en-US"/>
        </w:rPr>
        <w:footnoteReference w:id="8"/>
      </w:r>
      <w:r w:rsidR="007C10CE" w:rsidRPr="00CE23AE">
        <w:rPr>
          <w:szCs w:val="20"/>
          <w:lang w:val="en-US"/>
        </w:rPr>
        <w:t xml:space="preserve"> During the hearing, the Court’s judges requested the parties and</w:t>
      </w:r>
      <w:r w:rsidR="009215C6" w:rsidRPr="00CE23AE">
        <w:rPr>
          <w:lang w:val="en-US"/>
        </w:rPr>
        <w:t xml:space="preserve"> </w:t>
      </w:r>
      <w:r w:rsidR="00C561DF" w:rsidRPr="00CE23AE">
        <w:rPr>
          <w:lang w:val="en-US"/>
        </w:rPr>
        <w:t>the Commission</w:t>
      </w:r>
      <w:r w:rsidR="007C10CE" w:rsidRPr="00CE23AE">
        <w:rPr>
          <w:lang w:val="en-US"/>
        </w:rPr>
        <w:t xml:space="preserve"> to provide</w:t>
      </w:r>
      <w:r w:rsidR="007C10CE" w:rsidRPr="00CE23AE">
        <w:rPr>
          <w:szCs w:val="20"/>
          <w:lang w:val="en-US"/>
        </w:rPr>
        <w:t xml:space="preserve"> certain information and explanations</w:t>
      </w:r>
      <w:r w:rsidR="009215C6" w:rsidRPr="00CE23AE">
        <w:rPr>
          <w:lang w:val="en-US"/>
        </w:rPr>
        <w:t>.</w:t>
      </w:r>
      <w:bookmarkEnd w:id="57"/>
    </w:p>
    <w:p w14:paraId="779D7DEF" w14:textId="77777777" w:rsidR="009215C6" w:rsidRPr="00CE23AE" w:rsidRDefault="009215C6" w:rsidP="009215C6">
      <w:pPr>
        <w:tabs>
          <w:tab w:val="left" w:pos="567"/>
        </w:tabs>
        <w:spacing w:line="240" w:lineRule="auto"/>
        <w:rPr>
          <w:rFonts w:eastAsia="Calibri" w:cs="Verdana"/>
          <w:color w:val="000000"/>
          <w:szCs w:val="20"/>
          <w:lang w:val="en-US"/>
        </w:rPr>
      </w:pPr>
    </w:p>
    <w:p w14:paraId="6FF51FCD" w14:textId="675C6A69" w:rsidR="009215C6" w:rsidRPr="00CE23AE" w:rsidRDefault="009215C6" w:rsidP="00582D8D">
      <w:pPr>
        <w:numPr>
          <w:ilvl w:val="0"/>
          <w:numId w:val="6"/>
        </w:numPr>
        <w:tabs>
          <w:tab w:val="left" w:pos="567"/>
        </w:tabs>
        <w:spacing w:line="240" w:lineRule="auto"/>
        <w:rPr>
          <w:rFonts w:eastAsia="Calibri" w:cs="Verdana"/>
          <w:color w:val="000000"/>
          <w:szCs w:val="20"/>
          <w:lang w:val="en-US"/>
        </w:rPr>
      </w:pPr>
      <w:r w:rsidRPr="00CE23AE">
        <w:rPr>
          <w:i/>
          <w:lang w:val="en-US"/>
        </w:rPr>
        <w:t>Amicus curiae</w:t>
      </w:r>
      <w:r w:rsidRPr="00CE23AE">
        <w:rPr>
          <w:lang w:val="en-US"/>
        </w:rPr>
        <w:t xml:space="preserve">. </w:t>
      </w:r>
      <w:r w:rsidR="006F4956" w:rsidRPr="00CE23AE">
        <w:rPr>
          <w:lang w:val="en-US"/>
        </w:rPr>
        <w:t>On March 3,</w:t>
      </w:r>
      <w:r w:rsidR="00071083" w:rsidRPr="00CE23AE">
        <w:rPr>
          <w:lang w:val="en-US"/>
        </w:rPr>
        <w:t xml:space="preserve"> 2016</w:t>
      </w:r>
      <w:r w:rsidR="006F4956" w:rsidRPr="00CE23AE">
        <w:rPr>
          <w:lang w:val="en-US"/>
        </w:rPr>
        <w:t xml:space="preserve">, the Court received an </w:t>
      </w:r>
      <w:r w:rsidRPr="00CE23AE">
        <w:rPr>
          <w:i/>
          <w:lang w:val="en-US"/>
        </w:rPr>
        <w:t>amicus curiae</w:t>
      </w:r>
      <w:r w:rsidRPr="00CE23AE">
        <w:rPr>
          <w:lang w:val="en-US"/>
        </w:rPr>
        <w:t xml:space="preserve"> </w:t>
      </w:r>
      <w:r w:rsidR="006F4956" w:rsidRPr="00CE23AE">
        <w:rPr>
          <w:lang w:val="en-US"/>
        </w:rPr>
        <w:t>brief from the</w:t>
      </w:r>
      <w:r w:rsidR="004D03ED" w:rsidRPr="00CE23AE">
        <w:rPr>
          <w:lang w:val="en-US"/>
        </w:rPr>
        <w:t xml:space="preserve"> </w:t>
      </w:r>
      <w:r w:rsidR="004D03ED" w:rsidRPr="00CE23AE">
        <w:rPr>
          <w:i/>
          <w:iCs/>
          <w:lang w:val="en-US"/>
        </w:rPr>
        <w:t>Fundación Ecuatoriana Equidad</w:t>
      </w:r>
      <w:r w:rsidR="006F4956" w:rsidRPr="00CE23AE">
        <w:rPr>
          <w:lang w:val="en-US"/>
        </w:rPr>
        <w:t>.</w:t>
      </w:r>
      <w:r w:rsidR="00071083" w:rsidRPr="00CE23AE">
        <w:rPr>
          <w:rStyle w:val="Refdenotaalpie"/>
          <w:lang w:val="en-US"/>
        </w:rPr>
        <w:footnoteReference w:id="9"/>
      </w:r>
    </w:p>
    <w:p w14:paraId="29D1DD8E" w14:textId="77777777" w:rsidR="004D03ED" w:rsidRPr="00CE23AE" w:rsidRDefault="004D03ED" w:rsidP="004D03ED">
      <w:pPr>
        <w:tabs>
          <w:tab w:val="left" w:pos="567"/>
        </w:tabs>
        <w:spacing w:line="240" w:lineRule="auto"/>
        <w:rPr>
          <w:rFonts w:eastAsia="Calibri" w:cs="Verdana"/>
          <w:color w:val="000000"/>
          <w:szCs w:val="20"/>
          <w:lang w:val="en-US"/>
        </w:rPr>
      </w:pPr>
    </w:p>
    <w:p w14:paraId="732D6195" w14:textId="75694B1C" w:rsidR="00851727" w:rsidRPr="00CE23AE" w:rsidRDefault="006F4956" w:rsidP="00582D8D">
      <w:pPr>
        <w:numPr>
          <w:ilvl w:val="0"/>
          <w:numId w:val="6"/>
        </w:numPr>
        <w:tabs>
          <w:tab w:val="left" w:pos="567"/>
        </w:tabs>
        <w:autoSpaceDE w:val="0"/>
        <w:autoSpaceDN w:val="0"/>
        <w:spacing w:line="240" w:lineRule="auto"/>
        <w:rPr>
          <w:rFonts w:cs="Verdana"/>
          <w:b/>
          <w:bCs/>
          <w:szCs w:val="20"/>
          <w:lang w:val="en-US"/>
        </w:rPr>
      </w:pPr>
      <w:bookmarkStart w:id="60" w:name="_Ref354147731"/>
      <w:r w:rsidRPr="00CE23AE">
        <w:rPr>
          <w:rFonts w:eastAsia="Calibri" w:cs="Verdana"/>
          <w:i/>
          <w:szCs w:val="20"/>
          <w:lang w:val="en-US"/>
        </w:rPr>
        <w:t xml:space="preserve">Final written arguments </w:t>
      </w:r>
      <w:r w:rsidR="00C561DF" w:rsidRPr="00CE23AE">
        <w:rPr>
          <w:rFonts w:eastAsia="Calibri" w:cs="Verdana"/>
          <w:i/>
          <w:szCs w:val="20"/>
          <w:lang w:val="en-US"/>
        </w:rPr>
        <w:t xml:space="preserve">and </w:t>
      </w:r>
      <w:r w:rsidR="005C743F" w:rsidRPr="00CE23AE">
        <w:rPr>
          <w:rFonts w:eastAsia="Calibri" w:cs="Verdana"/>
          <w:i/>
          <w:szCs w:val="20"/>
          <w:lang w:val="en-US"/>
        </w:rPr>
        <w:t>observations</w:t>
      </w:r>
      <w:r w:rsidR="00C51E3C" w:rsidRPr="00CE23AE">
        <w:rPr>
          <w:rFonts w:eastAsia="Calibri" w:cs="Verdana"/>
          <w:i/>
          <w:szCs w:val="20"/>
          <w:lang w:val="en-US"/>
        </w:rPr>
        <w:t xml:space="preserve">. </w:t>
      </w:r>
      <w:bookmarkEnd w:id="58"/>
      <w:bookmarkEnd w:id="60"/>
      <w:r w:rsidRPr="00CE23AE">
        <w:rPr>
          <w:rFonts w:eastAsia="Calibri" w:cs="Verdana"/>
          <w:iCs/>
          <w:szCs w:val="20"/>
          <w:lang w:val="en-US"/>
        </w:rPr>
        <w:t>On March 17,</w:t>
      </w:r>
      <w:r w:rsidR="00E30D42" w:rsidRPr="00CE23AE">
        <w:rPr>
          <w:szCs w:val="20"/>
          <w:lang w:val="en-US"/>
        </w:rPr>
        <w:t xml:space="preserve"> 2016</w:t>
      </w:r>
      <w:r w:rsidRPr="00CE23AE">
        <w:rPr>
          <w:szCs w:val="20"/>
          <w:lang w:val="en-US"/>
        </w:rPr>
        <w:t>,</w:t>
      </w:r>
      <w:r w:rsidR="00C51E3C" w:rsidRPr="00CE23AE">
        <w:rPr>
          <w:szCs w:val="20"/>
          <w:lang w:val="en-US"/>
        </w:rPr>
        <w:t xml:space="preserve"> </w:t>
      </w:r>
      <w:r w:rsidR="00C561DF" w:rsidRPr="00CE23AE">
        <w:rPr>
          <w:szCs w:val="20"/>
          <w:lang w:val="en-US"/>
        </w:rPr>
        <w:t>the representative and the State</w:t>
      </w:r>
      <w:r w:rsidR="00C51E3C" w:rsidRPr="00CE23AE">
        <w:rPr>
          <w:szCs w:val="20"/>
          <w:lang w:val="en-US"/>
        </w:rPr>
        <w:t xml:space="preserve"> </w:t>
      </w:r>
      <w:r w:rsidRPr="00CE23AE">
        <w:rPr>
          <w:szCs w:val="20"/>
          <w:lang w:val="en-US"/>
        </w:rPr>
        <w:t>presented their</w:t>
      </w:r>
      <w:r w:rsidR="00C51E3C" w:rsidRPr="00CE23AE">
        <w:rPr>
          <w:szCs w:val="20"/>
          <w:lang w:val="en-US"/>
        </w:rPr>
        <w:t xml:space="preserve"> </w:t>
      </w:r>
      <w:r w:rsidRPr="00CE23AE">
        <w:rPr>
          <w:szCs w:val="20"/>
          <w:lang w:val="en-US"/>
        </w:rPr>
        <w:t>final written arguments</w:t>
      </w:r>
      <w:r w:rsidR="00C561DF" w:rsidRPr="00CE23AE">
        <w:rPr>
          <w:szCs w:val="20"/>
          <w:lang w:val="en-US"/>
        </w:rPr>
        <w:t xml:space="preserve"> and the Commission</w:t>
      </w:r>
      <w:r w:rsidR="00C51E3C" w:rsidRPr="00CE23AE">
        <w:rPr>
          <w:szCs w:val="20"/>
          <w:lang w:val="en-US"/>
        </w:rPr>
        <w:t xml:space="preserve"> </w:t>
      </w:r>
      <w:r w:rsidRPr="00CE23AE">
        <w:rPr>
          <w:szCs w:val="20"/>
          <w:lang w:val="en-US"/>
        </w:rPr>
        <w:t>presented its</w:t>
      </w:r>
      <w:r w:rsidR="00C51E3C" w:rsidRPr="00CE23AE">
        <w:rPr>
          <w:szCs w:val="20"/>
          <w:lang w:val="en-US"/>
        </w:rPr>
        <w:t xml:space="preserve"> </w:t>
      </w:r>
      <w:r w:rsidRPr="00CE23AE">
        <w:rPr>
          <w:szCs w:val="20"/>
          <w:lang w:val="en-US"/>
        </w:rPr>
        <w:t>final written observations</w:t>
      </w:r>
      <w:r w:rsidR="00C51E3C" w:rsidRPr="00CE23AE">
        <w:rPr>
          <w:szCs w:val="20"/>
          <w:lang w:val="en-US"/>
        </w:rPr>
        <w:t>.</w:t>
      </w:r>
      <w:r w:rsidR="004D03ED" w:rsidRPr="00CE23AE">
        <w:rPr>
          <w:szCs w:val="20"/>
          <w:lang w:val="en-US"/>
        </w:rPr>
        <w:t xml:space="preserve"> </w:t>
      </w:r>
      <w:r w:rsidRPr="00CE23AE">
        <w:rPr>
          <w:lang w:val="en-US"/>
        </w:rPr>
        <w:t>Together with their</w:t>
      </w:r>
      <w:r w:rsidR="004D03ED" w:rsidRPr="00CE23AE">
        <w:rPr>
          <w:lang w:val="en-US"/>
        </w:rPr>
        <w:t xml:space="preserve"> </w:t>
      </w:r>
      <w:r w:rsidRPr="00CE23AE">
        <w:rPr>
          <w:lang w:val="en-US"/>
        </w:rPr>
        <w:t>final written arguments</w:t>
      </w:r>
      <w:r w:rsidR="004D03ED" w:rsidRPr="00CE23AE">
        <w:rPr>
          <w:lang w:val="en-US"/>
        </w:rPr>
        <w:t xml:space="preserve"> </w:t>
      </w:r>
      <w:r w:rsidRPr="00CE23AE">
        <w:rPr>
          <w:lang w:val="en-US"/>
        </w:rPr>
        <w:t>the parties submitted information, explanations and helpful evidence requested by the Court’s judges</w:t>
      </w:r>
      <w:r w:rsidR="004D03ED" w:rsidRPr="00CE23AE">
        <w:rPr>
          <w:lang w:val="en-US"/>
        </w:rPr>
        <w:t xml:space="preserve"> (</w:t>
      </w:r>
      <w:r w:rsidR="004D03ED" w:rsidRPr="00CE23AE">
        <w:rPr>
          <w:i/>
          <w:lang w:val="en-US"/>
        </w:rPr>
        <w:t>supra</w:t>
      </w:r>
      <w:r w:rsidR="004D03ED" w:rsidRPr="00CE23AE">
        <w:rPr>
          <w:lang w:val="en-US"/>
        </w:rPr>
        <w:t xml:space="preserve"> </w:t>
      </w:r>
      <w:r w:rsidR="005C743F" w:rsidRPr="00CE23AE">
        <w:rPr>
          <w:lang w:val="en-US"/>
        </w:rPr>
        <w:t>para.</w:t>
      </w:r>
      <w:r w:rsidR="004D03ED" w:rsidRPr="00CE23AE">
        <w:rPr>
          <w:lang w:val="en-US"/>
        </w:rPr>
        <w:t xml:space="preserve"> </w:t>
      </w:r>
      <w:r w:rsidR="004D03ED" w:rsidRPr="00CE23AE">
        <w:rPr>
          <w:lang w:val="en-US"/>
        </w:rPr>
        <w:fldChar w:fldCharType="begin"/>
      </w:r>
      <w:r w:rsidR="004D03ED" w:rsidRPr="00CE23AE">
        <w:rPr>
          <w:lang w:val="en-US"/>
        </w:rPr>
        <w:instrText xml:space="preserve"> REF _Ref447187437 \r \h </w:instrText>
      </w:r>
      <w:r w:rsidR="00CE23AE">
        <w:rPr>
          <w:lang w:val="en-US"/>
        </w:rPr>
        <w:instrText xml:space="preserve"> \* MERGEFORMAT </w:instrText>
      </w:r>
      <w:r w:rsidR="004D03ED" w:rsidRPr="00CE23AE">
        <w:rPr>
          <w:lang w:val="en-US"/>
        </w:rPr>
      </w:r>
      <w:r w:rsidR="004D03ED" w:rsidRPr="00CE23AE">
        <w:rPr>
          <w:lang w:val="en-US"/>
        </w:rPr>
        <w:fldChar w:fldCharType="separate"/>
      </w:r>
      <w:r w:rsidR="00BC2953" w:rsidRPr="00CE23AE">
        <w:rPr>
          <w:lang w:val="en-US"/>
        </w:rPr>
        <w:t>10</w:t>
      </w:r>
      <w:r w:rsidR="004D03ED" w:rsidRPr="00CE23AE">
        <w:rPr>
          <w:lang w:val="en-US"/>
        </w:rPr>
        <w:fldChar w:fldCharType="end"/>
      </w:r>
      <w:r w:rsidR="004D03ED" w:rsidRPr="00CE23AE">
        <w:rPr>
          <w:lang w:val="en-US"/>
        </w:rPr>
        <w:t>)</w:t>
      </w:r>
      <w:r w:rsidR="00C561DF" w:rsidRPr="00CE23AE">
        <w:rPr>
          <w:lang w:val="en-US"/>
        </w:rPr>
        <w:t xml:space="preserve"> and the State</w:t>
      </w:r>
      <w:r w:rsidR="004D03ED" w:rsidRPr="00CE23AE">
        <w:rPr>
          <w:lang w:val="en-US"/>
        </w:rPr>
        <w:t xml:space="preserve"> present</w:t>
      </w:r>
      <w:r w:rsidRPr="00CE23AE">
        <w:rPr>
          <w:lang w:val="en-US"/>
        </w:rPr>
        <w:t>ed certain additional documentation.</w:t>
      </w:r>
      <w:r w:rsidR="004D03ED" w:rsidRPr="00CE23AE">
        <w:rPr>
          <w:lang w:val="en-US"/>
        </w:rPr>
        <w:t xml:space="preserve"> </w:t>
      </w:r>
      <w:r w:rsidRPr="00CE23AE">
        <w:rPr>
          <w:lang w:val="en-US"/>
        </w:rPr>
        <w:t>On April 8,</w:t>
      </w:r>
      <w:r w:rsidR="004D03ED" w:rsidRPr="00CE23AE">
        <w:rPr>
          <w:lang w:val="en-US"/>
        </w:rPr>
        <w:t xml:space="preserve"> 201</w:t>
      </w:r>
      <w:r w:rsidR="002F4CAB" w:rsidRPr="00CE23AE">
        <w:rPr>
          <w:lang w:val="en-US"/>
        </w:rPr>
        <w:t>6</w:t>
      </w:r>
      <w:r w:rsidRPr="00CE23AE">
        <w:rPr>
          <w:lang w:val="en-US"/>
        </w:rPr>
        <w:t>,</w:t>
      </w:r>
      <w:r w:rsidR="004D03ED" w:rsidRPr="00CE23AE">
        <w:rPr>
          <w:lang w:val="en-US"/>
        </w:rPr>
        <w:t xml:space="preserve"> </w:t>
      </w:r>
      <w:r w:rsidRPr="00CE23AE">
        <w:rPr>
          <w:lang w:val="en-US"/>
        </w:rPr>
        <w:t xml:space="preserve">the </w:t>
      </w:r>
      <w:r w:rsidR="00C561DF" w:rsidRPr="00CE23AE">
        <w:rPr>
          <w:lang w:val="en-US"/>
        </w:rPr>
        <w:t>Secretary of the Court</w:t>
      </w:r>
      <w:r w:rsidR="004D03ED" w:rsidRPr="00CE23AE">
        <w:rPr>
          <w:lang w:val="en-US"/>
        </w:rPr>
        <w:t xml:space="preserve">, </w:t>
      </w:r>
      <w:r w:rsidRPr="00CE23AE">
        <w:rPr>
          <w:lang w:val="en-US"/>
        </w:rPr>
        <w:t>on the instructions</w:t>
      </w:r>
      <w:r w:rsidR="002F4CAB" w:rsidRPr="00CE23AE">
        <w:rPr>
          <w:lang w:val="en-US"/>
        </w:rPr>
        <w:t xml:space="preserve"> </w:t>
      </w:r>
      <w:r w:rsidRPr="00CE23AE">
        <w:rPr>
          <w:lang w:val="en-US"/>
        </w:rPr>
        <w:t>of the President</w:t>
      </w:r>
      <w:r w:rsidR="002F4CAB" w:rsidRPr="00CE23AE">
        <w:rPr>
          <w:lang w:val="en-US"/>
        </w:rPr>
        <w:t xml:space="preserve">, </w:t>
      </w:r>
      <w:r w:rsidRPr="00CE23AE">
        <w:rPr>
          <w:lang w:val="en-US"/>
        </w:rPr>
        <w:t>asked the representative</w:t>
      </w:r>
      <w:r w:rsidR="00C561DF" w:rsidRPr="00CE23AE">
        <w:rPr>
          <w:lang w:val="en-US"/>
        </w:rPr>
        <w:t xml:space="preserve"> and</w:t>
      </w:r>
      <w:r w:rsidR="004D03ED" w:rsidRPr="00CE23AE">
        <w:rPr>
          <w:lang w:val="en-US"/>
        </w:rPr>
        <w:t xml:space="preserve"> </w:t>
      </w:r>
      <w:r w:rsidR="00C561DF" w:rsidRPr="00CE23AE">
        <w:rPr>
          <w:lang w:val="en-US"/>
        </w:rPr>
        <w:t>the Commission</w:t>
      </w:r>
      <w:r w:rsidR="004D03ED" w:rsidRPr="00CE23AE">
        <w:rPr>
          <w:lang w:val="en-US"/>
        </w:rPr>
        <w:t xml:space="preserve"> </w:t>
      </w:r>
      <w:r w:rsidRPr="00CE23AE">
        <w:rPr>
          <w:lang w:val="en-US"/>
        </w:rPr>
        <w:t xml:space="preserve">to submit any </w:t>
      </w:r>
      <w:r w:rsidR="005C743F" w:rsidRPr="00CE23AE">
        <w:rPr>
          <w:lang w:val="en-US"/>
        </w:rPr>
        <w:t>observations</w:t>
      </w:r>
      <w:r w:rsidR="004D03ED" w:rsidRPr="00CE23AE">
        <w:rPr>
          <w:lang w:val="en-US"/>
        </w:rPr>
        <w:t xml:space="preserve"> </w:t>
      </w:r>
      <w:r w:rsidRPr="00CE23AE">
        <w:rPr>
          <w:lang w:val="en-US"/>
        </w:rPr>
        <w:t>they deemed pertinent on the said documentation.</w:t>
      </w:r>
    </w:p>
    <w:p w14:paraId="2F057888" w14:textId="77777777" w:rsidR="00851727" w:rsidRPr="00CE23AE" w:rsidRDefault="00851727" w:rsidP="00851727">
      <w:pPr>
        <w:tabs>
          <w:tab w:val="left" w:pos="567"/>
        </w:tabs>
        <w:autoSpaceDE w:val="0"/>
        <w:autoSpaceDN w:val="0"/>
        <w:spacing w:line="240" w:lineRule="auto"/>
        <w:rPr>
          <w:rFonts w:cs="Verdana"/>
          <w:b/>
          <w:bCs/>
          <w:szCs w:val="20"/>
          <w:lang w:val="en-US"/>
        </w:rPr>
      </w:pPr>
    </w:p>
    <w:p w14:paraId="5FDF7FCD" w14:textId="5A05A8BE" w:rsidR="00851727" w:rsidRPr="00CE23AE" w:rsidRDefault="00721F1C" w:rsidP="00C51E3C">
      <w:pPr>
        <w:numPr>
          <w:ilvl w:val="0"/>
          <w:numId w:val="6"/>
        </w:numPr>
        <w:tabs>
          <w:tab w:val="left" w:pos="567"/>
        </w:tabs>
        <w:autoSpaceDE w:val="0"/>
        <w:autoSpaceDN w:val="0"/>
        <w:spacing w:line="240" w:lineRule="auto"/>
        <w:rPr>
          <w:rFonts w:cs="Verdana"/>
          <w:b/>
          <w:bCs/>
          <w:szCs w:val="20"/>
          <w:lang w:val="en-US"/>
        </w:rPr>
      </w:pPr>
      <w:r w:rsidRPr="00CE23AE">
        <w:rPr>
          <w:i/>
          <w:lang w:val="en-US"/>
        </w:rPr>
        <w:t>Helpful information and evidence</w:t>
      </w:r>
      <w:r w:rsidR="00851727" w:rsidRPr="00CE23AE">
        <w:rPr>
          <w:lang w:val="en-US"/>
        </w:rPr>
        <w:t xml:space="preserve">. </w:t>
      </w:r>
      <w:r w:rsidRPr="00CE23AE">
        <w:rPr>
          <w:lang w:val="en-US"/>
        </w:rPr>
        <w:t>On February 8</w:t>
      </w:r>
      <w:r w:rsidR="00C561DF" w:rsidRPr="00CE23AE">
        <w:rPr>
          <w:lang w:val="en-US"/>
        </w:rPr>
        <w:t xml:space="preserve"> and </w:t>
      </w:r>
      <w:r w:rsidRPr="00CE23AE">
        <w:rPr>
          <w:lang w:val="en-US"/>
        </w:rPr>
        <w:t>May 20,</w:t>
      </w:r>
      <w:r w:rsidR="00851727" w:rsidRPr="00CE23AE">
        <w:rPr>
          <w:lang w:val="en-US"/>
        </w:rPr>
        <w:t xml:space="preserve"> 201</w:t>
      </w:r>
      <w:r w:rsidR="002F4CAB" w:rsidRPr="00CE23AE">
        <w:rPr>
          <w:lang w:val="en-US"/>
        </w:rPr>
        <w:t>6</w:t>
      </w:r>
      <w:r w:rsidRPr="00CE23AE">
        <w:rPr>
          <w:lang w:val="en-US"/>
        </w:rPr>
        <w:t>,</w:t>
      </w:r>
      <w:r w:rsidR="00851727" w:rsidRPr="00CE23AE">
        <w:rPr>
          <w:lang w:val="en-US"/>
        </w:rPr>
        <w:t xml:space="preserve"> </w:t>
      </w:r>
      <w:r w:rsidR="00C561DF" w:rsidRPr="00CE23AE">
        <w:rPr>
          <w:lang w:val="en-US"/>
        </w:rPr>
        <w:t xml:space="preserve">the </w:t>
      </w:r>
      <w:r w:rsidR="004002FB" w:rsidRPr="00CE23AE">
        <w:rPr>
          <w:lang w:val="en-US"/>
        </w:rPr>
        <w:t>President of</w:t>
      </w:r>
      <w:r w:rsidR="00851727" w:rsidRPr="00CE23AE">
        <w:rPr>
          <w:lang w:val="en-US"/>
        </w:rPr>
        <w:t xml:space="preserve"> </w:t>
      </w:r>
      <w:r w:rsidR="00C561DF" w:rsidRPr="00CE23AE">
        <w:rPr>
          <w:lang w:val="en-US"/>
        </w:rPr>
        <w:t>the Court</w:t>
      </w:r>
      <w:r w:rsidR="00851727" w:rsidRPr="00CE23AE">
        <w:rPr>
          <w:lang w:val="en-US"/>
        </w:rPr>
        <w:t xml:space="preserve"> </w:t>
      </w:r>
      <w:r w:rsidRPr="00CE23AE">
        <w:rPr>
          <w:lang w:val="en-US"/>
        </w:rPr>
        <w:t>asked the State to present helpful information and evidence</w:t>
      </w:r>
      <w:r w:rsidR="00851727" w:rsidRPr="00CE23AE">
        <w:rPr>
          <w:lang w:val="en-US"/>
        </w:rPr>
        <w:t xml:space="preserve">. </w:t>
      </w:r>
      <w:r w:rsidR="00C561DF" w:rsidRPr="00CE23AE">
        <w:rPr>
          <w:lang w:val="en-US"/>
        </w:rPr>
        <w:t>The State</w:t>
      </w:r>
      <w:r w:rsidR="00851727" w:rsidRPr="00CE23AE">
        <w:rPr>
          <w:lang w:val="en-US"/>
        </w:rPr>
        <w:t xml:space="preserve"> present</w:t>
      </w:r>
      <w:r w:rsidRPr="00CE23AE">
        <w:rPr>
          <w:lang w:val="en-US"/>
        </w:rPr>
        <w:t xml:space="preserve">ed </w:t>
      </w:r>
      <w:r w:rsidR="00576908" w:rsidRPr="00CE23AE">
        <w:rPr>
          <w:lang w:val="en-US"/>
        </w:rPr>
        <w:t>t</w:t>
      </w:r>
      <w:r w:rsidRPr="00CE23AE">
        <w:rPr>
          <w:lang w:val="en-US"/>
        </w:rPr>
        <w:t xml:space="preserve">his information </w:t>
      </w:r>
      <w:r w:rsidRPr="00CE23AE">
        <w:rPr>
          <w:lang w:val="en-US"/>
        </w:rPr>
        <w:lastRenderedPageBreak/>
        <w:t>and documentation on February 12, May 30 and June 7, 2016.</w:t>
      </w:r>
    </w:p>
    <w:p w14:paraId="7E5B15CF" w14:textId="4175FC9E" w:rsidR="006E560D" w:rsidRPr="00CE23AE" w:rsidRDefault="006E560D" w:rsidP="006E560D">
      <w:pPr>
        <w:tabs>
          <w:tab w:val="left" w:pos="567"/>
        </w:tabs>
        <w:autoSpaceDE w:val="0"/>
        <w:autoSpaceDN w:val="0"/>
        <w:spacing w:line="240" w:lineRule="auto"/>
        <w:rPr>
          <w:rFonts w:cs="Verdana"/>
          <w:b/>
          <w:bCs/>
          <w:szCs w:val="20"/>
          <w:lang w:val="en-US"/>
        </w:rPr>
      </w:pPr>
    </w:p>
    <w:p w14:paraId="1C36C74C" w14:textId="54E8D098" w:rsidR="00851727" w:rsidRPr="00CE23AE" w:rsidRDefault="005C743F" w:rsidP="00582D8D">
      <w:pPr>
        <w:numPr>
          <w:ilvl w:val="0"/>
          <w:numId w:val="6"/>
        </w:numPr>
        <w:tabs>
          <w:tab w:val="left" w:pos="567"/>
        </w:tabs>
        <w:autoSpaceDE w:val="0"/>
        <w:autoSpaceDN w:val="0"/>
        <w:spacing w:line="240" w:lineRule="auto"/>
        <w:rPr>
          <w:color w:val="808080"/>
          <w:szCs w:val="20"/>
          <w:lang w:val="en-US"/>
        </w:rPr>
      </w:pPr>
      <w:r w:rsidRPr="00CE23AE">
        <w:rPr>
          <w:i/>
          <w:lang w:val="en-US"/>
        </w:rPr>
        <w:t>Observations</w:t>
      </w:r>
      <w:r w:rsidR="00851727" w:rsidRPr="00CE23AE">
        <w:rPr>
          <w:i/>
          <w:lang w:val="en-US"/>
        </w:rPr>
        <w:t xml:space="preserve"> </w:t>
      </w:r>
      <w:r w:rsidR="00721F1C" w:rsidRPr="00CE23AE">
        <w:rPr>
          <w:i/>
          <w:lang w:val="en-US"/>
        </w:rPr>
        <w:t>on the helpful information and evidence</w:t>
      </w:r>
      <w:r w:rsidR="00851727" w:rsidRPr="00CE23AE">
        <w:rPr>
          <w:lang w:val="en-US"/>
        </w:rPr>
        <w:t xml:space="preserve">. </w:t>
      </w:r>
      <w:r w:rsidR="00721F1C" w:rsidRPr="00CE23AE">
        <w:rPr>
          <w:lang w:val="en-US"/>
        </w:rPr>
        <w:t>On April 15,</w:t>
      </w:r>
      <w:r w:rsidR="00851727" w:rsidRPr="00CE23AE">
        <w:rPr>
          <w:lang w:val="en-US"/>
        </w:rPr>
        <w:t xml:space="preserve"> 201</w:t>
      </w:r>
      <w:r w:rsidR="00B8454B" w:rsidRPr="00CE23AE">
        <w:rPr>
          <w:lang w:val="en-US"/>
        </w:rPr>
        <w:t>6</w:t>
      </w:r>
      <w:r w:rsidR="00721F1C" w:rsidRPr="00CE23AE">
        <w:rPr>
          <w:lang w:val="en-US"/>
        </w:rPr>
        <w:t>,</w:t>
      </w:r>
      <w:r w:rsidR="00851727" w:rsidRPr="00CE23AE">
        <w:rPr>
          <w:lang w:val="en-US"/>
        </w:rPr>
        <w:t xml:space="preserve"> </w:t>
      </w:r>
      <w:r w:rsidR="00C561DF" w:rsidRPr="00CE23AE">
        <w:rPr>
          <w:lang w:val="en-US"/>
        </w:rPr>
        <w:t>the representative and the Commission</w:t>
      </w:r>
      <w:r w:rsidR="00B8454B" w:rsidRPr="00CE23AE">
        <w:rPr>
          <w:lang w:val="en-US"/>
        </w:rPr>
        <w:t xml:space="preserve"> </w:t>
      </w:r>
      <w:r w:rsidR="00721F1C" w:rsidRPr="00CE23AE">
        <w:rPr>
          <w:lang w:val="en-US"/>
        </w:rPr>
        <w:t>submitted their</w:t>
      </w:r>
      <w:r w:rsidR="00851727" w:rsidRPr="00CE23AE">
        <w:rPr>
          <w:lang w:val="en-US"/>
        </w:rPr>
        <w:t xml:space="preserve"> </w:t>
      </w:r>
      <w:r w:rsidRPr="00CE23AE">
        <w:rPr>
          <w:lang w:val="en-US"/>
        </w:rPr>
        <w:t>observations</w:t>
      </w:r>
      <w:r w:rsidR="00851727" w:rsidRPr="00CE23AE">
        <w:rPr>
          <w:lang w:val="en-US"/>
        </w:rPr>
        <w:t xml:space="preserve"> </w:t>
      </w:r>
      <w:r w:rsidR="00721F1C" w:rsidRPr="00CE23AE">
        <w:rPr>
          <w:lang w:val="en-US"/>
        </w:rPr>
        <w:t xml:space="preserve">on the documentation presented by the State together with its </w:t>
      </w:r>
      <w:r w:rsidR="006F4956" w:rsidRPr="00CE23AE">
        <w:rPr>
          <w:lang w:val="en-US"/>
        </w:rPr>
        <w:t>final written arguments</w:t>
      </w:r>
      <w:r w:rsidR="00B8454B" w:rsidRPr="00CE23AE">
        <w:rPr>
          <w:lang w:val="en-US"/>
        </w:rPr>
        <w:t xml:space="preserve">. </w:t>
      </w:r>
      <w:r w:rsidR="00721F1C" w:rsidRPr="00CE23AE">
        <w:rPr>
          <w:lang w:val="en-US"/>
        </w:rPr>
        <w:t>On June 9 and 15,</w:t>
      </w:r>
      <w:r w:rsidR="00B8454B" w:rsidRPr="00CE23AE">
        <w:rPr>
          <w:lang w:val="en-US"/>
        </w:rPr>
        <w:t xml:space="preserve"> 2016</w:t>
      </w:r>
      <w:r w:rsidR="00721F1C" w:rsidRPr="00CE23AE">
        <w:rPr>
          <w:lang w:val="en-US"/>
        </w:rPr>
        <w:t>,</w:t>
      </w:r>
      <w:r w:rsidR="00B8454B" w:rsidRPr="00CE23AE">
        <w:rPr>
          <w:lang w:val="en-US"/>
        </w:rPr>
        <w:t xml:space="preserve"> </w:t>
      </w:r>
      <w:r w:rsidR="00C561DF" w:rsidRPr="00CE23AE">
        <w:rPr>
          <w:lang w:val="en-US"/>
        </w:rPr>
        <w:t>the representative and the Commission</w:t>
      </w:r>
      <w:r w:rsidR="00B8454B" w:rsidRPr="00CE23AE">
        <w:rPr>
          <w:lang w:val="en-US"/>
        </w:rPr>
        <w:t xml:space="preserve"> </w:t>
      </w:r>
      <w:r w:rsidR="00721F1C" w:rsidRPr="00CE23AE">
        <w:rPr>
          <w:lang w:val="en-US"/>
        </w:rPr>
        <w:t xml:space="preserve">submitted their </w:t>
      </w:r>
      <w:r w:rsidRPr="00CE23AE">
        <w:rPr>
          <w:lang w:val="en-US"/>
        </w:rPr>
        <w:t>observations</w:t>
      </w:r>
      <w:r w:rsidR="00851727" w:rsidRPr="00CE23AE">
        <w:rPr>
          <w:lang w:val="en-US"/>
        </w:rPr>
        <w:t xml:space="preserve"> </w:t>
      </w:r>
      <w:r w:rsidR="00721F1C" w:rsidRPr="00CE23AE">
        <w:rPr>
          <w:lang w:val="en-US"/>
        </w:rPr>
        <w:t xml:space="preserve">on the helpful information and documentation presented by </w:t>
      </w:r>
      <w:r w:rsidR="00C561DF" w:rsidRPr="00CE23AE">
        <w:rPr>
          <w:lang w:val="en-US"/>
        </w:rPr>
        <w:t>the State</w:t>
      </w:r>
      <w:r w:rsidR="00851727" w:rsidRPr="00CE23AE">
        <w:rPr>
          <w:lang w:val="en-US"/>
        </w:rPr>
        <w:t>.</w:t>
      </w:r>
    </w:p>
    <w:p w14:paraId="7C8870B1" w14:textId="77777777" w:rsidR="00851727" w:rsidRPr="00CE23AE" w:rsidRDefault="00851727" w:rsidP="00851727">
      <w:pPr>
        <w:tabs>
          <w:tab w:val="left" w:pos="567"/>
        </w:tabs>
        <w:autoSpaceDE w:val="0"/>
        <w:autoSpaceDN w:val="0"/>
        <w:spacing w:line="240" w:lineRule="auto"/>
        <w:rPr>
          <w:color w:val="808080"/>
          <w:szCs w:val="20"/>
          <w:lang w:val="en-US"/>
        </w:rPr>
      </w:pPr>
    </w:p>
    <w:p w14:paraId="19583E73" w14:textId="2D8E660B" w:rsidR="00C51E3C" w:rsidRPr="00CE23AE" w:rsidRDefault="00721F1C" w:rsidP="00582D8D">
      <w:pPr>
        <w:numPr>
          <w:ilvl w:val="0"/>
          <w:numId w:val="6"/>
        </w:numPr>
        <w:tabs>
          <w:tab w:val="left" w:pos="567"/>
        </w:tabs>
        <w:autoSpaceDE w:val="0"/>
        <w:autoSpaceDN w:val="0"/>
        <w:spacing w:line="240" w:lineRule="auto"/>
        <w:rPr>
          <w:color w:val="808080"/>
          <w:szCs w:val="20"/>
          <w:lang w:val="en-US"/>
        </w:rPr>
      </w:pPr>
      <w:r w:rsidRPr="00CE23AE">
        <w:rPr>
          <w:rFonts w:eastAsia="Calibri" w:cs="Verdana"/>
          <w:i/>
          <w:szCs w:val="20"/>
          <w:lang w:val="en-US"/>
        </w:rPr>
        <w:t xml:space="preserve">Disbursements in application of the </w:t>
      </w:r>
      <w:r w:rsidR="00576908" w:rsidRPr="00CE23AE">
        <w:rPr>
          <w:rFonts w:eastAsia="Calibri" w:cs="Verdana"/>
          <w:i/>
          <w:szCs w:val="20"/>
          <w:lang w:val="en-US"/>
        </w:rPr>
        <w:t xml:space="preserve">Legal </w:t>
      </w:r>
      <w:r w:rsidRPr="00CE23AE">
        <w:rPr>
          <w:rFonts w:eastAsia="Calibri" w:cs="Verdana"/>
          <w:i/>
          <w:szCs w:val="20"/>
          <w:lang w:val="en-US"/>
        </w:rPr>
        <w:t>Assistance Fund</w:t>
      </w:r>
      <w:r w:rsidR="00C51E3C" w:rsidRPr="00CE23AE">
        <w:rPr>
          <w:rFonts w:eastAsia="Calibri" w:cs="Verdana"/>
          <w:i/>
          <w:szCs w:val="20"/>
          <w:lang w:val="en-US"/>
        </w:rPr>
        <w:t>.</w:t>
      </w:r>
      <w:r w:rsidR="00C51E3C" w:rsidRPr="00CE23AE">
        <w:rPr>
          <w:szCs w:val="20"/>
          <w:lang w:val="en-US"/>
        </w:rPr>
        <w:t xml:space="preserve"> </w:t>
      </w:r>
      <w:r w:rsidRPr="00CE23AE">
        <w:rPr>
          <w:szCs w:val="20"/>
          <w:lang w:val="en-US"/>
        </w:rPr>
        <w:t>On April 8,</w:t>
      </w:r>
      <w:r w:rsidR="00C51E3C" w:rsidRPr="00CE23AE">
        <w:rPr>
          <w:szCs w:val="20"/>
          <w:lang w:val="en-US"/>
        </w:rPr>
        <w:t xml:space="preserve"> 2016</w:t>
      </w:r>
      <w:r w:rsidRPr="00CE23AE">
        <w:rPr>
          <w:szCs w:val="20"/>
          <w:lang w:val="en-US"/>
        </w:rPr>
        <w:t>,</w:t>
      </w:r>
      <w:r w:rsidR="00C51E3C" w:rsidRPr="00CE23AE">
        <w:rPr>
          <w:szCs w:val="20"/>
          <w:lang w:val="en-US"/>
        </w:rPr>
        <w:t xml:space="preserve"> </w:t>
      </w:r>
      <w:r w:rsidRPr="00CE23AE">
        <w:rPr>
          <w:szCs w:val="20"/>
          <w:lang w:val="en-US"/>
        </w:rPr>
        <w:t xml:space="preserve">the Court forwarded to the State the report on the disbursements made from the Court’s </w:t>
      </w:r>
      <w:r w:rsidR="005C743F" w:rsidRPr="00CE23AE">
        <w:rPr>
          <w:szCs w:val="20"/>
          <w:lang w:val="en-US"/>
        </w:rPr>
        <w:t>Legal Assistance Fund</w:t>
      </w:r>
      <w:r w:rsidRPr="00CE23AE">
        <w:rPr>
          <w:szCs w:val="20"/>
          <w:lang w:val="en-US"/>
        </w:rPr>
        <w:t xml:space="preserve"> in this case. The State did not present </w:t>
      </w:r>
      <w:r w:rsidR="005C743F" w:rsidRPr="00CE23AE">
        <w:rPr>
          <w:lang w:val="en-US"/>
        </w:rPr>
        <w:t>observations</w:t>
      </w:r>
      <w:r w:rsidR="007B51F7" w:rsidRPr="00CE23AE">
        <w:rPr>
          <w:lang w:val="en-US"/>
        </w:rPr>
        <w:t xml:space="preserve"> </w:t>
      </w:r>
      <w:r w:rsidRPr="00CE23AE">
        <w:rPr>
          <w:lang w:val="en-US"/>
        </w:rPr>
        <w:t xml:space="preserve">in this regard within the time frame </w:t>
      </w:r>
      <w:r w:rsidR="00576908" w:rsidRPr="00CE23AE">
        <w:rPr>
          <w:lang w:val="en-US"/>
        </w:rPr>
        <w:t xml:space="preserve">it was </w:t>
      </w:r>
      <w:r w:rsidRPr="00CE23AE">
        <w:rPr>
          <w:lang w:val="en-US"/>
        </w:rPr>
        <w:t>granted.</w:t>
      </w:r>
    </w:p>
    <w:p w14:paraId="696076E6" w14:textId="77777777" w:rsidR="00C51E3C" w:rsidRPr="00CE23AE" w:rsidRDefault="00C51E3C" w:rsidP="00C51E3C">
      <w:pPr>
        <w:tabs>
          <w:tab w:val="left" w:pos="567"/>
        </w:tabs>
        <w:autoSpaceDE w:val="0"/>
        <w:autoSpaceDN w:val="0"/>
        <w:spacing w:line="240" w:lineRule="auto"/>
        <w:rPr>
          <w:rFonts w:cs="Verdana"/>
          <w:szCs w:val="20"/>
          <w:lang w:val="en-US"/>
        </w:rPr>
      </w:pPr>
    </w:p>
    <w:p w14:paraId="34BE4D71" w14:textId="73F6BC3C" w:rsidR="00C51E3C" w:rsidRPr="00CE23AE" w:rsidRDefault="00C51E3C" w:rsidP="00582D8D">
      <w:pPr>
        <w:numPr>
          <w:ilvl w:val="0"/>
          <w:numId w:val="6"/>
        </w:numPr>
        <w:tabs>
          <w:tab w:val="left" w:pos="567"/>
        </w:tabs>
        <w:autoSpaceDE w:val="0"/>
        <w:autoSpaceDN w:val="0"/>
        <w:spacing w:line="240" w:lineRule="auto"/>
        <w:rPr>
          <w:rFonts w:eastAsia="Calibri" w:cs="Verdana"/>
          <w:color w:val="808080"/>
          <w:szCs w:val="20"/>
          <w:lang w:val="en-US"/>
        </w:rPr>
      </w:pPr>
      <w:r w:rsidRPr="00CE23AE">
        <w:rPr>
          <w:rFonts w:eastAsia="Calibri" w:cs="Verdana"/>
          <w:i/>
          <w:szCs w:val="20"/>
          <w:lang w:val="en-US"/>
        </w:rPr>
        <w:t>Delibera</w:t>
      </w:r>
      <w:r w:rsidR="00721F1C" w:rsidRPr="00CE23AE">
        <w:rPr>
          <w:rFonts w:eastAsia="Calibri" w:cs="Verdana"/>
          <w:i/>
          <w:szCs w:val="20"/>
          <w:lang w:val="en-US"/>
        </w:rPr>
        <w:t>tion of the case</w:t>
      </w:r>
      <w:r w:rsidRPr="00CE23AE">
        <w:rPr>
          <w:rFonts w:eastAsia="Calibri" w:cs="Verdana"/>
          <w:i/>
          <w:szCs w:val="20"/>
          <w:lang w:val="en-US"/>
        </w:rPr>
        <w:t>.</w:t>
      </w:r>
      <w:bookmarkEnd w:id="39"/>
      <w:bookmarkEnd w:id="51"/>
      <w:bookmarkEnd w:id="52"/>
      <w:r w:rsidRPr="00CE23AE">
        <w:rPr>
          <w:rFonts w:eastAsia="Calibri" w:cs="Verdana"/>
          <w:szCs w:val="20"/>
          <w:lang w:val="en-US"/>
        </w:rPr>
        <w:t xml:space="preserve"> </w:t>
      </w:r>
      <w:r w:rsidR="00C561DF" w:rsidRPr="00CE23AE">
        <w:rPr>
          <w:szCs w:val="20"/>
          <w:lang w:val="en-US"/>
        </w:rPr>
        <w:t>The Court</w:t>
      </w:r>
      <w:r w:rsidR="00721F1C" w:rsidRPr="00CE23AE">
        <w:rPr>
          <w:szCs w:val="20"/>
          <w:lang w:val="en-US"/>
        </w:rPr>
        <w:t xml:space="preserve"> began </w:t>
      </w:r>
      <w:r w:rsidR="00576908" w:rsidRPr="00CE23AE">
        <w:rPr>
          <w:szCs w:val="20"/>
          <w:lang w:val="en-US"/>
        </w:rPr>
        <w:t>deliberating</w:t>
      </w:r>
      <w:r w:rsidR="00721F1C" w:rsidRPr="00CE23AE">
        <w:rPr>
          <w:szCs w:val="20"/>
          <w:lang w:val="en-US"/>
        </w:rPr>
        <w:t xml:space="preserve"> this judgment on August 30, </w:t>
      </w:r>
      <w:r w:rsidRPr="00CE23AE">
        <w:rPr>
          <w:szCs w:val="20"/>
          <w:lang w:val="en-US"/>
        </w:rPr>
        <w:t>2016.</w:t>
      </w:r>
    </w:p>
    <w:p w14:paraId="03ADB382" w14:textId="77777777" w:rsidR="00C51E3C" w:rsidRPr="00CE23AE" w:rsidRDefault="00C51E3C" w:rsidP="00C51E3C">
      <w:pPr>
        <w:tabs>
          <w:tab w:val="left" w:pos="567"/>
        </w:tabs>
        <w:autoSpaceDE w:val="0"/>
        <w:autoSpaceDN w:val="0"/>
        <w:spacing w:line="240" w:lineRule="auto"/>
        <w:rPr>
          <w:rFonts w:eastAsia="Calibri" w:cs="Verdana"/>
          <w:szCs w:val="20"/>
          <w:lang w:val="en-US"/>
        </w:rPr>
      </w:pPr>
    </w:p>
    <w:p w14:paraId="39CC3255" w14:textId="0845E21C" w:rsidR="00C51E3C" w:rsidRPr="00CE23AE" w:rsidRDefault="00C51E3C" w:rsidP="00C51E3C">
      <w:pPr>
        <w:pStyle w:val="Ttulo1"/>
        <w:rPr>
          <w:spacing w:val="0"/>
          <w:lang w:val="en-US"/>
        </w:rPr>
      </w:pPr>
      <w:bookmarkStart w:id="61" w:name="_Toc373093237"/>
      <w:bookmarkStart w:id="62" w:name="_Toc373350049"/>
      <w:bookmarkStart w:id="63" w:name="_Toc375560895"/>
      <w:bookmarkStart w:id="64" w:name="_Toc401931879"/>
      <w:bookmarkStart w:id="65" w:name="_Toc428369978"/>
      <w:bookmarkStart w:id="66" w:name="_Toc453874302"/>
      <w:bookmarkStart w:id="67" w:name="_Toc454891463"/>
      <w:bookmarkStart w:id="68" w:name="_Toc457840567"/>
      <w:bookmarkStart w:id="69" w:name="_Toc464474954"/>
      <w:bookmarkStart w:id="70" w:name="_Toc46388341"/>
      <w:r w:rsidRPr="00CE23AE">
        <w:rPr>
          <w:spacing w:val="0"/>
          <w:lang w:val="en-US"/>
        </w:rPr>
        <w:t>III</w:t>
      </w:r>
      <w:bookmarkStart w:id="71" w:name="_Toc375062724"/>
      <w:bookmarkStart w:id="72" w:name="_Toc375140874"/>
      <w:bookmarkStart w:id="73" w:name="_Toc375504833"/>
      <w:bookmarkStart w:id="74" w:name="_Toc375560907"/>
      <w:bookmarkEnd w:id="61"/>
      <w:bookmarkEnd w:id="62"/>
      <w:bookmarkEnd w:id="63"/>
      <w:r w:rsidRPr="00CE23AE">
        <w:rPr>
          <w:color w:val="FFFFFF"/>
          <w:spacing w:val="0"/>
          <w:lang w:val="en-US"/>
        </w:rPr>
        <w:t>.</w:t>
      </w:r>
      <w:r w:rsidRPr="00CE23AE">
        <w:rPr>
          <w:spacing w:val="0"/>
          <w:lang w:val="en-US"/>
        </w:rPr>
        <w:br/>
      </w:r>
      <w:r w:rsidR="00721F1C" w:rsidRPr="00CE23AE">
        <w:rPr>
          <w:spacing w:val="0"/>
          <w:lang w:val="en-US"/>
        </w:rPr>
        <w:t>JURISDICTION</w:t>
      </w:r>
      <w:bookmarkEnd w:id="64"/>
      <w:bookmarkEnd w:id="65"/>
      <w:bookmarkEnd w:id="66"/>
      <w:bookmarkEnd w:id="67"/>
      <w:bookmarkEnd w:id="68"/>
      <w:bookmarkEnd w:id="69"/>
      <w:bookmarkEnd w:id="70"/>
      <w:bookmarkEnd w:id="71"/>
      <w:bookmarkEnd w:id="72"/>
      <w:bookmarkEnd w:id="73"/>
      <w:bookmarkEnd w:id="74"/>
    </w:p>
    <w:p w14:paraId="69B3B1E1" w14:textId="7B141603" w:rsidR="00C51E3C" w:rsidRPr="00CE23AE" w:rsidRDefault="00C51E3C" w:rsidP="00C51E3C">
      <w:pPr>
        <w:tabs>
          <w:tab w:val="left" w:pos="567"/>
          <w:tab w:val="left" w:pos="720"/>
        </w:tabs>
        <w:spacing w:line="240" w:lineRule="auto"/>
        <w:rPr>
          <w:rFonts w:eastAsia="Calibri" w:cs="Verdana"/>
          <w:b/>
          <w:bCs/>
          <w:szCs w:val="20"/>
          <w:lang w:val="en-US"/>
        </w:rPr>
      </w:pPr>
    </w:p>
    <w:p w14:paraId="2DBBFE20" w14:textId="10CEFB22" w:rsidR="0021587F" w:rsidRPr="00CE23AE" w:rsidRDefault="00C561DF" w:rsidP="00582D8D">
      <w:pPr>
        <w:numPr>
          <w:ilvl w:val="0"/>
          <w:numId w:val="6"/>
        </w:numPr>
        <w:tabs>
          <w:tab w:val="left" w:pos="567"/>
        </w:tabs>
        <w:autoSpaceDE w:val="0"/>
        <w:autoSpaceDN w:val="0"/>
        <w:spacing w:line="240" w:lineRule="auto"/>
        <w:rPr>
          <w:rFonts w:eastAsia="Calibri" w:cs="Verdana"/>
          <w:szCs w:val="20"/>
          <w:lang w:val="en-US" w:eastAsia="en-US"/>
        </w:rPr>
      </w:pPr>
      <w:bookmarkStart w:id="75" w:name="_Toc372568233"/>
      <w:bookmarkStart w:id="76" w:name="_Toc373093242"/>
      <w:bookmarkStart w:id="77" w:name="_Toc373350053"/>
      <w:bookmarkStart w:id="78" w:name="_Toc375560899"/>
      <w:bookmarkStart w:id="79" w:name="_Toc401931880"/>
      <w:r w:rsidRPr="00CE23AE">
        <w:rPr>
          <w:rFonts w:eastAsia="Calibri" w:cs="Verdana"/>
          <w:szCs w:val="20"/>
          <w:lang w:val="en-US" w:eastAsia="en-US"/>
        </w:rPr>
        <w:t>The Court</w:t>
      </w:r>
      <w:r w:rsidR="00C51E3C" w:rsidRPr="00CE23AE">
        <w:rPr>
          <w:rFonts w:eastAsia="Calibri" w:cs="Verdana"/>
          <w:szCs w:val="20"/>
          <w:lang w:val="en-US" w:eastAsia="en-US"/>
        </w:rPr>
        <w:t xml:space="preserve"> </w:t>
      </w:r>
      <w:r w:rsidR="00721F1C" w:rsidRPr="00CE23AE">
        <w:rPr>
          <w:rFonts w:eastAsia="Calibri" w:cs="Verdana"/>
          <w:szCs w:val="20"/>
          <w:lang w:val="en-US" w:eastAsia="en-US"/>
        </w:rPr>
        <w:t xml:space="preserve">has jurisdiction to hear this case pursuant to </w:t>
      </w:r>
      <w:r w:rsidRPr="00CE23AE">
        <w:rPr>
          <w:rFonts w:eastAsia="Calibri" w:cs="Verdana"/>
          <w:szCs w:val="20"/>
          <w:lang w:val="en-US" w:eastAsia="en-US"/>
        </w:rPr>
        <w:t>Article</w:t>
      </w:r>
      <w:r w:rsidR="00C51E3C" w:rsidRPr="00CE23AE">
        <w:rPr>
          <w:rFonts w:eastAsia="Calibri" w:cs="Verdana"/>
          <w:szCs w:val="20"/>
          <w:lang w:val="en-US" w:eastAsia="en-US"/>
        </w:rPr>
        <w:t xml:space="preserve"> </w:t>
      </w:r>
      <w:r w:rsidRPr="00CE23AE">
        <w:rPr>
          <w:rFonts w:eastAsia="Calibri" w:cs="Verdana"/>
          <w:szCs w:val="20"/>
          <w:lang w:val="en-US" w:eastAsia="en-US"/>
        </w:rPr>
        <w:t>62(3) of the Convention</w:t>
      </w:r>
      <w:r w:rsidR="00721F1C" w:rsidRPr="00CE23AE">
        <w:rPr>
          <w:rFonts w:eastAsia="Calibri" w:cs="Verdana"/>
          <w:szCs w:val="20"/>
          <w:lang w:val="en-US" w:eastAsia="en-US"/>
        </w:rPr>
        <w:t xml:space="preserve"> because Ecuador has been a State Party to </w:t>
      </w:r>
      <w:r w:rsidRPr="00CE23AE">
        <w:rPr>
          <w:rFonts w:eastAsia="Calibri" w:cs="Verdana"/>
          <w:szCs w:val="20"/>
          <w:lang w:val="en-US" w:eastAsia="en-US"/>
        </w:rPr>
        <w:t>the American Convention</w:t>
      </w:r>
      <w:r w:rsidR="00C51E3C" w:rsidRPr="00CE23AE">
        <w:rPr>
          <w:rFonts w:eastAsia="Calibri" w:cs="Verdana"/>
          <w:szCs w:val="20"/>
          <w:lang w:val="en-US" w:eastAsia="en-US"/>
        </w:rPr>
        <w:t xml:space="preserve"> </w:t>
      </w:r>
      <w:r w:rsidR="00721F1C" w:rsidRPr="00CE23AE">
        <w:rPr>
          <w:rFonts w:eastAsia="Calibri" w:cs="Verdana"/>
          <w:szCs w:val="20"/>
          <w:lang w:val="en-US" w:eastAsia="en-US"/>
        </w:rPr>
        <w:t>since December 28,</w:t>
      </w:r>
      <w:r w:rsidR="00C51E3C" w:rsidRPr="00CE23AE">
        <w:rPr>
          <w:rFonts w:eastAsia="Calibri" w:cs="Verdana"/>
          <w:szCs w:val="20"/>
          <w:lang w:val="en-US" w:eastAsia="en-US"/>
        </w:rPr>
        <w:t xml:space="preserve"> 1977</w:t>
      </w:r>
      <w:r w:rsidR="00721F1C" w:rsidRPr="00CE23AE">
        <w:rPr>
          <w:rFonts w:eastAsia="Calibri" w:cs="Verdana"/>
          <w:szCs w:val="20"/>
          <w:lang w:val="en-US" w:eastAsia="en-US"/>
        </w:rPr>
        <w:t>,</w:t>
      </w:r>
      <w:r w:rsidRPr="00CE23AE">
        <w:rPr>
          <w:rFonts w:eastAsia="Calibri" w:cs="Verdana"/>
          <w:szCs w:val="20"/>
          <w:lang w:val="en-US" w:eastAsia="en-US"/>
        </w:rPr>
        <w:t xml:space="preserve"> and </w:t>
      </w:r>
      <w:r w:rsidR="00721F1C" w:rsidRPr="00CE23AE">
        <w:rPr>
          <w:rFonts w:eastAsia="Calibri" w:cs="Verdana"/>
          <w:szCs w:val="20"/>
          <w:lang w:val="en-US" w:eastAsia="en-US"/>
        </w:rPr>
        <w:t xml:space="preserve">accepted the compulsory jurisdiction </w:t>
      </w:r>
      <w:r w:rsidRPr="00CE23AE">
        <w:rPr>
          <w:rFonts w:eastAsia="Calibri" w:cs="Verdana"/>
          <w:szCs w:val="20"/>
          <w:lang w:val="en-US" w:eastAsia="en-US"/>
        </w:rPr>
        <w:t>of the Court</w:t>
      </w:r>
      <w:r w:rsidR="00C51E3C" w:rsidRPr="00CE23AE">
        <w:rPr>
          <w:rFonts w:eastAsia="Calibri" w:cs="Verdana"/>
          <w:szCs w:val="20"/>
          <w:lang w:val="en-US" w:eastAsia="en-US"/>
        </w:rPr>
        <w:t xml:space="preserve"> </w:t>
      </w:r>
      <w:r w:rsidR="00721F1C" w:rsidRPr="00CE23AE">
        <w:rPr>
          <w:rFonts w:eastAsia="Calibri" w:cs="Verdana"/>
          <w:szCs w:val="20"/>
          <w:lang w:val="en-US" w:eastAsia="en-US"/>
        </w:rPr>
        <w:t>on July 24,</w:t>
      </w:r>
      <w:r w:rsidR="00C51E3C" w:rsidRPr="00CE23AE">
        <w:rPr>
          <w:rFonts w:eastAsia="Calibri" w:cs="Verdana"/>
          <w:szCs w:val="20"/>
          <w:lang w:val="en-US" w:eastAsia="en-US"/>
        </w:rPr>
        <w:t xml:space="preserve"> 1984.</w:t>
      </w:r>
      <w:bookmarkEnd w:id="75"/>
      <w:bookmarkEnd w:id="76"/>
      <w:bookmarkEnd w:id="77"/>
      <w:bookmarkEnd w:id="78"/>
      <w:bookmarkEnd w:id="79"/>
    </w:p>
    <w:p w14:paraId="2010CEFE" w14:textId="77777777" w:rsidR="0021587F" w:rsidRPr="00CE23AE" w:rsidRDefault="0021587F" w:rsidP="0021587F">
      <w:pPr>
        <w:tabs>
          <w:tab w:val="left" w:pos="567"/>
        </w:tabs>
        <w:autoSpaceDE w:val="0"/>
        <w:autoSpaceDN w:val="0"/>
        <w:spacing w:line="240" w:lineRule="auto"/>
        <w:rPr>
          <w:rFonts w:eastAsia="Calibri" w:cs="Verdana"/>
          <w:szCs w:val="20"/>
          <w:lang w:val="en-US" w:eastAsia="en-US"/>
        </w:rPr>
      </w:pPr>
    </w:p>
    <w:p w14:paraId="3FE1B70C" w14:textId="6D6D5164" w:rsidR="0021587F" w:rsidRPr="00CE23AE" w:rsidRDefault="0021587F" w:rsidP="0021587F">
      <w:pPr>
        <w:pStyle w:val="Ttulo1"/>
        <w:rPr>
          <w:spacing w:val="0"/>
          <w:lang w:val="en-US"/>
        </w:rPr>
      </w:pPr>
      <w:bookmarkStart w:id="80" w:name="_Toc428369979"/>
      <w:bookmarkStart w:id="81" w:name="_Toc453874303"/>
      <w:bookmarkStart w:id="82" w:name="_Toc454891464"/>
      <w:bookmarkStart w:id="83" w:name="_Toc457840568"/>
      <w:bookmarkStart w:id="84" w:name="_Toc464474955"/>
      <w:bookmarkStart w:id="85" w:name="_Toc46388342"/>
      <w:r w:rsidRPr="00CE23AE">
        <w:rPr>
          <w:spacing w:val="0"/>
          <w:lang w:val="en-US"/>
        </w:rPr>
        <w:t>IV</w:t>
      </w:r>
      <w:bookmarkStart w:id="86" w:name="_Toc375062713"/>
      <w:bookmarkStart w:id="87" w:name="_Toc375140863"/>
      <w:bookmarkStart w:id="88" w:name="_Toc375504822"/>
      <w:bookmarkStart w:id="89" w:name="_Toc375560896"/>
      <w:bookmarkStart w:id="90" w:name="_Toc401931881"/>
      <w:r w:rsidRPr="00CE23AE">
        <w:rPr>
          <w:color w:val="FFFFFF"/>
          <w:spacing w:val="0"/>
          <w:lang w:val="en-US"/>
        </w:rPr>
        <w:t>.</w:t>
      </w:r>
      <w:r w:rsidRPr="00CE23AE">
        <w:rPr>
          <w:color w:val="FFFFFF"/>
          <w:spacing w:val="0"/>
          <w:lang w:val="en-US"/>
        </w:rPr>
        <w:br/>
      </w:r>
      <w:r w:rsidR="005C743F" w:rsidRPr="00CE23AE">
        <w:rPr>
          <w:spacing w:val="0"/>
          <w:lang w:val="en-US"/>
        </w:rPr>
        <w:t>PRELIMINARY OBJECTION</w:t>
      </w:r>
      <w:bookmarkEnd w:id="80"/>
      <w:bookmarkEnd w:id="81"/>
      <w:bookmarkEnd w:id="82"/>
      <w:bookmarkEnd w:id="83"/>
      <w:bookmarkEnd w:id="84"/>
      <w:bookmarkEnd w:id="85"/>
      <w:bookmarkEnd w:id="86"/>
      <w:bookmarkEnd w:id="87"/>
      <w:bookmarkEnd w:id="88"/>
      <w:bookmarkEnd w:id="89"/>
      <w:bookmarkEnd w:id="90"/>
    </w:p>
    <w:p w14:paraId="513819DB" w14:textId="50CAD876" w:rsidR="0021587F" w:rsidRPr="00CE23AE" w:rsidRDefault="00C50413" w:rsidP="0021587F">
      <w:pPr>
        <w:pStyle w:val="Ttulo1"/>
        <w:rPr>
          <w:rFonts w:eastAsia="Calibri" w:cs="Verdana"/>
          <w:lang w:val="en-US" w:eastAsia="en-US"/>
        </w:rPr>
      </w:pPr>
      <w:bookmarkStart w:id="91" w:name="_Toc46388343"/>
      <w:r w:rsidRPr="00CE23AE">
        <w:rPr>
          <w:lang w:val="en-US"/>
        </w:rPr>
        <w:t>EXHAUSTION OF DOMESTIC REMEDIES</w:t>
      </w:r>
      <w:bookmarkEnd w:id="91"/>
    </w:p>
    <w:p w14:paraId="7044BFDF" w14:textId="77777777" w:rsidR="0021587F" w:rsidRPr="00CE23AE" w:rsidRDefault="0021587F" w:rsidP="0021587F">
      <w:pPr>
        <w:tabs>
          <w:tab w:val="left" w:pos="567"/>
        </w:tabs>
        <w:autoSpaceDE w:val="0"/>
        <w:autoSpaceDN w:val="0"/>
        <w:spacing w:line="240" w:lineRule="auto"/>
        <w:rPr>
          <w:rFonts w:eastAsia="Calibri" w:cs="Verdana"/>
          <w:szCs w:val="20"/>
          <w:lang w:val="en-US" w:eastAsia="en-US"/>
        </w:rPr>
      </w:pPr>
    </w:p>
    <w:p w14:paraId="5A88ED48" w14:textId="3E3035E0" w:rsidR="00AF631C" w:rsidRPr="00CE23AE" w:rsidRDefault="00C561DF" w:rsidP="00AF631C">
      <w:pPr>
        <w:numPr>
          <w:ilvl w:val="0"/>
          <w:numId w:val="6"/>
        </w:numPr>
        <w:tabs>
          <w:tab w:val="left" w:pos="567"/>
        </w:tabs>
        <w:autoSpaceDE w:val="0"/>
        <w:autoSpaceDN w:val="0"/>
        <w:spacing w:line="240" w:lineRule="auto"/>
        <w:rPr>
          <w:rFonts w:eastAsia="Calibri" w:cs="Verdana"/>
          <w:szCs w:val="20"/>
          <w:lang w:val="en-US" w:eastAsia="en-US"/>
        </w:rPr>
      </w:pPr>
      <w:r w:rsidRPr="00CE23AE">
        <w:rPr>
          <w:szCs w:val="20"/>
          <w:lang w:val="en-US"/>
        </w:rPr>
        <w:t>The State</w:t>
      </w:r>
      <w:r w:rsidR="0021587F" w:rsidRPr="00CE23AE">
        <w:rPr>
          <w:szCs w:val="20"/>
          <w:lang w:val="en-US"/>
        </w:rPr>
        <w:t xml:space="preserve"> </w:t>
      </w:r>
      <w:r w:rsidR="00281667" w:rsidRPr="00CE23AE">
        <w:rPr>
          <w:szCs w:val="20"/>
          <w:lang w:val="en-US"/>
        </w:rPr>
        <w:t xml:space="preserve">submitted two arguments as </w:t>
      </w:r>
      <w:r w:rsidR="005C743F" w:rsidRPr="00CE23AE">
        <w:rPr>
          <w:szCs w:val="20"/>
          <w:lang w:val="en-US"/>
        </w:rPr>
        <w:t>preliminary objections</w:t>
      </w:r>
      <w:r w:rsidR="0021587F" w:rsidRPr="00CE23AE">
        <w:rPr>
          <w:szCs w:val="20"/>
          <w:lang w:val="en-US"/>
        </w:rPr>
        <w:t xml:space="preserve">: </w:t>
      </w:r>
      <w:r w:rsidR="00281667" w:rsidRPr="00CE23AE">
        <w:rPr>
          <w:szCs w:val="20"/>
          <w:lang w:val="en-US"/>
        </w:rPr>
        <w:t>(</w:t>
      </w:r>
      <w:r w:rsidR="0021587F" w:rsidRPr="00CE23AE">
        <w:rPr>
          <w:szCs w:val="20"/>
          <w:lang w:val="en-US"/>
        </w:rPr>
        <w:t>i)</w:t>
      </w:r>
      <w:r w:rsidR="00281667" w:rsidRPr="00CE23AE">
        <w:rPr>
          <w:szCs w:val="20"/>
          <w:lang w:val="en-US"/>
        </w:rPr>
        <w:t xml:space="preserve"> the presumed modification of the </w:t>
      </w:r>
      <w:r w:rsidR="0021587F" w:rsidRPr="00CE23AE">
        <w:rPr>
          <w:szCs w:val="20"/>
          <w:lang w:val="en-US"/>
        </w:rPr>
        <w:t>“</w:t>
      </w:r>
      <w:r w:rsidR="005C743F" w:rsidRPr="00CE23AE">
        <w:rPr>
          <w:szCs w:val="20"/>
          <w:lang w:val="en-US"/>
        </w:rPr>
        <w:t>factual framework</w:t>
      </w:r>
      <w:r w:rsidR="0021587F" w:rsidRPr="00CE23AE">
        <w:rPr>
          <w:szCs w:val="20"/>
          <w:lang w:val="en-US"/>
        </w:rPr>
        <w:t>”,</w:t>
      </w:r>
      <w:r w:rsidRPr="00CE23AE">
        <w:rPr>
          <w:szCs w:val="20"/>
          <w:lang w:val="en-US"/>
        </w:rPr>
        <w:t xml:space="preserve"> and </w:t>
      </w:r>
      <w:r w:rsidR="00281667" w:rsidRPr="00CE23AE">
        <w:rPr>
          <w:szCs w:val="20"/>
          <w:lang w:val="en-US"/>
        </w:rPr>
        <w:t>(</w:t>
      </w:r>
      <w:r w:rsidR="0021587F" w:rsidRPr="00CE23AE">
        <w:rPr>
          <w:szCs w:val="20"/>
          <w:lang w:val="en-US"/>
        </w:rPr>
        <w:t xml:space="preserve">ii) </w:t>
      </w:r>
      <w:r w:rsidR="00281667" w:rsidRPr="00CE23AE">
        <w:rPr>
          <w:szCs w:val="20"/>
          <w:lang w:val="en-US"/>
        </w:rPr>
        <w:t xml:space="preserve">the presumed failure to exhaust domestic remedies. Since the supposed modification of the </w:t>
      </w:r>
      <w:r w:rsidR="005C743F" w:rsidRPr="00CE23AE">
        <w:rPr>
          <w:szCs w:val="20"/>
          <w:lang w:val="en-US"/>
        </w:rPr>
        <w:t>factual framework</w:t>
      </w:r>
      <w:r w:rsidR="0021587F" w:rsidRPr="00CE23AE">
        <w:rPr>
          <w:szCs w:val="20"/>
          <w:lang w:val="en-US"/>
        </w:rPr>
        <w:t xml:space="preserve"> </w:t>
      </w:r>
      <w:r w:rsidR="00281667" w:rsidRPr="00CE23AE">
        <w:rPr>
          <w:szCs w:val="20"/>
          <w:lang w:val="en-US"/>
        </w:rPr>
        <w:t xml:space="preserve">is not related to a question of admissibility or </w:t>
      </w:r>
      <w:r w:rsidR="00A15C3A" w:rsidRPr="00CE23AE">
        <w:rPr>
          <w:szCs w:val="20"/>
          <w:lang w:val="en-US"/>
        </w:rPr>
        <w:t xml:space="preserve">to </w:t>
      </w:r>
      <w:r w:rsidR="00281667" w:rsidRPr="00CE23AE">
        <w:rPr>
          <w:szCs w:val="20"/>
          <w:lang w:val="en-US"/>
        </w:rPr>
        <w:t>the jurisdiction of this Court,</w:t>
      </w:r>
      <w:r w:rsidR="0021587F" w:rsidRPr="00CE23AE">
        <w:rPr>
          <w:vertAlign w:val="superscript"/>
          <w:lang w:val="en-US"/>
        </w:rPr>
        <w:footnoteReference w:id="10"/>
      </w:r>
      <w:r w:rsidR="00281667" w:rsidRPr="00CE23AE">
        <w:rPr>
          <w:szCs w:val="20"/>
          <w:lang w:val="en-US"/>
        </w:rPr>
        <w:t xml:space="preserve"> the arguments will be analyzed in the following chapter on preliminary considerations. </w:t>
      </w:r>
      <w:r w:rsidR="00A15C3A" w:rsidRPr="00CE23AE">
        <w:rPr>
          <w:szCs w:val="20"/>
          <w:lang w:val="en-US"/>
        </w:rPr>
        <w:t>I</w:t>
      </w:r>
      <w:r w:rsidR="00281667" w:rsidRPr="00CE23AE">
        <w:rPr>
          <w:szCs w:val="20"/>
          <w:lang w:val="en-US"/>
        </w:rPr>
        <w:t xml:space="preserve">n that chapter, the Court will </w:t>
      </w:r>
      <w:r w:rsidR="00A15C3A" w:rsidRPr="00CE23AE">
        <w:rPr>
          <w:szCs w:val="20"/>
          <w:lang w:val="en-US"/>
        </w:rPr>
        <w:t xml:space="preserve">also </w:t>
      </w:r>
      <w:r w:rsidR="00281667" w:rsidRPr="00CE23AE">
        <w:rPr>
          <w:szCs w:val="20"/>
          <w:lang w:val="en-US"/>
        </w:rPr>
        <w:t xml:space="preserve">examine the </w:t>
      </w:r>
      <w:r w:rsidR="00C50413" w:rsidRPr="00CE23AE">
        <w:rPr>
          <w:szCs w:val="20"/>
          <w:lang w:val="en-US"/>
        </w:rPr>
        <w:t>a</w:t>
      </w:r>
      <w:r w:rsidR="00A15C3A" w:rsidRPr="00CE23AE">
        <w:rPr>
          <w:szCs w:val="20"/>
          <w:lang w:val="en-US"/>
        </w:rPr>
        <w:t>rguments concerning</w:t>
      </w:r>
      <w:r w:rsidR="00281667" w:rsidRPr="00CE23AE">
        <w:rPr>
          <w:szCs w:val="20"/>
          <w:lang w:val="en-US"/>
        </w:rPr>
        <w:t xml:space="preserve"> the effects of the </w:t>
      </w:r>
      <w:r w:rsidR="00A15C3A" w:rsidRPr="00CE23AE">
        <w:rPr>
          <w:szCs w:val="20"/>
          <w:lang w:val="en-US"/>
        </w:rPr>
        <w:t xml:space="preserve">State’s </w:t>
      </w:r>
      <w:r w:rsidR="00281667" w:rsidRPr="00CE23AE">
        <w:rPr>
          <w:szCs w:val="20"/>
          <w:lang w:val="en-US"/>
        </w:rPr>
        <w:t xml:space="preserve">supposed acknowledgement of responsibility at the stage of compliance with the recommendations contained in the </w:t>
      </w:r>
      <w:r w:rsidRPr="00CE23AE">
        <w:rPr>
          <w:szCs w:val="20"/>
          <w:lang w:val="en-US"/>
        </w:rPr>
        <w:t>Merits Report of the Commission</w:t>
      </w:r>
      <w:r w:rsidR="0021587F" w:rsidRPr="00CE23AE">
        <w:rPr>
          <w:szCs w:val="20"/>
          <w:lang w:val="en-US"/>
        </w:rPr>
        <w:t xml:space="preserve">. </w:t>
      </w:r>
    </w:p>
    <w:p w14:paraId="4A67981F" w14:textId="1588ED8F" w:rsidR="00C50413" w:rsidRPr="00CE23AE" w:rsidRDefault="00C50413" w:rsidP="00C50413">
      <w:pPr>
        <w:tabs>
          <w:tab w:val="left" w:pos="567"/>
        </w:tabs>
        <w:autoSpaceDE w:val="0"/>
        <w:autoSpaceDN w:val="0"/>
        <w:spacing w:line="240" w:lineRule="auto"/>
        <w:rPr>
          <w:rFonts w:eastAsia="Calibri" w:cs="Verdana"/>
          <w:szCs w:val="20"/>
          <w:lang w:val="en-US" w:eastAsia="en-US"/>
        </w:rPr>
      </w:pPr>
    </w:p>
    <w:p w14:paraId="02D35C0C" w14:textId="6B033DB1" w:rsidR="0021587F" w:rsidRPr="00CE23AE" w:rsidRDefault="00A15C3A" w:rsidP="00C50413">
      <w:pPr>
        <w:pStyle w:val="Ttulo2"/>
        <w:spacing w:line="240" w:lineRule="auto"/>
        <w:rPr>
          <w:strike/>
          <w:lang w:val="en-US"/>
        </w:rPr>
      </w:pPr>
      <w:bookmarkStart w:id="92" w:name="_Toc464474957"/>
      <w:bookmarkStart w:id="93" w:name="_Toc46388344"/>
      <w:r w:rsidRPr="00CE23AE">
        <w:rPr>
          <w:lang w:val="en-US"/>
        </w:rPr>
        <w:t>Arguments of the State and</w:t>
      </w:r>
      <w:r w:rsidR="00C561DF" w:rsidRPr="00CE23AE">
        <w:rPr>
          <w:lang w:val="en-US"/>
        </w:rPr>
        <w:t xml:space="preserve"> </w:t>
      </w:r>
      <w:r w:rsidR="005C743F" w:rsidRPr="00CE23AE">
        <w:rPr>
          <w:lang w:val="en-US"/>
        </w:rPr>
        <w:t>observations</w:t>
      </w:r>
      <w:r w:rsidR="00C561DF" w:rsidRPr="00CE23AE">
        <w:rPr>
          <w:lang w:val="en-US"/>
        </w:rPr>
        <w:t xml:space="preserve"> of the Commission and the representative</w:t>
      </w:r>
      <w:bookmarkEnd w:id="92"/>
      <w:bookmarkEnd w:id="93"/>
    </w:p>
    <w:p w14:paraId="017EF248" w14:textId="77777777" w:rsidR="0021587F" w:rsidRPr="00CE23AE" w:rsidRDefault="0021587F" w:rsidP="0021587F">
      <w:pPr>
        <w:rPr>
          <w:lang w:val="en-US"/>
        </w:rPr>
      </w:pPr>
    </w:p>
    <w:p w14:paraId="340DD798" w14:textId="580E2690" w:rsidR="00DC336F" w:rsidRPr="00CE23AE" w:rsidRDefault="00C561DF" w:rsidP="00A94DFD">
      <w:pPr>
        <w:numPr>
          <w:ilvl w:val="0"/>
          <w:numId w:val="6"/>
        </w:numPr>
        <w:tabs>
          <w:tab w:val="left" w:pos="567"/>
        </w:tabs>
        <w:autoSpaceDE w:val="0"/>
        <w:autoSpaceDN w:val="0"/>
        <w:spacing w:line="240" w:lineRule="auto"/>
        <w:rPr>
          <w:lang w:val="en-US"/>
        </w:rPr>
      </w:pPr>
      <w:r w:rsidRPr="00CE23AE">
        <w:rPr>
          <w:lang w:val="en-US"/>
        </w:rPr>
        <w:t xml:space="preserve">The </w:t>
      </w:r>
      <w:r w:rsidRPr="00CE23AE">
        <w:rPr>
          <w:b/>
          <w:bCs/>
          <w:i/>
          <w:iCs/>
          <w:lang w:val="en-US"/>
        </w:rPr>
        <w:t>State</w:t>
      </w:r>
      <w:r w:rsidR="0021587F" w:rsidRPr="00CE23AE">
        <w:rPr>
          <w:lang w:val="en-US"/>
        </w:rPr>
        <w:t xml:space="preserve"> </w:t>
      </w:r>
      <w:r w:rsidR="001734C6" w:rsidRPr="00CE23AE">
        <w:rPr>
          <w:lang w:val="en-US"/>
        </w:rPr>
        <w:t xml:space="preserve">emphasized that it had presented the preliminary objection of failure to exhaust domestic remedies at the appropriate moment before </w:t>
      </w:r>
      <w:r w:rsidRPr="00CE23AE">
        <w:rPr>
          <w:szCs w:val="20"/>
          <w:lang w:val="en-US"/>
        </w:rPr>
        <w:t>the Commission</w:t>
      </w:r>
      <w:r w:rsidR="001734C6" w:rsidRPr="00CE23AE">
        <w:rPr>
          <w:szCs w:val="20"/>
          <w:lang w:val="en-US"/>
        </w:rPr>
        <w:t xml:space="preserve"> in its brief of August 11,</w:t>
      </w:r>
      <w:r w:rsidR="0021587F" w:rsidRPr="00CE23AE">
        <w:rPr>
          <w:lang w:val="en-US"/>
        </w:rPr>
        <w:t xml:space="preserve"> 2003. </w:t>
      </w:r>
      <w:r w:rsidR="001734C6" w:rsidRPr="00CE23AE">
        <w:rPr>
          <w:lang w:val="en-US"/>
        </w:rPr>
        <w:t>It a</w:t>
      </w:r>
      <w:r w:rsidR="00A15C3A" w:rsidRPr="00CE23AE">
        <w:rPr>
          <w:lang w:val="en-US"/>
        </w:rPr>
        <w:t>rgued</w:t>
      </w:r>
      <w:r w:rsidR="001734C6" w:rsidRPr="00CE23AE">
        <w:rPr>
          <w:lang w:val="en-US"/>
        </w:rPr>
        <w:t xml:space="preserve"> that “when the administrative act [that] discharged </w:t>
      </w:r>
      <w:r w:rsidR="00A15C3A" w:rsidRPr="00CE23AE">
        <w:rPr>
          <w:lang w:val="en-US"/>
        </w:rPr>
        <w:t>[the presumed victim]</w:t>
      </w:r>
      <w:r w:rsidR="001734C6" w:rsidRPr="00CE23AE">
        <w:rPr>
          <w:lang w:val="en-US"/>
        </w:rPr>
        <w:t xml:space="preserve"> from the Army was issued, </w:t>
      </w:r>
      <w:r w:rsidR="00A15C3A" w:rsidRPr="00CE23AE">
        <w:rPr>
          <w:lang w:val="en-US"/>
        </w:rPr>
        <w:t>he</w:t>
      </w:r>
      <w:r w:rsidR="001734C6" w:rsidRPr="00CE23AE">
        <w:rPr>
          <w:lang w:val="en-US"/>
        </w:rPr>
        <w:t xml:space="preserve"> </w:t>
      </w:r>
      <w:r w:rsidR="00DC336F" w:rsidRPr="00CE23AE">
        <w:rPr>
          <w:lang w:val="en-US"/>
        </w:rPr>
        <w:t>failed to</w:t>
      </w:r>
      <w:r w:rsidR="001734C6" w:rsidRPr="00CE23AE">
        <w:rPr>
          <w:lang w:val="en-US"/>
        </w:rPr>
        <w:t xml:space="preserve"> file the corresponding</w:t>
      </w:r>
      <w:r w:rsidR="00BA0D39" w:rsidRPr="00CE23AE">
        <w:rPr>
          <w:lang w:val="en-US"/>
        </w:rPr>
        <w:t xml:space="preserve"> full jurisdiction subjective remedy</w:t>
      </w:r>
      <w:r w:rsidR="0021587F" w:rsidRPr="00CE23AE">
        <w:rPr>
          <w:lang w:val="en-US"/>
        </w:rPr>
        <w:t xml:space="preserve"> </w:t>
      </w:r>
      <w:r w:rsidR="00DC336F" w:rsidRPr="00CE23AE">
        <w:rPr>
          <w:lang w:val="en-US"/>
        </w:rPr>
        <w:t>before the Contentious Administrative</w:t>
      </w:r>
      <w:r w:rsidRPr="00CE23AE">
        <w:rPr>
          <w:lang w:val="en-US"/>
        </w:rPr>
        <w:t xml:space="preserve"> Court</w:t>
      </w:r>
      <w:r w:rsidR="00DC336F" w:rsidRPr="00CE23AE">
        <w:rPr>
          <w:lang w:val="en-US"/>
        </w:rPr>
        <w:t>,</w:t>
      </w:r>
      <w:r w:rsidR="0021587F" w:rsidRPr="00CE23AE">
        <w:rPr>
          <w:lang w:val="en-US"/>
        </w:rPr>
        <w:t xml:space="preserve">” </w:t>
      </w:r>
      <w:r w:rsidR="00DC336F" w:rsidRPr="00CE23AE">
        <w:rPr>
          <w:lang w:val="en-US"/>
        </w:rPr>
        <w:t>to which a person may have recourse “when an administrative act has allegedly disregarded or partially denied his rights.” In addition, the State argued that “following the judgment of the Contentious Court, the law established the possibility of appealing to the highest ordinary jurisdictional instance, the former Supreme Court of Justice</w:t>
      </w:r>
      <w:r w:rsidR="00A15C3A" w:rsidRPr="00CE23AE">
        <w:rPr>
          <w:lang w:val="en-US"/>
        </w:rPr>
        <w:t>, by a remedy of cassation</w:t>
      </w:r>
      <w:r w:rsidR="00DC336F" w:rsidRPr="00CE23AE">
        <w:rPr>
          <w:lang w:val="en-US"/>
        </w:rPr>
        <w:t xml:space="preserve">.” It indicated that article 6(c) of the Law on the Contentious Administrative Jurisdiction “in no way prevented filing legal actions, under the contentious administrative jurisdiction to contest acts related to “the organization of the security forces.’” It explained that this article “establishes the lack of jurisdiction of the Contentious Administrative Court to examine “matters that arise in relation </w:t>
      </w:r>
      <w:r w:rsidR="00DC336F" w:rsidRPr="00CE23AE">
        <w:rPr>
          <w:lang w:val="en-US"/>
        </w:rPr>
        <w:lastRenderedPageBreak/>
        <w:t>to political acts</w:t>
      </w:r>
      <w:r w:rsidR="00A15C3A" w:rsidRPr="00CE23AE">
        <w:rPr>
          <w:lang w:val="en-US"/>
        </w:rPr>
        <w:t xml:space="preserve"> of the Government</w:t>
      </w:r>
      <w:r w:rsidR="00DC336F" w:rsidRPr="00CE23AE">
        <w:rPr>
          <w:lang w:val="en-US"/>
        </w:rPr>
        <w:t xml:space="preserve">, such as those that affect […] the organization of the security forces,” </w:t>
      </w:r>
      <w:r w:rsidR="00A15C3A" w:rsidRPr="00CE23AE">
        <w:rPr>
          <w:lang w:val="en-US"/>
        </w:rPr>
        <w:t xml:space="preserve">and this </w:t>
      </w:r>
      <w:r w:rsidR="00DC336F" w:rsidRPr="00CE23AE">
        <w:rPr>
          <w:lang w:val="en-US"/>
        </w:rPr>
        <w:t>precludes administrative acts such as a discharge, which has no effects on the organization of the security forces.”</w:t>
      </w:r>
    </w:p>
    <w:p w14:paraId="64EA5F7D" w14:textId="77777777" w:rsidR="0021587F" w:rsidRPr="00CE23AE" w:rsidRDefault="0021587F" w:rsidP="0021587F">
      <w:pPr>
        <w:tabs>
          <w:tab w:val="left" w:pos="567"/>
        </w:tabs>
        <w:autoSpaceDE w:val="0"/>
        <w:autoSpaceDN w:val="0"/>
        <w:spacing w:line="240" w:lineRule="auto"/>
        <w:rPr>
          <w:rFonts w:eastAsia="Calibri" w:cs="Verdana"/>
          <w:szCs w:val="20"/>
          <w:lang w:val="en-US" w:eastAsia="en-US"/>
        </w:rPr>
      </w:pPr>
    </w:p>
    <w:p w14:paraId="422E0E64" w14:textId="61D12E08" w:rsidR="00DC336F" w:rsidRPr="00CE23AE" w:rsidRDefault="00A15C3A" w:rsidP="00582D8D">
      <w:pPr>
        <w:numPr>
          <w:ilvl w:val="0"/>
          <w:numId w:val="6"/>
        </w:numPr>
        <w:tabs>
          <w:tab w:val="left" w:pos="567"/>
        </w:tabs>
        <w:autoSpaceDE w:val="0"/>
        <w:autoSpaceDN w:val="0"/>
        <w:spacing w:line="240" w:lineRule="auto"/>
        <w:rPr>
          <w:rFonts w:eastAsia="Calibri" w:cs="Verdana"/>
          <w:szCs w:val="20"/>
          <w:lang w:val="en-US" w:eastAsia="en-US"/>
        </w:rPr>
      </w:pPr>
      <w:r w:rsidRPr="00CE23AE">
        <w:rPr>
          <w:szCs w:val="20"/>
          <w:lang w:val="en-US"/>
        </w:rPr>
        <w:t>Furthermore</w:t>
      </w:r>
      <w:r w:rsidR="00DC336F" w:rsidRPr="00CE23AE">
        <w:rPr>
          <w:szCs w:val="20"/>
          <w:lang w:val="en-US"/>
        </w:rPr>
        <w:t xml:space="preserve">, regarding the application for amparo filed by Mr. Flor Freire, </w:t>
      </w:r>
      <w:r w:rsidRPr="00CE23AE">
        <w:rPr>
          <w:szCs w:val="20"/>
          <w:lang w:val="en-US"/>
        </w:rPr>
        <w:t xml:space="preserve">the State </w:t>
      </w:r>
      <w:r w:rsidR="00DC336F" w:rsidRPr="00CE23AE">
        <w:rPr>
          <w:szCs w:val="20"/>
          <w:lang w:val="en-US"/>
        </w:rPr>
        <w:t>indicated that: (i) the r</w:t>
      </w:r>
      <w:r w:rsidRPr="00CE23AE">
        <w:rPr>
          <w:szCs w:val="20"/>
          <w:lang w:val="en-US"/>
        </w:rPr>
        <w:t>uling</w:t>
      </w:r>
      <w:r w:rsidR="00DC336F" w:rsidRPr="00CE23AE">
        <w:rPr>
          <w:szCs w:val="20"/>
          <w:lang w:val="en-US"/>
        </w:rPr>
        <w:t xml:space="preserve"> of January 17, 2001, [against which the amparo was filed] was not the administrative act that ordered the </w:t>
      </w:r>
      <w:r w:rsidR="00B548F1" w:rsidRPr="00CE23AE">
        <w:rPr>
          <w:szCs w:val="20"/>
          <w:lang w:val="en-US"/>
        </w:rPr>
        <w:t>separation</w:t>
      </w:r>
      <w:r w:rsidR="00DC336F" w:rsidRPr="00CE23AE">
        <w:rPr>
          <w:szCs w:val="20"/>
          <w:lang w:val="en-US"/>
        </w:rPr>
        <w:t xml:space="preserve"> of Mr. Flor from the Armed Forces”; (ii) </w:t>
      </w:r>
      <w:r w:rsidR="00446A11" w:rsidRPr="00CE23AE">
        <w:rPr>
          <w:szCs w:val="20"/>
          <w:lang w:val="en-US"/>
        </w:rPr>
        <w:t xml:space="preserve">the administrative act that led to the separation of Mr. Flor was that of </w:t>
      </w:r>
      <w:r w:rsidR="00B548F1" w:rsidRPr="00CE23AE">
        <w:rPr>
          <w:szCs w:val="20"/>
          <w:lang w:val="en-US"/>
        </w:rPr>
        <w:t>his</w:t>
      </w:r>
      <w:r w:rsidR="00446A11" w:rsidRPr="00CE23AE">
        <w:rPr>
          <w:szCs w:val="20"/>
          <w:lang w:val="en-US"/>
        </w:rPr>
        <w:t xml:space="preserve"> discharge”; (iii) when Mr. Flor filed the application for constitutional amparo, he had not yet been discharged from the Armed Forces so that its effects could never have been his reinstatement,” and (iv) owing to the preventive nature of the constitutional amparo, if it had been admitted, it could not have ordered any compensation in favor of the applicant.”</w:t>
      </w:r>
    </w:p>
    <w:p w14:paraId="4F756BA4" w14:textId="77777777" w:rsidR="0021587F" w:rsidRPr="00CE23AE" w:rsidRDefault="0021587F" w:rsidP="0021587F">
      <w:pPr>
        <w:pStyle w:val="Prrafodelista"/>
        <w:rPr>
          <w:lang w:val="en-US"/>
        </w:rPr>
      </w:pPr>
    </w:p>
    <w:p w14:paraId="0A40CF98" w14:textId="5DE107B5" w:rsidR="00446A11" w:rsidRPr="00CE23AE" w:rsidRDefault="00C561DF" w:rsidP="00446A11">
      <w:pPr>
        <w:numPr>
          <w:ilvl w:val="0"/>
          <w:numId w:val="6"/>
        </w:numPr>
        <w:tabs>
          <w:tab w:val="left" w:pos="567"/>
        </w:tabs>
        <w:autoSpaceDE w:val="0"/>
        <w:autoSpaceDN w:val="0"/>
        <w:spacing w:line="240" w:lineRule="auto"/>
        <w:rPr>
          <w:rFonts w:eastAsia="Calibri" w:cs="Verdana"/>
          <w:szCs w:val="20"/>
          <w:lang w:val="en-US" w:eastAsia="en-US"/>
        </w:rPr>
      </w:pPr>
      <w:r w:rsidRPr="00CE23AE">
        <w:rPr>
          <w:lang w:val="en-US"/>
        </w:rPr>
        <w:t xml:space="preserve">The </w:t>
      </w:r>
      <w:r w:rsidRPr="00CE23AE">
        <w:rPr>
          <w:b/>
          <w:bCs/>
          <w:i/>
          <w:iCs/>
          <w:lang w:val="en-US"/>
        </w:rPr>
        <w:t>Commission</w:t>
      </w:r>
      <w:r w:rsidR="0021587F" w:rsidRPr="00CE23AE">
        <w:rPr>
          <w:lang w:val="en-US"/>
        </w:rPr>
        <w:t xml:space="preserve"> </w:t>
      </w:r>
      <w:r w:rsidR="00446A11" w:rsidRPr="00CE23AE">
        <w:rPr>
          <w:lang w:val="en-US"/>
        </w:rPr>
        <w:t xml:space="preserve">indicated that “although the objection was presented at the proper procedural moment, that is at the admissibility stage before the Inter-American Commission, […] the State’s arguments in relation to the admissibility of the contentious administrative remedy </w:t>
      </w:r>
      <w:r w:rsidR="00B548F1" w:rsidRPr="00CE23AE">
        <w:rPr>
          <w:lang w:val="en-US"/>
        </w:rPr>
        <w:t>were</w:t>
      </w:r>
      <w:r w:rsidR="00446A11" w:rsidRPr="00CE23AE">
        <w:rPr>
          <w:lang w:val="en-US"/>
        </w:rPr>
        <w:t xml:space="preserve"> substantially less</w:t>
      </w:r>
      <w:r w:rsidR="00B548F1" w:rsidRPr="00CE23AE">
        <w:rPr>
          <w:lang w:val="en-US"/>
        </w:rPr>
        <w:t xml:space="preserve"> detailed</w:t>
      </w:r>
      <w:r w:rsidR="00446A11" w:rsidRPr="00CE23AE">
        <w:rPr>
          <w:lang w:val="en-US"/>
        </w:rPr>
        <w:t xml:space="preserve"> than the one</w:t>
      </w:r>
      <w:r w:rsidR="00B548F1" w:rsidRPr="00CE23AE">
        <w:rPr>
          <w:lang w:val="en-US"/>
        </w:rPr>
        <w:t>s</w:t>
      </w:r>
      <w:r w:rsidR="00446A11" w:rsidRPr="00CE23AE">
        <w:rPr>
          <w:lang w:val="en-US"/>
        </w:rPr>
        <w:t xml:space="preserve"> submitted to the Inter-American Court.” In addition, reiterating what it had established in its Admissibility Report, the Commission a</w:t>
      </w:r>
      <w:r w:rsidR="00B548F1" w:rsidRPr="00CE23AE">
        <w:rPr>
          <w:lang w:val="en-US"/>
        </w:rPr>
        <w:t>rgued</w:t>
      </w:r>
      <w:r w:rsidR="00446A11" w:rsidRPr="00CE23AE">
        <w:rPr>
          <w:lang w:val="en-US"/>
        </w:rPr>
        <w:t xml:space="preserve"> that “the domestic remedies were exhausted by: (i) the appeal against the decision</w:t>
      </w:r>
      <w:r w:rsidR="00B548F1" w:rsidRPr="00CE23AE">
        <w:rPr>
          <w:lang w:val="en-US"/>
        </w:rPr>
        <w:t xml:space="preserve"> of January 17, 2001,</w:t>
      </w:r>
      <w:r w:rsidR="00446A11" w:rsidRPr="00CE23AE">
        <w:rPr>
          <w:lang w:val="en-US"/>
        </w:rPr>
        <w:t xml:space="preserve"> of the </w:t>
      </w:r>
      <w:r w:rsidR="00A055CE" w:rsidRPr="00CE23AE">
        <w:rPr>
          <w:lang w:val="en-US"/>
        </w:rPr>
        <w:t>Court of Law</w:t>
      </w:r>
      <w:r w:rsidR="00446A11" w:rsidRPr="00CE23AE">
        <w:rPr>
          <w:lang w:val="en-US"/>
        </w:rPr>
        <w:t xml:space="preserve"> of the Fourth Military Zone, and (ii) the application for constitutional amparo decided in second instance on February 4, 2002.” The Commission also indicated that “the contentious administrative remedy was not the appropriate remedy to annul the disciplinary responsibility and the sanction imposed on Homer Flor and, consequently, it was not necessary to exhaust it.” It also a</w:t>
      </w:r>
      <w:r w:rsidR="00B548F1" w:rsidRPr="00CE23AE">
        <w:rPr>
          <w:lang w:val="en-US"/>
        </w:rPr>
        <w:t>rgued</w:t>
      </w:r>
      <w:r w:rsidR="00446A11" w:rsidRPr="00CE23AE">
        <w:rPr>
          <w:lang w:val="en-US"/>
        </w:rPr>
        <w:t xml:space="preserve"> that</w:t>
      </w:r>
      <w:r w:rsidR="0021587F" w:rsidRPr="00CE23AE">
        <w:rPr>
          <w:lang w:val="en-US"/>
        </w:rPr>
        <w:t xml:space="preserve"> “</w:t>
      </w:r>
      <w:r w:rsidRPr="00CE23AE">
        <w:rPr>
          <w:lang w:val="en-US"/>
        </w:rPr>
        <w:t>the State</w:t>
      </w:r>
      <w:r w:rsidR="0021587F" w:rsidRPr="00CE23AE">
        <w:rPr>
          <w:lang w:val="en-US"/>
        </w:rPr>
        <w:t xml:space="preserve"> </w:t>
      </w:r>
      <w:r w:rsidR="00C20CAA" w:rsidRPr="00CE23AE">
        <w:rPr>
          <w:lang w:val="en-US"/>
        </w:rPr>
        <w:t>[…</w:t>
      </w:r>
      <w:r w:rsidR="00B548F1" w:rsidRPr="00CE23AE">
        <w:rPr>
          <w:lang w:val="en-US"/>
        </w:rPr>
        <w:t xml:space="preserve"> had</w:t>
      </w:r>
      <w:r w:rsidR="00C20CAA" w:rsidRPr="00CE23AE">
        <w:rPr>
          <w:lang w:val="en-US"/>
        </w:rPr>
        <w:t xml:space="preserve">] </w:t>
      </w:r>
      <w:r w:rsidR="00446A11" w:rsidRPr="00CE23AE">
        <w:rPr>
          <w:lang w:val="en-US"/>
        </w:rPr>
        <w:t xml:space="preserve">merely reiterated </w:t>
      </w:r>
      <w:r w:rsidR="00B548F1" w:rsidRPr="00CE23AE">
        <w:rPr>
          <w:lang w:val="en-US"/>
        </w:rPr>
        <w:t xml:space="preserve">briefly </w:t>
      </w:r>
      <w:r w:rsidR="00446A11" w:rsidRPr="00CE23AE">
        <w:rPr>
          <w:lang w:val="en-US"/>
        </w:rPr>
        <w:t>that it was the contentious administrative remedy that should be exhausted</w:t>
      </w:r>
      <w:r w:rsidR="00492623" w:rsidRPr="00CE23AE">
        <w:rPr>
          <w:lang w:val="en-US"/>
        </w:rPr>
        <w:t xml:space="preserve">, without providing specific arguments </w:t>
      </w:r>
      <w:r w:rsidR="00B548F1" w:rsidRPr="00CE23AE">
        <w:rPr>
          <w:lang w:val="en-US"/>
        </w:rPr>
        <w:t>proving</w:t>
      </w:r>
      <w:r w:rsidR="00492623" w:rsidRPr="00CE23AE">
        <w:rPr>
          <w:lang w:val="en-US"/>
        </w:rPr>
        <w:t xml:space="preserve"> that it was appropriate and effective.” Consequently, the Commission asked the Court to declare the preliminary objection inadmissible because “there is no </w:t>
      </w:r>
      <w:r w:rsidR="00B548F1" w:rsidRPr="00CE23AE">
        <w:rPr>
          <w:lang w:val="en-US"/>
        </w:rPr>
        <w:t xml:space="preserve">reason </w:t>
      </w:r>
      <w:r w:rsidR="00492623" w:rsidRPr="00CE23AE">
        <w:rPr>
          <w:lang w:val="en-US"/>
        </w:rPr>
        <w:t>to diverge from what was decided at the admissibility stage.”</w:t>
      </w:r>
    </w:p>
    <w:p w14:paraId="51BBCD53" w14:textId="77777777" w:rsidR="00174FC2" w:rsidRPr="00CE23AE" w:rsidRDefault="00174FC2" w:rsidP="00174FC2">
      <w:pPr>
        <w:tabs>
          <w:tab w:val="left" w:pos="567"/>
        </w:tabs>
        <w:autoSpaceDE w:val="0"/>
        <w:autoSpaceDN w:val="0"/>
        <w:spacing w:line="240" w:lineRule="auto"/>
        <w:rPr>
          <w:rFonts w:eastAsia="Calibri" w:cs="Verdana"/>
          <w:szCs w:val="20"/>
          <w:lang w:val="en-US" w:eastAsia="en-US"/>
        </w:rPr>
      </w:pPr>
    </w:p>
    <w:p w14:paraId="17AB5361" w14:textId="7630A756" w:rsidR="00492623" w:rsidRPr="00CE23AE" w:rsidRDefault="00C561DF" w:rsidP="00492623">
      <w:pPr>
        <w:numPr>
          <w:ilvl w:val="0"/>
          <w:numId w:val="6"/>
        </w:numPr>
        <w:tabs>
          <w:tab w:val="left" w:pos="567"/>
        </w:tabs>
        <w:autoSpaceDE w:val="0"/>
        <w:autoSpaceDN w:val="0"/>
        <w:spacing w:line="240" w:lineRule="auto"/>
        <w:rPr>
          <w:rFonts w:eastAsia="Calibri" w:cs="Verdana"/>
          <w:szCs w:val="20"/>
          <w:lang w:val="en-US" w:eastAsia="en-US"/>
        </w:rPr>
      </w:pPr>
      <w:r w:rsidRPr="00CE23AE">
        <w:rPr>
          <w:lang w:val="en-US"/>
        </w:rPr>
        <w:t xml:space="preserve">The </w:t>
      </w:r>
      <w:r w:rsidRPr="00CE23AE">
        <w:rPr>
          <w:b/>
          <w:bCs/>
          <w:i/>
          <w:iCs/>
          <w:lang w:val="en-US"/>
        </w:rPr>
        <w:t>representative</w:t>
      </w:r>
      <w:r w:rsidR="0021587F" w:rsidRPr="00CE23AE">
        <w:rPr>
          <w:lang w:val="en-US"/>
        </w:rPr>
        <w:t xml:space="preserve"> indic</w:t>
      </w:r>
      <w:r w:rsidR="00492623" w:rsidRPr="00CE23AE">
        <w:rPr>
          <w:lang w:val="en-US"/>
        </w:rPr>
        <w:t>ated, with regard to the contentious administrative jurisdiction</w:t>
      </w:r>
      <w:r w:rsidR="00B548F1" w:rsidRPr="00CE23AE">
        <w:rPr>
          <w:lang w:val="en-US"/>
        </w:rPr>
        <w:t>,</w:t>
      </w:r>
      <w:r w:rsidR="00492623" w:rsidRPr="00CE23AE">
        <w:rPr>
          <w:lang w:val="en-US"/>
        </w:rPr>
        <w:t xml:space="preserve"> that</w:t>
      </w:r>
      <w:r w:rsidR="00B548F1" w:rsidRPr="00CE23AE">
        <w:rPr>
          <w:lang w:val="en-US"/>
        </w:rPr>
        <w:t>,</w:t>
      </w:r>
      <w:r w:rsidR="00492623" w:rsidRPr="00CE23AE">
        <w:rPr>
          <w:lang w:val="en-US"/>
        </w:rPr>
        <w:t xml:space="preserve"> when the facts occurred, the Law on the Contentious Administrative Jurisdiction did not allow “actions </w:t>
      </w:r>
      <w:r w:rsidR="00B548F1" w:rsidRPr="00CE23AE">
        <w:rPr>
          <w:lang w:val="en-US"/>
        </w:rPr>
        <w:t xml:space="preserve">to be filed </w:t>
      </w:r>
      <w:r w:rsidR="00492623" w:rsidRPr="00CE23AE">
        <w:rPr>
          <w:lang w:val="en-US"/>
        </w:rPr>
        <w:t xml:space="preserve">against administrative acts of the Armed Forces.” This was because article 6(c) of the said law “expressly establishes [that] the organization of the security services does not correspond to [that jurisdiction].” </w:t>
      </w:r>
      <w:r w:rsidRPr="00CE23AE">
        <w:rPr>
          <w:lang w:val="en-US"/>
        </w:rPr>
        <w:t>The representative</w:t>
      </w:r>
      <w:r w:rsidR="0021587F" w:rsidRPr="00CE23AE">
        <w:rPr>
          <w:lang w:val="en-US"/>
        </w:rPr>
        <w:t xml:space="preserve"> men</w:t>
      </w:r>
      <w:r w:rsidR="00492623" w:rsidRPr="00CE23AE">
        <w:rPr>
          <w:lang w:val="en-US"/>
        </w:rPr>
        <w:t>tion</w:t>
      </w:r>
      <w:r w:rsidR="00A94DFD" w:rsidRPr="00CE23AE">
        <w:rPr>
          <w:lang w:val="en-US"/>
        </w:rPr>
        <w:t>ed</w:t>
      </w:r>
      <w:r w:rsidR="00492623" w:rsidRPr="00CE23AE">
        <w:rPr>
          <w:lang w:val="en-US"/>
        </w:rPr>
        <w:t xml:space="preserve"> s</w:t>
      </w:r>
      <w:r w:rsidR="00B548F1" w:rsidRPr="00CE23AE">
        <w:rPr>
          <w:lang w:val="en-US"/>
        </w:rPr>
        <w:t>everal</w:t>
      </w:r>
      <w:r w:rsidR="00492623" w:rsidRPr="00CE23AE">
        <w:rPr>
          <w:lang w:val="en-US"/>
        </w:rPr>
        <w:t xml:space="preserve"> cases </w:t>
      </w:r>
      <w:r w:rsidRPr="00CE23AE">
        <w:rPr>
          <w:lang w:val="en-US"/>
        </w:rPr>
        <w:t xml:space="preserve">of the </w:t>
      </w:r>
      <w:r w:rsidR="00492623" w:rsidRPr="00CE23AE">
        <w:rPr>
          <w:lang w:val="en-US"/>
        </w:rPr>
        <w:t xml:space="preserve">Supreme </w:t>
      </w:r>
      <w:r w:rsidRPr="00CE23AE">
        <w:rPr>
          <w:lang w:val="en-US"/>
        </w:rPr>
        <w:t>Court</w:t>
      </w:r>
      <w:r w:rsidR="0021587F" w:rsidRPr="00CE23AE">
        <w:rPr>
          <w:lang w:val="en-US"/>
        </w:rPr>
        <w:t xml:space="preserve"> </w:t>
      </w:r>
      <w:r w:rsidR="00492623" w:rsidRPr="00CE23AE">
        <w:rPr>
          <w:lang w:val="en-US"/>
        </w:rPr>
        <w:t xml:space="preserve">of Justice of </w:t>
      </w:r>
      <w:r w:rsidR="0021587F" w:rsidRPr="00CE23AE">
        <w:rPr>
          <w:lang w:val="en-US"/>
        </w:rPr>
        <w:t xml:space="preserve">Ecuador </w:t>
      </w:r>
      <w:r w:rsidR="00492623" w:rsidRPr="00CE23AE">
        <w:rPr>
          <w:lang w:val="en-US"/>
        </w:rPr>
        <w:t xml:space="preserve">in which that </w:t>
      </w:r>
      <w:r w:rsidR="00B548F1" w:rsidRPr="00CE23AE">
        <w:rPr>
          <w:lang w:val="en-US"/>
        </w:rPr>
        <w:t>c</w:t>
      </w:r>
      <w:r w:rsidR="00492623" w:rsidRPr="00CE23AE">
        <w:rPr>
          <w:lang w:val="en-US"/>
        </w:rPr>
        <w:t xml:space="preserve">ourt had ratified that “the contestation of acts of the security forces does not correspond to the </w:t>
      </w:r>
      <w:r w:rsidR="00B548F1" w:rsidRPr="00CE23AE">
        <w:rPr>
          <w:lang w:val="en-US"/>
        </w:rPr>
        <w:t>contentious administrative jurisdiction</w:t>
      </w:r>
      <w:r w:rsidR="00492623" w:rsidRPr="00CE23AE">
        <w:rPr>
          <w:lang w:val="en-US"/>
        </w:rPr>
        <w:t>.” He concluded that “Mr. Flor Freire was prevented from fil</w:t>
      </w:r>
      <w:r w:rsidR="00B548F1" w:rsidRPr="00CE23AE">
        <w:rPr>
          <w:lang w:val="en-US"/>
        </w:rPr>
        <w:t>ing</w:t>
      </w:r>
      <w:r w:rsidR="00492623" w:rsidRPr="00CE23AE">
        <w:rPr>
          <w:lang w:val="en-US"/>
        </w:rPr>
        <w:t xml:space="preserve"> a subjective remedy […] before the District Contentious Administrative Court because a law that expressly prevented this existed and was in force.” Therefore, he a</w:t>
      </w:r>
      <w:r w:rsidR="00B548F1" w:rsidRPr="00CE23AE">
        <w:rPr>
          <w:lang w:val="en-US"/>
        </w:rPr>
        <w:t>rgued</w:t>
      </w:r>
      <w:r w:rsidR="00492623" w:rsidRPr="00CE23AE">
        <w:rPr>
          <w:lang w:val="en-US"/>
        </w:rPr>
        <w:t xml:space="preserve"> that the application for amparo was the only “adequate [mechanism] that could be effective.”</w:t>
      </w:r>
    </w:p>
    <w:p w14:paraId="045B15CA" w14:textId="77777777" w:rsidR="00C51E3C" w:rsidRPr="00CE23AE" w:rsidRDefault="00C51E3C" w:rsidP="00C51E3C">
      <w:pPr>
        <w:spacing w:line="240" w:lineRule="auto"/>
        <w:rPr>
          <w:szCs w:val="20"/>
          <w:lang w:val="en-US"/>
        </w:rPr>
      </w:pPr>
    </w:p>
    <w:p w14:paraId="355F8601" w14:textId="20584FBB" w:rsidR="00C51E3C" w:rsidRPr="00CE23AE" w:rsidRDefault="005024E2" w:rsidP="009F36A1">
      <w:pPr>
        <w:pStyle w:val="Ttulo2"/>
        <w:rPr>
          <w:lang w:val="en-US"/>
        </w:rPr>
      </w:pPr>
      <w:bookmarkStart w:id="94" w:name="_Toc401931888"/>
      <w:bookmarkStart w:id="95" w:name="_Toc428369985"/>
      <w:bookmarkStart w:id="96" w:name="_Toc453874306"/>
      <w:bookmarkStart w:id="97" w:name="_Toc454891467"/>
      <w:bookmarkStart w:id="98" w:name="_Toc457840571"/>
      <w:bookmarkStart w:id="99" w:name="_Toc464474958"/>
      <w:bookmarkStart w:id="100" w:name="_Toc46388345"/>
      <w:r w:rsidRPr="00CE23AE">
        <w:rPr>
          <w:lang w:val="en-US"/>
        </w:rPr>
        <w:t>Considerations</w:t>
      </w:r>
      <w:r w:rsidR="00C561DF" w:rsidRPr="00CE23AE">
        <w:rPr>
          <w:lang w:val="en-US"/>
        </w:rPr>
        <w:t xml:space="preserve"> of the Court</w:t>
      </w:r>
      <w:bookmarkEnd w:id="94"/>
      <w:bookmarkEnd w:id="95"/>
      <w:bookmarkEnd w:id="96"/>
      <w:bookmarkEnd w:id="97"/>
      <w:bookmarkEnd w:id="98"/>
      <w:bookmarkEnd w:id="99"/>
      <w:bookmarkEnd w:id="100"/>
    </w:p>
    <w:p w14:paraId="2CA4A0DE" w14:textId="77777777" w:rsidR="00CE5B9B" w:rsidRPr="00CE23AE" w:rsidRDefault="00CE5B9B" w:rsidP="006F5CCD">
      <w:pPr>
        <w:tabs>
          <w:tab w:val="left" w:pos="567"/>
        </w:tabs>
        <w:spacing w:line="240" w:lineRule="auto"/>
        <w:rPr>
          <w:szCs w:val="20"/>
          <w:lang w:val="en-US"/>
        </w:rPr>
      </w:pPr>
    </w:p>
    <w:p w14:paraId="42BC2995" w14:textId="04AEB38E" w:rsidR="0021587F" w:rsidRPr="00CE23AE" w:rsidRDefault="00C561DF" w:rsidP="009B35E7">
      <w:pPr>
        <w:widowControl/>
        <w:numPr>
          <w:ilvl w:val="0"/>
          <w:numId w:val="6"/>
        </w:numPr>
        <w:tabs>
          <w:tab w:val="left" w:pos="567"/>
        </w:tabs>
        <w:adjustRightInd/>
        <w:spacing w:line="240" w:lineRule="auto"/>
        <w:textAlignment w:val="auto"/>
        <w:rPr>
          <w:rFonts w:eastAsia="Calibri" w:cs="Verdana"/>
          <w:szCs w:val="20"/>
          <w:lang w:val="en-US"/>
        </w:rPr>
      </w:pPr>
      <w:bookmarkStart w:id="101" w:name="_Ref455670863"/>
      <w:r w:rsidRPr="00CE23AE">
        <w:rPr>
          <w:szCs w:val="20"/>
          <w:lang w:val="en-US"/>
        </w:rPr>
        <w:t>Article</w:t>
      </w:r>
      <w:r w:rsidR="0021587F" w:rsidRPr="00CE23AE">
        <w:rPr>
          <w:szCs w:val="20"/>
          <w:lang w:val="en-US"/>
        </w:rPr>
        <w:t xml:space="preserve"> 46</w:t>
      </w:r>
      <w:r w:rsidR="00492623" w:rsidRPr="00CE23AE">
        <w:rPr>
          <w:szCs w:val="20"/>
          <w:lang w:val="en-US"/>
        </w:rPr>
        <w:t>(</w:t>
      </w:r>
      <w:r w:rsidR="0021587F" w:rsidRPr="00CE23AE">
        <w:rPr>
          <w:szCs w:val="20"/>
          <w:lang w:val="en-US"/>
        </w:rPr>
        <w:t>1</w:t>
      </w:r>
      <w:r w:rsidR="00492623" w:rsidRPr="00CE23AE">
        <w:rPr>
          <w:szCs w:val="20"/>
          <w:lang w:val="en-US"/>
        </w:rPr>
        <w:t>)(</w:t>
      </w:r>
      <w:r w:rsidR="0021587F" w:rsidRPr="00CE23AE">
        <w:rPr>
          <w:szCs w:val="20"/>
          <w:lang w:val="en-US"/>
        </w:rPr>
        <w:t>a)</w:t>
      </w:r>
      <w:r w:rsidRPr="00CE23AE">
        <w:rPr>
          <w:szCs w:val="20"/>
          <w:lang w:val="en-US"/>
        </w:rPr>
        <w:t xml:space="preserve"> of the Convention</w:t>
      </w:r>
      <w:r w:rsidR="0021587F" w:rsidRPr="00CE23AE">
        <w:rPr>
          <w:szCs w:val="20"/>
          <w:lang w:val="en-US"/>
        </w:rPr>
        <w:t xml:space="preserve"> </w:t>
      </w:r>
      <w:r w:rsidR="00492623" w:rsidRPr="00CE23AE">
        <w:rPr>
          <w:szCs w:val="20"/>
          <w:lang w:val="en-US"/>
        </w:rPr>
        <w:t xml:space="preserve">establishes that admission by the Commission of a petition or communication lodged in accordance with </w:t>
      </w:r>
      <w:r w:rsidRPr="00CE23AE">
        <w:rPr>
          <w:szCs w:val="20"/>
          <w:lang w:val="en-US"/>
        </w:rPr>
        <w:t>Articles</w:t>
      </w:r>
      <w:r w:rsidR="0021587F" w:rsidRPr="00CE23AE">
        <w:rPr>
          <w:szCs w:val="20"/>
          <w:lang w:val="en-US"/>
        </w:rPr>
        <w:t xml:space="preserve"> 44 o</w:t>
      </w:r>
      <w:r w:rsidR="00492623" w:rsidRPr="00CE23AE">
        <w:rPr>
          <w:szCs w:val="20"/>
          <w:lang w:val="en-US"/>
        </w:rPr>
        <w:t>r</w:t>
      </w:r>
      <w:r w:rsidR="0021587F" w:rsidRPr="00CE23AE">
        <w:rPr>
          <w:szCs w:val="20"/>
          <w:lang w:val="en-US"/>
        </w:rPr>
        <w:t xml:space="preserve"> 45</w:t>
      </w:r>
      <w:r w:rsidRPr="00CE23AE">
        <w:rPr>
          <w:szCs w:val="20"/>
          <w:lang w:val="en-US"/>
        </w:rPr>
        <w:t xml:space="preserve"> of the Convention</w:t>
      </w:r>
      <w:r w:rsidR="009B35E7" w:rsidRPr="00CE23AE">
        <w:rPr>
          <w:szCs w:val="20"/>
          <w:lang w:val="en-US"/>
        </w:rPr>
        <w:t xml:space="preserve"> requires that </w:t>
      </w:r>
      <w:r w:rsidR="009B35E7" w:rsidRPr="00CE23AE">
        <w:rPr>
          <w:lang w:val="en-US"/>
        </w:rPr>
        <w:t>the remedies under domestic law have been pursued and exhausted in accordance with generally recognized principles of international law.</w:t>
      </w:r>
      <w:r w:rsidR="0021587F" w:rsidRPr="00CE23AE">
        <w:rPr>
          <w:rStyle w:val="Refdenotaalpie"/>
          <w:szCs w:val="20"/>
          <w:lang w:val="en-US"/>
        </w:rPr>
        <w:footnoteReference w:id="11"/>
      </w:r>
      <w:r w:rsidR="009B35E7" w:rsidRPr="00CE23AE">
        <w:rPr>
          <w:szCs w:val="20"/>
          <w:lang w:val="en-US"/>
        </w:rPr>
        <w:t xml:space="preserve"> The rule of prior exhaustion of domestic remedies was conceived in the interests of the State because it seek to exempt it from responding before an international organ for acts </w:t>
      </w:r>
      <w:r w:rsidR="00970C90" w:rsidRPr="00CE23AE">
        <w:rPr>
          <w:szCs w:val="20"/>
          <w:lang w:val="en-US"/>
        </w:rPr>
        <w:t>of which</w:t>
      </w:r>
      <w:r w:rsidR="009B35E7" w:rsidRPr="00CE23AE">
        <w:rPr>
          <w:szCs w:val="20"/>
          <w:lang w:val="en-US"/>
        </w:rPr>
        <w:t xml:space="preserve"> it is accused before it has had the opportunity to remedy them </w:t>
      </w:r>
      <w:r w:rsidR="009B35E7" w:rsidRPr="00CE23AE">
        <w:rPr>
          <w:szCs w:val="20"/>
          <w:lang w:val="en-US"/>
        </w:rPr>
        <w:lastRenderedPageBreak/>
        <w:t>with its own means.</w:t>
      </w:r>
      <w:r w:rsidR="0021587F" w:rsidRPr="00CE23AE">
        <w:rPr>
          <w:rStyle w:val="Refdenotaalpie"/>
          <w:szCs w:val="20"/>
          <w:lang w:val="en-US"/>
        </w:rPr>
        <w:footnoteReference w:id="12"/>
      </w:r>
      <w:r w:rsidR="009B35E7" w:rsidRPr="00CE23AE">
        <w:rPr>
          <w:szCs w:val="20"/>
          <w:lang w:val="en-US"/>
        </w:rPr>
        <w:t xml:space="preserve"> However, the Court has maintained that an objection to the exercise of its jurisdiction based on the supposed failure to exhaust domestic remedies must be presented at the </w:t>
      </w:r>
      <w:r w:rsidR="00970C90" w:rsidRPr="00CE23AE">
        <w:rPr>
          <w:szCs w:val="20"/>
          <w:lang w:val="en-US"/>
        </w:rPr>
        <w:t>proper</w:t>
      </w:r>
      <w:r w:rsidR="009B35E7" w:rsidRPr="00CE23AE">
        <w:rPr>
          <w:szCs w:val="20"/>
          <w:lang w:val="en-US"/>
        </w:rPr>
        <w:t xml:space="preserve"> procedural moment; that is, during the admissibility </w:t>
      </w:r>
      <w:r w:rsidR="00970C90" w:rsidRPr="00CE23AE">
        <w:rPr>
          <w:szCs w:val="20"/>
          <w:lang w:val="en-US"/>
        </w:rPr>
        <w:t xml:space="preserve">procedure </w:t>
      </w:r>
      <w:r w:rsidR="009B35E7" w:rsidRPr="00CE23AE">
        <w:rPr>
          <w:szCs w:val="20"/>
          <w:lang w:val="en-US"/>
        </w:rPr>
        <w:t>before</w:t>
      </w:r>
      <w:r w:rsidR="009B35E7" w:rsidRPr="00CE23AE">
        <w:rPr>
          <w:rFonts w:eastAsia="Calibri" w:cs="Verdana"/>
          <w:szCs w:val="20"/>
          <w:lang w:val="en-US"/>
        </w:rPr>
        <w:t xml:space="preserve"> </w:t>
      </w:r>
      <w:r w:rsidRPr="00CE23AE">
        <w:rPr>
          <w:szCs w:val="20"/>
          <w:lang w:val="en-US"/>
        </w:rPr>
        <w:t>the Commission</w:t>
      </w:r>
      <w:r w:rsidR="00970C90" w:rsidRPr="00CE23AE">
        <w:rPr>
          <w:szCs w:val="20"/>
          <w:lang w:val="en-US"/>
        </w:rPr>
        <w:t>.</w:t>
      </w:r>
      <w:r w:rsidR="0021587F" w:rsidRPr="00CE23AE">
        <w:rPr>
          <w:rStyle w:val="Refdenotaalpie"/>
          <w:szCs w:val="20"/>
          <w:lang w:val="en-US"/>
        </w:rPr>
        <w:footnoteReference w:id="13"/>
      </w:r>
      <w:bookmarkEnd w:id="101"/>
    </w:p>
    <w:p w14:paraId="4794172A" w14:textId="77777777" w:rsidR="0021587F" w:rsidRPr="00CE23AE" w:rsidRDefault="0021587F" w:rsidP="0021587F">
      <w:pPr>
        <w:pStyle w:val="Prrafodelista"/>
        <w:spacing w:line="240" w:lineRule="auto"/>
        <w:ind w:left="0"/>
        <w:rPr>
          <w:lang w:val="en-US"/>
        </w:rPr>
      </w:pPr>
    </w:p>
    <w:p w14:paraId="17497E87" w14:textId="5F45BEA6" w:rsidR="0021587F" w:rsidRPr="00CE23AE" w:rsidRDefault="009B35E7" w:rsidP="005024E2">
      <w:pPr>
        <w:pStyle w:val="PrrafodeSentencia"/>
        <w:rPr>
          <w:lang w:val="en-US"/>
        </w:rPr>
      </w:pPr>
      <w:r w:rsidRPr="00CE23AE">
        <w:rPr>
          <w:lang w:val="en-US"/>
        </w:rPr>
        <w:t>When arguing the failure to exhaust domestic remedies, the State must specify at that time the domestic remedies that remain to be exhausted and prove that those remedies were available</w:t>
      </w:r>
      <w:r w:rsidR="00970C90" w:rsidRPr="00CE23AE">
        <w:rPr>
          <w:lang w:val="en-US"/>
        </w:rPr>
        <w:t>,</w:t>
      </w:r>
      <w:r w:rsidRPr="00CE23AE">
        <w:rPr>
          <w:lang w:val="en-US"/>
        </w:rPr>
        <w:t xml:space="preserve"> and were appropriate and effective.</w:t>
      </w:r>
      <w:r w:rsidR="0021587F" w:rsidRPr="00CE23AE">
        <w:rPr>
          <w:rStyle w:val="Refdenotaalpie"/>
          <w:lang w:val="en-US"/>
        </w:rPr>
        <w:footnoteReference w:id="14"/>
      </w:r>
      <w:r w:rsidRPr="00CE23AE">
        <w:rPr>
          <w:lang w:val="en-US"/>
        </w:rPr>
        <w:t xml:space="preserve"> It is not the task </w:t>
      </w:r>
      <w:r w:rsidR="00C561DF" w:rsidRPr="00CE23AE">
        <w:rPr>
          <w:lang w:val="en-US"/>
        </w:rPr>
        <w:t>of the Court</w:t>
      </w:r>
      <w:r w:rsidRPr="00CE23AE">
        <w:rPr>
          <w:lang w:val="en-US"/>
        </w:rPr>
        <w:t xml:space="preserve"> or </w:t>
      </w:r>
      <w:r w:rsidR="00C561DF" w:rsidRPr="00CE23AE">
        <w:rPr>
          <w:lang w:val="en-US"/>
        </w:rPr>
        <w:t>of the Commission</w:t>
      </w:r>
      <w:r w:rsidR="0021587F" w:rsidRPr="00CE23AE">
        <w:rPr>
          <w:lang w:val="en-US"/>
        </w:rPr>
        <w:t xml:space="preserve">, </w:t>
      </w:r>
      <w:r w:rsidRPr="00CE23AE">
        <w:rPr>
          <w:lang w:val="en-US"/>
        </w:rPr>
        <w:t xml:space="preserve">to identify, </w:t>
      </w:r>
      <w:r w:rsidR="0021587F" w:rsidRPr="00CE23AE">
        <w:rPr>
          <w:i/>
          <w:lang w:val="en-US"/>
        </w:rPr>
        <w:t>ex officio</w:t>
      </w:r>
      <w:r w:rsidRPr="00CE23AE">
        <w:rPr>
          <w:i/>
          <w:lang w:val="en-US"/>
        </w:rPr>
        <w:t>,</w:t>
      </w:r>
      <w:r w:rsidR="0021587F" w:rsidRPr="00CE23AE">
        <w:rPr>
          <w:lang w:val="en-US"/>
        </w:rPr>
        <w:t xml:space="preserve"> </w:t>
      </w:r>
      <w:r w:rsidRPr="00CE23AE">
        <w:rPr>
          <w:lang w:val="en-US"/>
        </w:rPr>
        <w:t xml:space="preserve">the domestic remedies that remain to </w:t>
      </w:r>
      <w:r w:rsidR="005024E2" w:rsidRPr="00CE23AE">
        <w:rPr>
          <w:lang w:val="en-US"/>
        </w:rPr>
        <w:t>be exhausted. The Court underlines that it is not for the international organs to rectify the lack of precision of the State’s arguments.</w:t>
      </w:r>
      <w:r w:rsidR="0021587F" w:rsidRPr="00CE23AE">
        <w:rPr>
          <w:rStyle w:val="Refdenotaalpie"/>
          <w:lang w:val="en-US"/>
        </w:rPr>
        <w:footnoteReference w:id="15"/>
      </w:r>
      <w:r w:rsidR="005024E2" w:rsidRPr="00CE23AE">
        <w:rPr>
          <w:lang w:val="en-US"/>
        </w:rPr>
        <w:t xml:space="preserve"> Th</w:t>
      </w:r>
      <w:r w:rsidR="00970C90" w:rsidRPr="00CE23AE">
        <w:rPr>
          <w:lang w:val="en-US"/>
        </w:rPr>
        <w:t xml:space="preserve">us, </w:t>
      </w:r>
      <w:r w:rsidR="005024E2" w:rsidRPr="00CE23AE">
        <w:rPr>
          <w:lang w:val="en-US"/>
        </w:rPr>
        <w:t xml:space="preserve">when a State cites the existence of a domestic remedy that has not been exhausted, this must not only </w:t>
      </w:r>
      <w:r w:rsidR="00970C90" w:rsidRPr="00CE23AE">
        <w:rPr>
          <w:lang w:val="en-US"/>
        </w:rPr>
        <w:t xml:space="preserve">be </w:t>
      </w:r>
      <w:r w:rsidR="005024E2" w:rsidRPr="00CE23AE">
        <w:rPr>
          <w:lang w:val="en-US"/>
        </w:rPr>
        <w:t>at the proper moment but also be clear, identifying the remedy in question and also how, in the specific case, it would be adequate and effective to protect the persons in the situation denounced.</w:t>
      </w:r>
      <w:r w:rsidR="0021587F" w:rsidRPr="00CE23AE">
        <w:rPr>
          <w:rStyle w:val="Refdenotaalpie"/>
          <w:lang w:val="en-US"/>
        </w:rPr>
        <w:footnoteReference w:id="16"/>
      </w:r>
      <w:r w:rsidR="0021587F" w:rsidRPr="00CE23AE">
        <w:rPr>
          <w:lang w:val="en-US"/>
        </w:rPr>
        <w:t xml:space="preserve"> </w:t>
      </w:r>
      <w:r w:rsidR="00970C90" w:rsidRPr="00CE23AE">
        <w:rPr>
          <w:lang w:val="en-US"/>
        </w:rPr>
        <w:t>Accordingly</w:t>
      </w:r>
      <w:r w:rsidR="005024E2" w:rsidRPr="00CE23AE">
        <w:rPr>
          <w:lang w:val="en-US"/>
        </w:rPr>
        <w:t>, it is not sufficient to</w:t>
      </w:r>
      <w:r w:rsidR="00970C90" w:rsidRPr="00CE23AE">
        <w:rPr>
          <w:lang w:val="en-US"/>
        </w:rPr>
        <w:t xml:space="preserve"> merely</w:t>
      </w:r>
      <w:r w:rsidR="005024E2" w:rsidRPr="00CE23AE">
        <w:rPr>
          <w:lang w:val="en-US"/>
        </w:rPr>
        <w:t xml:space="preserve"> indicate the existence of a remedy</w:t>
      </w:r>
      <w:r w:rsidR="00970C90" w:rsidRPr="00CE23AE">
        <w:rPr>
          <w:lang w:val="en-US"/>
        </w:rPr>
        <w:t>;</w:t>
      </w:r>
      <w:r w:rsidR="005024E2" w:rsidRPr="00CE23AE">
        <w:rPr>
          <w:lang w:val="en-US"/>
        </w:rPr>
        <w:t xml:space="preserve"> </w:t>
      </w:r>
      <w:r w:rsidR="00970C90" w:rsidRPr="00CE23AE">
        <w:rPr>
          <w:lang w:val="en-US"/>
        </w:rPr>
        <w:t>rather, its</w:t>
      </w:r>
      <w:r w:rsidR="005024E2" w:rsidRPr="00CE23AE">
        <w:rPr>
          <w:lang w:val="en-US"/>
        </w:rPr>
        <w:t xml:space="preserve"> availability must be proved.</w:t>
      </w:r>
      <w:r w:rsidR="0021587F" w:rsidRPr="00CE23AE">
        <w:rPr>
          <w:rStyle w:val="Refdenotaalpie"/>
          <w:lang w:val="en-US"/>
        </w:rPr>
        <w:footnoteReference w:id="17"/>
      </w:r>
    </w:p>
    <w:p w14:paraId="7987B377" w14:textId="77777777" w:rsidR="0021587F" w:rsidRPr="00CE23AE" w:rsidRDefault="0021587F" w:rsidP="0021587F">
      <w:pPr>
        <w:rPr>
          <w:szCs w:val="20"/>
          <w:lang w:val="en-US"/>
        </w:rPr>
      </w:pPr>
    </w:p>
    <w:p w14:paraId="65FCE5CC" w14:textId="465E0887" w:rsidR="0021587F" w:rsidRPr="00CE23AE" w:rsidRDefault="00A94DFD" w:rsidP="00A94DFD">
      <w:pPr>
        <w:pStyle w:val="PrrafodeSentencia"/>
        <w:rPr>
          <w:lang w:val="en-US"/>
        </w:rPr>
      </w:pPr>
      <w:bookmarkStart w:id="102" w:name="_Ref460342500"/>
      <w:r w:rsidRPr="00CE23AE">
        <w:rPr>
          <w:lang w:val="en-US"/>
        </w:rPr>
        <w:t>The admissibility procedure before</w:t>
      </w:r>
      <w:r w:rsidR="0021587F" w:rsidRPr="00CE23AE">
        <w:rPr>
          <w:lang w:val="en-US"/>
        </w:rPr>
        <w:t xml:space="preserve"> </w:t>
      </w:r>
      <w:r w:rsidR="00C561DF" w:rsidRPr="00CE23AE">
        <w:rPr>
          <w:lang w:val="en-US"/>
        </w:rPr>
        <w:t>the Commission</w:t>
      </w:r>
      <w:r w:rsidR="00685A3F" w:rsidRPr="00CE23AE">
        <w:rPr>
          <w:lang w:val="en-US"/>
        </w:rPr>
        <w:t xml:space="preserve"> </w:t>
      </w:r>
      <w:r w:rsidRPr="00CE23AE">
        <w:rPr>
          <w:lang w:val="en-US"/>
        </w:rPr>
        <w:t xml:space="preserve">began with the forwarding of “the pertinent parts of [the] petition” to the State on March 20, 2003, when it was granted two months to present </w:t>
      </w:r>
      <w:r w:rsidR="005C743F" w:rsidRPr="00CE23AE">
        <w:rPr>
          <w:lang w:val="en-US"/>
        </w:rPr>
        <w:t>observations</w:t>
      </w:r>
      <w:r w:rsidRPr="00CE23AE">
        <w:rPr>
          <w:lang w:val="en-US"/>
        </w:rPr>
        <w:t>.</w:t>
      </w:r>
      <w:r w:rsidR="00685A3F" w:rsidRPr="00CE23AE">
        <w:rPr>
          <w:rStyle w:val="Refdenotaalpie"/>
          <w:lang w:val="en-US"/>
        </w:rPr>
        <w:footnoteReference w:id="18"/>
      </w:r>
      <w:r w:rsidR="0021587F" w:rsidRPr="00CE23AE">
        <w:rPr>
          <w:lang w:val="en-US"/>
        </w:rPr>
        <w:t xml:space="preserve"> </w:t>
      </w:r>
      <w:r w:rsidRPr="00CE23AE">
        <w:rPr>
          <w:lang w:val="en-US"/>
        </w:rPr>
        <w:t>On August 25,</w:t>
      </w:r>
      <w:r w:rsidR="00685A3F" w:rsidRPr="00CE23AE">
        <w:rPr>
          <w:lang w:val="en-US"/>
        </w:rPr>
        <w:t xml:space="preserve"> 2003</w:t>
      </w:r>
      <w:r w:rsidRPr="00CE23AE">
        <w:rPr>
          <w:lang w:val="en-US"/>
        </w:rPr>
        <w:t>,</w:t>
      </w:r>
      <w:r w:rsidR="00685A3F" w:rsidRPr="00CE23AE">
        <w:rPr>
          <w:lang w:val="en-US"/>
        </w:rPr>
        <w:t xml:space="preserve"> </w:t>
      </w:r>
      <w:r w:rsidR="00C561DF" w:rsidRPr="00CE23AE">
        <w:rPr>
          <w:lang w:val="en-US"/>
        </w:rPr>
        <w:t>the State</w:t>
      </w:r>
      <w:r w:rsidR="00685A3F" w:rsidRPr="00CE23AE">
        <w:rPr>
          <w:lang w:val="en-US"/>
        </w:rPr>
        <w:t xml:space="preserve"> present</w:t>
      </w:r>
      <w:r w:rsidRPr="00CE23AE">
        <w:rPr>
          <w:lang w:val="en-US"/>
        </w:rPr>
        <w:t>ed its brief with</w:t>
      </w:r>
      <w:r w:rsidR="00685A3F" w:rsidRPr="00CE23AE">
        <w:rPr>
          <w:lang w:val="en-US"/>
        </w:rPr>
        <w:t xml:space="preserve"> </w:t>
      </w:r>
      <w:r w:rsidR="005C743F" w:rsidRPr="00CE23AE">
        <w:rPr>
          <w:lang w:val="en-US"/>
        </w:rPr>
        <w:t>observations</w:t>
      </w:r>
      <w:r w:rsidR="00685A3F" w:rsidRPr="00CE23AE">
        <w:rPr>
          <w:lang w:val="en-US"/>
        </w:rPr>
        <w:t xml:space="preserve"> a</w:t>
      </w:r>
      <w:r w:rsidRPr="00CE23AE">
        <w:rPr>
          <w:lang w:val="en-US"/>
        </w:rPr>
        <w:t xml:space="preserve">rguing that </w:t>
      </w:r>
      <w:r w:rsidR="00C561DF" w:rsidRPr="00CE23AE">
        <w:rPr>
          <w:lang w:val="en-US"/>
        </w:rPr>
        <w:t>the presumed victim</w:t>
      </w:r>
      <w:r w:rsidR="00DF7AA8" w:rsidRPr="00CE23AE">
        <w:rPr>
          <w:lang w:val="en-US"/>
        </w:rPr>
        <w:t xml:space="preserve"> </w:t>
      </w:r>
      <w:r w:rsidRPr="00CE23AE">
        <w:rPr>
          <w:lang w:val="en-US"/>
        </w:rPr>
        <w:t>should exhaust the contentious administrative remedy because it was the appropriate remedy against “the discharge imposed on a soldier in active service, [which] is an administrative act” and, subsequently, the remedy of cassation.</w:t>
      </w:r>
      <w:r w:rsidR="0021587F" w:rsidRPr="00CE23AE">
        <w:rPr>
          <w:rStyle w:val="Refdenotaalpie"/>
          <w:lang w:val="en-US"/>
        </w:rPr>
        <w:footnoteReference w:id="19"/>
      </w:r>
      <w:r w:rsidRPr="00CE23AE">
        <w:rPr>
          <w:lang w:val="en-US"/>
        </w:rPr>
        <w:t xml:space="preserve"> In response, </w:t>
      </w:r>
      <w:r w:rsidR="00C561DF" w:rsidRPr="00CE23AE">
        <w:rPr>
          <w:lang w:val="en-US"/>
        </w:rPr>
        <w:t>the representative</w:t>
      </w:r>
      <w:r w:rsidR="0021587F" w:rsidRPr="00CE23AE">
        <w:rPr>
          <w:lang w:val="en-US"/>
        </w:rPr>
        <w:t xml:space="preserve"> </w:t>
      </w:r>
      <w:r w:rsidRPr="00CE23AE">
        <w:rPr>
          <w:lang w:val="en-US"/>
        </w:rPr>
        <w:t xml:space="preserve">submitted a brief on April 12, </w:t>
      </w:r>
      <w:r w:rsidR="0089073C" w:rsidRPr="00CE23AE">
        <w:rPr>
          <w:lang w:val="en-US"/>
        </w:rPr>
        <w:t>200</w:t>
      </w:r>
      <w:r w:rsidR="00B36484" w:rsidRPr="00CE23AE">
        <w:rPr>
          <w:lang w:val="en-US"/>
        </w:rPr>
        <w:t>4</w:t>
      </w:r>
      <w:r w:rsidRPr="00CE23AE">
        <w:rPr>
          <w:lang w:val="en-US"/>
        </w:rPr>
        <w:t>, in which he indicated</w:t>
      </w:r>
      <w:r w:rsidR="0021587F" w:rsidRPr="00CE23AE">
        <w:rPr>
          <w:lang w:val="en-US"/>
        </w:rPr>
        <w:t xml:space="preserve">, </w:t>
      </w:r>
      <w:r w:rsidR="0021587F" w:rsidRPr="00CE23AE">
        <w:rPr>
          <w:i/>
          <w:lang w:val="en-US"/>
        </w:rPr>
        <w:t xml:space="preserve">inter alia, </w:t>
      </w:r>
      <w:r w:rsidRPr="00CE23AE">
        <w:rPr>
          <w:lang w:val="en-US"/>
        </w:rPr>
        <w:t>that the said remedy was not available because a</w:t>
      </w:r>
      <w:r w:rsidR="00C561DF" w:rsidRPr="00CE23AE">
        <w:rPr>
          <w:lang w:val="en-US"/>
        </w:rPr>
        <w:t>rticle</w:t>
      </w:r>
      <w:r w:rsidR="0021587F" w:rsidRPr="00CE23AE">
        <w:rPr>
          <w:lang w:val="en-US"/>
        </w:rPr>
        <w:t xml:space="preserve"> 6</w:t>
      </w:r>
      <w:r w:rsidRPr="00CE23AE">
        <w:rPr>
          <w:lang w:val="en-US"/>
        </w:rPr>
        <w:t>(</w:t>
      </w:r>
      <w:r w:rsidR="0021587F" w:rsidRPr="00CE23AE">
        <w:rPr>
          <w:lang w:val="en-US"/>
        </w:rPr>
        <w:t xml:space="preserve">c) </w:t>
      </w:r>
      <w:r w:rsidRPr="00CE23AE">
        <w:rPr>
          <w:lang w:val="en-US"/>
        </w:rPr>
        <w:t xml:space="preserve">of the Law on the Contentious-Administrative Jurisdiction established that “matters that arise in relation to political acts of the Government, such as those that affect […] the organization of the security services do not correspond to </w:t>
      </w:r>
      <w:r w:rsidR="009B35E7" w:rsidRPr="00CE23AE">
        <w:rPr>
          <w:lang w:val="en-US"/>
        </w:rPr>
        <w:t xml:space="preserve">the </w:t>
      </w:r>
      <w:r w:rsidR="00970C90" w:rsidRPr="00CE23AE">
        <w:rPr>
          <w:lang w:val="en-US"/>
        </w:rPr>
        <w:t>contentious-administrative jurisdiction</w:t>
      </w:r>
      <w:r w:rsidR="004A46A6" w:rsidRPr="00CE23AE">
        <w:rPr>
          <w:lang w:val="en-US"/>
        </w:rPr>
        <w:t>.”</w:t>
      </w:r>
      <w:r w:rsidR="004A46A6" w:rsidRPr="00CE23AE">
        <w:rPr>
          <w:rStyle w:val="Refdenotaalpie"/>
          <w:lang w:val="en-US"/>
        </w:rPr>
        <w:footnoteReference w:id="20"/>
      </w:r>
      <w:r w:rsidR="004A46A6" w:rsidRPr="00CE23AE">
        <w:rPr>
          <w:lang w:val="en-US"/>
        </w:rPr>
        <w:t xml:space="preserve"> The representative also referred to an opinion of the </w:t>
      </w:r>
      <w:r w:rsidRPr="00CE23AE">
        <w:rPr>
          <w:lang w:val="en-US"/>
        </w:rPr>
        <w:t xml:space="preserve">Ecuadorian Supreme Court </w:t>
      </w:r>
      <w:r w:rsidR="00BD0F24" w:rsidRPr="00CE23AE">
        <w:rPr>
          <w:lang w:val="en-US"/>
        </w:rPr>
        <w:t>that ratified this position and provided a copy of the respective domestic decision.</w:t>
      </w:r>
      <w:r w:rsidR="0021587F" w:rsidRPr="00CE23AE">
        <w:rPr>
          <w:rStyle w:val="Refdenotaalpie"/>
          <w:lang w:val="en-US"/>
        </w:rPr>
        <w:footnoteReference w:id="21"/>
      </w:r>
      <w:r w:rsidR="00BD0F24" w:rsidRPr="00CE23AE">
        <w:rPr>
          <w:lang w:val="en-US"/>
        </w:rPr>
        <w:t xml:space="preserve"> This information was forwarded to the State on</w:t>
      </w:r>
      <w:r w:rsidR="0021587F" w:rsidRPr="00CE23AE">
        <w:rPr>
          <w:lang w:val="en-US"/>
        </w:rPr>
        <w:t xml:space="preserve"> </w:t>
      </w:r>
      <w:r w:rsidR="00BD0F24" w:rsidRPr="00CE23AE">
        <w:rPr>
          <w:lang w:val="en-US"/>
        </w:rPr>
        <w:t>April 30,</w:t>
      </w:r>
      <w:r w:rsidR="00B36484" w:rsidRPr="00CE23AE">
        <w:rPr>
          <w:lang w:val="en-US"/>
        </w:rPr>
        <w:t xml:space="preserve"> 2004</w:t>
      </w:r>
      <w:r w:rsidR="00BD0F24" w:rsidRPr="00CE23AE">
        <w:rPr>
          <w:lang w:val="en-US"/>
        </w:rPr>
        <w:t xml:space="preserve">, so that it could present its </w:t>
      </w:r>
      <w:r w:rsidR="005C743F" w:rsidRPr="00CE23AE">
        <w:rPr>
          <w:lang w:val="en-US"/>
        </w:rPr>
        <w:t>observations</w:t>
      </w:r>
      <w:r w:rsidR="00BD0F24" w:rsidRPr="00CE23AE">
        <w:rPr>
          <w:lang w:val="en-US"/>
        </w:rPr>
        <w:t>.</w:t>
      </w:r>
      <w:r w:rsidR="0021587F" w:rsidRPr="00CE23AE">
        <w:rPr>
          <w:rStyle w:val="Refdenotaalpie"/>
          <w:lang w:val="en-US"/>
        </w:rPr>
        <w:footnoteReference w:id="22"/>
      </w:r>
      <w:r w:rsidR="0021587F" w:rsidRPr="00CE23AE">
        <w:rPr>
          <w:lang w:val="en-US"/>
        </w:rPr>
        <w:t xml:space="preserve"> </w:t>
      </w:r>
      <w:r w:rsidR="00BD0F24" w:rsidRPr="00CE23AE">
        <w:rPr>
          <w:lang w:val="en-US"/>
        </w:rPr>
        <w:t>However</w:t>
      </w:r>
      <w:r w:rsidR="0021587F" w:rsidRPr="00CE23AE">
        <w:rPr>
          <w:lang w:val="en-US"/>
        </w:rPr>
        <w:t xml:space="preserve">, </w:t>
      </w:r>
      <w:r w:rsidR="00C561DF" w:rsidRPr="00CE23AE">
        <w:rPr>
          <w:lang w:val="en-US"/>
        </w:rPr>
        <w:t>the State</w:t>
      </w:r>
      <w:r w:rsidR="0021587F" w:rsidRPr="00CE23AE">
        <w:rPr>
          <w:lang w:val="en-US"/>
        </w:rPr>
        <w:t xml:space="preserve"> </w:t>
      </w:r>
      <w:r w:rsidR="00BD0F24" w:rsidRPr="00CE23AE">
        <w:rPr>
          <w:lang w:val="en-US"/>
        </w:rPr>
        <w:t>never responded to this allegation</w:t>
      </w:r>
      <w:r w:rsidR="00C571DC" w:rsidRPr="00CE23AE">
        <w:rPr>
          <w:lang w:val="en-US"/>
        </w:rPr>
        <w:t>;</w:t>
      </w:r>
      <w:r w:rsidR="0089073C" w:rsidRPr="00CE23AE">
        <w:rPr>
          <w:rStyle w:val="Refdenotaalpie"/>
          <w:lang w:val="en-US"/>
        </w:rPr>
        <w:footnoteReference w:id="23"/>
      </w:r>
      <w:r w:rsidR="004B2FC5" w:rsidRPr="00CE23AE">
        <w:rPr>
          <w:lang w:val="en-US"/>
        </w:rPr>
        <w:t xml:space="preserve"> </w:t>
      </w:r>
      <w:r w:rsidR="00BD0F24" w:rsidRPr="00CE23AE">
        <w:rPr>
          <w:lang w:val="en-US"/>
        </w:rPr>
        <w:t xml:space="preserve">therefore, the State failed to present evidence that would allow the Court to reject the </w:t>
      </w:r>
      <w:r w:rsidR="00C571DC" w:rsidRPr="00CE23AE">
        <w:rPr>
          <w:lang w:val="en-US"/>
        </w:rPr>
        <w:t xml:space="preserve">representative’s </w:t>
      </w:r>
      <w:r w:rsidR="00522A39" w:rsidRPr="00CE23AE">
        <w:rPr>
          <w:lang w:val="en-US"/>
        </w:rPr>
        <w:t>dis</w:t>
      </w:r>
      <w:r w:rsidR="00C571DC" w:rsidRPr="00CE23AE">
        <w:rPr>
          <w:lang w:val="en-US"/>
        </w:rPr>
        <w:t>agreement</w:t>
      </w:r>
      <w:r w:rsidR="00BD0F24" w:rsidRPr="00CE23AE">
        <w:rPr>
          <w:lang w:val="en-US"/>
        </w:rPr>
        <w:t xml:space="preserve"> about the availability of the said remedy</w:t>
      </w:r>
      <w:r w:rsidR="0089073C" w:rsidRPr="00CE23AE">
        <w:rPr>
          <w:lang w:val="en-US"/>
        </w:rPr>
        <w:t>.</w:t>
      </w:r>
      <w:bookmarkEnd w:id="102"/>
    </w:p>
    <w:p w14:paraId="7EE8091A" w14:textId="77777777" w:rsidR="00D51B62" w:rsidRPr="00CE23AE" w:rsidRDefault="00D51B62" w:rsidP="0089073C">
      <w:pPr>
        <w:pStyle w:val="PrrafodeSentencia"/>
        <w:numPr>
          <w:ilvl w:val="0"/>
          <w:numId w:val="0"/>
        </w:numPr>
        <w:rPr>
          <w:lang w:val="en-US"/>
        </w:rPr>
      </w:pPr>
    </w:p>
    <w:p w14:paraId="00E481D6" w14:textId="60E17295" w:rsidR="00BD0F24" w:rsidRPr="00CE23AE" w:rsidRDefault="00C561DF" w:rsidP="00BD0F24">
      <w:pPr>
        <w:pStyle w:val="PrrafodeSentencia"/>
        <w:rPr>
          <w:lang w:val="en-US"/>
        </w:rPr>
      </w:pPr>
      <w:bookmarkStart w:id="103" w:name="_Ref455670865"/>
      <w:r w:rsidRPr="00CE23AE">
        <w:rPr>
          <w:lang w:val="en-US"/>
        </w:rPr>
        <w:t>The Court</w:t>
      </w:r>
      <w:r w:rsidR="0021587F" w:rsidRPr="00CE23AE">
        <w:rPr>
          <w:lang w:val="en-US"/>
        </w:rPr>
        <w:t xml:space="preserve"> </w:t>
      </w:r>
      <w:r w:rsidR="00BD0F24" w:rsidRPr="00CE23AE">
        <w:rPr>
          <w:lang w:val="en-US"/>
        </w:rPr>
        <w:t>recalls that</w:t>
      </w:r>
      <w:r w:rsidR="00E70223" w:rsidRPr="00CE23AE">
        <w:rPr>
          <w:lang w:val="en-US"/>
        </w:rPr>
        <w:t>,</w:t>
      </w:r>
      <w:r w:rsidR="0021587F" w:rsidRPr="00CE23AE">
        <w:rPr>
          <w:lang w:val="en-US"/>
        </w:rPr>
        <w:t xml:space="preserve"> </w:t>
      </w:r>
      <w:r w:rsidR="00BD0F24" w:rsidRPr="00CE23AE">
        <w:rPr>
          <w:lang w:val="en-US"/>
        </w:rPr>
        <w:t xml:space="preserve">when arguing the failure to exhaust domestic remedies, </w:t>
      </w:r>
      <w:r w:rsidR="00C571DC" w:rsidRPr="00CE23AE">
        <w:rPr>
          <w:lang w:val="en-US"/>
        </w:rPr>
        <w:t xml:space="preserve">the State </w:t>
      </w:r>
      <w:r w:rsidR="00BD0F24" w:rsidRPr="00CE23AE">
        <w:rPr>
          <w:lang w:val="en-US"/>
        </w:rPr>
        <w:t xml:space="preserve">must not only specify </w:t>
      </w:r>
      <w:r w:rsidR="00C571DC" w:rsidRPr="00CE23AE">
        <w:rPr>
          <w:lang w:val="en-US"/>
        </w:rPr>
        <w:t>at the proper moment the domestic remedies that have not been exhausted</w:t>
      </w:r>
      <w:r w:rsidR="00BD0F24" w:rsidRPr="00CE23AE">
        <w:rPr>
          <w:lang w:val="en-US"/>
        </w:rPr>
        <w:t xml:space="preserve">, but </w:t>
      </w:r>
      <w:r w:rsidR="00C571DC" w:rsidRPr="00CE23AE">
        <w:rPr>
          <w:lang w:val="en-US"/>
        </w:rPr>
        <w:t xml:space="preserve">must </w:t>
      </w:r>
      <w:r w:rsidR="00BD0F24" w:rsidRPr="00CE23AE">
        <w:rPr>
          <w:lang w:val="en-US"/>
        </w:rPr>
        <w:t>also prove that those remedies were available</w:t>
      </w:r>
      <w:r w:rsidR="00C571DC" w:rsidRPr="00CE23AE">
        <w:rPr>
          <w:lang w:val="en-US"/>
        </w:rPr>
        <w:t>,</w:t>
      </w:r>
      <w:r w:rsidR="00BD0F24" w:rsidRPr="00CE23AE">
        <w:rPr>
          <w:lang w:val="en-US"/>
        </w:rPr>
        <w:t xml:space="preserve"> and were appropriate and effective. The State did not provide this evidence. Owing to the representative</w:t>
      </w:r>
      <w:r w:rsidR="00C571DC" w:rsidRPr="00CE23AE">
        <w:rPr>
          <w:lang w:val="en-US"/>
        </w:rPr>
        <w:t>’s argument</w:t>
      </w:r>
      <w:r w:rsidR="00BD0F24" w:rsidRPr="00CE23AE">
        <w:rPr>
          <w:lang w:val="en-US"/>
        </w:rPr>
        <w:t xml:space="preserve">, which the State failed to contest, the Commission did not have sufficient evidence to verify the availability of the contentious administrative remedy in the case of the </w:t>
      </w:r>
      <w:r w:rsidRPr="00CE23AE">
        <w:rPr>
          <w:lang w:val="en-US"/>
        </w:rPr>
        <w:t>presumed victim</w:t>
      </w:r>
      <w:r w:rsidR="0089073C" w:rsidRPr="00CE23AE">
        <w:rPr>
          <w:lang w:val="en-US"/>
        </w:rPr>
        <w:t xml:space="preserve">. </w:t>
      </w:r>
      <w:r w:rsidR="00BD0F24" w:rsidRPr="00CE23AE">
        <w:rPr>
          <w:lang w:val="en-US"/>
        </w:rPr>
        <w:t>Therefore, the Court rejects the</w:t>
      </w:r>
      <w:r w:rsidR="0021587F" w:rsidRPr="00CE23AE">
        <w:rPr>
          <w:lang w:val="en-US"/>
        </w:rPr>
        <w:t xml:space="preserve"> </w:t>
      </w:r>
      <w:r w:rsidR="005C743F" w:rsidRPr="00CE23AE">
        <w:rPr>
          <w:lang w:val="en-US"/>
        </w:rPr>
        <w:t>preliminary objection</w:t>
      </w:r>
      <w:r w:rsidR="0089073C" w:rsidRPr="00CE23AE">
        <w:rPr>
          <w:lang w:val="en-US"/>
        </w:rPr>
        <w:t xml:space="preserve"> </w:t>
      </w:r>
      <w:r w:rsidR="00BD0F24" w:rsidRPr="00CE23AE">
        <w:rPr>
          <w:lang w:val="en-US"/>
        </w:rPr>
        <w:t>filed by</w:t>
      </w:r>
      <w:r w:rsidR="0089073C" w:rsidRPr="00CE23AE">
        <w:rPr>
          <w:lang w:val="en-US"/>
        </w:rPr>
        <w:t xml:space="preserve"> Ecuador</w:t>
      </w:r>
      <w:r w:rsidR="0021587F" w:rsidRPr="00CE23AE">
        <w:rPr>
          <w:lang w:val="en-US"/>
        </w:rPr>
        <w:t>.</w:t>
      </w:r>
      <w:bookmarkEnd w:id="103"/>
    </w:p>
    <w:p w14:paraId="5D0E1911" w14:textId="77777777" w:rsidR="00BD0F24" w:rsidRPr="00CE23AE" w:rsidRDefault="00BD0F24" w:rsidP="00BD0F24">
      <w:pPr>
        <w:pStyle w:val="PrrafodeSentencia"/>
        <w:numPr>
          <w:ilvl w:val="0"/>
          <w:numId w:val="0"/>
        </w:numPr>
        <w:rPr>
          <w:lang w:val="en-US"/>
        </w:rPr>
      </w:pPr>
    </w:p>
    <w:p w14:paraId="0A5E1772" w14:textId="0184A2D5" w:rsidR="00C51E3C" w:rsidRPr="00CE23AE" w:rsidRDefault="00C51E3C" w:rsidP="00C51E3C">
      <w:pPr>
        <w:pStyle w:val="Ttulo1"/>
        <w:rPr>
          <w:caps w:val="0"/>
          <w:spacing w:val="0"/>
          <w:lang w:val="en-US"/>
        </w:rPr>
      </w:pPr>
      <w:bookmarkStart w:id="104" w:name="_Toc430338982"/>
      <w:bookmarkStart w:id="105" w:name="_Toc453874307"/>
      <w:bookmarkStart w:id="106" w:name="_Toc454891468"/>
      <w:bookmarkStart w:id="107" w:name="_Toc457840572"/>
      <w:bookmarkStart w:id="108" w:name="_Toc464474959"/>
      <w:bookmarkStart w:id="109" w:name="_Toc46388346"/>
      <w:r w:rsidRPr="00CE23AE">
        <w:rPr>
          <w:caps w:val="0"/>
          <w:spacing w:val="0"/>
          <w:lang w:val="en-US"/>
        </w:rPr>
        <w:t>V</w:t>
      </w:r>
      <w:r w:rsidRPr="00CE23AE">
        <w:rPr>
          <w:caps w:val="0"/>
          <w:spacing w:val="0"/>
          <w:lang w:val="en-US"/>
        </w:rPr>
        <w:br/>
      </w:r>
      <w:r w:rsidR="005024E2" w:rsidRPr="00CE23AE">
        <w:rPr>
          <w:caps w:val="0"/>
          <w:spacing w:val="0"/>
          <w:lang w:val="en-US"/>
        </w:rPr>
        <w:t>PRELIMINARY CONSIDERATIONS</w:t>
      </w:r>
      <w:bookmarkEnd w:id="104"/>
      <w:bookmarkEnd w:id="105"/>
      <w:bookmarkEnd w:id="106"/>
      <w:bookmarkEnd w:id="107"/>
      <w:bookmarkEnd w:id="108"/>
      <w:bookmarkEnd w:id="109"/>
    </w:p>
    <w:p w14:paraId="56B63712" w14:textId="77777777" w:rsidR="00C51E3C" w:rsidRPr="00CE23AE" w:rsidRDefault="00C51E3C" w:rsidP="00093EE4">
      <w:pPr>
        <w:rPr>
          <w:lang w:val="en-US"/>
        </w:rPr>
      </w:pPr>
    </w:p>
    <w:p w14:paraId="276B9265" w14:textId="1484BBC3" w:rsidR="00C51E3C" w:rsidRPr="00CE23AE" w:rsidRDefault="005024E2" w:rsidP="009F36A1">
      <w:pPr>
        <w:pStyle w:val="Ttulo2"/>
        <w:numPr>
          <w:ilvl w:val="0"/>
          <w:numId w:val="24"/>
        </w:numPr>
        <w:rPr>
          <w:lang w:val="en-US"/>
        </w:rPr>
      </w:pPr>
      <w:bookmarkStart w:id="110" w:name="_Toc453874308"/>
      <w:bookmarkStart w:id="111" w:name="_Toc454891469"/>
      <w:bookmarkStart w:id="112" w:name="_Toc457840573"/>
      <w:bookmarkStart w:id="113" w:name="_Toc464474960"/>
      <w:bookmarkStart w:id="114" w:name="_Toc46388347"/>
      <w:r w:rsidRPr="00CE23AE">
        <w:rPr>
          <w:lang w:val="en-US"/>
        </w:rPr>
        <w:t>The factual</w:t>
      </w:r>
      <w:r w:rsidR="005C743F" w:rsidRPr="00CE23AE">
        <w:rPr>
          <w:lang w:val="en-US"/>
        </w:rPr>
        <w:t xml:space="preserve"> framework</w:t>
      </w:r>
      <w:bookmarkEnd w:id="110"/>
      <w:bookmarkEnd w:id="111"/>
      <w:bookmarkEnd w:id="112"/>
      <w:bookmarkEnd w:id="113"/>
      <w:bookmarkEnd w:id="114"/>
      <w:r w:rsidR="00C51E3C" w:rsidRPr="00CE23AE">
        <w:rPr>
          <w:lang w:val="en-US"/>
        </w:rPr>
        <w:t xml:space="preserve"> </w:t>
      </w:r>
    </w:p>
    <w:p w14:paraId="64DBF2E6" w14:textId="77777777" w:rsidR="00310B10" w:rsidRPr="00CE23AE" w:rsidRDefault="00310B10" w:rsidP="00310B10">
      <w:pPr>
        <w:rPr>
          <w:rFonts w:eastAsia="Batang"/>
          <w:lang w:val="en-US" w:eastAsia="es-MX"/>
        </w:rPr>
      </w:pPr>
    </w:p>
    <w:p w14:paraId="650242F6" w14:textId="59F0F270" w:rsidR="00C51E3C" w:rsidRPr="00CE23AE" w:rsidRDefault="00B4473B" w:rsidP="00C51E3C">
      <w:pPr>
        <w:pStyle w:val="Ttulo3"/>
        <w:rPr>
          <w:lang w:val="en-US"/>
        </w:rPr>
      </w:pPr>
      <w:bookmarkStart w:id="115" w:name="_Toc401931884"/>
      <w:bookmarkStart w:id="116" w:name="_Toc428369981"/>
      <w:bookmarkStart w:id="117" w:name="_Toc453874309"/>
      <w:bookmarkStart w:id="118" w:name="_Toc454891470"/>
      <w:bookmarkStart w:id="119" w:name="_Toc457840574"/>
      <w:bookmarkStart w:id="120" w:name="_Toc460398527"/>
      <w:bookmarkStart w:id="121" w:name="_Toc464474961"/>
      <w:bookmarkStart w:id="122" w:name="_Toc46388348"/>
      <w:r w:rsidRPr="00CE23AE">
        <w:rPr>
          <w:rFonts w:eastAsia="Batang" w:cs="Arial"/>
          <w:iCs/>
          <w:lang w:val="en-US" w:eastAsia="en-US"/>
        </w:rPr>
        <w:t>A.1</w:t>
      </w:r>
      <w:r w:rsidR="00C51E3C" w:rsidRPr="00CE23AE">
        <w:rPr>
          <w:rFonts w:eastAsia="Batang" w:cs="Arial"/>
          <w:iCs/>
          <w:lang w:val="en-US" w:eastAsia="en-US"/>
        </w:rPr>
        <w:t xml:space="preserve"> </w:t>
      </w:r>
      <w:r w:rsidR="00E10780" w:rsidRPr="00CE23AE">
        <w:rPr>
          <w:lang w:val="en-US"/>
        </w:rPr>
        <w:t>Arguments of the parties</w:t>
      </w:r>
      <w:bookmarkEnd w:id="115"/>
      <w:bookmarkEnd w:id="116"/>
      <w:bookmarkEnd w:id="117"/>
      <w:bookmarkEnd w:id="118"/>
      <w:bookmarkEnd w:id="119"/>
      <w:r w:rsidR="00C561DF" w:rsidRPr="00CE23AE">
        <w:rPr>
          <w:lang w:val="en-US"/>
        </w:rPr>
        <w:t xml:space="preserve"> and of the Commission</w:t>
      </w:r>
      <w:bookmarkEnd w:id="120"/>
      <w:bookmarkEnd w:id="121"/>
      <w:bookmarkEnd w:id="122"/>
      <w:r w:rsidR="00A50D94" w:rsidRPr="00CE23AE">
        <w:rPr>
          <w:lang w:val="en-US"/>
        </w:rPr>
        <w:t xml:space="preserve"> </w:t>
      </w:r>
    </w:p>
    <w:p w14:paraId="22CFB64E" w14:textId="77777777" w:rsidR="00C51E3C" w:rsidRPr="00CE23AE" w:rsidRDefault="00C51E3C" w:rsidP="00C51E3C">
      <w:pPr>
        <w:tabs>
          <w:tab w:val="left" w:pos="720"/>
        </w:tabs>
        <w:spacing w:line="240" w:lineRule="auto"/>
        <w:rPr>
          <w:bCs/>
          <w:i/>
          <w:szCs w:val="20"/>
          <w:lang w:val="en-US"/>
        </w:rPr>
      </w:pPr>
    </w:p>
    <w:p w14:paraId="0526C758" w14:textId="293691DC" w:rsidR="00E10780" w:rsidRPr="00CE23AE" w:rsidRDefault="00C561DF" w:rsidP="00E10780">
      <w:pPr>
        <w:numPr>
          <w:ilvl w:val="0"/>
          <w:numId w:val="6"/>
        </w:numPr>
        <w:tabs>
          <w:tab w:val="left" w:pos="567"/>
        </w:tabs>
        <w:spacing w:line="240" w:lineRule="auto"/>
        <w:rPr>
          <w:szCs w:val="20"/>
          <w:lang w:val="en-US"/>
        </w:rPr>
      </w:pPr>
      <w:r w:rsidRPr="00CE23AE">
        <w:rPr>
          <w:szCs w:val="20"/>
          <w:lang w:val="en-US"/>
        </w:rPr>
        <w:t xml:space="preserve">The </w:t>
      </w:r>
      <w:r w:rsidRPr="00CE23AE">
        <w:rPr>
          <w:i/>
          <w:iCs/>
          <w:szCs w:val="20"/>
          <w:lang w:val="en-US"/>
        </w:rPr>
        <w:t>State</w:t>
      </w:r>
      <w:r w:rsidR="00C51E3C" w:rsidRPr="00CE23AE">
        <w:rPr>
          <w:szCs w:val="20"/>
          <w:lang w:val="en-US"/>
        </w:rPr>
        <w:t xml:space="preserve"> </w:t>
      </w:r>
      <w:r w:rsidR="00BD0F24" w:rsidRPr="00CE23AE">
        <w:rPr>
          <w:szCs w:val="20"/>
          <w:lang w:val="en-US"/>
        </w:rPr>
        <w:t>contested what it considered was a modif</w:t>
      </w:r>
      <w:r w:rsidR="00E10780" w:rsidRPr="00CE23AE">
        <w:rPr>
          <w:szCs w:val="20"/>
          <w:lang w:val="en-US"/>
        </w:rPr>
        <w:t>i</w:t>
      </w:r>
      <w:r w:rsidR="00BD0F24" w:rsidRPr="00CE23AE">
        <w:rPr>
          <w:szCs w:val="20"/>
          <w:lang w:val="en-US"/>
        </w:rPr>
        <w:t>c</w:t>
      </w:r>
      <w:r w:rsidR="00E10780" w:rsidRPr="00CE23AE">
        <w:rPr>
          <w:szCs w:val="20"/>
          <w:lang w:val="en-US"/>
        </w:rPr>
        <w:t>a</w:t>
      </w:r>
      <w:r w:rsidR="00BD0F24" w:rsidRPr="00CE23AE">
        <w:rPr>
          <w:szCs w:val="20"/>
          <w:lang w:val="en-US"/>
        </w:rPr>
        <w:t xml:space="preserve">tion of the </w:t>
      </w:r>
      <w:r w:rsidR="005C743F" w:rsidRPr="00CE23AE">
        <w:rPr>
          <w:szCs w:val="20"/>
          <w:lang w:val="en-US"/>
        </w:rPr>
        <w:t>factual framework</w:t>
      </w:r>
      <w:r w:rsidR="00C51E3C" w:rsidRPr="00CE23AE">
        <w:rPr>
          <w:szCs w:val="20"/>
          <w:lang w:val="en-US"/>
        </w:rPr>
        <w:t xml:space="preserve"> </w:t>
      </w:r>
      <w:r w:rsidR="00BD0F24" w:rsidRPr="00CE23AE">
        <w:rPr>
          <w:szCs w:val="20"/>
          <w:lang w:val="en-US"/>
        </w:rPr>
        <w:t>of the case. In this regard, it argued that</w:t>
      </w:r>
      <w:r w:rsidR="00E10780" w:rsidRPr="00CE23AE">
        <w:rPr>
          <w:szCs w:val="20"/>
          <w:lang w:val="en-US"/>
        </w:rPr>
        <w:t xml:space="preserve"> the </w:t>
      </w:r>
      <w:r w:rsidR="005C743F" w:rsidRPr="00CE23AE">
        <w:rPr>
          <w:szCs w:val="20"/>
          <w:lang w:val="en-US"/>
        </w:rPr>
        <w:t>pleadings and motions brief</w:t>
      </w:r>
      <w:r w:rsidR="00C51E3C" w:rsidRPr="00CE23AE">
        <w:rPr>
          <w:szCs w:val="20"/>
          <w:lang w:val="en-US"/>
        </w:rPr>
        <w:t xml:space="preserve"> “</w:t>
      </w:r>
      <w:r w:rsidR="00E10780" w:rsidRPr="00CE23AE">
        <w:rPr>
          <w:szCs w:val="20"/>
          <w:lang w:val="en-US"/>
        </w:rPr>
        <w:t>trie[d] to introduce allegations that are not part of the inter-American proceedings, thus exceeding the scope of the facts to be examined by the Court and evidently affecting the legal certainty [of the proceedings].” It argued that the Court should not analyze “any of the circumstances described […] in the introductory section of the</w:t>
      </w:r>
      <w:r w:rsidR="00C51E3C" w:rsidRPr="00CE23AE">
        <w:rPr>
          <w:szCs w:val="20"/>
          <w:lang w:val="en-US"/>
        </w:rPr>
        <w:t xml:space="preserve"> [</w:t>
      </w:r>
      <w:r w:rsidR="005C743F" w:rsidRPr="00CE23AE">
        <w:rPr>
          <w:szCs w:val="20"/>
          <w:lang w:val="en-US"/>
        </w:rPr>
        <w:t>pleadings and motions brief</w:t>
      </w:r>
      <w:r w:rsidR="00E10780" w:rsidRPr="00CE23AE">
        <w:rPr>
          <w:szCs w:val="20"/>
          <w:lang w:val="en-US"/>
        </w:rPr>
        <w:t xml:space="preserve">]; specifically, the </w:t>
      </w:r>
      <w:r w:rsidR="00C571DC" w:rsidRPr="00CE23AE">
        <w:rPr>
          <w:szCs w:val="20"/>
          <w:lang w:val="en-US"/>
        </w:rPr>
        <w:t>issues</w:t>
      </w:r>
      <w:r w:rsidR="00E10780" w:rsidRPr="00CE23AE">
        <w:rPr>
          <w:szCs w:val="20"/>
          <w:lang w:val="en-US"/>
        </w:rPr>
        <w:t xml:space="preserve"> relat</w:t>
      </w:r>
      <w:r w:rsidR="00C571DC" w:rsidRPr="00CE23AE">
        <w:rPr>
          <w:szCs w:val="20"/>
          <w:lang w:val="en-US"/>
        </w:rPr>
        <w:t>ing</w:t>
      </w:r>
      <w:r w:rsidR="00E10780" w:rsidRPr="00CE23AE">
        <w:rPr>
          <w:szCs w:val="20"/>
          <w:lang w:val="en-US"/>
        </w:rPr>
        <w:t xml:space="preserve"> to equal marriage, [and the] possibility of exercising the rights of the family completely and </w:t>
      </w:r>
      <w:r w:rsidR="00C571DC" w:rsidRPr="00CE23AE">
        <w:rPr>
          <w:szCs w:val="20"/>
          <w:lang w:val="en-US"/>
        </w:rPr>
        <w:t>comprehensively</w:t>
      </w:r>
      <w:r w:rsidR="00E10780" w:rsidRPr="00CE23AE">
        <w:rPr>
          <w:szCs w:val="20"/>
          <w:lang w:val="en-US"/>
        </w:rPr>
        <w:t xml:space="preserve"> (adoption of children) by those whose sexual orientation is not heterosexual.”</w:t>
      </w:r>
    </w:p>
    <w:p w14:paraId="0AF9F10E" w14:textId="77777777" w:rsidR="00C51E3C" w:rsidRPr="00CE23AE" w:rsidRDefault="00C51E3C" w:rsidP="00C51E3C">
      <w:pPr>
        <w:tabs>
          <w:tab w:val="left" w:pos="720"/>
        </w:tabs>
        <w:spacing w:line="240" w:lineRule="auto"/>
        <w:rPr>
          <w:szCs w:val="20"/>
          <w:lang w:val="en-US"/>
        </w:rPr>
      </w:pPr>
    </w:p>
    <w:p w14:paraId="31A1676D" w14:textId="1A727602" w:rsidR="00C51E3C" w:rsidRPr="00CE23AE" w:rsidRDefault="00C561DF" w:rsidP="00E10780">
      <w:pPr>
        <w:numPr>
          <w:ilvl w:val="0"/>
          <w:numId w:val="6"/>
        </w:numPr>
        <w:tabs>
          <w:tab w:val="left" w:pos="567"/>
        </w:tabs>
        <w:spacing w:line="240" w:lineRule="auto"/>
        <w:rPr>
          <w:szCs w:val="20"/>
          <w:lang w:val="en-US"/>
        </w:rPr>
      </w:pPr>
      <w:r w:rsidRPr="00CE23AE">
        <w:rPr>
          <w:szCs w:val="20"/>
          <w:lang w:val="en-US"/>
        </w:rPr>
        <w:t xml:space="preserve">The </w:t>
      </w:r>
      <w:r w:rsidRPr="00CE23AE">
        <w:rPr>
          <w:b/>
          <w:bCs/>
          <w:i/>
          <w:iCs/>
          <w:szCs w:val="20"/>
          <w:lang w:val="en-US"/>
        </w:rPr>
        <w:t>Commission</w:t>
      </w:r>
      <w:r w:rsidR="00BB2611" w:rsidRPr="00CE23AE">
        <w:rPr>
          <w:szCs w:val="20"/>
          <w:lang w:val="en-US"/>
        </w:rPr>
        <w:t xml:space="preserve"> indic</w:t>
      </w:r>
      <w:r w:rsidR="00E10780" w:rsidRPr="00CE23AE">
        <w:rPr>
          <w:szCs w:val="20"/>
          <w:lang w:val="en-US"/>
        </w:rPr>
        <w:t xml:space="preserve">ated that the State’s discrepancies were not of a preliminary nature, but related to certain references made by the representative that were not part of the factual framework defined by the Commission in its Merits Report. It indicated that </w:t>
      </w:r>
      <w:r w:rsidR="00C571DC" w:rsidRPr="00CE23AE">
        <w:rPr>
          <w:szCs w:val="20"/>
          <w:lang w:val="en-US"/>
        </w:rPr>
        <w:t xml:space="preserve">it </w:t>
      </w:r>
      <w:r w:rsidR="00E10780" w:rsidRPr="00CE23AE">
        <w:rPr>
          <w:szCs w:val="20"/>
          <w:lang w:val="en-US"/>
        </w:rPr>
        <w:t>“agree</w:t>
      </w:r>
      <w:r w:rsidR="00C571DC" w:rsidRPr="00CE23AE">
        <w:rPr>
          <w:szCs w:val="20"/>
          <w:lang w:val="en-US"/>
        </w:rPr>
        <w:t>[d]</w:t>
      </w:r>
      <w:r w:rsidR="00E10780" w:rsidRPr="00CE23AE">
        <w:rPr>
          <w:szCs w:val="20"/>
          <w:lang w:val="en-US"/>
        </w:rPr>
        <w:t xml:space="preserve"> with the State that […] issues relating to equal marriage, as well as the exercise of the rights of the family and the possibility of adoption by same-sex couples </w:t>
      </w:r>
      <w:r w:rsidR="00EA6CD5" w:rsidRPr="00CE23AE">
        <w:rPr>
          <w:szCs w:val="20"/>
          <w:lang w:val="en-US"/>
        </w:rPr>
        <w:t>are not part of this case and do not appear in the Merits Report.” However, it indicated that “the purpose of th</w:t>
      </w:r>
      <w:r w:rsidR="00C571DC" w:rsidRPr="00CE23AE">
        <w:rPr>
          <w:szCs w:val="20"/>
          <w:lang w:val="en-US"/>
        </w:rPr>
        <w:t>o</w:t>
      </w:r>
      <w:r w:rsidR="00EA6CD5" w:rsidRPr="00CE23AE">
        <w:rPr>
          <w:szCs w:val="20"/>
          <w:lang w:val="en-US"/>
        </w:rPr>
        <w:t xml:space="preserve">se considerations […] is not to present them as facts of the case or derive legal consequences from them, but merely to offer general contextual information to the Court.” </w:t>
      </w:r>
      <w:r w:rsidRPr="00CE23AE">
        <w:rPr>
          <w:szCs w:val="20"/>
          <w:lang w:val="en-US"/>
        </w:rPr>
        <w:t>The representative</w:t>
      </w:r>
      <w:r w:rsidR="00C51E3C" w:rsidRPr="00CE23AE">
        <w:rPr>
          <w:szCs w:val="20"/>
          <w:lang w:val="en-US"/>
        </w:rPr>
        <w:t xml:space="preserve"> </w:t>
      </w:r>
      <w:r w:rsidR="00EA6CD5" w:rsidRPr="00CE23AE">
        <w:rPr>
          <w:szCs w:val="20"/>
          <w:lang w:val="en-US"/>
        </w:rPr>
        <w:t xml:space="preserve">did not refer to these objections by </w:t>
      </w:r>
      <w:r w:rsidRPr="00CE23AE">
        <w:rPr>
          <w:szCs w:val="20"/>
          <w:lang w:val="en-US"/>
        </w:rPr>
        <w:t>the State</w:t>
      </w:r>
      <w:r w:rsidR="0085680E" w:rsidRPr="00CE23AE">
        <w:rPr>
          <w:szCs w:val="20"/>
          <w:lang w:val="en-US"/>
        </w:rPr>
        <w:t xml:space="preserve">. </w:t>
      </w:r>
    </w:p>
    <w:p w14:paraId="18098310" w14:textId="77777777" w:rsidR="00C51E3C" w:rsidRPr="00CE23AE" w:rsidRDefault="00C51E3C" w:rsidP="00C51E3C">
      <w:pPr>
        <w:spacing w:line="240" w:lineRule="auto"/>
        <w:rPr>
          <w:szCs w:val="20"/>
          <w:lang w:val="en-US"/>
        </w:rPr>
      </w:pPr>
    </w:p>
    <w:p w14:paraId="3FF5B4B6" w14:textId="722CEF7E" w:rsidR="00C51E3C" w:rsidRPr="00CE23AE" w:rsidRDefault="00B4473B" w:rsidP="00C51E3C">
      <w:pPr>
        <w:pStyle w:val="Ttulo3"/>
        <w:rPr>
          <w:lang w:val="en-US"/>
        </w:rPr>
      </w:pPr>
      <w:bookmarkStart w:id="123" w:name="_Toc401931885"/>
      <w:bookmarkStart w:id="124" w:name="_Toc428369982"/>
      <w:bookmarkStart w:id="125" w:name="_Toc453874310"/>
      <w:bookmarkStart w:id="126" w:name="_Toc454891471"/>
      <w:bookmarkStart w:id="127" w:name="_Toc457840575"/>
      <w:bookmarkStart w:id="128" w:name="_Toc460398528"/>
      <w:bookmarkStart w:id="129" w:name="_Toc464474962"/>
      <w:bookmarkStart w:id="130" w:name="_Toc46388349"/>
      <w:r w:rsidRPr="00CE23AE">
        <w:rPr>
          <w:lang w:val="en-US"/>
        </w:rPr>
        <w:t>A.2</w:t>
      </w:r>
      <w:r w:rsidR="00C51E3C" w:rsidRPr="00CE23AE">
        <w:rPr>
          <w:lang w:val="en-US"/>
        </w:rPr>
        <w:t xml:space="preserve"> </w:t>
      </w:r>
      <w:r w:rsidR="005024E2" w:rsidRPr="00CE23AE">
        <w:rPr>
          <w:lang w:val="en-US"/>
        </w:rPr>
        <w:t>Considerations</w:t>
      </w:r>
      <w:r w:rsidR="00C561DF" w:rsidRPr="00CE23AE">
        <w:rPr>
          <w:lang w:val="en-US"/>
        </w:rPr>
        <w:t xml:space="preserve"> of the Court</w:t>
      </w:r>
      <w:bookmarkEnd w:id="123"/>
      <w:bookmarkEnd w:id="124"/>
      <w:bookmarkEnd w:id="125"/>
      <w:bookmarkEnd w:id="126"/>
      <w:bookmarkEnd w:id="127"/>
      <w:bookmarkEnd w:id="128"/>
      <w:bookmarkEnd w:id="129"/>
      <w:bookmarkEnd w:id="130"/>
    </w:p>
    <w:p w14:paraId="502270EC" w14:textId="77777777" w:rsidR="00C51E3C" w:rsidRPr="00CE23AE" w:rsidRDefault="00C51E3C" w:rsidP="00C51E3C">
      <w:pPr>
        <w:spacing w:line="240" w:lineRule="auto"/>
        <w:rPr>
          <w:rFonts w:cs="Verdana"/>
          <w:szCs w:val="20"/>
          <w:lang w:val="en-US"/>
        </w:rPr>
      </w:pPr>
    </w:p>
    <w:p w14:paraId="54530086" w14:textId="59B58F64" w:rsidR="00C51E3C" w:rsidRPr="00CE23AE" w:rsidRDefault="00C561DF" w:rsidP="00FD39FD">
      <w:pPr>
        <w:numPr>
          <w:ilvl w:val="0"/>
          <w:numId w:val="6"/>
        </w:numPr>
        <w:tabs>
          <w:tab w:val="left" w:pos="567"/>
        </w:tabs>
        <w:spacing w:line="240" w:lineRule="auto"/>
        <w:rPr>
          <w:szCs w:val="20"/>
          <w:lang w:val="en-US"/>
        </w:rPr>
      </w:pPr>
      <w:r w:rsidRPr="00CE23AE">
        <w:rPr>
          <w:szCs w:val="20"/>
          <w:lang w:val="en-US"/>
        </w:rPr>
        <w:t>The Court</w:t>
      </w:r>
      <w:r w:rsidR="00C51E3C" w:rsidRPr="00CE23AE">
        <w:rPr>
          <w:szCs w:val="20"/>
          <w:lang w:val="en-US"/>
        </w:rPr>
        <w:t xml:space="preserve"> reitera</w:t>
      </w:r>
      <w:r w:rsidR="00EA6CD5" w:rsidRPr="00CE23AE">
        <w:rPr>
          <w:szCs w:val="20"/>
          <w:lang w:val="en-US"/>
        </w:rPr>
        <w:t xml:space="preserve">tes that the </w:t>
      </w:r>
      <w:r w:rsidR="005C743F" w:rsidRPr="00CE23AE">
        <w:rPr>
          <w:szCs w:val="20"/>
          <w:lang w:val="en-US"/>
        </w:rPr>
        <w:t>factual framework</w:t>
      </w:r>
      <w:r w:rsidR="00C51E3C" w:rsidRPr="00CE23AE">
        <w:rPr>
          <w:szCs w:val="20"/>
          <w:lang w:val="en-US"/>
        </w:rPr>
        <w:t xml:space="preserve"> </w:t>
      </w:r>
      <w:r w:rsidR="00EA6CD5" w:rsidRPr="00CE23AE">
        <w:rPr>
          <w:szCs w:val="20"/>
          <w:lang w:val="en-US"/>
        </w:rPr>
        <w:t>of proceedings before</w:t>
      </w:r>
      <w:r w:rsidR="00C51E3C" w:rsidRPr="00CE23AE">
        <w:rPr>
          <w:szCs w:val="20"/>
          <w:lang w:val="en-US"/>
        </w:rPr>
        <w:t xml:space="preserve"> </w:t>
      </w:r>
      <w:r w:rsidR="00EA6CD5" w:rsidRPr="00CE23AE">
        <w:rPr>
          <w:szCs w:val="20"/>
          <w:lang w:val="en-US"/>
        </w:rPr>
        <w:t>it</w:t>
      </w:r>
      <w:r w:rsidR="00C51E3C" w:rsidRPr="00CE23AE">
        <w:rPr>
          <w:szCs w:val="20"/>
          <w:lang w:val="en-US"/>
        </w:rPr>
        <w:t xml:space="preserve"> </w:t>
      </w:r>
      <w:r w:rsidR="00EA6CD5" w:rsidRPr="00CE23AE">
        <w:rPr>
          <w:szCs w:val="20"/>
          <w:lang w:val="en-US"/>
        </w:rPr>
        <w:t>is constituted by the facts contained in the</w:t>
      </w:r>
      <w:r w:rsidR="00C51E3C" w:rsidRPr="00CE23AE">
        <w:rPr>
          <w:szCs w:val="20"/>
          <w:lang w:val="en-US"/>
        </w:rPr>
        <w:t xml:space="preserve"> </w:t>
      </w:r>
      <w:r w:rsidRPr="00CE23AE">
        <w:rPr>
          <w:szCs w:val="20"/>
          <w:lang w:val="en-US"/>
        </w:rPr>
        <w:t>Merits Report</w:t>
      </w:r>
      <w:r w:rsidR="00C51E3C" w:rsidRPr="00CE23AE">
        <w:rPr>
          <w:szCs w:val="20"/>
          <w:lang w:val="en-US"/>
        </w:rPr>
        <w:t xml:space="preserve"> </w:t>
      </w:r>
      <w:r w:rsidR="00EA6CD5" w:rsidRPr="00CE23AE">
        <w:rPr>
          <w:szCs w:val="20"/>
          <w:lang w:val="en-US"/>
        </w:rPr>
        <w:t>submitted to its consideration.</w:t>
      </w:r>
      <w:r w:rsidR="00C51E3C" w:rsidRPr="00CE23AE">
        <w:rPr>
          <w:szCs w:val="20"/>
          <w:vertAlign w:val="superscript"/>
          <w:lang w:val="en-US"/>
        </w:rPr>
        <w:footnoteReference w:id="24"/>
      </w:r>
      <w:r w:rsidR="00EA6CD5" w:rsidRPr="00CE23AE">
        <w:rPr>
          <w:szCs w:val="20"/>
          <w:lang w:val="en-US"/>
        </w:rPr>
        <w:t xml:space="preserve"> Therefore, the parties are not authorized to allege new facts that differ from those contained in the said report, although they may present facts that explain, clarify or reject the facts mentioned in the Merits Report that have been submitted to the Court’s consideration.</w:t>
      </w:r>
      <w:r w:rsidR="00C51E3C" w:rsidRPr="00CE23AE">
        <w:rPr>
          <w:szCs w:val="20"/>
          <w:vertAlign w:val="superscript"/>
          <w:lang w:val="en-US"/>
        </w:rPr>
        <w:footnoteReference w:id="25"/>
      </w:r>
      <w:r w:rsidR="00C51E3C" w:rsidRPr="00CE23AE">
        <w:rPr>
          <w:szCs w:val="20"/>
          <w:lang w:val="en-US"/>
        </w:rPr>
        <w:t xml:space="preserve"> </w:t>
      </w:r>
      <w:r w:rsidR="00FD39FD" w:rsidRPr="00CE23AE">
        <w:rPr>
          <w:szCs w:val="20"/>
          <w:lang w:val="en-US"/>
        </w:rPr>
        <w:t>The exception to this principle are facts c</w:t>
      </w:r>
      <w:r w:rsidR="00094EB1" w:rsidRPr="00CE23AE">
        <w:rPr>
          <w:szCs w:val="20"/>
          <w:lang w:val="en-US"/>
        </w:rPr>
        <w:t>haracterized</w:t>
      </w:r>
      <w:r w:rsidR="00FD39FD" w:rsidRPr="00CE23AE">
        <w:rPr>
          <w:szCs w:val="20"/>
          <w:lang w:val="en-US"/>
        </w:rPr>
        <w:t xml:space="preserve"> as supervening</w:t>
      </w:r>
      <w:r w:rsidR="0040699B" w:rsidRPr="00CE23AE">
        <w:rPr>
          <w:szCs w:val="20"/>
          <w:lang w:val="en-US"/>
        </w:rPr>
        <w:t>,</w:t>
      </w:r>
      <w:r w:rsidR="00FD39FD" w:rsidRPr="00CE23AE">
        <w:rPr>
          <w:szCs w:val="20"/>
          <w:lang w:val="en-US"/>
        </w:rPr>
        <w:t xml:space="preserve"> or when facts become known or there is access to evidence about them subsequently, provided that they are related to the facts of the proceedings.</w:t>
      </w:r>
      <w:r w:rsidR="00C51E3C" w:rsidRPr="00CE23AE">
        <w:rPr>
          <w:szCs w:val="20"/>
          <w:vertAlign w:val="superscript"/>
          <w:lang w:val="en-US"/>
        </w:rPr>
        <w:footnoteReference w:id="26"/>
      </w:r>
      <w:r w:rsidR="00FD39FD" w:rsidRPr="00CE23AE">
        <w:rPr>
          <w:szCs w:val="20"/>
          <w:lang w:val="en-US"/>
        </w:rPr>
        <w:t xml:space="preserve"> Moreover,</w:t>
      </w:r>
      <w:r w:rsidR="0040699B" w:rsidRPr="00CE23AE">
        <w:rPr>
          <w:szCs w:val="20"/>
          <w:lang w:val="en-US"/>
        </w:rPr>
        <w:t xml:space="preserve"> in each case,</w:t>
      </w:r>
      <w:r w:rsidR="00FD39FD" w:rsidRPr="00CE23AE">
        <w:rPr>
          <w:szCs w:val="20"/>
          <w:lang w:val="en-US"/>
        </w:rPr>
        <w:t xml:space="preserve"> it </w:t>
      </w:r>
      <w:r w:rsidR="00FD39FD" w:rsidRPr="00CE23AE">
        <w:rPr>
          <w:szCs w:val="20"/>
          <w:lang w:val="en-US"/>
        </w:rPr>
        <w:lastRenderedPageBreak/>
        <w:t>corresponds to this Court to decide</w:t>
      </w:r>
      <w:r w:rsidR="0040699B" w:rsidRPr="00CE23AE">
        <w:rPr>
          <w:szCs w:val="20"/>
          <w:lang w:val="en-US"/>
        </w:rPr>
        <w:t xml:space="preserve"> on</w:t>
      </w:r>
      <w:r w:rsidR="00FD39FD" w:rsidRPr="00CE23AE">
        <w:rPr>
          <w:szCs w:val="20"/>
          <w:lang w:val="en-US"/>
        </w:rPr>
        <w:t xml:space="preserve"> the admissibility of arguments on the </w:t>
      </w:r>
      <w:r w:rsidR="005C743F" w:rsidRPr="00CE23AE">
        <w:rPr>
          <w:szCs w:val="20"/>
          <w:lang w:val="en-US"/>
        </w:rPr>
        <w:t>factual framework</w:t>
      </w:r>
      <w:r w:rsidR="0040699B" w:rsidRPr="00CE23AE">
        <w:rPr>
          <w:szCs w:val="20"/>
          <w:lang w:val="en-US"/>
        </w:rPr>
        <w:t xml:space="preserve"> in order</w:t>
      </w:r>
      <w:r w:rsidR="00C51E3C" w:rsidRPr="00CE23AE">
        <w:rPr>
          <w:szCs w:val="20"/>
          <w:lang w:val="en-US"/>
        </w:rPr>
        <w:t xml:space="preserve"> </w:t>
      </w:r>
      <w:r w:rsidR="00FD39FD" w:rsidRPr="00CE23AE">
        <w:rPr>
          <w:szCs w:val="20"/>
          <w:lang w:val="en-US"/>
        </w:rPr>
        <w:t xml:space="preserve">to safeguard the procedural balance between </w:t>
      </w:r>
      <w:r w:rsidR="005024E2" w:rsidRPr="00CE23AE">
        <w:rPr>
          <w:szCs w:val="20"/>
          <w:lang w:val="en-US"/>
        </w:rPr>
        <w:t>the parties</w:t>
      </w:r>
      <w:r w:rsidR="00FD39FD" w:rsidRPr="00CE23AE">
        <w:rPr>
          <w:szCs w:val="20"/>
          <w:lang w:val="en-US"/>
        </w:rPr>
        <w:t>.</w:t>
      </w:r>
      <w:r w:rsidR="00C51E3C" w:rsidRPr="00CE23AE">
        <w:rPr>
          <w:szCs w:val="20"/>
          <w:vertAlign w:val="superscript"/>
          <w:lang w:val="en-US"/>
        </w:rPr>
        <w:footnoteReference w:id="27"/>
      </w:r>
    </w:p>
    <w:p w14:paraId="0F47F903" w14:textId="77777777" w:rsidR="00C51E3C" w:rsidRPr="00CE23AE" w:rsidRDefault="00C51E3C" w:rsidP="00C51E3C">
      <w:pPr>
        <w:tabs>
          <w:tab w:val="left" w:pos="567"/>
        </w:tabs>
        <w:spacing w:line="240" w:lineRule="auto"/>
        <w:rPr>
          <w:szCs w:val="20"/>
          <w:lang w:val="en-US"/>
        </w:rPr>
      </w:pPr>
    </w:p>
    <w:p w14:paraId="5728A3E2" w14:textId="30115B34" w:rsidR="0085680E" w:rsidRPr="00CE23AE" w:rsidRDefault="00FD39FD" w:rsidP="00FD39FD">
      <w:pPr>
        <w:numPr>
          <w:ilvl w:val="0"/>
          <w:numId w:val="6"/>
        </w:numPr>
        <w:tabs>
          <w:tab w:val="left" w:pos="567"/>
        </w:tabs>
        <w:spacing w:line="240" w:lineRule="auto"/>
        <w:rPr>
          <w:szCs w:val="20"/>
          <w:lang w:val="en-US"/>
        </w:rPr>
      </w:pPr>
      <w:r w:rsidRPr="00CE23AE">
        <w:rPr>
          <w:szCs w:val="20"/>
          <w:lang w:val="en-US"/>
        </w:rPr>
        <w:t xml:space="preserve">The Court notes that Ecuador requested the exclusion of facts described in the introductory chapter of the </w:t>
      </w:r>
      <w:r w:rsidR="005C743F" w:rsidRPr="00CE23AE">
        <w:rPr>
          <w:szCs w:val="20"/>
          <w:lang w:val="en-US"/>
        </w:rPr>
        <w:t>pleadings and motions brief</w:t>
      </w:r>
      <w:r w:rsidRPr="00CE23AE">
        <w:rPr>
          <w:szCs w:val="20"/>
          <w:lang w:val="en-US"/>
        </w:rPr>
        <w:t xml:space="preserve"> concerning equal marriage and adoptions by same-sex couples. In this regard, it notes that the purpose of the</w:t>
      </w:r>
      <w:r w:rsidR="003E2884" w:rsidRPr="00CE23AE">
        <w:rPr>
          <w:szCs w:val="20"/>
          <w:lang w:val="en-US"/>
        </w:rPr>
        <w:t xml:space="preserve"> representative’s</w:t>
      </w:r>
      <w:r w:rsidRPr="00CE23AE">
        <w:rPr>
          <w:szCs w:val="20"/>
          <w:lang w:val="en-US"/>
        </w:rPr>
        <w:t xml:space="preserve"> introductory considerations was not to present them as facts of the case or </w:t>
      </w:r>
      <w:r w:rsidR="003E2884" w:rsidRPr="00CE23AE">
        <w:rPr>
          <w:szCs w:val="20"/>
          <w:lang w:val="en-US"/>
        </w:rPr>
        <w:t xml:space="preserve">to </w:t>
      </w:r>
      <w:r w:rsidRPr="00CE23AE">
        <w:rPr>
          <w:szCs w:val="20"/>
          <w:lang w:val="en-US"/>
        </w:rPr>
        <w:t xml:space="preserve">derive legal consequences from them. Consequently, the Court repeats that the facts of the case are circumscribed to those </w:t>
      </w:r>
      <w:r w:rsidR="003E2884" w:rsidRPr="00CE23AE">
        <w:rPr>
          <w:szCs w:val="20"/>
          <w:lang w:val="en-US"/>
        </w:rPr>
        <w:t xml:space="preserve">described </w:t>
      </w:r>
      <w:r w:rsidRPr="00CE23AE">
        <w:rPr>
          <w:szCs w:val="20"/>
          <w:lang w:val="en-US"/>
        </w:rPr>
        <w:t xml:space="preserve">by the </w:t>
      </w:r>
      <w:r w:rsidRPr="00CE23AE">
        <w:rPr>
          <w:rFonts w:eastAsia="Calibri" w:cs="Verdana"/>
          <w:szCs w:val="20"/>
          <w:lang w:val="en-US"/>
        </w:rPr>
        <w:t>Commission in its Merits Report and admits the State’s request</w:t>
      </w:r>
      <w:r w:rsidR="003E2884" w:rsidRPr="00CE23AE">
        <w:rPr>
          <w:rFonts w:eastAsia="Calibri" w:cs="Verdana"/>
          <w:szCs w:val="20"/>
          <w:lang w:val="en-US"/>
        </w:rPr>
        <w:t xml:space="preserve"> that it not </w:t>
      </w:r>
      <w:r w:rsidRPr="00CE23AE">
        <w:rPr>
          <w:rFonts w:eastAsia="Calibri" w:cs="Verdana"/>
          <w:szCs w:val="20"/>
          <w:lang w:val="en-US"/>
        </w:rPr>
        <w:t>consider the facts described by the representative in the introductory section of his brief as part of the</w:t>
      </w:r>
      <w:r w:rsidRPr="00CE23AE">
        <w:rPr>
          <w:szCs w:val="20"/>
          <w:lang w:val="en-US"/>
        </w:rPr>
        <w:t xml:space="preserve"> </w:t>
      </w:r>
      <w:r w:rsidR="005C743F" w:rsidRPr="00CE23AE">
        <w:rPr>
          <w:rFonts w:eastAsia="Calibri" w:cs="Verdana"/>
          <w:szCs w:val="20"/>
          <w:lang w:val="en-US"/>
        </w:rPr>
        <w:t>factual framework</w:t>
      </w:r>
      <w:r w:rsidR="00B367A4" w:rsidRPr="00CE23AE">
        <w:rPr>
          <w:rFonts w:eastAsia="Calibri" w:cs="Verdana"/>
          <w:szCs w:val="20"/>
          <w:lang w:val="en-US"/>
        </w:rPr>
        <w:t xml:space="preserve"> </w:t>
      </w:r>
      <w:r w:rsidRPr="00CE23AE">
        <w:rPr>
          <w:rFonts w:eastAsia="Calibri" w:cs="Verdana"/>
          <w:szCs w:val="20"/>
          <w:lang w:val="en-US"/>
        </w:rPr>
        <w:t>of this case</w:t>
      </w:r>
      <w:r w:rsidR="00512939" w:rsidRPr="00CE23AE">
        <w:rPr>
          <w:rFonts w:eastAsia="Calibri" w:cs="Verdana"/>
          <w:szCs w:val="20"/>
          <w:lang w:val="en-US"/>
        </w:rPr>
        <w:t xml:space="preserve">.  </w:t>
      </w:r>
    </w:p>
    <w:p w14:paraId="4D23ECFE" w14:textId="77777777" w:rsidR="00980A3A" w:rsidRPr="00CE23AE" w:rsidRDefault="00980A3A" w:rsidP="00980A3A">
      <w:pPr>
        <w:tabs>
          <w:tab w:val="left" w:pos="567"/>
        </w:tabs>
        <w:spacing w:line="240" w:lineRule="auto"/>
        <w:rPr>
          <w:szCs w:val="20"/>
          <w:lang w:val="en-US"/>
        </w:rPr>
      </w:pPr>
    </w:p>
    <w:p w14:paraId="7647A895" w14:textId="7B2BB26E" w:rsidR="0085680E" w:rsidRPr="00CE23AE" w:rsidRDefault="00FD39FD" w:rsidP="009F36A1">
      <w:pPr>
        <w:pStyle w:val="Ttulo2"/>
        <w:numPr>
          <w:ilvl w:val="0"/>
          <w:numId w:val="24"/>
        </w:numPr>
        <w:rPr>
          <w:lang w:val="en-US"/>
        </w:rPr>
      </w:pPr>
      <w:bookmarkStart w:id="131" w:name="_Toc453874311"/>
      <w:bookmarkStart w:id="132" w:name="_Toc454891472"/>
      <w:bookmarkStart w:id="133" w:name="_Toc457840576"/>
      <w:bookmarkStart w:id="134" w:name="_Toc464474963"/>
      <w:bookmarkStart w:id="135" w:name="_Toc46388350"/>
      <w:r w:rsidRPr="00CE23AE">
        <w:rPr>
          <w:lang w:val="en-US"/>
        </w:rPr>
        <w:t>Identification of the</w:t>
      </w:r>
      <w:r w:rsidR="00C561DF" w:rsidRPr="00CE23AE">
        <w:rPr>
          <w:lang w:val="en-US"/>
        </w:rPr>
        <w:t xml:space="preserve"> presumed victim</w:t>
      </w:r>
      <w:bookmarkEnd w:id="131"/>
      <w:bookmarkEnd w:id="132"/>
      <w:bookmarkEnd w:id="133"/>
      <w:bookmarkEnd w:id="134"/>
      <w:bookmarkEnd w:id="135"/>
    </w:p>
    <w:p w14:paraId="361B53F1" w14:textId="77777777" w:rsidR="00774903" w:rsidRPr="00CE23AE" w:rsidRDefault="00774903" w:rsidP="00774903">
      <w:pPr>
        <w:rPr>
          <w:rFonts w:eastAsia="Calibri"/>
          <w:lang w:val="en-US" w:eastAsia="es-MX"/>
        </w:rPr>
      </w:pPr>
    </w:p>
    <w:p w14:paraId="1EB76044" w14:textId="5D0BAEC1" w:rsidR="00996128" w:rsidRPr="00CE23AE" w:rsidRDefault="00FD39FD" w:rsidP="00DC6541">
      <w:pPr>
        <w:pStyle w:val="PrrafodeSentencia"/>
        <w:rPr>
          <w:lang w:val="en-US" w:eastAsia="es-ES"/>
        </w:rPr>
      </w:pPr>
      <w:r w:rsidRPr="00CE23AE">
        <w:rPr>
          <w:lang w:val="en-US"/>
        </w:rPr>
        <w:t>In his</w:t>
      </w:r>
      <w:r w:rsidR="0085680E" w:rsidRPr="00CE23AE">
        <w:rPr>
          <w:lang w:val="en-US"/>
        </w:rPr>
        <w:t xml:space="preserve"> </w:t>
      </w:r>
      <w:r w:rsidR="005C743F" w:rsidRPr="00CE23AE">
        <w:rPr>
          <w:lang w:val="en-US"/>
        </w:rPr>
        <w:t>pleadings and motions brief</w:t>
      </w:r>
      <w:r w:rsidR="0085680E" w:rsidRPr="00CE23AE">
        <w:rPr>
          <w:lang w:val="en-US"/>
        </w:rPr>
        <w:t xml:space="preserve">, </w:t>
      </w:r>
      <w:r w:rsidR="00C561DF" w:rsidRPr="00CE23AE">
        <w:rPr>
          <w:lang w:val="en-US"/>
        </w:rPr>
        <w:t xml:space="preserve">the </w:t>
      </w:r>
      <w:r w:rsidR="00C561DF" w:rsidRPr="00CE23AE">
        <w:rPr>
          <w:b/>
          <w:bCs/>
          <w:i/>
          <w:iCs/>
          <w:lang w:val="en-US"/>
        </w:rPr>
        <w:t>representative</w:t>
      </w:r>
      <w:r w:rsidR="0085680E" w:rsidRPr="00CE23AE">
        <w:rPr>
          <w:b/>
          <w:lang w:val="en-US"/>
        </w:rPr>
        <w:t xml:space="preserve"> </w:t>
      </w:r>
      <w:r w:rsidRPr="00CE23AE">
        <w:rPr>
          <w:lang w:val="en-US"/>
        </w:rPr>
        <w:t>asked that</w:t>
      </w:r>
      <w:r w:rsidR="00B96D47" w:rsidRPr="00CE23AE">
        <w:rPr>
          <w:lang w:val="en-US"/>
        </w:rPr>
        <w:t>,</w:t>
      </w:r>
      <w:r w:rsidRPr="00CE23AE">
        <w:rPr>
          <w:lang w:val="en-US"/>
        </w:rPr>
        <w:t xml:space="preserve"> in addition to Mr. Flor Freire, </w:t>
      </w:r>
      <w:r w:rsidR="00996128" w:rsidRPr="00CE23AE">
        <w:rPr>
          <w:lang w:val="en-US"/>
        </w:rPr>
        <w:t xml:space="preserve">the Court consider as presumed victims “his direct family circle and, specifically, his daughter, Paola Flor Lasso, a minor.” The </w:t>
      </w:r>
      <w:r w:rsidR="00996128" w:rsidRPr="00CE23AE">
        <w:rPr>
          <w:b/>
          <w:bCs/>
          <w:i/>
          <w:iCs/>
          <w:lang w:val="en-US"/>
        </w:rPr>
        <w:t xml:space="preserve">State </w:t>
      </w:r>
      <w:r w:rsidR="00996128" w:rsidRPr="00CE23AE">
        <w:rPr>
          <w:lang w:val="en-US"/>
        </w:rPr>
        <w:t>contested the inclusion of Mr. Flor Freire’s family as presumed victims, because only Mr. Flor Freire had been identified as such in the</w:t>
      </w:r>
      <w:r w:rsidR="00B96D47" w:rsidRPr="00CE23AE">
        <w:rPr>
          <w:lang w:val="en-US"/>
        </w:rPr>
        <w:t xml:space="preserve"> </w:t>
      </w:r>
      <w:r w:rsidR="00996128" w:rsidRPr="00CE23AE">
        <w:rPr>
          <w:lang w:val="en-US"/>
        </w:rPr>
        <w:t>Merits Report</w:t>
      </w:r>
      <w:r w:rsidR="00B96D47" w:rsidRPr="00CE23AE">
        <w:rPr>
          <w:lang w:val="en-US"/>
        </w:rPr>
        <w:t xml:space="preserve"> of the Commission</w:t>
      </w:r>
      <w:r w:rsidR="00996128" w:rsidRPr="00CE23AE">
        <w:rPr>
          <w:lang w:val="en-US"/>
        </w:rPr>
        <w:t>.</w:t>
      </w:r>
    </w:p>
    <w:p w14:paraId="521A58BA" w14:textId="77777777" w:rsidR="00EA463F" w:rsidRPr="00CE23AE" w:rsidRDefault="00EA463F" w:rsidP="0097043C">
      <w:pPr>
        <w:pStyle w:val="Estilo1"/>
        <w:tabs>
          <w:tab w:val="clear" w:pos="567"/>
          <w:tab w:val="clear" w:pos="6042"/>
          <w:tab w:val="left" w:pos="709"/>
        </w:tabs>
        <w:spacing w:after="0"/>
        <w:rPr>
          <w:lang w:val="en-US" w:eastAsia="es-ES"/>
        </w:rPr>
      </w:pPr>
    </w:p>
    <w:p w14:paraId="57CAC471" w14:textId="03B832C9" w:rsidR="004D654A" w:rsidRPr="00CE23AE" w:rsidRDefault="00C561DF" w:rsidP="00996128">
      <w:pPr>
        <w:pStyle w:val="PrrafodeSentencia"/>
        <w:rPr>
          <w:lang w:val="en-US"/>
        </w:rPr>
      </w:pPr>
      <w:r w:rsidRPr="00CE23AE">
        <w:rPr>
          <w:lang w:val="en-US"/>
        </w:rPr>
        <w:t>The Court</w:t>
      </w:r>
      <w:r w:rsidR="004D654A" w:rsidRPr="00CE23AE">
        <w:rPr>
          <w:lang w:val="en-US"/>
        </w:rPr>
        <w:t xml:space="preserve"> rec</w:t>
      </w:r>
      <w:r w:rsidR="00996128" w:rsidRPr="00CE23AE">
        <w:rPr>
          <w:lang w:val="en-US"/>
        </w:rPr>
        <w:t xml:space="preserve">alls that the presumed victims must be indicated in the </w:t>
      </w:r>
      <w:r w:rsidR="00B96D47" w:rsidRPr="00CE23AE">
        <w:rPr>
          <w:lang w:val="en-US"/>
        </w:rPr>
        <w:t xml:space="preserve">Commission’s </w:t>
      </w:r>
      <w:r w:rsidRPr="00CE23AE">
        <w:rPr>
          <w:lang w:val="en-US"/>
        </w:rPr>
        <w:t>Merits Report</w:t>
      </w:r>
      <w:r w:rsidR="004D654A" w:rsidRPr="00CE23AE">
        <w:rPr>
          <w:lang w:val="en-US"/>
        </w:rPr>
        <w:t xml:space="preserve"> </w:t>
      </w:r>
      <w:r w:rsidR="00996128" w:rsidRPr="00CE23AE">
        <w:rPr>
          <w:lang w:val="en-US"/>
        </w:rPr>
        <w:t>issued pursuant to</w:t>
      </w:r>
      <w:r w:rsidR="004D654A" w:rsidRPr="00CE23AE">
        <w:rPr>
          <w:lang w:val="en-US"/>
        </w:rPr>
        <w:t xml:space="preserve"> </w:t>
      </w:r>
      <w:r w:rsidRPr="00CE23AE">
        <w:rPr>
          <w:lang w:val="en-US"/>
        </w:rPr>
        <w:t>Article</w:t>
      </w:r>
      <w:r w:rsidR="004D654A" w:rsidRPr="00CE23AE">
        <w:rPr>
          <w:lang w:val="en-US"/>
        </w:rPr>
        <w:t xml:space="preserve"> 50</w:t>
      </w:r>
      <w:r w:rsidRPr="00CE23AE">
        <w:rPr>
          <w:lang w:val="en-US"/>
        </w:rPr>
        <w:t xml:space="preserve"> of the Convention</w:t>
      </w:r>
      <w:r w:rsidR="00996128" w:rsidRPr="00CE23AE">
        <w:rPr>
          <w:lang w:val="en-US"/>
        </w:rPr>
        <w:t>.</w:t>
      </w:r>
      <w:r w:rsidR="004D654A" w:rsidRPr="00CE23AE">
        <w:rPr>
          <w:vertAlign w:val="superscript"/>
          <w:lang w:val="en-US"/>
        </w:rPr>
        <w:footnoteReference w:id="28"/>
      </w:r>
      <w:r w:rsidR="004D654A" w:rsidRPr="00CE23AE">
        <w:rPr>
          <w:lang w:val="en-US"/>
        </w:rPr>
        <w:t xml:space="preserve"> </w:t>
      </w:r>
      <w:r w:rsidRPr="00CE23AE">
        <w:rPr>
          <w:lang w:val="en-US"/>
        </w:rPr>
        <w:t>Article</w:t>
      </w:r>
      <w:r w:rsidR="004D654A" w:rsidRPr="00CE23AE">
        <w:rPr>
          <w:lang w:val="en-US"/>
        </w:rPr>
        <w:t xml:space="preserve"> 35</w:t>
      </w:r>
      <w:r w:rsidR="00996128" w:rsidRPr="00CE23AE">
        <w:rPr>
          <w:lang w:val="en-US"/>
        </w:rPr>
        <w:t>(</w:t>
      </w:r>
      <w:r w:rsidR="004D654A" w:rsidRPr="00CE23AE">
        <w:rPr>
          <w:lang w:val="en-US"/>
        </w:rPr>
        <w:t>1</w:t>
      </w:r>
      <w:r w:rsidR="00996128" w:rsidRPr="00CE23AE">
        <w:rPr>
          <w:lang w:val="en-US"/>
        </w:rPr>
        <w:t>)</w:t>
      </w:r>
      <w:r w:rsidRPr="00CE23AE">
        <w:rPr>
          <w:lang w:val="en-US"/>
        </w:rPr>
        <w:t xml:space="preserve"> of the </w:t>
      </w:r>
      <w:r w:rsidR="00996128" w:rsidRPr="00CE23AE">
        <w:rPr>
          <w:lang w:val="en-US"/>
        </w:rPr>
        <w:t xml:space="preserve">Court’s </w:t>
      </w:r>
      <w:r w:rsidRPr="00CE23AE">
        <w:rPr>
          <w:lang w:val="en-US"/>
        </w:rPr>
        <w:t>Rules of Procedure</w:t>
      </w:r>
      <w:r w:rsidR="004D654A" w:rsidRPr="00CE23AE">
        <w:rPr>
          <w:lang w:val="en-US"/>
        </w:rPr>
        <w:t xml:space="preserve"> </w:t>
      </w:r>
      <w:r w:rsidR="00996128" w:rsidRPr="00CE23AE">
        <w:rPr>
          <w:lang w:val="en-US"/>
        </w:rPr>
        <w:t xml:space="preserve">establishes that the case shall be submitted to the Court by the presentation of this </w:t>
      </w:r>
      <w:r w:rsidR="00B96D47" w:rsidRPr="00CE23AE">
        <w:rPr>
          <w:lang w:val="en-US"/>
        </w:rPr>
        <w:t>r</w:t>
      </w:r>
      <w:r w:rsidR="00996128" w:rsidRPr="00CE23AE">
        <w:rPr>
          <w:lang w:val="en-US"/>
        </w:rPr>
        <w:t xml:space="preserve">eport which shall contain “the identification of the presumed victims.” </w:t>
      </w:r>
      <w:r w:rsidR="00B96D47" w:rsidRPr="00CE23AE">
        <w:rPr>
          <w:lang w:val="en-US"/>
        </w:rPr>
        <w:t>According to</w:t>
      </w:r>
      <w:r w:rsidR="00996128" w:rsidRPr="00CE23AE">
        <w:rPr>
          <w:lang w:val="en-US"/>
        </w:rPr>
        <w:t xml:space="preserve"> this rule, it is the Commission and not this Court that must identify the presumed victims precisely and at the proper procedural moment in a case before the Court.</w:t>
      </w:r>
      <w:r w:rsidR="004D654A" w:rsidRPr="00CE23AE">
        <w:rPr>
          <w:vertAlign w:val="superscript"/>
          <w:lang w:val="en-US"/>
        </w:rPr>
        <w:footnoteReference w:id="29"/>
      </w:r>
      <w:r w:rsidR="00996128" w:rsidRPr="00CE23AE">
        <w:rPr>
          <w:lang w:val="en-US"/>
        </w:rPr>
        <w:t xml:space="preserve"> Legal certainty requires, as a general rule, that all the presumed victims are duly identified in the </w:t>
      </w:r>
      <w:r w:rsidRPr="00CE23AE">
        <w:rPr>
          <w:lang w:val="en-US"/>
        </w:rPr>
        <w:t>Merits Report</w:t>
      </w:r>
      <w:r w:rsidR="004D654A" w:rsidRPr="00CE23AE">
        <w:rPr>
          <w:lang w:val="en-US"/>
        </w:rPr>
        <w:t xml:space="preserve">, </w:t>
      </w:r>
      <w:r w:rsidR="00996128" w:rsidRPr="00CE23AE">
        <w:rPr>
          <w:lang w:val="en-US"/>
        </w:rPr>
        <w:t xml:space="preserve">and it is not possible to add new presumed victims after this, save in the exceptional circumstances established in </w:t>
      </w:r>
      <w:r w:rsidRPr="00CE23AE">
        <w:rPr>
          <w:lang w:val="en-US"/>
        </w:rPr>
        <w:t>Article</w:t>
      </w:r>
      <w:r w:rsidR="004D654A" w:rsidRPr="00CE23AE">
        <w:rPr>
          <w:lang w:val="en-US"/>
        </w:rPr>
        <w:t xml:space="preserve"> 35</w:t>
      </w:r>
      <w:r w:rsidR="00996128" w:rsidRPr="00CE23AE">
        <w:rPr>
          <w:lang w:val="en-US"/>
        </w:rPr>
        <w:t>(</w:t>
      </w:r>
      <w:r w:rsidR="004D654A" w:rsidRPr="00CE23AE">
        <w:rPr>
          <w:lang w:val="en-US"/>
        </w:rPr>
        <w:t>2</w:t>
      </w:r>
      <w:r w:rsidR="00996128" w:rsidRPr="00CE23AE">
        <w:rPr>
          <w:lang w:val="en-US"/>
        </w:rPr>
        <w:t>)</w:t>
      </w:r>
      <w:r w:rsidRPr="00CE23AE">
        <w:rPr>
          <w:lang w:val="en-US"/>
        </w:rPr>
        <w:t xml:space="preserve"> of the Rules of</w:t>
      </w:r>
      <w:r w:rsidR="00996128" w:rsidRPr="00CE23AE">
        <w:rPr>
          <w:lang w:val="en-US"/>
        </w:rPr>
        <w:t xml:space="preserve"> Court’s</w:t>
      </w:r>
      <w:r w:rsidRPr="00CE23AE">
        <w:rPr>
          <w:lang w:val="en-US"/>
        </w:rPr>
        <w:t xml:space="preserve"> Procedure</w:t>
      </w:r>
      <w:r w:rsidR="00996128" w:rsidRPr="00CE23AE">
        <w:rPr>
          <w:lang w:val="en-US"/>
        </w:rPr>
        <w:t>,</w:t>
      </w:r>
      <w:r w:rsidR="004D654A" w:rsidRPr="00CE23AE">
        <w:rPr>
          <w:vertAlign w:val="superscript"/>
          <w:lang w:val="en-US"/>
        </w:rPr>
        <w:footnoteReference w:id="30"/>
      </w:r>
      <w:r w:rsidR="00996128" w:rsidRPr="00CE23AE">
        <w:rPr>
          <w:lang w:val="en-US"/>
        </w:rPr>
        <w:t xml:space="preserve"> which are not applicable in this case.</w:t>
      </w:r>
    </w:p>
    <w:p w14:paraId="18DEF9F8" w14:textId="77777777" w:rsidR="00777589" w:rsidRPr="00CE23AE" w:rsidRDefault="00777589" w:rsidP="00DC6541">
      <w:pPr>
        <w:pStyle w:val="PrrafodeSentencia"/>
        <w:numPr>
          <w:ilvl w:val="0"/>
          <w:numId w:val="0"/>
        </w:numPr>
        <w:rPr>
          <w:lang w:val="en-US"/>
        </w:rPr>
      </w:pPr>
    </w:p>
    <w:p w14:paraId="3D286D8B" w14:textId="7ACEC4D7" w:rsidR="004D654A" w:rsidRPr="00CE23AE" w:rsidRDefault="00777589" w:rsidP="00DC6541">
      <w:pPr>
        <w:pStyle w:val="PrrafodeSentencia"/>
        <w:rPr>
          <w:lang w:val="en-US"/>
        </w:rPr>
      </w:pPr>
      <w:r w:rsidRPr="00CE23AE">
        <w:rPr>
          <w:lang w:val="en-US"/>
        </w:rPr>
        <w:t xml:space="preserve">Homero Flor Freire </w:t>
      </w:r>
      <w:r w:rsidR="00996128" w:rsidRPr="00CE23AE">
        <w:rPr>
          <w:lang w:val="en-US"/>
        </w:rPr>
        <w:t>was the only person identified as a presumed victim in the</w:t>
      </w:r>
      <w:r w:rsidR="004D654A" w:rsidRPr="00CE23AE">
        <w:rPr>
          <w:lang w:val="en-US"/>
        </w:rPr>
        <w:t xml:space="preserve"> </w:t>
      </w:r>
      <w:r w:rsidR="00C561DF" w:rsidRPr="00CE23AE">
        <w:rPr>
          <w:lang w:val="en-US"/>
        </w:rPr>
        <w:t>Merits Report of the Commission</w:t>
      </w:r>
      <w:r w:rsidR="004D654A" w:rsidRPr="00CE23AE">
        <w:rPr>
          <w:lang w:val="en-US"/>
        </w:rPr>
        <w:t xml:space="preserve">. </w:t>
      </w:r>
      <w:r w:rsidR="00996128" w:rsidRPr="00CE23AE">
        <w:rPr>
          <w:lang w:val="en-US"/>
        </w:rPr>
        <w:t xml:space="preserve">Therefore, based on the above and in application </w:t>
      </w:r>
      <w:bookmarkStart w:id="136" w:name="_Ref374964523"/>
      <w:r w:rsidR="00996128" w:rsidRPr="00CE23AE">
        <w:rPr>
          <w:lang w:val="en-US"/>
        </w:rPr>
        <w:t>of Article</w:t>
      </w:r>
      <w:r w:rsidR="004D654A" w:rsidRPr="00CE23AE">
        <w:rPr>
          <w:lang w:val="en-US"/>
        </w:rPr>
        <w:t xml:space="preserve"> 35</w:t>
      </w:r>
      <w:r w:rsidR="00996128" w:rsidRPr="00CE23AE">
        <w:rPr>
          <w:lang w:val="en-US"/>
        </w:rPr>
        <w:t>(</w:t>
      </w:r>
      <w:r w:rsidR="004D654A" w:rsidRPr="00CE23AE">
        <w:rPr>
          <w:lang w:val="en-US"/>
        </w:rPr>
        <w:t>1</w:t>
      </w:r>
      <w:r w:rsidR="00996128" w:rsidRPr="00CE23AE">
        <w:rPr>
          <w:lang w:val="en-US"/>
        </w:rPr>
        <w:t xml:space="preserve">) of its Rules of Procedure, the Court declares that it will only consider Mr. </w:t>
      </w:r>
      <w:r w:rsidRPr="00CE23AE">
        <w:rPr>
          <w:lang w:val="en-US"/>
        </w:rPr>
        <w:t xml:space="preserve">Flor Freire </w:t>
      </w:r>
      <w:r w:rsidR="00996128" w:rsidRPr="00CE23AE">
        <w:rPr>
          <w:lang w:val="en-US"/>
        </w:rPr>
        <w:t>as a presumed victim</w:t>
      </w:r>
      <w:r w:rsidR="00C561DF" w:rsidRPr="00CE23AE">
        <w:rPr>
          <w:lang w:val="en-US"/>
        </w:rPr>
        <w:t xml:space="preserve"> and </w:t>
      </w:r>
      <w:r w:rsidR="004D654A" w:rsidRPr="00CE23AE">
        <w:rPr>
          <w:lang w:val="en-US"/>
        </w:rPr>
        <w:t xml:space="preserve">eventual </w:t>
      </w:r>
      <w:r w:rsidR="00996128" w:rsidRPr="00CE23AE">
        <w:rPr>
          <w:lang w:val="en-US"/>
        </w:rPr>
        <w:t>beneficiary of any reparations that are applicable in this case.</w:t>
      </w:r>
      <w:r w:rsidR="004D654A" w:rsidRPr="00CE23AE">
        <w:rPr>
          <w:lang w:val="en-US"/>
        </w:rPr>
        <w:t xml:space="preserve"> </w:t>
      </w:r>
      <w:bookmarkEnd w:id="136"/>
    </w:p>
    <w:p w14:paraId="121FB173" w14:textId="77777777" w:rsidR="00B42448" w:rsidRPr="00CE23AE" w:rsidRDefault="00B42448" w:rsidP="00646E7A">
      <w:pPr>
        <w:pStyle w:val="PrrafodeSentencia"/>
        <w:numPr>
          <w:ilvl w:val="0"/>
          <w:numId w:val="0"/>
        </w:numPr>
        <w:rPr>
          <w:lang w:val="en-US"/>
        </w:rPr>
      </w:pPr>
    </w:p>
    <w:p w14:paraId="64E752BB" w14:textId="61CB67A2" w:rsidR="00646E7A" w:rsidRPr="00CE23AE" w:rsidRDefault="005F350B" w:rsidP="009F36A1">
      <w:pPr>
        <w:pStyle w:val="Ttulo2"/>
        <w:numPr>
          <w:ilvl w:val="0"/>
          <w:numId w:val="24"/>
        </w:numPr>
        <w:rPr>
          <w:lang w:val="en-US"/>
        </w:rPr>
      </w:pPr>
      <w:bookmarkStart w:id="137" w:name="_Toc453874312"/>
      <w:bookmarkStart w:id="138" w:name="_Toc454891473"/>
      <w:bookmarkStart w:id="139" w:name="_Toc457840577"/>
      <w:bookmarkStart w:id="140" w:name="_Toc464474964"/>
      <w:bookmarkStart w:id="141" w:name="_Toc46388351"/>
      <w:r w:rsidRPr="00CE23AE">
        <w:rPr>
          <w:lang w:val="en-US"/>
        </w:rPr>
        <w:t>The alleged acknowledgement of responsibility by</w:t>
      </w:r>
      <w:r w:rsidR="00C561DF" w:rsidRPr="00CE23AE">
        <w:rPr>
          <w:lang w:val="en-US"/>
        </w:rPr>
        <w:t xml:space="preserve"> the State</w:t>
      </w:r>
      <w:bookmarkEnd w:id="137"/>
      <w:bookmarkEnd w:id="138"/>
      <w:bookmarkEnd w:id="139"/>
      <w:bookmarkEnd w:id="140"/>
      <w:bookmarkEnd w:id="141"/>
      <w:r w:rsidR="00646E7A" w:rsidRPr="00CE23AE">
        <w:rPr>
          <w:lang w:val="en-US"/>
        </w:rPr>
        <w:t xml:space="preserve"> </w:t>
      </w:r>
    </w:p>
    <w:p w14:paraId="195DB47D" w14:textId="77777777" w:rsidR="009E2C81" w:rsidRPr="00CE23AE" w:rsidRDefault="009E2C81" w:rsidP="00093EE4">
      <w:pPr>
        <w:pStyle w:val="PrrafodeSentencia"/>
        <w:numPr>
          <w:ilvl w:val="0"/>
          <w:numId w:val="0"/>
        </w:numPr>
        <w:rPr>
          <w:lang w:val="en-US"/>
        </w:rPr>
      </w:pPr>
    </w:p>
    <w:p w14:paraId="3AE1F01C" w14:textId="43E7A1A9" w:rsidR="009E2C81" w:rsidRPr="00CE23AE" w:rsidRDefault="00B4473B" w:rsidP="009E2C81">
      <w:pPr>
        <w:pStyle w:val="Ttulo3"/>
        <w:rPr>
          <w:lang w:val="en-US"/>
        </w:rPr>
      </w:pPr>
      <w:bookmarkStart w:id="142" w:name="_Toc453874313"/>
      <w:bookmarkStart w:id="143" w:name="_Toc454891474"/>
      <w:bookmarkStart w:id="144" w:name="_Toc457840578"/>
      <w:bookmarkStart w:id="145" w:name="_Toc460398529"/>
      <w:bookmarkStart w:id="146" w:name="_Toc464474965"/>
      <w:bookmarkStart w:id="147" w:name="_Toc46388352"/>
      <w:r w:rsidRPr="00CE23AE">
        <w:rPr>
          <w:lang w:val="en-US"/>
        </w:rPr>
        <w:t>C.1</w:t>
      </w:r>
      <w:r w:rsidR="009E2C81" w:rsidRPr="00CE23AE">
        <w:rPr>
          <w:lang w:val="en-US"/>
        </w:rPr>
        <w:t xml:space="preserve"> </w:t>
      </w:r>
      <w:r w:rsidR="005F350B" w:rsidRPr="00CE23AE">
        <w:rPr>
          <w:lang w:val="en-US"/>
        </w:rPr>
        <w:t>Arguments</w:t>
      </w:r>
      <w:r w:rsidR="006459B0" w:rsidRPr="00CE23AE">
        <w:rPr>
          <w:lang w:val="en-US"/>
        </w:rPr>
        <w:t xml:space="preserve"> </w:t>
      </w:r>
      <w:r w:rsidR="005024E2" w:rsidRPr="00CE23AE">
        <w:rPr>
          <w:lang w:val="en-US"/>
        </w:rPr>
        <w:t>of the parties</w:t>
      </w:r>
      <w:r w:rsidR="00C561DF" w:rsidRPr="00CE23AE">
        <w:rPr>
          <w:lang w:val="en-US"/>
        </w:rPr>
        <w:t xml:space="preserve"> and of the Commission</w:t>
      </w:r>
      <w:bookmarkEnd w:id="142"/>
      <w:bookmarkEnd w:id="143"/>
      <w:bookmarkEnd w:id="144"/>
      <w:bookmarkEnd w:id="145"/>
      <w:bookmarkEnd w:id="146"/>
      <w:bookmarkEnd w:id="147"/>
    </w:p>
    <w:p w14:paraId="08C52DB4" w14:textId="77777777" w:rsidR="00646E7A" w:rsidRPr="00CE23AE" w:rsidRDefault="00646E7A" w:rsidP="00646E7A">
      <w:pPr>
        <w:rPr>
          <w:lang w:val="en-US" w:eastAsia="es-MX"/>
        </w:rPr>
      </w:pPr>
    </w:p>
    <w:p w14:paraId="0F770977" w14:textId="091271E1" w:rsidR="009E2C81" w:rsidRPr="00CE23AE" w:rsidRDefault="00C561DF" w:rsidP="005F350B">
      <w:pPr>
        <w:pStyle w:val="PrrafodeSentencia"/>
        <w:rPr>
          <w:b/>
          <w:lang w:val="en-US"/>
        </w:rPr>
      </w:pPr>
      <w:r w:rsidRPr="00CE23AE">
        <w:rPr>
          <w:lang w:val="en-US"/>
        </w:rPr>
        <w:t xml:space="preserve">The </w:t>
      </w:r>
      <w:r w:rsidRPr="00CE23AE">
        <w:rPr>
          <w:b/>
          <w:bCs/>
          <w:i/>
          <w:iCs/>
          <w:lang w:val="en-US"/>
        </w:rPr>
        <w:t>representative</w:t>
      </w:r>
      <w:r w:rsidR="009E2C81" w:rsidRPr="00CE23AE">
        <w:rPr>
          <w:b/>
          <w:bCs/>
          <w:i/>
          <w:iCs/>
          <w:lang w:val="en-US"/>
        </w:rPr>
        <w:t xml:space="preserve"> </w:t>
      </w:r>
      <w:r w:rsidR="009E2C81" w:rsidRPr="00CE23AE">
        <w:rPr>
          <w:lang w:val="en-US"/>
        </w:rPr>
        <w:t>argu</w:t>
      </w:r>
      <w:r w:rsidR="005F350B" w:rsidRPr="00CE23AE">
        <w:rPr>
          <w:lang w:val="en-US"/>
        </w:rPr>
        <w:t>ed that,</w:t>
      </w:r>
      <w:r w:rsidR="009E2C81" w:rsidRPr="00CE23AE">
        <w:rPr>
          <w:lang w:val="en-US"/>
        </w:rPr>
        <w:t xml:space="preserve"> “</w:t>
      </w:r>
      <w:r w:rsidR="005F350B" w:rsidRPr="00CE23AE">
        <w:rPr>
          <w:lang w:val="en-US"/>
        </w:rPr>
        <w:t xml:space="preserve">following the issue of Merits report, </w:t>
      </w:r>
      <w:r w:rsidRPr="00CE23AE">
        <w:rPr>
          <w:lang w:val="en-US"/>
        </w:rPr>
        <w:t>the State</w:t>
      </w:r>
      <w:r w:rsidR="009E2C81" w:rsidRPr="00CE23AE">
        <w:rPr>
          <w:lang w:val="en-US"/>
        </w:rPr>
        <w:t xml:space="preserve"> […] </w:t>
      </w:r>
      <w:r w:rsidR="005F350B" w:rsidRPr="00CE23AE">
        <w:rPr>
          <w:lang w:val="en-US"/>
        </w:rPr>
        <w:t xml:space="preserve">repeatedly expressed its intention to comply with it”; therefore, “it renounced any claim or defense” </w:t>
      </w:r>
      <w:r w:rsidR="007D628A" w:rsidRPr="00CE23AE">
        <w:rPr>
          <w:lang w:val="en-US"/>
        </w:rPr>
        <w:t xml:space="preserve">of a </w:t>
      </w:r>
      <w:r w:rsidR="007D628A" w:rsidRPr="00CE23AE">
        <w:rPr>
          <w:lang w:val="en-US"/>
        </w:rPr>
        <w:lastRenderedPageBreak/>
        <w:t xml:space="preserve">preliminary nature or with </w:t>
      </w:r>
      <w:r w:rsidR="005F350B" w:rsidRPr="00CE23AE">
        <w:rPr>
          <w:lang w:val="en-US"/>
        </w:rPr>
        <w:t>regard</w:t>
      </w:r>
      <w:r w:rsidR="007D628A" w:rsidRPr="00CE23AE">
        <w:rPr>
          <w:lang w:val="en-US"/>
        </w:rPr>
        <w:t xml:space="preserve"> to</w:t>
      </w:r>
      <w:r w:rsidR="005F350B" w:rsidRPr="00CE23AE">
        <w:rPr>
          <w:lang w:val="en-US"/>
        </w:rPr>
        <w:t xml:space="preserve"> the merits. He also indicated that “[t]he State, through the Ministry of National Defense</w:t>
      </w:r>
      <w:r w:rsidR="007D628A" w:rsidRPr="00CE23AE">
        <w:rPr>
          <w:lang w:val="en-US"/>
        </w:rPr>
        <w:t>,</w:t>
      </w:r>
      <w:r w:rsidR="005F350B" w:rsidRPr="00CE23AE">
        <w:rPr>
          <w:lang w:val="en-US"/>
        </w:rPr>
        <w:t xml:space="preserve"> had placed a plaque in the Armed Forces General Command recognizing the existence of violations of the rights of </w:t>
      </w:r>
      <w:r w:rsidR="005F350B" w:rsidRPr="00CE23AE">
        <w:rPr>
          <w:rFonts w:cs="TimesNewRomanPSMT"/>
          <w:lang w:val="en-US"/>
        </w:rPr>
        <w:t>Homero Flor Freire.” Consequently, he argued that the State had acknowledged its international responsibility</w:t>
      </w:r>
      <w:r w:rsidR="007D628A" w:rsidRPr="00CE23AE">
        <w:rPr>
          <w:rFonts w:cs="TimesNewRomanPSMT"/>
          <w:lang w:val="en-US"/>
        </w:rPr>
        <w:t xml:space="preserve"> and </w:t>
      </w:r>
      <w:r w:rsidR="005F350B" w:rsidRPr="00CE23AE">
        <w:rPr>
          <w:rFonts w:cs="TimesNewRomanPSMT"/>
          <w:lang w:val="en-US"/>
        </w:rPr>
        <w:t xml:space="preserve">the principle of estoppel applied. Furthermore, he indicated that “[t]he State </w:t>
      </w:r>
      <w:r w:rsidR="007D628A" w:rsidRPr="00CE23AE">
        <w:rPr>
          <w:rFonts w:cs="TimesNewRomanPSMT"/>
          <w:lang w:val="en-US"/>
        </w:rPr>
        <w:t>obligated itself</w:t>
      </w:r>
      <w:r w:rsidR="005F350B" w:rsidRPr="00CE23AE">
        <w:rPr>
          <w:rFonts w:cs="TimesNewRomanPSMT"/>
          <w:lang w:val="en-US"/>
        </w:rPr>
        <w:t xml:space="preserve"> owing to its own previous conduct and, therefore, tacitly renounced the </w:t>
      </w:r>
      <w:r w:rsidR="005C743F" w:rsidRPr="00CE23AE">
        <w:rPr>
          <w:lang w:val="en-US"/>
        </w:rPr>
        <w:t>preliminary objection</w:t>
      </w:r>
      <w:r w:rsidR="009E2C81" w:rsidRPr="00CE23AE">
        <w:rPr>
          <w:lang w:val="en-US"/>
        </w:rPr>
        <w:t xml:space="preserve"> </w:t>
      </w:r>
      <w:r w:rsidR="005F350B" w:rsidRPr="00CE23AE">
        <w:rPr>
          <w:lang w:val="en-US"/>
        </w:rPr>
        <w:t>of failure to</w:t>
      </w:r>
      <w:r w:rsidR="009E2C81" w:rsidRPr="00CE23AE">
        <w:rPr>
          <w:lang w:val="en-US"/>
        </w:rPr>
        <w:t xml:space="preserve"> </w:t>
      </w:r>
      <w:r w:rsidR="005F350B" w:rsidRPr="00CE23AE">
        <w:rPr>
          <w:lang w:val="en-US"/>
        </w:rPr>
        <w:t xml:space="preserve">exhaust domestic remedies </w:t>
      </w:r>
      <w:r w:rsidRPr="00CE23AE">
        <w:rPr>
          <w:lang w:val="en-US"/>
        </w:rPr>
        <w:t xml:space="preserve">and </w:t>
      </w:r>
      <w:r w:rsidR="005F350B" w:rsidRPr="00CE23AE">
        <w:rPr>
          <w:lang w:val="en-US"/>
        </w:rPr>
        <w:t>other means of defense.</w:t>
      </w:r>
      <w:r w:rsidR="009E2C81" w:rsidRPr="00CE23AE">
        <w:rPr>
          <w:lang w:val="en-US"/>
        </w:rPr>
        <w:t xml:space="preserve">” </w:t>
      </w:r>
    </w:p>
    <w:p w14:paraId="64B2E11C" w14:textId="77777777" w:rsidR="009E2C81" w:rsidRPr="00CE23AE" w:rsidRDefault="009E2C81" w:rsidP="009E2C81">
      <w:pPr>
        <w:pStyle w:val="PrrafodeSentencia"/>
        <w:numPr>
          <w:ilvl w:val="0"/>
          <w:numId w:val="0"/>
        </w:numPr>
        <w:rPr>
          <w:b/>
          <w:lang w:val="en-US"/>
        </w:rPr>
      </w:pPr>
    </w:p>
    <w:p w14:paraId="3D72E8EE" w14:textId="45E43010" w:rsidR="006459B0" w:rsidRPr="00CE23AE" w:rsidRDefault="00C561DF" w:rsidP="006459B0">
      <w:pPr>
        <w:pStyle w:val="PrrafodeSentencia"/>
        <w:rPr>
          <w:b/>
          <w:lang w:val="en-US"/>
        </w:rPr>
      </w:pPr>
      <w:r w:rsidRPr="00CE23AE">
        <w:rPr>
          <w:lang w:val="en-US"/>
        </w:rPr>
        <w:t xml:space="preserve">The </w:t>
      </w:r>
      <w:r w:rsidRPr="00CE23AE">
        <w:rPr>
          <w:b/>
          <w:bCs/>
          <w:i/>
          <w:iCs/>
          <w:lang w:val="en-US"/>
        </w:rPr>
        <w:t>Commission</w:t>
      </w:r>
      <w:r w:rsidR="006459B0" w:rsidRPr="00CE23AE">
        <w:rPr>
          <w:b/>
          <w:i/>
          <w:lang w:val="en-US"/>
        </w:rPr>
        <w:t xml:space="preserve"> </w:t>
      </w:r>
      <w:r w:rsidR="006459B0" w:rsidRPr="00CE23AE">
        <w:rPr>
          <w:lang w:val="en-US"/>
        </w:rPr>
        <w:t>rec</w:t>
      </w:r>
      <w:r w:rsidR="005F350B" w:rsidRPr="00CE23AE">
        <w:rPr>
          <w:lang w:val="en-US"/>
        </w:rPr>
        <w:t>alled that, after the</w:t>
      </w:r>
      <w:r w:rsidR="006459B0" w:rsidRPr="00CE23AE">
        <w:rPr>
          <w:rFonts w:eastAsia="Times New Roman"/>
          <w:lang w:val="en-US"/>
        </w:rPr>
        <w:t xml:space="preserve"> </w:t>
      </w:r>
      <w:r w:rsidRPr="00CE23AE">
        <w:rPr>
          <w:rFonts w:eastAsia="Times New Roman"/>
          <w:lang w:val="en-US"/>
        </w:rPr>
        <w:t>Merits Report</w:t>
      </w:r>
      <w:r w:rsidR="006459B0" w:rsidRPr="00CE23AE">
        <w:rPr>
          <w:rFonts w:eastAsia="Times New Roman"/>
          <w:lang w:val="en-US"/>
        </w:rPr>
        <w:t xml:space="preserve"> </w:t>
      </w:r>
      <w:r w:rsidR="005F350B" w:rsidRPr="00CE23AE">
        <w:rPr>
          <w:rFonts w:eastAsia="Times New Roman"/>
          <w:lang w:val="en-US"/>
        </w:rPr>
        <w:t>had been notified to</w:t>
      </w:r>
      <w:r w:rsidR="006459B0" w:rsidRPr="00CE23AE">
        <w:rPr>
          <w:rFonts w:eastAsia="Times New Roman"/>
          <w:lang w:val="en-US"/>
        </w:rPr>
        <w:t xml:space="preserve"> Ecuador,</w:t>
      </w:r>
      <w:r w:rsidR="005F350B" w:rsidRPr="00CE23AE">
        <w:rPr>
          <w:rFonts w:eastAsia="Times New Roman"/>
          <w:lang w:val="en-US"/>
        </w:rPr>
        <w:t xml:space="preserve"> </w:t>
      </w:r>
      <w:r w:rsidR="007D628A" w:rsidRPr="00CE23AE">
        <w:rPr>
          <w:rFonts w:eastAsia="Times New Roman"/>
          <w:lang w:val="en-US"/>
        </w:rPr>
        <w:t>the State</w:t>
      </w:r>
      <w:r w:rsidR="005F350B" w:rsidRPr="00CE23AE">
        <w:rPr>
          <w:rFonts w:eastAsia="Times New Roman"/>
          <w:lang w:val="en-US"/>
        </w:rPr>
        <w:t xml:space="preserve"> </w:t>
      </w:r>
      <w:r w:rsidR="007D628A" w:rsidRPr="00CE23AE">
        <w:rPr>
          <w:rFonts w:eastAsia="Times New Roman"/>
          <w:lang w:val="en-US"/>
        </w:rPr>
        <w:t>organized</w:t>
      </w:r>
      <w:r w:rsidR="005F350B" w:rsidRPr="00CE23AE">
        <w:rPr>
          <w:rFonts w:eastAsia="Times New Roman"/>
          <w:lang w:val="en-US"/>
        </w:rPr>
        <w:t xml:space="preserve"> an act of apology and unveiled a plaque. The wording on the plaque indicated that </w:t>
      </w:r>
      <w:r w:rsidR="006459B0" w:rsidRPr="00CE23AE">
        <w:rPr>
          <w:rFonts w:eastAsia="Times New Roman"/>
          <w:lang w:val="en-US"/>
        </w:rPr>
        <w:t xml:space="preserve">Homero Flor Freire </w:t>
      </w:r>
      <w:r w:rsidR="005F350B" w:rsidRPr="00CE23AE">
        <w:rPr>
          <w:rFonts w:eastAsia="Times New Roman"/>
          <w:lang w:val="en-US"/>
        </w:rPr>
        <w:t xml:space="preserve">had been discharged from the </w:t>
      </w:r>
      <w:r w:rsidR="007D628A" w:rsidRPr="00CE23AE">
        <w:rPr>
          <w:rFonts w:eastAsia="Times New Roman"/>
          <w:lang w:val="en-US"/>
        </w:rPr>
        <w:t>G</w:t>
      </w:r>
      <w:r w:rsidR="005F350B" w:rsidRPr="00CE23AE">
        <w:rPr>
          <w:rFonts w:eastAsia="Times New Roman"/>
          <w:lang w:val="en-US"/>
        </w:rPr>
        <w:t xml:space="preserve">round </w:t>
      </w:r>
      <w:r w:rsidR="007D628A" w:rsidRPr="00CE23AE">
        <w:rPr>
          <w:rFonts w:eastAsia="Times New Roman"/>
          <w:lang w:val="en-US"/>
        </w:rPr>
        <w:t>F</w:t>
      </w:r>
      <w:r w:rsidR="005F350B" w:rsidRPr="00CE23AE">
        <w:rPr>
          <w:rFonts w:eastAsia="Times New Roman"/>
          <w:lang w:val="en-US"/>
        </w:rPr>
        <w:t xml:space="preserve">orces in a discriminatory manner. Therefore, it alleged that the Court should analyze the case “in light of the principle of </w:t>
      </w:r>
      <w:r w:rsidR="006459B0" w:rsidRPr="00CE23AE">
        <w:rPr>
          <w:rFonts w:eastAsia="Times New Roman"/>
          <w:i/>
          <w:lang w:val="en-US"/>
        </w:rPr>
        <w:t>estoppel</w:t>
      </w:r>
      <w:r w:rsidR="005F350B" w:rsidRPr="00CE23AE">
        <w:rPr>
          <w:rFonts w:eastAsia="Times New Roman"/>
          <w:i/>
          <w:lang w:val="en-US"/>
        </w:rPr>
        <w:t>.</w:t>
      </w:r>
      <w:r w:rsidR="006459B0" w:rsidRPr="00CE23AE">
        <w:rPr>
          <w:rFonts w:eastAsia="Times New Roman"/>
          <w:lang w:val="en-US"/>
        </w:rPr>
        <w:t xml:space="preserve">” </w:t>
      </w:r>
    </w:p>
    <w:p w14:paraId="7C5ED2AA" w14:textId="77777777" w:rsidR="006459B0" w:rsidRPr="00CE23AE" w:rsidRDefault="006459B0" w:rsidP="006459B0">
      <w:pPr>
        <w:pStyle w:val="PrrafodeSentencia"/>
        <w:numPr>
          <w:ilvl w:val="0"/>
          <w:numId w:val="0"/>
        </w:numPr>
        <w:rPr>
          <w:b/>
          <w:lang w:val="en-US"/>
        </w:rPr>
      </w:pPr>
    </w:p>
    <w:p w14:paraId="04EBF71E" w14:textId="5775E74A" w:rsidR="009E2C81" w:rsidRPr="00CE23AE" w:rsidRDefault="00C561DF" w:rsidP="007D628A">
      <w:pPr>
        <w:pStyle w:val="PrrafodeSentencia"/>
        <w:rPr>
          <w:b/>
          <w:lang w:val="en-US"/>
        </w:rPr>
      </w:pPr>
      <w:r w:rsidRPr="00CE23AE">
        <w:rPr>
          <w:lang w:val="en-US"/>
        </w:rPr>
        <w:t xml:space="preserve">The </w:t>
      </w:r>
      <w:r w:rsidRPr="00CE23AE">
        <w:rPr>
          <w:b/>
          <w:bCs/>
          <w:i/>
          <w:iCs/>
          <w:lang w:val="en-US"/>
        </w:rPr>
        <w:t>State</w:t>
      </w:r>
      <w:r w:rsidR="009E2C81" w:rsidRPr="00CE23AE">
        <w:rPr>
          <w:b/>
          <w:i/>
          <w:lang w:val="en-US"/>
        </w:rPr>
        <w:t xml:space="preserve"> </w:t>
      </w:r>
      <w:r w:rsidR="005F350B" w:rsidRPr="00CE23AE">
        <w:rPr>
          <w:lang w:val="en-US"/>
        </w:rPr>
        <w:t>indicated that</w:t>
      </w:r>
      <w:r w:rsidR="009E2C81" w:rsidRPr="00CE23AE">
        <w:rPr>
          <w:lang w:val="en-US"/>
        </w:rPr>
        <w:t xml:space="preserve"> “</w:t>
      </w:r>
      <w:r w:rsidR="005F350B" w:rsidRPr="00CE23AE">
        <w:rPr>
          <w:rFonts w:cs="TimesNewRomanPSMT"/>
          <w:lang w:val="en-US"/>
        </w:rPr>
        <w:t>Under international law</w:t>
      </w:r>
      <w:r w:rsidR="009E2C81" w:rsidRPr="00CE23AE">
        <w:rPr>
          <w:rFonts w:cs="TimesNewRomanPSMT"/>
          <w:lang w:val="en-US"/>
        </w:rPr>
        <w:t xml:space="preserve">, […] </w:t>
      </w:r>
      <w:r w:rsidR="005F350B" w:rsidRPr="00CE23AE">
        <w:rPr>
          <w:rFonts w:cs="TimesNewRomanPSMT"/>
          <w:lang w:val="en-US"/>
        </w:rPr>
        <w:t>compliance with the Commission’s</w:t>
      </w:r>
      <w:r w:rsidR="009E2C81" w:rsidRPr="00CE23AE">
        <w:rPr>
          <w:rFonts w:cs="TimesNewRomanPSMT"/>
          <w:lang w:val="en-US"/>
        </w:rPr>
        <w:t xml:space="preserve"> </w:t>
      </w:r>
      <w:r w:rsidRPr="00CE23AE">
        <w:rPr>
          <w:rFonts w:cs="TimesNewRomanPSMT"/>
          <w:lang w:val="en-US"/>
        </w:rPr>
        <w:t>recommendations</w:t>
      </w:r>
      <w:r w:rsidR="009E2C81" w:rsidRPr="00CE23AE">
        <w:rPr>
          <w:rFonts w:cs="TimesNewRomanPSMT"/>
          <w:lang w:val="en-US"/>
        </w:rPr>
        <w:t xml:space="preserve"> </w:t>
      </w:r>
      <w:r w:rsidR="005F350B" w:rsidRPr="00CE23AE">
        <w:rPr>
          <w:rFonts w:cs="TimesNewRomanPSMT"/>
          <w:lang w:val="en-US"/>
        </w:rPr>
        <w:t xml:space="preserve">merely </w:t>
      </w:r>
      <w:r w:rsidR="007D628A" w:rsidRPr="00CE23AE">
        <w:rPr>
          <w:rFonts w:cs="TimesNewRomanPSMT"/>
          <w:lang w:val="en-US"/>
        </w:rPr>
        <w:t>signifie</w:t>
      </w:r>
      <w:r w:rsidR="005F350B" w:rsidRPr="00CE23AE">
        <w:rPr>
          <w:rFonts w:cs="TimesNewRomanPSMT"/>
          <w:lang w:val="en-US"/>
        </w:rPr>
        <w:t xml:space="preserve">s acts performed in good faith,” and “does not </w:t>
      </w:r>
      <w:r w:rsidR="007D628A" w:rsidRPr="00CE23AE">
        <w:rPr>
          <w:rFonts w:cs="TimesNewRomanPSMT"/>
          <w:lang w:val="en-US"/>
        </w:rPr>
        <w:t>mean</w:t>
      </w:r>
      <w:r w:rsidR="005F350B" w:rsidRPr="00CE23AE">
        <w:rPr>
          <w:rFonts w:cs="TimesNewRomanPSMT"/>
          <w:lang w:val="en-US"/>
        </w:rPr>
        <w:t xml:space="preserve"> </w:t>
      </w:r>
      <w:r w:rsidR="007D628A" w:rsidRPr="00CE23AE">
        <w:rPr>
          <w:rFonts w:cs="TimesNewRomanPSMT"/>
          <w:lang w:val="en-US"/>
        </w:rPr>
        <w:t>an</w:t>
      </w:r>
      <w:r w:rsidR="005F350B" w:rsidRPr="00CE23AE">
        <w:rPr>
          <w:rFonts w:cs="TimesNewRomanPSMT"/>
          <w:lang w:val="en-US"/>
        </w:rPr>
        <w:t xml:space="preserve"> acknowledgement of the State’s international responsibility.” It also indicated that, if the contrary were true, “th</w:t>
      </w:r>
      <w:r w:rsidR="007D628A" w:rsidRPr="00CE23AE">
        <w:rPr>
          <w:rFonts w:cs="TimesNewRomanPSMT"/>
          <w:lang w:val="en-US"/>
        </w:rPr>
        <w:t>e</w:t>
      </w:r>
      <w:r w:rsidR="005F350B" w:rsidRPr="00CE23AE">
        <w:rPr>
          <w:rFonts w:cs="TimesNewRomanPSMT"/>
          <w:lang w:val="en-US"/>
        </w:rPr>
        <w:t xml:space="preserve"> effect would be that no State would try to implement the recommendations established in the merits reports.” Therefore, it considered that any allegation “suggesting an acknowledgement of responsibility by Ecuador would </w:t>
      </w:r>
      <w:r w:rsidR="007D628A" w:rsidRPr="00CE23AE">
        <w:rPr>
          <w:rFonts w:cs="TimesNewRomanPSMT"/>
          <w:lang w:val="en-US"/>
        </w:rPr>
        <w:t>be groundless</w:t>
      </w:r>
      <w:r w:rsidR="005F350B" w:rsidRPr="00CE23AE">
        <w:rPr>
          <w:rFonts w:cs="TimesNewRomanPSMT"/>
          <w:lang w:val="en-US"/>
        </w:rPr>
        <w:t xml:space="preserve"> and should be rejected by </w:t>
      </w:r>
      <w:r w:rsidRPr="00CE23AE">
        <w:rPr>
          <w:rFonts w:cs="TimesNewRomanPSMT"/>
          <w:lang w:val="en-US"/>
        </w:rPr>
        <w:t>the Court</w:t>
      </w:r>
      <w:r w:rsidR="005F350B" w:rsidRPr="00CE23AE">
        <w:rPr>
          <w:rFonts w:cs="TimesNewRomanPSMT"/>
          <w:lang w:val="en-US"/>
        </w:rPr>
        <w:t>.</w:t>
      </w:r>
      <w:r w:rsidR="00955F86" w:rsidRPr="00CE23AE">
        <w:rPr>
          <w:rFonts w:cs="TimesNewRomanPSMT"/>
          <w:lang w:val="en-US"/>
        </w:rPr>
        <w:t>”</w:t>
      </w:r>
      <w:r w:rsidR="009E2C81" w:rsidRPr="00CE23AE">
        <w:rPr>
          <w:rFonts w:cs="TimesNewRomanPSMT"/>
          <w:lang w:val="en-US"/>
        </w:rPr>
        <w:t xml:space="preserve"> </w:t>
      </w:r>
    </w:p>
    <w:p w14:paraId="6136D9C6" w14:textId="77777777" w:rsidR="007D628A" w:rsidRPr="00CE23AE" w:rsidRDefault="007D628A" w:rsidP="007D628A">
      <w:pPr>
        <w:pStyle w:val="PrrafodeSentencia"/>
        <w:numPr>
          <w:ilvl w:val="0"/>
          <w:numId w:val="0"/>
        </w:numPr>
        <w:rPr>
          <w:b/>
          <w:lang w:val="en-US"/>
        </w:rPr>
      </w:pPr>
    </w:p>
    <w:p w14:paraId="6B73E235" w14:textId="1E59CD8C" w:rsidR="009E2C81" w:rsidRPr="00CE23AE" w:rsidRDefault="00B4473B" w:rsidP="009E2C81">
      <w:pPr>
        <w:pStyle w:val="Ttulo3"/>
        <w:rPr>
          <w:lang w:val="en-US"/>
        </w:rPr>
      </w:pPr>
      <w:bookmarkStart w:id="148" w:name="_Toc453874314"/>
      <w:bookmarkStart w:id="149" w:name="_Toc454891475"/>
      <w:bookmarkStart w:id="150" w:name="_Toc457840579"/>
      <w:bookmarkStart w:id="151" w:name="_Toc460398530"/>
      <w:bookmarkStart w:id="152" w:name="_Toc464474966"/>
      <w:bookmarkStart w:id="153" w:name="_Toc46388353"/>
      <w:r w:rsidRPr="00CE23AE">
        <w:rPr>
          <w:lang w:val="en-US"/>
        </w:rPr>
        <w:t>C.2</w:t>
      </w:r>
      <w:r w:rsidR="009E2C81" w:rsidRPr="00CE23AE">
        <w:rPr>
          <w:lang w:val="en-US"/>
        </w:rPr>
        <w:t xml:space="preserve"> </w:t>
      </w:r>
      <w:r w:rsidR="005024E2" w:rsidRPr="00CE23AE">
        <w:rPr>
          <w:lang w:val="en-US"/>
        </w:rPr>
        <w:t>Considerations</w:t>
      </w:r>
      <w:r w:rsidR="00C561DF" w:rsidRPr="00CE23AE">
        <w:rPr>
          <w:lang w:val="en-US"/>
        </w:rPr>
        <w:t xml:space="preserve"> of the Court</w:t>
      </w:r>
      <w:bookmarkEnd w:id="148"/>
      <w:bookmarkEnd w:id="149"/>
      <w:bookmarkEnd w:id="150"/>
      <w:bookmarkEnd w:id="151"/>
      <w:bookmarkEnd w:id="152"/>
      <w:bookmarkEnd w:id="153"/>
    </w:p>
    <w:p w14:paraId="57BA00D1" w14:textId="77777777" w:rsidR="009E2C81" w:rsidRPr="00CE23AE" w:rsidRDefault="009E2C81" w:rsidP="00953CA6">
      <w:pPr>
        <w:rPr>
          <w:lang w:val="en-US"/>
        </w:rPr>
      </w:pPr>
    </w:p>
    <w:p w14:paraId="15BE2B9E" w14:textId="7DDB2DE3" w:rsidR="009E2C81" w:rsidRPr="00CE23AE" w:rsidRDefault="00C561DF" w:rsidP="009E2C81">
      <w:pPr>
        <w:pStyle w:val="PrrafodeSentencia"/>
        <w:rPr>
          <w:b/>
          <w:lang w:val="en-US"/>
        </w:rPr>
      </w:pPr>
      <w:bookmarkStart w:id="154" w:name="_Ref452646355"/>
      <w:r w:rsidRPr="00CE23AE">
        <w:rPr>
          <w:lang w:val="en-US"/>
        </w:rPr>
        <w:t>The Court</w:t>
      </w:r>
      <w:r w:rsidR="009E2C81" w:rsidRPr="00CE23AE">
        <w:rPr>
          <w:lang w:val="en-US"/>
        </w:rPr>
        <w:t xml:space="preserve"> </w:t>
      </w:r>
      <w:r w:rsidR="00F5102B" w:rsidRPr="00CE23AE">
        <w:rPr>
          <w:lang w:val="en-US"/>
        </w:rPr>
        <w:t>notes that following the issue of the</w:t>
      </w:r>
      <w:r w:rsidR="009E2C81" w:rsidRPr="00CE23AE">
        <w:rPr>
          <w:lang w:val="en-US"/>
        </w:rPr>
        <w:t xml:space="preserve"> </w:t>
      </w:r>
      <w:r w:rsidRPr="00CE23AE">
        <w:rPr>
          <w:lang w:val="en-US"/>
        </w:rPr>
        <w:t>Merits Report</w:t>
      </w:r>
      <w:r w:rsidR="009E2C81" w:rsidRPr="00CE23AE">
        <w:rPr>
          <w:lang w:val="en-US"/>
        </w:rPr>
        <w:t xml:space="preserve">, </w:t>
      </w:r>
      <w:r w:rsidRPr="00CE23AE">
        <w:rPr>
          <w:lang w:val="en-US"/>
        </w:rPr>
        <w:t>the State</w:t>
      </w:r>
      <w:r w:rsidR="00195EA8" w:rsidRPr="00CE23AE">
        <w:rPr>
          <w:lang w:val="en-US"/>
        </w:rPr>
        <w:t xml:space="preserve">, in compliance with the recommendations made in this report, carried out an act of public apology on July 28, 2014, during which it unveiled a plaque located in the main entry hall of the </w:t>
      </w:r>
      <w:r w:rsidR="00284AD8" w:rsidRPr="00CE23AE">
        <w:rPr>
          <w:lang w:val="en-US"/>
        </w:rPr>
        <w:t xml:space="preserve">Army’s </w:t>
      </w:r>
      <w:r w:rsidR="00195EA8" w:rsidRPr="00CE23AE">
        <w:rPr>
          <w:lang w:val="en-US"/>
        </w:rPr>
        <w:t>General Command</w:t>
      </w:r>
      <w:r w:rsidR="00284AD8" w:rsidRPr="00CE23AE">
        <w:rPr>
          <w:lang w:val="en-US"/>
        </w:rPr>
        <w:t xml:space="preserve"> building</w:t>
      </w:r>
      <w:r w:rsidR="00195EA8" w:rsidRPr="00CE23AE">
        <w:rPr>
          <w:lang w:val="en-US"/>
        </w:rPr>
        <w:t>.</w:t>
      </w:r>
      <w:r w:rsidR="009E2C81" w:rsidRPr="00CE23AE">
        <w:rPr>
          <w:rStyle w:val="Refdenotaalpie"/>
          <w:lang w:val="en-US"/>
        </w:rPr>
        <w:footnoteReference w:id="31"/>
      </w:r>
      <w:r w:rsidR="009E2C81" w:rsidRPr="00CE23AE">
        <w:rPr>
          <w:lang w:val="en-US"/>
        </w:rPr>
        <w:t xml:space="preserve"> </w:t>
      </w:r>
      <w:r w:rsidR="00195EA8" w:rsidRPr="00CE23AE">
        <w:rPr>
          <w:lang w:val="en-US"/>
        </w:rPr>
        <w:t xml:space="preserve">The </w:t>
      </w:r>
      <w:r w:rsidR="009E2C81" w:rsidRPr="00CE23AE">
        <w:rPr>
          <w:lang w:val="en-US"/>
        </w:rPr>
        <w:t>“act</w:t>
      </w:r>
      <w:r w:rsidR="00195EA8" w:rsidRPr="00CE23AE">
        <w:rPr>
          <w:lang w:val="en-US"/>
        </w:rPr>
        <w:t xml:space="preserve"> was presided by the […] Deputy Minister of National Defense</w:t>
      </w:r>
      <w:r w:rsidR="009E2C81" w:rsidRPr="00CE23AE">
        <w:rPr>
          <w:lang w:val="en-US"/>
        </w:rPr>
        <w:t xml:space="preserve">; </w:t>
      </w:r>
      <w:r w:rsidR="00195EA8" w:rsidRPr="00CE23AE">
        <w:rPr>
          <w:lang w:val="en-US"/>
        </w:rPr>
        <w:t xml:space="preserve">and was attended by delegations from the Ministry of Justice, Human Rights and Worship, the Office of the Attorney General, </w:t>
      </w:r>
      <w:r w:rsidR="0078516C" w:rsidRPr="00CE23AE">
        <w:rPr>
          <w:lang w:val="en-US"/>
        </w:rPr>
        <w:t>the Ministry of National Defense</w:t>
      </w:r>
      <w:r w:rsidR="009E2C81" w:rsidRPr="00CE23AE">
        <w:rPr>
          <w:lang w:val="en-US"/>
        </w:rPr>
        <w:t xml:space="preserve">, </w:t>
      </w:r>
      <w:r w:rsidR="00195EA8" w:rsidRPr="00CE23AE">
        <w:rPr>
          <w:lang w:val="en-US"/>
        </w:rPr>
        <w:t xml:space="preserve">the Ground Forces, and guests of </w:t>
      </w:r>
      <w:r w:rsidR="009E2C81" w:rsidRPr="00CE23AE">
        <w:rPr>
          <w:lang w:val="en-US"/>
        </w:rPr>
        <w:t>Homero Flor Freire</w:t>
      </w:r>
      <w:r w:rsidR="00195EA8" w:rsidRPr="00CE23AE">
        <w:rPr>
          <w:lang w:val="en-US"/>
        </w:rPr>
        <w:t>.</w:t>
      </w:r>
      <w:r w:rsidR="009E2C81" w:rsidRPr="00CE23AE">
        <w:rPr>
          <w:lang w:val="en-US"/>
        </w:rPr>
        <w:t>”</w:t>
      </w:r>
      <w:r w:rsidR="009E2C81" w:rsidRPr="00CE23AE">
        <w:rPr>
          <w:rStyle w:val="Refdenotaalpie"/>
          <w:lang w:val="en-US"/>
        </w:rPr>
        <w:footnoteReference w:id="32"/>
      </w:r>
      <w:r w:rsidR="00195EA8" w:rsidRPr="00CE23AE">
        <w:rPr>
          <w:lang w:val="en-US"/>
        </w:rPr>
        <w:t xml:space="preserve"> The plaque reads:</w:t>
      </w:r>
      <w:bookmarkEnd w:id="154"/>
    </w:p>
    <w:p w14:paraId="3B9C1022" w14:textId="77777777" w:rsidR="009E2C81" w:rsidRPr="00CE23AE" w:rsidRDefault="009E2C81" w:rsidP="009E2C81">
      <w:pPr>
        <w:spacing w:line="240" w:lineRule="auto"/>
        <w:ind w:right="899"/>
        <w:rPr>
          <w:sz w:val="18"/>
          <w:szCs w:val="18"/>
          <w:lang w:val="en-US"/>
        </w:rPr>
      </w:pPr>
    </w:p>
    <w:p w14:paraId="6D23C9FB" w14:textId="2EB01059" w:rsidR="009E2C81" w:rsidRPr="00CE23AE" w:rsidRDefault="00195EA8" w:rsidP="00195EA8">
      <w:pPr>
        <w:spacing w:line="240" w:lineRule="auto"/>
        <w:ind w:left="708" w:right="725"/>
        <w:rPr>
          <w:sz w:val="18"/>
          <w:szCs w:val="18"/>
          <w:lang w:val="en-US"/>
        </w:rPr>
      </w:pPr>
      <w:r w:rsidRPr="00CE23AE">
        <w:rPr>
          <w:sz w:val="18"/>
          <w:szCs w:val="18"/>
          <w:lang w:val="en-US"/>
        </w:rPr>
        <w:t xml:space="preserve">This plaque records the apology of the Ecuadorian State, through </w:t>
      </w:r>
      <w:r w:rsidR="0078516C" w:rsidRPr="00CE23AE">
        <w:rPr>
          <w:sz w:val="18"/>
          <w:szCs w:val="18"/>
          <w:lang w:val="en-US"/>
        </w:rPr>
        <w:t>the Ministry of National Defense</w:t>
      </w:r>
      <w:r w:rsidRPr="00CE23AE">
        <w:rPr>
          <w:sz w:val="18"/>
          <w:szCs w:val="18"/>
          <w:lang w:val="en-US"/>
        </w:rPr>
        <w:t>, to Lt.</w:t>
      </w:r>
      <w:r w:rsidR="009E2C81" w:rsidRPr="00CE23AE">
        <w:rPr>
          <w:sz w:val="18"/>
          <w:szCs w:val="18"/>
          <w:lang w:val="en-US"/>
        </w:rPr>
        <w:t xml:space="preserve"> </w:t>
      </w:r>
      <w:r w:rsidR="009E2C81" w:rsidRPr="00CE23AE">
        <w:rPr>
          <w:i/>
          <w:sz w:val="18"/>
          <w:szCs w:val="18"/>
          <w:lang w:val="en-US"/>
        </w:rPr>
        <w:t>Homero Fabián Flor Freire</w:t>
      </w:r>
      <w:r w:rsidR="009E2C81" w:rsidRPr="00CE23AE">
        <w:rPr>
          <w:sz w:val="18"/>
          <w:szCs w:val="18"/>
          <w:lang w:val="en-US"/>
        </w:rPr>
        <w:t xml:space="preserve"> </w:t>
      </w:r>
      <w:r w:rsidRPr="00CE23AE">
        <w:rPr>
          <w:sz w:val="18"/>
          <w:szCs w:val="18"/>
          <w:lang w:val="en-US"/>
        </w:rPr>
        <w:t>for his discriminatory and unsubstantiated discharge from the Ecuadorian Ground Forces in 2001, in violation of his constitutional rights.</w:t>
      </w:r>
      <w:r w:rsidR="009E2C81" w:rsidRPr="00CE23AE">
        <w:rPr>
          <w:rStyle w:val="Refdenotaalpie"/>
          <w:sz w:val="18"/>
          <w:szCs w:val="18"/>
          <w:lang w:val="en-US"/>
        </w:rPr>
        <w:footnoteReference w:id="33"/>
      </w:r>
    </w:p>
    <w:p w14:paraId="11089607" w14:textId="6CA7834A" w:rsidR="009E2C81" w:rsidRPr="00CE23AE" w:rsidRDefault="009E2C81" w:rsidP="009E2C81">
      <w:pPr>
        <w:pStyle w:val="PrrafodeSentencia"/>
        <w:numPr>
          <w:ilvl w:val="0"/>
          <w:numId w:val="0"/>
        </w:numPr>
        <w:rPr>
          <w:b/>
          <w:lang w:val="en-US"/>
        </w:rPr>
      </w:pPr>
    </w:p>
    <w:p w14:paraId="11703721" w14:textId="4268035F" w:rsidR="00274872" w:rsidRPr="00CE23AE" w:rsidRDefault="00195EA8" w:rsidP="00274872">
      <w:pPr>
        <w:pStyle w:val="PrrafodeSentencia"/>
        <w:rPr>
          <w:b/>
          <w:lang w:val="en-US"/>
        </w:rPr>
      </w:pPr>
      <w:r w:rsidRPr="00CE23AE">
        <w:rPr>
          <w:lang w:val="en-US"/>
        </w:rPr>
        <w:t>This text was published</w:t>
      </w:r>
      <w:r w:rsidR="009E2C81" w:rsidRPr="00CE23AE">
        <w:rPr>
          <w:lang w:val="en-US"/>
        </w:rPr>
        <w:t xml:space="preserve"> “</w:t>
      </w:r>
      <w:r w:rsidRPr="00CE23AE">
        <w:rPr>
          <w:lang w:val="en-US"/>
        </w:rPr>
        <w:t>on the website</w:t>
      </w:r>
      <w:r w:rsidR="0078516C" w:rsidRPr="00CE23AE">
        <w:rPr>
          <w:lang w:val="en-US"/>
        </w:rPr>
        <w:t xml:space="preserve"> of the Ministry of National Defense</w:t>
      </w:r>
      <w:r w:rsidRPr="00CE23AE">
        <w:rPr>
          <w:lang w:val="en-US"/>
        </w:rPr>
        <w:t>.</w:t>
      </w:r>
      <w:r w:rsidR="009E2C81" w:rsidRPr="00CE23AE">
        <w:rPr>
          <w:lang w:val="en-US"/>
        </w:rPr>
        <w:t>”</w:t>
      </w:r>
      <w:r w:rsidR="009E2C81" w:rsidRPr="00CE23AE">
        <w:rPr>
          <w:rStyle w:val="Refdenotaalpie"/>
          <w:lang w:val="en-US"/>
        </w:rPr>
        <w:footnoteReference w:id="34"/>
      </w:r>
      <w:r w:rsidR="00931B8C" w:rsidRPr="00CE23AE">
        <w:rPr>
          <w:lang w:val="en-US"/>
        </w:rPr>
        <w:t xml:space="preserve"> </w:t>
      </w:r>
    </w:p>
    <w:p w14:paraId="18FFA364" w14:textId="77777777" w:rsidR="00274872" w:rsidRPr="00CE23AE" w:rsidRDefault="00274872" w:rsidP="00274872">
      <w:pPr>
        <w:pStyle w:val="PrrafodeSentencia"/>
        <w:numPr>
          <w:ilvl w:val="0"/>
          <w:numId w:val="0"/>
        </w:numPr>
        <w:rPr>
          <w:b/>
          <w:lang w:val="en-US"/>
        </w:rPr>
      </w:pPr>
    </w:p>
    <w:p w14:paraId="222BE1DC" w14:textId="19730915" w:rsidR="008D4CE2" w:rsidRPr="00CE23AE" w:rsidRDefault="00000AE1" w:rsidP="00274872">
      <w:pPr>
        <w:pStyle w:val="PrrafodeSentencia"/>
        <w:rPr>
          <w:b/>
          <w:lang w:val="en-US"/>
        </w:rPr>
      </w:pPr>
      <w:bookmarkStart w:id="155" w:name="_Ref454358849"/>
      <w:r w:rsidRPr="00CE23AE">
        <w:rPr>
          <w:lang w:val="en-US"/>
        </w:rPr>
        <w:t>In addition,</w:t>
      </w:r>
      <w:r w:rsidR="008D4CE2" w:rsidRPr="00CE23AE">
        <w:rPr>
          <w:lang w:val="en-US"/>
        </w:rPr>
        <w:t xml:space="preserve"> </w:t>
      </w:r>
      <w:r w:rsidRPr="00CE23AE">
        <w:rPr>
          <w:lang w:val="en-US"/>
        </w:rPr>
        <w:t>during the procedure before</w:t>
      </w:r>
      <w:r w:rsidR="008D4CE2" w:rsidRPr="00CE23AE">
        <w:rPr>
          <w:lang w:val="en-US"/>
        </w:rPr>
        <w:t xml:space="preserve"> </w:t>
      </w:r>
      <w:r w:rsidR="00C561DF" w:rsidRPr="00CE23AE">
        <w:rPr>
          <w:lang w:val="en-US"/>
        </w:rPr>
        <w:t>the Commission</w:t>
      </w:r>
      <w:r w:rsidR="008D4CE2" w:rsidRPr="00CE23AE">
        <w:rPr>
          <w:lang w:val="en-US"/>
        </w:rPr>
        <w:t xml:space="preserve">, </w:t>
      </w:r>
      <w:r w:rsidR="00C561DF" w:rsidRPr="00CE23AE">
        <w:rPr>
          <w:lang w:val="en-US"/>
        </w:rPr>
        <w:t>the State</w:t>
      </w:r>
      <w:r w:rsidR="008D4CE2" w:rsidRPr="00CE23AE">
        <w:rPr>
          <w:lang w:val="en-US"/>
        </w:rPr>
        <w:t xml:space="preserve"> of</w:t>
      </w:r>
      <w:r w:rsidRPr="00CE23AE">
        <w:rPr>
          <w:lang w:val="en-US"/>
        </w:rPr>
        <w:t xml:space="preserve">fered to make other publications, conduct negotiations </w:t>
      </w:r>
      <w:r w:rsidR="00284AD8" w:rsidRPr="00CE23AE">
        <w:rPr>
          <w:lang w:val="en-US"/>
        </w:rPr>
        <w:t>on</w:t>
      </w:r>
      <w:r w:rsidRPr="00CE23AE">
        <w:rPr>
          <w:lang w:val="en-US"/>
        </w:rPr>
        <w:t xml:space="preserve"> compensation</w:t>
      </w:r>
      <w:r w:rsidR="00284AD8" w:rsidRPr="00CE23AE">
        <w:rPr>
          <w:lang w:val="en-US"/>
        </w:rPr>
        <w:t xml:space="preserve"> for</w:t>
      </w:r>
      <w:r w:rsidRPr="00CE23AE">
        <w:rPr>
          <w:lang w:val="en-US"/>
        </w:rPr>
        <w:t xml:space="preserve"> Mr. </w:t>
      </w:r>
      <w:r w:rsidR="008D4CE2" w:rsidRPr="00CE23AE">
        <w:rPr>
          <w:lang w:val="en-US"/>
        </w:rPr>
        <w:t>Flor Freire</w:t>
      </w:r>
      <w:r w:rsidRPr="00CE23AE">
        <w:rPr>
          <w:lang w:val="en-US"/>
        </w:rPr>
        <w:t>,</w:t>
      </w:r>
      <w:r w:rsidR="00C561DF" w:rsidRPr="00CE23AE">
        <w:rPr>
          <w:lang w:val="en-US"/>
        </w:rPr>
        <w:t xml:space="preserve"> and</w:t>
      </w:r>
      <w:r w:rsidRPr="00CE23AE">
        <w:rPr>
          <w:lang w:val="en-US"/>
        </w:rPr>
        <w:t xml:space="preserve"> mentioned the adoption of other measures, as guarantees of non-repetition, investigation actions, and the elimination of the proceedings against him from Mr.</w:t>
      </w:r>
      <w:r w:rsidR="00F5102B" w:rsidRPr="00CE23AE">
        <w:rPr>
          <w:lang w:val="en-US"/>
        </w:rPr>
        <w:t xml:space="preserve"> Flor</w:t>
      </w:r>
      <w:r w:rsidR="00E90AE3" w:rsidRPr="00CE23AE">
        <w:rPr>
          <w:lang w:val="en-US"/>
        </w:rPr>
        <w:t xml:space="preserve"> Freire </w:t>
      </w:r>
      <w:r w:rsidRPr="00CE23AE">
        <w:rPr>
          <w:lang w:val="en-US"/>
        </w:rPr>
        <w:t>military record.</w:t>
      </w:r>
      <w:r w:rsidR="008D4CE2" w:rsidRPr="00CE23AE">
        <w:rPr>
          <w:rStyle w:val="Refdenotaalpie"/>
          <w:lang w:val="en-US"/>
        </w:rPr>
        <w:footnoteReference w:id="35"/>
      </w:r>
      <w:r w:rsidRPr="00CE23AE">
        <w:rPr>
          <w:lang w:val="en-US"/>
        </w:rPr>
        <w:t xml:space="preserve"> However, there is no record in the case file that these measures have been </w:t>
      </w:r>
      <w:bookmarkEnd w:id="155"/>
      <w:r w:rsidRPr="00CE23AE">
        <w:rPr>
          <w:lang w:val="en-US"/>
        </w:rPr>
        <w:t>taken.</w:t>
      </w:r>
    </w:p>
    <w:p w14:paraId="0884870C" w14:textId="77777777" w:rsidR="00D158B0" w:rsidRPr="00CE23AE" w:rsidRDefault="00D158B0" w:rsidP="00D158B0">
      <w:pPr>
        <w:pStyle w:val="Prrafodelista"/>
        <w:rPr>
          <w:lang w:val="en-US"/>
        </w:rPr>
      </w:pPr>
    </w:p>
    <w:p w14:paraId="5F3D8DD5" w14:textId="4C41B41C" w:rsidR="00D158B0" w:rsidRPr="00CE23AE" w:rsidRDefault="00000AE1" w:rsidP="00D158B0">
      <w:pPr>
        <w:pStyle w:val="PrrafodeSentencia"/>
        <w:rPr>
          <w:b/>
          <w:lang w:val="en-US"/>
        </w:rPr>
      </w:pPr>
      <w:bookmarkStart w:id="156" w:name="_Ref453708502"/>
      <w:r w:rsidRPr="00CE23AE">
        <w:rPr>
          <w:lang w:val="en-US"/>
        </w:rPr>
        <w:t xml:space="preserve">That said, during the stage of compliance with the Commission’s </w:t>
      </w:r>
      <w:r w:rsidR="00C561DF" w:rsidRPr="00CE23AE">
        <w:rPr>
          <w:lang w:val="en-US"/>
        </w:rPr>
        <w:t>recommendations</w:t>
      </w:r>
      <w:r w:rsidRPr="00CE23AE">
        <w:rPr>
          <w:lang w:val="en-US"/>
        </w:rPr>
        <w:t xml:space="preserve">, the State clarified that, if no agreement was reached on compliance with the </w:t>
      </w:r>
      <w:r w:rsidR="00C561DF" w:rsidRPr="00CE23AE">
        <w:rPr>
          <w:lang w:val="en-US"/>
        </w:rPr>
        <w:t>Merits Report</w:t>
      </w:r>
      <w:r w:rsidRPr="00CE23AE">
        <w:rPr>
          <w:lang w:val="en-US"/>
        </w:rPr>
        <w:t>,</w:t>
      </w:r>
      <w:r w:rsidR="009E2C81" w:rsidRPr="00CE23AE">
        <w:rPr>
          <w:lang w:val="en-US"/>
        </w:rPr>
        <w:t xml:space="preserve"> “</w:t>
      </w:r>
      <w:r w:rsidRPr="00CE23AE">
        <w:rPr>
          <w:lang w:val="en-US"/>
        </w:rPr>
        <w:t>the information provided by the State could not be considered an acknowledgement of acceptance</w:t>
      </w:r>
      <w:r w:rsidR="00284AD8" w:rsidRPr="00CE23AE">
        <w:rPr>
          <w:lang w:val="en-US"/>
        </w:rPr>
        <w:t xml:space="preserve"> of international </w:t>
      </w:r>
      <w:r w:rsidRPr="00CE23AE">
        <w:rPr>
          <w:lang w:val="en-US"/>
        </w:rPr>
        <w:t>responsibility</w:t>
      </w:r>
      <w:r w:rsidR="009E2C81" w:rsidRPr="00CE23AE">
        <w:rPr>
          <w:lang w:val="en-US"/>
        </w:rPr>
        <w:t xml:space="preserve"> </w:t>
      </w:r>
      <w:r w:rsidRPr="00CE23AE">
        <w:rPr>
          <w:lang w:val="en-US"/>
        </w:rPr>
        <w:t xml:space="preserve">before </w:t>
      </w:r>
      <w:r w:rsidR="00C561DF" w:rsidRPr="00CE23AE">
        <w:rPr>
          <w:lang w:val="en-US"/>
        </w:rPr>
        <w:t>the Inter-American Court of Human Rights</w:t>
      </w:r>
      <w:r w:rsidRPr="00CE23AE">
        <w:rPr>
          <w:lang w:val="en-US"/>
        </w:rPr>
        <w:t>.</w:t>
      </w:r>
      <w:r w:rsidR="009E2C81" w:rsidRPr="00CE23AE">
        <w:rPr>
          <w:lang w:val="en-US"/>
        </w:rPr>
        <w:t>”</w:t>
      </w:r>
      <w:r w:rsidR="009E2C81" w:rsidRPr="00CE23AE">
        <w:rPr>
          <w:rStyle w:val="Refdenotaalpie"/>
          <w:lang w:val="en-US"/>
        </w:rPr>
        <w:footnoteReference w:id="36"/>
      </w:r>
      <w:bookmarkEnd w:id="156"/>
    </w:p>
    <w:p w14:paraId="5777003D" w14:textId="58D850BE" w:rsidR="00D158B0" w:rsidRPr="00CE23AE" w:rsidRDefault="00D158B0" w:rsidP="00D158B0">
      <w:pPr>
        <w:pStyle w:val="Prrafodelista"/>
        <w:rPr>
          <w:rFonts w:eastAsia="Verdana" w:cs="Verdana"/>
          <w:lang w:val="en-US"/>
        </w:rPr>
      </w:pPr>
    </w:p>
    <w:p w14:paraId="0B511887" w14:textId="17B64D0F" w:rsidR="00D158B0" w:rsidRPr="00CE23AE" w:rsidRDefault="00000AE1" w:rsidP="001A6F60">
      <w:pPr>
        <w:pStyle w:val="PrrafodeSentencia"/>
        <w:rPr>
          <w:b/>
          <w:lang w:val="en-US"/>
        </w:rPr>
      </w:pPr>
      <w:r w:rsidRPr="00CE23AE">
        <w:rPr>
          <w:rFonts w:eastAsia="Verdana" w:cs="Verdana"/>
          <w:lang w:val="en-US"/>
        </w:rPr>
        <w:t xml:space="preserve">The Court recalls that </w:t>
      </w:r>
      <w:r w:rsidR="00C561DF" w:rsidRPr="00CE23AE">
        <w:rPr>
          <w:rFonts w:eastAsia="Verdana" w:cs="Verdana"/>
          <w:spacing w:val="2"/>
          <w:lang w:val="en-US"/>
        </w:rPr>
        <w:t>Article</w:t>
      </w:r>
      <w:r w:rsidR="009E2C81" w:rsidRPr="00CE23AE">
        <w:rPr>
          <w:rFonts w:eastAsia="Verdana" w:cs="Verdana"/>
          <w:spacing w:val="2"/>
          <w:lang w:val="en-US"/>
        </w:rPr>
        <w:t xml:space="preserve"> 62 </w:t>
      </w:r>
      <w:r w:rsidRPr="00CE23AE">
        <w:rPr>
          <w:rFonts w:eastAsia="Verdana" w:cs="Verdana"/>
          <w:spacing w:val="2"/>
          <w:lang w:val="en-US"/>
        </w:rPr>
        <w:t xml:space="preserve">of its Rules of Procedure regulate the “acceptance of the facts or the total or partial acquiescence” made </w:t>
      </w:r>
      <w:r w:rsidR="001A6F60" w:rsidRPr="00CE23AE">
        <w:rPr>
          <w:rFonts w:eastAsia="Verdana" w:cs="Verdana"/>
          <w:spacing w:val="2"/>
          <w:lang w:val="en-US"/>
        </w:rPr>
        <w:t>before the Court.</w:t>
      </w:r>
      <w:r w:rsidR="009E2C81" w:rsidRPr="00CE23AE">
        <w:rPr>
          <w:rStyle w:val="Refdenotaalpie"/>
          <w:rFonts w:eastAsia="Verdana"/>
          <w:spacing w:val="2"/>
          <w:lang w:val="en-US"/>
        </w:rPr>
        <w:footnoteReference w:id="37"/>
      </w:r>
      <w:r w:rsidR="001A6F60" w:rsidRPr="00CE23AE">
        <w:rPr>
          <w:rFonts w:eastAsia="Verdana" w:cs="Verdana"/>
          <w:spacing w:val="2"/>
          <w:lang w:val="en-US"/>
        </w:rPr>
        <w:t xml:space="preserve"> However, it has considered that acts of acquiescence made during the procedure before </w:t>
      </w:r>
      <w:r w:rsidR="00C561DF" w:rsidRPr="00CE23AE">
        <w:rPr>
          <w:lang w:val="en-US"/>
        </w:rPr>
        <w:t>the Commission</w:t>
      </w:r>
      <w:r w:rsidR="009E2C81" w:rsidRPr="00CE23AE">
        <w:rPr>
          <w:lang w:val="en-US"/>
        </w:rPr>
        <w:t xml:space="preserve"> </w:t>
      </w:r>
      <w:r w:rsidR="001A6F60" w:rsidRPr="00CE23AE">
        <w:rPr>
          <w:lang w:val="en-US"/>
        </w:rPr>
        <w:t xml:space="preserve">are necessarily relevant to determine whether the application of the </w:t>
      </w:r>
      <w:r w:rsidR="001A6F60" w:rsidRPr="00CE23AE">
        <w:rPr>
          <w:i/>
          <w:iCs/>
          <w:lang w:val="en-US"/>
        </w:rPr>
        <w:t>estoppel</w:t>
      </w:r>
      <w:r w:rsidR="001A6F60" w:rsidRPr="00CE23AE">
        <w:rPr>
          <w:lang w:val="en-US"/>
        </w:rPr>
        <w:t xml:space="preserve"> principle is in order with regard to contrary positions alleged during the proceedings in the case before</w:t>
      </w:r>
      <w:r w:rsidR="009E2C81" w:rsidRPr="00CE23AE">
        <w:rPr>
          <w:lang w:val="en-US"/>
        </w:rPr>
        <w:t xml:space="preserve"> </w:t>
      </w:r>
      <w:r w:rsidR="00C561DF" w:rsidRPr="00CE23AE">
        <w:rPr>
          <w:lang w:val="en-US"/>
        </w:rPr>
        <w:t>the Court</w:t>
      </w:r>
      <w:r w:rsidR="001A6F60" w:rsidRPr="00CE23AE">
        <w:rPr>
          <w:lang w:val="en-US"/>
        </w:rPr>
        <w:t>.</w:t>
      </w:r>
      <w:r w:rsidR="009E2C81" w:rsidRPr="00CE23AE">
        <w:rPr>
          <w:rStyle w:val="Refdenotaalpie"/>
          <w:lang w:val="en-US"/>
        </w:rPr>
        <w:footnoteReference w:id="38"/>
      </w:r>
      <w:r w:rsidR="001A6F60" w:rsidRPr="00CE23AE">
        <w:rPr>
          <w:lang w:val="en-US"/>
        </w:rPr>
        <w:t xml:space="preserve"> The Court has also established that the acts of acknowledgment of responsibility </w:t>
      </w:r>
      <w:r w:rsidR="00284AD8" w:rsidRPr="00CE23AE">
        <w:rPr>
          <w:lang w:val="en-US"/>
        </w:rPr>
        <w:t>are analyzed</w:t>
      </w:r>
      <w:r w:rsidR="001A6F60" w:rsidRPr="00CE23AE">
        <w:rPr>
          <w:lang w:val="en-US"/>
        </w:rPr>
        <w:t xml:space="preserve"> in each specific case.</w:t>
      </w:r>
      <w:r w:rsidR="00E05ECF" w:rsidRPr="00CE23AE">
        <w:rPr>
          <w:rStyle w:val="Refdenotaalpie"/>
          <w:lang w:val="en-US"/>
        </w:rPr>
        <w:footnoteReference w:id="39"/>
      </w:r>
    </w:p>
    <w:p w14:paraId="4126A9E4" w14:textId="7E6281B2" w:rsidR="00D158B0" w:rsidRPr="00CE23AE" w:rsidRDefault="00D158B0" w:rsidP="00D158B0">
      <w:pPr>
        <w:pStyle w:val="Prrafodelista"/>
        <w:rPr>
          <w:lang w:val="en-US"/>
        </w:rPr>
      </w:pPr>
    </w:p>
    <w:p w14:paraId="0350682C" w14:textId="6A621DE6" w:rsidR="00D158B0" w:rsidRPr="00CE23AE" w:rsidRDefault="00284AD8" w:rsidP="00D158B0">
      <w:pPr>
        <w:pStyle w:val="PrrafodeSentencia"/>
        <w:rPr>
          <w:b/>
          <w:strike/>
          <w:lang w:val="en-US"/>
        </w:rPr>
      </w:pPr>
      <w:r w:rsidRPr="00CE23AE">
        <w:rPr>
          <w:lang w:val="en-US"/>
        </w:rPr>
        <w:t>Furthermore, the</w:t>
      </w:r>
      <w:r w:rsidR="001A6F60" w:rsidRPr="00CE23AE">
        <w:rPr>
          <w:lang w:val="en-US"/>
        </w:rPr>
        <w:t xml:space="preserve"> Court’s case law reveals that, in order to consider that an act </w:t>
      </w:r>
      <w:r w:rsidR="00C561DF" w:rsidRPr="00CE23AE">
        <w:rPr>
          <w:lang w:val="en-US"/>
        </w:rPr>
        <w:t>of the State</w:t>
      </w:r>
      <w:r w:rsidR="00E05ECF" w:rsidRPr="00CE23AE">
        <w:rPr>
          <w:lang w:val="en-US"/>
        </w:rPr>
        <w:t xml:space="preserve"> </w:t>
      </w:r>
      <w:r w:rsidR="001A6F60" w:rsidRPr="00CE23AE">
        <w:rPr>
          <w:lang w:val="en-US"/>
        </w:rPr>
        <w:t>is an acquiescence or acknowledgement of responsibility, its intention in this regard must be clear.</w:t>
      </w:r>
      <w:r w:rsidR="009E2C81" w:rsidRPr="00CE23AE">
        <w:rPr>
          <w:rStyle w:val="Refdenotaalpie"/>
          <w:lang w:val="en-US"/>
        </w:rPr>
        <w:footnoteReference w:id="40"/>
      </w:r>
      <w:r w:rsidR="009E2C81" w:rsidRPr="00CE23AE">
        <w:rPr>
          <w:lang w:val="en-US"/>
        </w:rPr>
        <w:t xml:space="preserve"> </w:t>
      </w:r>
    </w:p>
    <w:p w14:paraId="3EB91961" w14:textId="77777777" w:rsidR="008C662A" w:rsidRPr="00CE23AE" w:rsidRDefault="008C662A" w:rsidP="008C662A">
      <w:pPr>
        <w:pStyle w:val="PrrafodeSentencia"/>
        <w:numPr>
          <w:ilvl w:val="0"/>
          <w:numId w:val="0"/>
        </w:numPr>
        <w:rPr>
          <w:b/>
          <w:lang w:val="en-US"/>
        </w:rPr>
      </w:pPr>
    </w:p>
    <w:p w14:paraId="5E0F7D53" w14:textId="0E06738C" w:rsidR="00D158B0" w:rsidRPr="00CE23AE" w:rsidRDefault="00A538B7" w:rsidP="00A538B7">
      <w:pPr>
        <w:pStyle w:val="PrrafodeSentencia"/>
        <w:rPr>
          <w:b/>
          <w:lang w:val="en-US"/>
        </w:rPr>
      </w:pPr>
      <w:r w:rsidRPr="00CE23AE">
        <w:rPr>
          <w:lang w:val="en-US"/>
        </w:rPr>
        <w:t>The inter-American system was designed to ensure that, following the issue of the</w:t>
      </w:r>
      <w:r w:rsidR="009E2C81" w:rsidRPr="00CE23AE">
        <w:rPr>
          <w:lang w:val="en-US"/>
        </w:rPr>
        <w:t xml:space="preserve"> </w:t>
      </w:r>
      <w:r w:rsidR="00C561DF" w:rsidRPr="00CE23AE">
        <w:rPr>
          <w:lang w:val="en-US"/>
        </w:rPr>
        <w:t>Merits Report</w:t>
      </w:r>
      <w:r w:rsidR="009E2C81" w:rsidRPr="00CE23AE">
        <w:rPr>
          <w:lang w:val="en-US"/>
        </w:rPr>
        <w:t xml:space="preserve">, </w:t>
      </w:r>
      <w:r w:rsidR="00C561DF" w:rsidRPr="00CE23AE">
        <w:rPr>
          <w:lang w:val="en-US"/>
        </w:rPr>
        <w:t>the State</w:t>
      </w:r>
      <w:r w:rsidR="00096FCF" w:rsidRPr="00CE23AE">
        <w:rPr>
          <w:lang w:val="en-US"/>
        </w:rPr>
        <w:t xml:space="preserve"> </w:t>
      </w:r>
      <w:r w:rsidRPr="00CE23AE">
        <w:rPr>
          <w:lang w:val="en-US"/>
        </w:rPr>
        <w:t xml:space="preserve">would have the opportunity to comply with the recommendations made by </w:t>
      </w:r>
      <w:r w:rsidR="00C561DF" w:rsidRPr="00CE23AE">
        <w:rPr>
          <w:lang w:val="en-US"/>
        </w:rPr>
        <w:t>the Commission</w:t>
      </w:r>
      <w:r w:rsidRPr="00CE23AE">
        <w:rPr>
          <w:lang w:val="en-US"/>
        </w:rPr>
        <w:t xml:space="preserve"> before the case was submitted to </w:t>
      </w:r>
      <w:r w:rsidR="00C561DF" w:rsidRPr="00CE23AE">
        <w:rPr>
          <w:lang w:val="en-US"/>
        </w:rPr>
        <w:t>the Court</w:t>
      </w:r>
      <w:r w:rsidRPr="00CE23AE">
        <w:rPr>
          <w:lang w:val="en-US"/>
        </w:rPr>
        <w:t>.</w:t>
      </w:r>
      <w:r w:rsidR="009D3D67" w:rsidRPr="00CE23AE">
        <w:rPr>
          <w:rStyle w:val="Refdenotaalpie"/>
          <w:lang w:val="en-US"/>
        </w:rPr>
        <w:footnoteReference w:id="41"/>
      </w:r>
      <w:r w:rsidR="009E2C81" w:rsidRPr="00CE23AE">
        <w:rPr>
          <w:lang w:val="en-US"/>
        </w:rPr>
        <w:t xml:space="preserve"> </w:t>
      </w:r>
      <w:r w:rsidRPr="00CE23AE">
        <w:rPr>
          <w:lang w:val="en-US"/>
        </w:rPr>
        <w:t xml:space="preserve">This opportunity, as in the case of friendly </w:t>
      </w:r>
      <w:r w:rsidRPr="00CE23AE">
        <w:rPr>
          <w:lang w:val="en-US"/>
        </w:rPr>
        <w:lastRenderedPageBreak/>
        <w:t>settlement agreements, contributes to the purposes of the inter-American system of human rights, especially in order to find just solutions to the structural and particular problems of a case.</w:t>
      </w:r>
      <w:r w:rsidR="009E2C81" w:rsidRPr="00CE23AE">
        <w:rPr>
          <w:rStyle w:val="Refdenotaalpie"/>
          <w:lang w:val="en-US"/>
        </w:rPr>
        <w:footnoteReference w:id="42"/>
      </w:r>
      <w:r w:rsidRPr="00CE23AE">
        <w:rPr>
          <w:lang w:val="en-US"/>
        </w:rPr>
        <w:t xml:space="preserve"> Therefore, th</w:t>
      </w:r>
      <w:r w:rsidR="00CF6DEA" w:rsidRPr="00CE23AE">
        <w:rPr>
          <w:lang w:val="en-US"/>
        </w:rPr>
        <w:t>e</w:t>
      </w:r>
      <w:r w:rsidRPr="00CE23AE">
        <w:rPr>
          <w:lang w:val="en-US"/>
        </w:rPr>
        <w:t xml:space="preserve"> Court considers that the measures addressed at implementing the Commission’s</w:t>
      </w:r>
      <w:r w:rsidR="009E2C81" w:rsidRPr="00CE23AE">
        <w:rPr>
          <w:lang w:val="en-US"/>
        </w:rPr>
        <w:t xml:space="preserve"> </w:t>
      </w:r>
      <w:r w:rsidR="00C561DF" w:rsidRPr="00CE23AE">
        <w:rPr>
          <w:lang w:val="en-US"/>
        </w:rPr>
        <w:t>recommendations</w:t>
      </w:r>
      <w:r w:rsidRPr="00CE23AE">
        <w:rPr>
          <w:lang w:val="en-US"/>
        </w:rPr>
        <w:t xml:space="preserve"> should be understood as compliance in good faith with the purposes </w:t>
      </w:r>
      <w:r w:rsidR="00C561DF" w:rsidRPr="00CE23AE">
        <w:rPr>
          <w:lang w:val="en-US"/>
        </w:rPr>
        <w:t xml:space="preserve">of the Convention and </w:t>
      </w:r>
      <w:r w:rsidR="009E2C81" w:rsidRPr="00CE23AE">
        <w:rPr>
          <w:lang w:val="en-US"/>
        </w:rPr>
        <w:t>no</w:t>
      </w:r>
      <w:r w:rsidRPr="00CE23AE">
        <w:rPr>
          <w:lang w:val="en-US"/>
        </w:rPr>
        <w:t xml:space="preserve">t as an acknowledgement of jurisdiction or the admissibility of the case before </w:t>
      </w:r>
      <w:r w:rsidR="00C561DF" w:rsidRPr="00CE23AE">
        <w:rPr>
          <w:lang w:val="en-US"/>
        </w:rPr>
        <w:t>the Court</w:t>
      </w:r>
      <w:r w:rsidR="006C7D55" w:rsidRPr="00CE23AE">
        <w:rPr>
          <w:lang w:val="en-US"/>
        </w:rPr>
        <w:t>,</w:t>
      </w:r>
      <w:r w:rsidR="009E2C81" w:rsidRPr="00CE23AE">
        <w:rPr>
          <w:rStyle w:val="Refdenotaalpie"/>
          <w:lang w:val="en-US"/>
        </w:rPr>
        <w:footnoteReference w:id="43"/>
      </w:r>
      <w:r w:rsidR="00096FCF" w:rsidRPr="00CE23AE">
        <w:rPr>
          <w:lang w:val="en-US"/>
        </w:rPr>
        <w:t xml:space="preserve"> o</w:t>
      </w:r>
      <w:r w:rsidR="006C7D55" w:rsidRPr="00CE23AE">
        <w:rPr>
          <w:lang w:val="en-US"/>
        </w:rPr>
        <w:t>r an acquiescence or acknowledgement of the violations that have been alleged. To suppose the contrary, would</w:t>
      </w:r>
      <w:r w:rsidR="00CF6DEA" w:rsidRPr="00CE23AE">
        <w:rPr>
          <w:lang w:val="en-US"/>
        </w:rPr>
        <w:t xml:space="preserve"> </w:t>
      </w:r>
      <w:r w:rsidR="006C7D55" w:rsidRPr="00CE23AE">
        <w:rPr>
          <w:lang w:val="en-US"/>
        </w:rPr>
        <w:t>discourag</w:t>
      </w:r>
      <w:r w:rsidR="00CF6DEA" w:rsidRPr="00CE23AE">
        <w:rPr>
          <w:lang w:val="en-US"/>
        </w:rPr>
        <w:t>e</w:t>
      </w:r>
      <w:r w:rsidR="006C7D55" w:rsidRPr="00CE23AE">
        <w:rPr>
          <w:lang w:val="en-US"/>
        </w:rPr>
        <w:t xml:space="preserve"> States from taking part in dispute resolution procedures before recourse </w:t>
      </w:r>
      <w:r w:rsidR="00CF6DEA" w:rsidRPr="00CE23AE">
        <w:rPr>
          <w:lang w:val="en-US"/>
        </w:rPr>
        <w:t xml:space="preserve">is had </w:t>
      </w:r>
      <w:r w:rsidR="006C7D55" w:rsidRPr="00CE23AE">
        <w:rPr>
          <w:lang w:val="en-US"/>
        </w:rPr>
        <w:t xml:space="preserve">to </w:t>
      </w:r>
      <w:r w:rsidR="00C561DF" w:rsidRPr="00CE23AE">
        <w:rPr>
          <w:lang w:val="en-US"/>
        </w:rPr>
        <w:t>the Court</w:t>
      </w:r>
      <w:r w:rsidR="009E2C81" w:rsidRPr="00CE23AE">
        <w:rPr>
          <w:lang w:val="en-US"/>
        </w:rPr>
        <w:t>.</w:t>
      </w:r>
    </w:p>
    <w:p w14:paraId="1347B6E4" w14:textId="77777777" w:rsidR="008C662A" w:rsidRPr="00CE23AE" w:rsidRDefault="008C662A" w:rsidP="008C662A">
      <w:pPr>
        <w:pStyle w:val="PrrafodeSentencia"/>
        <w:numPr>
          <w:ilvl w:val="0"/>
          <w:numId w:val="0"/>
        </w:numPr>
        <w:rPr>
          <w:b/>
          <w:lang w:val="en-US"/>
        </w:rPr>
      </w:pPr>
    </w:p>
    <w:p w14:paraId="07E6BB3E" w14:textId="16F0DAA5" w:rsidR="00EB0594" w:rsidRPr="00CE23AE" w:rsidRDefault="006C7D55" w:rsidP="006C7D55">
      <w:pPr>
        <w:pStyle w:val="PrrafodeSentencia"/>
        <w:rPr>
          <w:b/>
          <w:lang w:val="en-US"/>
        </w:rPr>
      </w:pPr>
      <w:r w:rsidRPr="00CE23AE">
        <w:rPr>
          <w:lang w:val="en-US"/>
        </w:rPr>
        <w:t>In the instant case,</w:t>
      </w:r>
      <w:r w:rsidR="009E2C81" w:rsidRPr="00CE23AE">
        <w:rPr>
          <w:lang w:val="en-US"/>
        </w:rPr>
        <w:t xml:space="preserve"> </w:t>
      </w:r>
      <w:r w:rsidR="00C561DF" w:rsidRPr="00CE23AE">
        <w:rPr>
          <w:lang w:val="en-US"/>
        </w:rPr>
        <w:t>the Court</w:t>
      </w:r>
      <w:r w:rsidR="009E2C81" w:rsidRPr="00CE23AE">
        <w:rPr>
          <w:lang w:val="en-US"/>
        </w:rPr>
        <w:t xml:space="preserve"> </w:t>
      </w:r>
      <w:r w:rsidRPr="00CE23AE">
        <w:rPr>
          <w:lang w:val="en-US"/>
        </w:rPr>
        <w:t>appreciates the actions taken by</w:t>
      </w:r>
      <w:r w:rsidR="009E2C81" w:rsidRPr="00CE23AE">
        <w:rPr>
          <w:lang w:val="en-US"/>
        </w:rPr>
        <w:t xml:space="preserve"> </w:t>
      </w:r>
      <w:r w:rsidR="00C561DF" w:rsidRPr="00CE23AE">
        <w:rPr>
          <w:lang w:val="en-US"/>
        </w:rPr>
        <w:t>the State</w:t>
      </w:r>
      <w:r w:rsidR="009E2C81" w:rsidRPr="00CE23AE">
        <w:rPr>
          <w:lang w:val="en-US"/>
        </w:rPr>
        <w:t xml:space="preserve"> </w:t>
      </w:r>
      <w:r w:rsidRPr="00CE23AE">
        <w:rPr>
          <w:lang w:val="en-US"/>
        </w:rPr>
        <w:t xml:space="preserve">to comply with the recommendations made in the </w:t>
      </w:r>
      <w:r w:rsidR="00C561DF" w:rsidRPr="00CE23AE">
        <w:rPr>
          <w:lang w:val="en-US"/>
        </w:rPr>
        <w:t>Merits Report</w:t>
      </w:r>
      <w:r w:rsidR="009E2C81" w:rsidRPr="00CE23AE">
        <w:rPr>
          <w:lang w:val="en-US"/>
        </w:rPr>
        <w:t xml:space="preserve"> (</w:t>
      </w:r>
      <w:r w:rsidR="009E2C81" w:rsidRPr="00CE23AE">
        <w:rPr>
          <w:i/>
          <w:lang w:val="en-US"/>
        </w:rPr>
        <w:t xml:space="preserve">supra </w:t>
      </w:r>
      <w:r w:rsidR="005C743F" w:rsidRPr="00CE23AE">
        <w:rPr>
          <w:lang w:val="en-US"/>
        </w:rPr>
        <w:t>paras.</w:t>
      </w:r>
      <w:r w:rsidR="009E2C81" w:rsidRPr="00CE23AE">
        <w:rPr>
          <w:lang w:val="en-US"/>
        </w:rPr>
        <w:t xml:space="preserve"> </w:t>
      </w:r>
      <w:r w:rsidR="00D158B0" w:rsidRPr="00CE23AE">
        <w:rPr>
          <w:lang w:val="en-US"/>
        </w:rPr>
        <w:fldChar w:fldCharType="begin"/>
      </w:r>
      <w:r w:rsidR="00D158B0" w:rsidRPr="00CE23AE">
        <w:rPr>
          <w:lang w:val="en-US"/>
        </w:rPr>
        <w:instrText xml:space="preserve"> REF _Ref452646355 \r \h </w:instrText>
      </w:r>
      <w:r w:rsidR="00EB0594" w:rsidRPr="00CE23AE">
        <w:rPr>
          <w:lang w:val="en-US"/>
        </w:rPr>
        <w:instrText xml:space="preserve"> \* MERGEFORMAT </w:instrText>
      </w:r>
      <w:r w:rsidR="00D158B0" w:rsidRPr="00CE23AE">
        <w:rPr>
          <w:lang w:val="en-US"/>
        </w:rPr>
      </w:r>
      <w:r w:rsidR="00D158B0" w:rsidRPr="00CE23AE">
        <w:rPr>
          <w:lang w:val="en-US"/>
        </w:rPr>
        <w:fldChar w:fldCharType="separate"/>
      </w:r>
      <w:r w:rsidR="00BC2953" w:rsidRPr="00CE23AE">
        <w:rPr>
          <w:lang w:val="en-US"/>
        </w:rPr>
        <w:t>37</w:t>
      </w:r>
      <w:r w:rsidR="00D158B0" w:rsidRPr="00CE23AE">
        <w:rPr>
          <w:lang w:val="en-US"/>
        </w:rPr>
        <w:fldChar w:fldCharType="end"/>
      </w:r>
      <w:r w:rsidR="00D158B0" w:rsidRPr="00CE23AE">
        <w:rPr>
          <w:lang w:val="en-US"/>
        </w:rPr>
        <w:t xml:space="preserve"> </w:t>
      </w:r>
      <w:r w:rsidRPr="00CE23AE">
        <w:rPr>
          <w:lang w:val="en-US"/>
        </w:rPr>
        <w:t>to</w:t>
      </w:r>
      <w:r w:rsidR="00D158B0" w:rsidRPr="00CE23AE">
        <w:rPr>
          <w:lang w:val="en-US"/>
        </w:rPr>
        <w:t xml:space="preserve"> </w:t>
      </w:r>
      <w:r w:rsidR="005935B5" w:rsidRPr="00CE23AE">
        <w:rPr>
          <w:lang w:val="en-US"/>
        </w:rPr>
        <w:fldChar w:fldCharType="begin"/>
      </w:r>
      <w:r w:rsidR="005935B5" w:rsidRPr="00CE23AE">
        <w:rPr>
          <w:lang w:val="en-US"/>
        </w:rPr>
        <w:instrText xml:space="preserve"> REF _Ref454358849 \r \h </w:instrText>
      </w:r>
      <w:r w:rsidR="00EB0594" w:rsidRPr="00CE23AE">
        <w:rPr>
          <w:lang w:val="en-US"/>
        </w:rPr>
        <w:instrText xml:space="preserve"> \* MERGEFORMAT </w:instrText>
      </w:r>
      <w:r w:rsidR="005935B5" w:rsidRPr="00CE23AE">
        <w:rPr>
          <w:lang w:val="en-US"/>
        </w:rPr>
      </w:r>
      <w:r w:rsidR="005935B5" w:rsidRPr="00CE23AE">
        <w:rPr>
          <w:lang w:val="en-US"/>
        </w:rPr>
        <w:fldChar w:fldCharType="separate"/>
      </w:r>
      <w:r w:rsidR="00BC2953" w:rsidRPr="00CE23AE">
        <w:rPr>
          <w:lang w:val="en-US"/>
        </w:rPr>
        <w:t>39</w:t>
      </w:r>
      <w:r w:rsidR="005935B5" w:rsidRPr="00CE23AE">
        <w:rPr>
          <w:lang w:val="en-US"/>
        </w:rPr>
        <w:fldChar w:fldCharType="end"/>
      </w:r>
      <w:r w:rsidR="009E2C81" w:rsidRPr="00CE23AE">
        <w:rPr>
          <w:lang w:val="en-US"/>
        </w:rPr>
        <w:t xml:space="preserve">). </w:t>
      </w:r>
      <w:r w:rsidRPr="00CE23AE">
        <w:rPr>
          <w:lang w:val="en-US"/>
        </w:rPr>
        <w:t xml:space="preserve">However, it notes that these </w:t>
      </w:r>
      <w:r w:rsidR="00CF6DEA" w:rsidRPr="00CE23AE">
        <w:rPr>
          <w:lang w:val="en-US"/>
        </w:rPr>
        <w:t>and</w:t>
      </w:r>
      <w:r w:rsidRPr="00CE23AE">
        <w:rPr>
          <w:lang w:val="en-US"/>
        </w:rPr>
        <w:t xml:space="preserve"> other subsequent actions do not reveal a clear intention of the State to acquiesce to the claims </w:t>
      </w:r>
      <w:r w:rsidR="00C561DF" w:rsidRPr="00CE23AE">
        <w:rPr>
          <w:lang w:val="en-US"/>
        </w:rPr>
        <w:t>of the Commission and the representative</w:t>
      </w:r>
      <w:r w:rsidR="009E2C81" w:rsidRPr="00CE23AE">
        <w:rPr>
          <w:lang w:val="en-US"/>
        </w:rPr>
        <w:t xml:space="preserve">. </w:t>
      </w:r>
      <w:r w:rsidRPr="00CE23AE">
        <w:rPr>
          <w:lang w:val="en-US"/>
        </w:rPr>
        <w:t>To the contrary</w:t>
      </w:r>
      <w:r w:rsidR="009E2C81" w:rsidRPr="00CE23AE">
        <w:rPr>
          <w:lang w:val="en-US"/>
        </w:rPr>
        <w:t xml:space="preserve">, </w:t>
      </w:r>
      <w:r w:rsidRPr="00CE23AE">
        <w:rPr>
          <w:lang w:val="en-US"/>
        </w:rPr>
        <w:t>in one of its briefs</w:t>
      </w:r>
      <w:r w:rsidR="00CF6DEA" w:rsidRPr="00CE23AE">
        <w:rPr>
          <w:lang w:val="en-US"/>
        </w:rPr>
        <w:t xml:space="preserve"> at</w:t>
      </w:r>
      <w:r w:rsidRPr="00CE23AE">
        <w:rPr>
          <w:lang w:val="en-US"/>
        </w:rPr>
        <w:t xml:space="preserve"> the stage of compliance with </w:t>
      </w:r>
      <w:r w:rsidR="00C561DF" w:rsidRPr="00CE23AE">
        <w:rPr>
          <w:lang w:val="en-US"/>
        </w:rPr>
        <w:t>recommendations</w:t>
      </w:r>
      <w:r w:rsidR="005F5C5E" w:rsidRPr="00CE23AE">
        <w:rPr>
          <w:lang w:val="en-US"/>
        </w:rPr>
        <w:t xml:space="preserve"> </w:t>
      </w:r>
      <w:r w:rsidRPr="00CE23AE">
        <w:rPr>
          <w:lang w:val="en-US"/>
        </w:rPr>
        <w:t>before</w:t>
      </w:r>
      <w:r w:rsidR="005F5C5E" w:rsidRPr="00CE23AE">
        <w:rPr>
          <w:lang w:val="en-US"/>
        </w:rPr>
        <w:t xml:space="preserve"> </w:t>
      </w:r>
      <w:r w:rsidR="00C561DF" w:rsidRPr="00CE23AE">
        <w:rPr>
          <w:lang w:val="en-US"/>
        </w:rPr>
        <w:t>the Commission</w:t>
      </w:r>
      <w:r w:rsidR="005F5C5E" w:rsidRPr="00CE23AE">
        <w:rPr>
          <w:lang w:val="en-US"/>
        </w:rPr>
        <w:t>,</w:t>
      </w:r>
      <w:r w:rsidRPr="00CE23AE">
        <w:rPr>
          <w:lang w:val="en-US"/>
        </w:rPr>
        <w:t xml:space="preserve"> </w:t>
      </w:r>
      <w:r w:rsidR="00CF6DEA" w:rsidRPr="00CE23AE">
        <w:rPr>
          <w:lang w:val="en-US"/>
        </w:rPr>
        <w:t xml:space="preserve">the State expressly indicated </w:t>
      </w:r>
      <w:r w:rsidRPr="00CE23AE">
        <w:rPr>
          <w:lang w:val="en-US"/>
        </w:rPr>
        <w:t xml:space="preserve">that its actions </w:t>
      </w:r>
      <w:r w:rsidR="00CF6DEA" w:rsidRPr="00CE23AE">
        <w:rPr>
          <w:lang w:val="en-US"/>
        </w:rPr>
        <w:t>to comply</w:t>
      </w:r>
      <w:r w:rsidRPr="00CE23AE">
        <w:rPr>
          <w:lang w:val="en-US"/>
        </w:rPr>
        <w:t xml:space="preserve"> with those</w:t>
      </w:r>
      <w:r w:rsidR="005F5C5E" w:rsidRPr="00CE23AE">
        <w:rPr>
          <w:lang w:val="en-US"/>
        </w:rPr>
        <w:t xml:space="preserve"> </w:t>
      </w:r>
      <w:r w:rsidR="00C561DF" w:rsidRPr="00CE23AE">
        <w:rPr>
          <w:lang w:val="en-US"/>
        </w:rPr>
        <w:t>recommendations</w:t>
      </w:r>
      <w:r w:rsidR="001574D0" w:rsidRPr="00CE23AE">
        <w:rPr>
          <w:lang w:val="en-US"/>
        </w:rPr>
        <w:t xml:space="preserve"> </w:t>
      </w:r>
      <w:r w:rsidRPr="00CE23AE">
        <w:rPr>
          <w:lang w:val="en-US"/>
        </w:rPr>
        <w:t xml:space="preserve">could not be considered an </w:t>
      </w:r>
      <w:r w:rsidR="00000AE1" w:rsidRPr="00CE23AE">
        <w:rPr>
          <w:lang w:val="en-US"/>
        </w:rPr>
        <w:t>acknowledgement of international responsibility</w:t>
      </w:r>
      <w:r w:rsidR="009E2C81" w:rsidRPr="00CE23AE">
        <w:rPr>
          <w:lang w:val="en-US"/>
        </w:rPr>
        <w:t xml:space="preserve"> </w:t>
      </w:r>
      <w:r w:rsidRPr="00CE23AE">
        <w:rPr>
          <w:lang w:val="en-US"/>
        </w:rPr>
        <w:t xml:space="preserve">before </w:t>
      </w:r>
      <w:r w:rsidR="00C561DF" w:rsidRPr="00CE23AE">
        <w:rPr>
          <w:lang w:val="en-US"/>
        </w:rPr>
        <w:t>the Inter-American Court</w:t>
      </w:r>
      <w:r w:rsidR="009E2C81" w:rsidRPr="00CE23AE">
        <w:rPr>
          <w:lang w:val="en-US"/>
        </w:rPr>
        <w:t xml:space="preserve"> (</w:t>
      </w:r>
      <w:r w:rsidR="009E2C81" w:rsidRPr="00CE23AE">
        <w:rPr>
          <w:i/>
          <w:lang w:val="en-US"/>
        </w:rPr>
        <w:t xml:space="preserve">supra </w:t>
      </w:r>
      <w:r w:rsidR="005C743F" w:rsidRPr="00CE23AE">
        <w:rPr>
          <w:lang w:val="en-US"/>
        </w:rPr>
        <w:t>para.</w:t>
      </w:r>
      <w:r w:rsidR="005F5C5E" w:rsidRPr="00CE23AE">
        <w:rPr>
          <w:lang w:val="en-US"/>
        </w:rPr>
        <w:t xml:space="preserve"> </w:t>
      </w:r>
      <w:r w:rsidR="005F5C5E" w:rsidRPr="00CE23AE">
        <w:rPr>
          <w:lang w:val="en-US"/>
        </w:rPr>
        <w:fldChar w:fldCharType="begin"/>
      </w:r>
      <w:r w:rsidR="005F5C5E" w:rsidRPr="00CE23AE">
        <w:rPr>
          <w:lang w:val="en-US"/>
        </w:rPr>
        <w:instrText xml:space="preserve"> REF _Ref453708502 \r \h </w:instrText>
      </w:r>
      <w:r w:rsidR="00C27557" w:rsidRPr="00CE23AE">
        <w:rPr>
          <w:lang w:val="en-US"/>
        </w:rPr>
        <w:instrText xml:space="preserve"> \* MERGEFORMAT </w:instrText>
      </w:r>
      <w:r w:rsidR="005F5C5E" w:rsidRPr="00CE23AE">
        <w:rPr>
          <w:lang w:val="en-US"/>
        </w:rPr>
      </w:r>
      <w:r w:rsidR="005F5C5E" w:rsidRPr="00CE23AE">
        <w:rPr>
          <w:lang w:val="en-US"/>
        </w:rPr>
        <w:fldChar w:fldCharType="separate"/>
      </w:r>
      <w:r w:rsidR="00BC2953" w:rsidRPr="00CE23AE">
        <w:rPr>
          <w:lang w:val="en-US"/>
        </w:rPr>
        <w:t>40</w:t>
      </w:r>
      <w:r w:rsidR="005F5C5E" w:rsidRPr="00CE23AE">
        <w:rPr>
          <w:lang w:val="en-US"/>
        </w:rPr>
        <w:fldChar w:fldCharType="end"/>
      </w:r>
      <w:r w:rsidR="009E2C81" w:rsidRPr="00CE23AE">
        <w:rPr>
          <w:lang w:val="en-US"/>
        </w:rPr>
        <w:t xml:space="preserve">). </w:t>
      </w:r>
    </w:p>
    <w:p w14:paraId="49BBEABA" w14:textId="77777777" w:rsidR="00EB0594" w:rsidRPr="00CE23AE" w:rsidRDefault="00EB0594" w:rsidP="00EB0594">
      <w:pPr>
        <w:pStyle w:val="PrrafodeSentencia"/>
        <w:numPr>
          <w:ilvl w:val="0"/>
          <w:numId w:val="0"/>
        </w:numPr>
        <w:rPr>
          <w:lang w:val="en-US"/>
        </w:rPr>
      </w:pPr>
    </w:p>
    <w:p w14:paraId="7C14E18D" w14:textId="58007425" w:rsidR="006C7D55" w:rsidRPr="00CE23AE" w:rsidRDefault="006C7D55" w:rsidP="00EB0594">
      <w:pPr>
        <w:pStyle w:val="PrrafodeSentencia"/>
        <w:rPr>
          <w:b/>
          <w:lang w:val="en-US"/>
        </w:rPr>
      </w:pPr>
      <w:r w:rsidRPr="00CE23AE">
        <w:rPr>
          <w:lang w:val="en-US"/>
        </w:rPr>
        <w:t xml:space="preserve">In sum, the Court is aware that the </w:t>
      </w:r>
      <w:r w:rsidR="0047174B" w:rsidRPr="00CE23AE">
        <w:rPr>
          <w:lang w:val="en-US"/>
        </w:rPr>
        <w:t>act of the State</w:t>
      </w:r>
      <w:r w:rsidRPr="00CE23AE">
        <w:rPr>
          <w:lang w:val="en-US"/>
        </w:rPr>
        <w:t xml:space="preserve"> </w:t>
      </w:r>
      <w:r w:rsidR="00CF6DEA" w:rsidRPr="00CE23AE">
        <w:rPr>
          <w:lang w:val="en-US"/>
        </w:rPr>
        <w:t>referred to</w:t>
      </w:r>
      <w:r w:rsidR="008D570B" w:rsidRPr="00CE23AE">
        <w:rPr>
          <w:lang w:val="en-US"/>
        </w:rPr>
        <w:t xml:space="preserve"> above</w:t>
      </w:r>
      <w:r w:rsidRPr="00CE23AE">
        <w:rPr>
          <w:lang w:val="en-US"/>
        </w:rPr>
        <w:t xml:space="preserve"> was not </w:t>
      </w:r>
      <w:r w:rsidR="008D570B" w:rsidRPr="00CE23AE">
        <w:rPr>
          <w:lang w:val="en-US"/>
        </w:rPr>
        <w:t>implemented</w:t>
      </w:r>
      <w:r w:rsidRPr="00CE23AE">
        <w:rPr>
          <w:lang w:val="en-US"/>
        </w:rPr>
        <w:t xml:space="preserve"> pursuant to </w:t>
      </w:r>
      <w:r w:rsidR="00C561DF" w:rsidRPr="00CE23AE">
        <w:rPr>
          <w:lang w:val="en-US"/>
        </w:rPr>
        <w:t>Article</w:t>
      </w:r>
      <w:r w:rsidR="00D36B2C" w:rsidRPr="00CE23AE">
        <w:rPr>
          <w:lang w:val="en-US"/>
        </w:rPr>
        <w:t xml:space="preserve"> 62 </w:t>
      </w:r>
      <w:r w:rsidRPr="00CE23AE">
        <w:rPr>
          <w:lang w:val="en-US"/>
        </w:rPr>
        <w:t xml:space="preserve">of </w:t>
      </w:r>
      <w:r w:rsidR="00CF6DEA" w:rsidRPr="00CE23AE">
        <w:rPr>
          <w:lang w:val="en-US"/>
        </w:rPr>
        <w:t>the Court’s</w:t>
      </w:r>
      <w:r w:rsidRPr="00CE23AE">
        <w:rPr>
          <w:lang w:val="en-US"/>
        </w:rPr>
        <w:t xml:space="preserve"> Rules of Procedure;</w:t>
      </w:r>
      <w:r w:rsidR="00D36B2C" w:rsidRPr="00CE23AE">
        <w:rPr>
          <w:rStyle w:val="Refdenotaalpie"/>
          <w:lang w:val="en-US"/>
        </w:rPr>
        <w:footnoteReference w:id="44"/>
      </w:r>
      <w:r w:rsidRPr="00CE23AE">
        <w:rPr>
          <w:lang w:val="en-US"/>
        </w:rPr>
        <w:t xml:space="preserve"> </w:t>
      </w:r>
      <w:r w:rsidR="008D570B" w:rsidRPr="00CE23AE">
        <w:rPr>
          <w:lang w:val="en-US"/>
        </w:rPr>
        <w:t>in other words</w:t>
      </w:r>
      <w:r w:rsidRPr="00CE23AE">
        <w:rPr>
          <w:lang w:val="en-US"/>
        </w:rPr>
        <w:t xml:space="preserve">, its purpose was not </w:t>
      </w:r>
      <w:r w:rsidR="008D570B" w:rsidRPr="00CE23AE">
        <w:rPr>
          <w:lang w:val="en-US"/>
        </w:rPr>
        <w:t xml:space="preserve">for </w:t>
      </w:r>
      <w:r w:rsidRPr="00CE23AE">
        <w:rPr>
          <w:lang w:val="en-US"/>
        </w:rPr>
        <w:t xml:space="preserve">the Court, when deciding on its admissibility and legal effects, </w:t>
      </w:r>
      <w:r w:rsidR="008D570B" w:rsidRPr="00CE23AE">
        <w:rPr>
          <w:lang w:val="en-US"/>
        </w:rPr>
        <w:t>to</w:t>
      </w:r>
      <w:r w:rsidRPr="00CE23AE">
        <w:rPr>
          <w:lang w:val="en-US"/>
        </w:rPr>
        <w:t xml:space="preserve"> end the case </w:t>
      </w:r>
      <w:r w:rsidR="008D570B" w:rsidRPr="00CE23AE">
        <w:rPr>
          <w:lang w:val="en-US"/>
        </w:rPr>
        <w:t>and</w:t>
      </w:r>
      <w:r w:rsidRPr="00CE23AE">
        <w:rPr>
          <w:lang w:val="en-US"/>
        </w:rPr>
        <w:t xml:space="preserve"> </w:t>
      </w:r>
      <w:r w:rsidR="008D570B" w:rsidRPr="00CE23AE">
        <w:rPr>
          <w:lang w:val="en-US"/>
        </w:rPr>
        <w:t>sentence</w:t>
      </w:r>
      <w:r w:rsidRPr="00CE23AE">
        <w:rPr>
          <w:lang w:val="en-US"/>
        </w:rPr>
        <w:t xml:space="preserve"> the State based on its terms</w:t>
      </w:r>
      <w:r w:rsidR="0047174B" w:rsidRPr="00CE23AE">
        <w:rPr>
          <w:lang w:val="en-US"/>
        </w:rPr>
        <w:t>.</w:t>
      </w:r>
      <w:r w:rsidR="008D570B" w:rsidRPr="00CE23AE">
        <w:rPr>
          <w:lang w:val="en-US"/>
        </w:rPr>
        <w:t xml:space="preserve"> </w:t>
      </w:r>
      <w:r w:rsidR="0047174B" w:rsidRPr="00CE23AE">
        <w:rPr>
          <w:lang w:val="en-US"/>
        </w:rPr>
        <w:t>R</w:t>
      </w:r>
      <w:r w:rsidR="008D570B" w:rsidRPr="00CE23AE">
        <w:rPr>
          <w:lang w:val="en-US"/>
        </w:rPr>
        <w:t>ather, it</w:t>
      </w:r>
      <w:r w:rsidRPr="00CE23AE">
        <w:rPr>
          <w:lang w:val="en-US"/>
        </w:rPr>
        <w:t xml:space="preserve"> was </w:t>
      </w:r>
      <w:r w:rsidR="008D570B" w:rsidRPr="00CE23AE">
        <w:rPr>
          <w:lang w:val="en-US"/>
        </w:rPr>
        <w:t>implemented based on</w:t>
      </w:r>
      <w:r w:rsidRPr="00CE23AE">
        <w:rPr>
          <w:lang w:val="en-US"/>
        </w:rPr>
        <w:t xml:space="preserve"> the provisions of </w:t>
      </w:r>
      <w:r w:rsidRPr="00CE23AE">
        <w:rPr>
          <w:rFonts w:eastAsia="Verdana" w:cs="Verdana"/>
          <w:spacing w:val="2"/>
          <w:lang w:val="en-US"/>
        </w:rPr>
        <w:t>Articles 50 and 51 of the Convention; that is, in order to comply with one of the</w:t>
      </w:r>
      <w:r w:rsidR="008D570B" w:rsidRPr="00CE23AE">
        <w:rPr>
          <w:rFonts w:eastAsia="Verdana" w:cs="Verdana"/>
          <w:spacing w:val="2"/>
          <w:lang w:val="en-US"/>
        </w:rPr>
        <w:t xml:space="preserve"> Commission’s</w:t>
      </w:r>
      <w:r w:rsidRPr="00CE23AE">
        <w:rPr>
          <w:rFonts w:eastAsia="Verdana" w:cs="Verdana"/>
          <w:spacing w:val="2"/>
          <w:lang w:val="en-US"/>
        </w:rPr>
        <w:t xml:space="preserve"> recommendations. </w:t>
      </w:r>
      <w:r w:rsidR="008D570B" w:rsidRPr="00CE23AE">
        <w:rPr>
          <w:rFonts w:eastAsia="Verdana" w:cs="Verdana"/>
          <w:spacing w:val="2"/>
          <w:lang w:val="en-US"/>
        </w:rPr>
        <w:t>Thus</w:t>
      </w:r>
      <w:r w:rsidRPr="00CE23AE">
        <w:rPr>
          <w:rFonts w:eastAsia="Verdana" w:cs="Verdana"/>
          <w:spacing w:val="2"/>
          <w:lang w:val="en-US"/>
        </w:rPr>
        <w:t xml:space="preserve">, this act was </w:t>
      </w:r>
      <w:r w:rsidR="008D570B" w:rsidRPr="00CE23AE">
        <w:rPr>
          <w:rFonts w:eastAsia="Verdana" w:cs="Verdana"/>
          <w:spacing w:val="2"/>
          <w:lang w:val="en-US"/>
        </w:rPr>
        <w:t>implemented</w:t>
      </w:r>
      <w:r w:rsidRPr="00CE23AE">
        <w:rPr>
          <w:rFonts w:eastAsia="Verdana" w:cs="Verdana"/>
          <w:spacing w:val="2"/>
          <w:lang w:val="en-US"/>
        </w:rPr>
        <w:t xml:space="preserve"> in the context of the procedure before the Commission to avoid </w:t>
      </w:r>
      <w:r w:rsidR="00593384" w:rsidRPr="00CE23AE">
        <w:rPr>
          <w:rFonts w:eastAsia="Verdana" w:cs="Verdana"/>
          <w:spacing w:val="2"/>
          <w:lang w:val="en-US"/>
        </w:rPr>
        <w:t>th</w:t>
      </w:r>
      <w:r w:rsidR="008D570B" w:rsidRPr="00CE23AE">
        <w:rPr>
          <w:rFonts w:eastAsia="Verdana" w:cs="Verdana"/>
          <w:spacing w:val="2"/>
          <w:lang w:val="en-US"/>
        </w:rPr>
        <w:t>e</w:t>
      </w:r>
      <w:r w:rsidR="00593384" w:rsidRPr="00CE23AE">
        <w:rPr>
          <w:rFonts w:eastAsia="Verdana" w:cs="Verdana"/>
          <w:spacing w:val="2"/>
          <w:lang w:val="en-US"/>
        </w:rPr>
        <w:t xml:space="preserve"> case being submitted to the Court. Consequently, it was not a unilateral </w:t>
      </w:r>
      <w:r w:rsidR="008D570B" w:rsidRPr="00CE23AE">
        <w:rPr>
          <w:rFonts w:eastAsia="Verdana" w:cs="Verdana"/>
          <w:spacing w:val="2"/>
          <w:lang w:val="en-US"/>
        </w:rPr>
        <w:t xml:space="preserve">juridical </w:t>
      </w:r>
      <w:r w:rsidR="00593384" w:rsidRPr="00CE23AE">
        <w:rPr>
          <w:rFonts w:eastAsia="Verdana" w:cs="Verdana"/>
          <w:spacing w:val="2"/>
          <w:lang w:val="en-US"/>
        </w:rPr>
        <w:t xml:space="preserve">act of the State </w:t>
      </w:r>
      <w:r w:rsidR="008D570B" w:rsidRPr="00CE23AE">
        <w:rPr>
          <w:rFonts w:eastAsia="Verdana" w:cs="Verdana"/>
          <w:spacing w:val="2"/>
          <w:lang w:val="en-US"/>
        </w:rPr>
        <w:t>implemented</w:t>
      </w:r>
      <w:r w:rsidR="00593384" w:rsidRPr="00CE23AE">
        <w:rPr>
          <w:rFonts w:eastAsia="Verdana" w:cs="Verdana"/>
          <w:spacing w:val="2"/>
          <w:lang w:val="en-US"/>
        </w:rPr>
        <w:t xml:space="preserve"> </w:t>
      </w:r>
      <w:r w:rsidR="008D570B" w:rsidRPr="00CE23AE">
        <w:rPr>
          <w:rFonts w:eastAsia="Verdana" w:cs="Verdana"/>
          <w:spacing w:val="2"/>
          <w:lang w:val="en-US"/>
        </w:rPr>
        <w:t>without an</w:t>
      </w:r>
      <w:r w:rsidR="0047174B" w:rsidRPr="00CE23AE">
        <w:rPr>
          <w:rFonts w:eastAsia="Verdana" w:cs="Verdana"/>
          <w:spacing w:val="2"/>
          <w:lang w:val="en-US"/>
        </w:rPr>
        <w:t>y</w:t>
      </w:r>
      <w:r w:rsidR="008D570B" w:rsidRPr="00CE23AE">
        <w:rPr>
          <w:rFonts w:eastAsia="Verdana" w:cs="Verdana"/>
          <w:spacing w:val="2"/>
          <w:lang w:val="en-US"/>
        </w:rPr>
        <w:t xml:space="preserve"> </w:t>
      </w:r>
      <w:r w:rsidR="00593384" w:rsidRPr="00CE23AE">
        <w:rPr>
          <w:rFonts w:eastAsia="Verdana" w:cs="Verdana"/>
          <w:spacing w:val="2"/>
          <w:lang w:val="en-US"/>
        </w:rPr>
        <w:t>act</w:t>
      </w:r>
      <w:r w:rsidR="008D570B" w:rsidRPr="00CE23AE">
        <w:rPr>
          <w:rFonts w:eastAsia="Verdana" w:cs="Verdana"/>
          <w:spacing w:val="2"/>
          <w:lang w:val="en-US"/>
        </w:rPr>
        <w:t xml:space="preserve"> being executed</w:t>
      </w:r>
      <w:r w:rsidR="00593384" w:rsidRPr="00CE23AE">
        <w:rPr>
          <w:rFonts w:eastAsia="Verdana" w:cs="Verdana"/>
          <w:spacing w:val="2"/>
          <w:lang w:val="en-US"/>
        </w:rPr>
        <w:t xml:space="preserve"> by another subject of international law and with the unequivocal intention of being oblig</w:t>
      </w:r>
      <w:r w:rsidR="008D570B" w:rsidRPr="00CE23AE">
        <w:rPr>
          <w:rFonts w:eastAsia="Verdana" w:cs="Verdana"/>
          <w:spacing w:val="2"/>
          <w:lang w:val="en-US"/>
        </w:rPr>
        <w:t>at</w:t>
      </w:r>
      <w:r w:rsidR="00593384" w:rsidRPr="00CE23AE">
        <w:rPr>
          <w:rFonts w:eastAsia="Verdana" w:cs="Verdana"/>
          <w:spacing w:val="2"/>
          <w:lang w:val="en-US"/>
        </w:rPr>
        <w:t xml:space="preserve">ed by </w:t>
      </w:r>
      <w:r w:rsidR="008D570B" w:rsidRPr="00CE23AE">
        <w:rPr>
          <w:rFonts w:eastAsia="Verdana" w:cs="Verdana"/>
          <w:spacing w:val="2"/>
          <w:lang w:val="en-US"/>
        </w:rPr>
        <w:t>the latter</w:t>
      </w:r>
      <w:r w:rsidR="00593384" w:rsidRPr="00CE23AE">
        <w:rPr>
          <w:rFonts w:eastAsia="Verdana" w:cs="Verdana"/>
          <w:spacing w:val="2"/>
          <w:lang w:val="en-US"/>
        </w:rPr>
        <w:t xml:space="preserve">; rather, to the contrary, it was </w:t>
      </w:r>
      <w:r w:rsidR="008D570B" w:rsidRPr="00CE23AE">
        <w:rPr>
          <w:rFonts w:eastAsia="Verdana" w:cs="Verdana"/>
          <w:spacing w:val="2"/>
          <w:lang w:val="en-US"/>
        </w:rPr>
        <w:t>implemented</w:t>
      </w:r>
      <w:r w:rsidR="00593384" w:rsidRPr="00CE23AE">
        <w:rPr>
          <w:rFonts w:eastAsia="Verdana" w:cs="Verdana"/>
          <w:spacing w:val="2"/>
          <w:lang w:val="en-US"/>
        </w:rPr>
        <w:t xml:space="preserve"> with the </w:t>
      </w:r>
      <w:r w:rsidR="0047174B" w:rsidRPr="00CE23AE">
        <w:rPr>
          <w:rFonts w:eastAsia="Verdana" w:cs="Verdana"/>
          <w:spacing w:val="2"/>
          <w:lang w:val="en-US"/>
        </w:rPr>
        <w:t>purpose</w:t>
      </w:r>
      <w:r w:rsidR="00593384" w:rsidRPr="00CE23AE">
        <w:rPr>
          <w:rFonts w:eastAsia="Verdana" w:cs="Verdana"/>
          <w:spacing w:val="2"/>
          <w:lang w:val="en-US"/>
        </w:rPr>
        <w:t xml:space="preserve"> of persuading the Commission to </w:t>
      </w:r>
      <w:r w:rsidR="0047174B" w:rsidRPr="00CE23AE">
        <w:rPr>
          <w:rFonts w:eastAsia="Verdana" w:cs="Verdana"/>
          <w:spacing w:val="2"/>
          <w:lang w:val="en-US"/>
        </w:rPr>
        <w:t>consider that the</w:t>
      </w:r>
      <w:r w:rsidR="00593384" w:rsidRPr="00CE23AE">
        <w:rPr>
          <w:rFonts w:eastAsia="Verdana" w:cs="Verdana"/>
          <w:spacing w:val="2"/>
          <w:lang w:val="en-US"/>
        </w:rPr>
        <w:t xml:space="preserve"> matter </w:t>
      </w:r>
      <w:r w:rsidR="0047174B" w:rsidRPr="00CE23AE">
        <w:rPr>
          <w:rFonts w:eastAsia="Verdana" w:cs="Verdana"/>
          <w:spacing w:val="2"/>
          <w:lang w:val="en-US"/>
        </w:rPr>
        <w:t xml:space="preserve">had been settled </w:t>
      </w:r>
      <w:r w:rsidR="00593384" w:rsidRPr="00CE23AE">
        <w:rPr>
          <w:rFonts w:eastAsia="Verdana" w:cs="Verdana"/>
          <w:spacing w:val="2"/>
          <w:lang w:val="en-US"/>
        </w:rPr>
        <w:t>because the State had taken adequate measures to remedy the situation submitted to the Commission.</w:t>
      </w:r>
    </w:p>
    <w:p w14:paraId="364EC5AA" w14:textId="77777777" w:rsidR="00A70844" w:rsidRPr="00CE23AE" w:rsidRDefault="00A70844" w:rsidP="00A70844">
      <w:pPr>
        <w:pStyle w:val="PrrafodeSentencia"/>
        <w:numPr>
          <w:ilvl w:val="0"/>
          <w:numId w:val="0"/>
        </w:numPr>
        <w:rPr>
          <w:b/>
          <w:lang w:val="en-US"/>
        </w:rPr>
      </w:pPr>
    </w:p>
    <w:p w14:paraId="00D452BF" w14:textId="373FB956" w:rsidR="00D36B2C" w:rsidRPr="00CE23AE" w:rsidRDefault="00593384" w:rsidP="00EB0594">
      <w:pPr>
        <w:pStyle w:val="PrrafodeSentencia"/>
        <w:rPr>
          <w:b/>
          <w:lang w:val="en-US"/>
        </w:rPr>
      </w:pPr>
      <w:r w:rsidRPr="00CE23AE">
        <w:rPr>
          <w:rFonts w:eastAsia="Verdana" w:cs="Verdana"/>
          <w:spacing w:val="2"/>
          <w:lang w:val="en-US"/>
        </w:rPr>
        <w:t>Therefore, since the objective established in</w:t>
      </w:r>
      <w:r w:rsidR="00D36B2C" w:rsidRPr="00CE23AE">
        <w:rPr>
          <w:rFonts w:eastAsia="Verdana" w:cs="Verdana"/>
          <w:spacing w:val="2"/>
          <w:lang w:val="en-US"/>
        </w:rPr>
        <w:t xml:space="preserve"> </w:t>
      </w:r>
      <w:r w:rsidR="00C561DF" w:rsidRPr="00CE23AE">
        <w:rPr>
          <w:rFonts w:eastAsia="Verdana" w:cs="Verdana"/>
          <w:spacing w:val="2"/>
          <w:lang w:val="en-US"/>
        </w:rPr>
        <w:t>Article</w:t>
      </w:r>
      <w:r w:rsidR="00D36B2C" w:rsidRPr="00CE23AE">
        <w:rPr>
          <w:rFonts w:eastAsia="Verdana" w:cs="Verdana"/>
          <w:spacing w:val="2"/>
          <w:lang w:val="en-US"/>
        </w:rPr>
        <w:t xml:space="preserve"> 51</w:t>
      </w:r>
      <w:r w:rsidR="00C561DF" w:rsidRPr="00CE23AE">
        <w:rPr>
          <w:rFonts w:eastAsia="Verdana" w:cs="Verdana"/>
          <w:spacing w:val="2"/>
          <w:lang w:val="en-US"/>
        </w:rPr>
        <w:t xml:space="preserve"> of the Convention</w:t>
      </w:r>
      <w:r w:rsidRPr="00CE23AE">
        <w:rPr>
          <w:rFonts w:eastAsia="Verdana" w:cs="Verdana"/>
          <w:spacing w:val="2"/>
          <w:lang w:val="en-US"/>
        </w:rPr>
        <w:t xml:space="preserve"> was not achieved, it is not admissible to attribute to the said act of the State the consequences established in </w:t>
      </w:r>
      <w:r w:rsidR="00C561DF" w:rsidRPr="00CE23AE">
        <w:rPr>
          <w:rFonts w:eastAsia="Verdana" w:cs="Verdana"/>
          <w:spacing w:val="2"/>
          <w:lang w:val="en-US"/>
        </w:rPr>
        <w:t>Article</w:t>
      </w:r>
      <w:r w:rsidR="00EB0594" w:rsidRPr="00CE23AE">
        <w:rPr>
          <w:rFonts w:eastAsia="Verdana" w:cs="Verdana"/>
          <w:spacing w:val="2"/>
          <w:lang w:val="en-US"/>
        </w:rPr>
        <w:t xml:space="preserve"> 62</w:t>
      </w:r>
      <w:r w:rsidR="00C561DF" w:rsidRPr="00CE23AE">
        <w:rPr>
          <w:rFonts w:eastAsia="Verdana" w:cs="Verdana"/>
          <w:spacing w:val="2"/>
          <w:lang w:val="en-US"/>
        </w:rPr>
        <w:t xml:space="preserve"> of the </w:t>
      </w:r>
      <w:r w:rsidRPr="00CE23AE">
        <w:rPr>
          <w:rFonts w:eastAsia="Verdana" w:cs="Verdana"/>
          <w:spacing w:val="2"/>
          <w:lang w:val="en-US"/>
        </w:rPr>
        <w:t xml:space="preserve">Court’s </w:t>
      </w:r>
      <w:r w:rsidR="00C561DF" w:rsidRPr="00CE23AE">
        <w:rPr>
          <w:rFonts w:eastAsia="Verdana" w:cs="Verdana"/>
          <w:spacing w:val="2"/>
          <w:lang w:val="en-US"/>
        </w:rPr>
        <w:t>Rules of Procedure</w:t>
      </w:r>
      <w:r w:rsidR="00EB0594" w:rsidRPr="00CE23AE">
        <w:rPr>
          <w:rFonts w:eastAsia="Verdana" w:cs="Verdana"/>
          <w:spacing w:val="2"/>
          <w:lang w:val="en-US"/>
        </w:rPr>
        <w:t xml:space="preserve">, </w:t>
      </w:r>
      <w:r w:rsidRPr="00CE23AE">
        <w:rPr>
          <w:rFonts w:eastAsia="Verdana" w:cs="Verdana"/>
          <w:spacing w:val="2"/>
          <w:lang w:val="en-US"/>
        </w:rPr>
        <w:t>without prejudice to the respective acts of the State being taken into account in the eventual chapter on reparations.</w:t>
      </w:r>
    </w:p>
    <w:p w14:paraId="50151E9E" w14:textId="77777777" w:rsidR="004D654A" w:rsidRPr="00CE23AE" w:rsidRDefault="004D654A" w:rsidP="00C51E3C">
      <w:pPr>
        <w:tabs>
          <w:tab w:val="left" w:pos="567"/>
        </w:tabs>
        <w:spacing w:line="240" w:lineRule="auto"/>
        <w:rPr>
          <w:rFonts w:eastAsia="Calibri" w:cs="Verdana"/>
          <w:szCs w:val="20"/>
          <w:lang w:val="en-US"/>
        </w:rPr>
      </w:pPr>
    </w:p>
    <w:p w14:paraId="5544751B" w14:textId="77777777" w:rsidR="00C51E3C" w:rsidRPr="00CE23AE" w:rsidRDefault="00C51E3C" w:rsidP="00356166">
      <w:pPr>
        <w:pStyle w:val="Ttulo1"/>
        <w:tabs>
          <w:tab w:val="left" w:pos="567"/>
        </w:tabs>
        <w:rPr>
          <w:spacing w:val="0"/>
          <w:lang w:val="en-US"/>
        </w:rPr>
      </w:pPr>
      <w:bookmarkStart w:id="157" w:name="_Toc424834688"/>
      <w:bookmarkStart w:id="158" w:name="_Toc427932794"/>
      <w:bookmarkStart w:id="159" w:name="_Toc431584611"/>
      <w:bookmarkStart w:id="160" w:name="_Toc434850399"/>
      <w:bookmarkStart w:id="161" w:name="_Toc453874315"/>
      <w:bookmarkStart w:id="162" w:name="_Toc454891476"/>
      <w:bookmarkStart w:id="163" w:name="_Toc457840580"/>
      <w:bookmarkStart w:id="164" w:name="_Toc464474967"/>
      <w:bookmarkStart w:id="165" w:name="_Toc46388354"/>
      <w:r w:rsidRPr="00CE23AE">
        <w:rPr>
          <w:spacing w:val="0"/>
          <w:lang w:val="en-US"/>
        </w:rPr>
        <w:t>V</w:t>
      </w:r>
      <w:bookmarkEnd w:id="157"/>
      <w:bookmarkEnd w:id="158"/>
      <w:bookmarkEnd w:id="159"/>
      <w:bookmarkEnd w:id="160"/>
      <w:r w:rsidRPr="00CE23AE">
        <w:rPr>
          <w:spacing w:val="0"/>
          <w:lang w:val="en-US"/>
        </w:rPr>
        <w:t>I</w:t>
      </w:r>
      <w:bookmarkEnd w:id="161"/>
      <w:bookmarkEnd w:id="162"/>
      <w:bookmarkEnd w:id="163"/>
      <w:bookmarkEnd w:id="164"/>
      <w:bookmarkEnd w:id="165"/>
    </w:p>
    <w:p w14:paraId="3E4D6141" w14:textId="2F115086" w:rsidR="00C51E3C" w:rsidRPr="00CE23AE" w:rsidRDefault="00000AD5" w:rsidP="00356166">
      <w:pPr>
        <w:pStyle w:val="Ttulo1"/>
        <w:tabs>
          <w:tab w:val="left" w:pos="567"/>
        </w:tabs>
        <w:rPr>
          <w:spacing w:val="0"/>
          <w:lang w:val="en-US"/>
        </w:rPr>
      </w:pPr>
      <w:bookmarkStart w:id="166" w:name="_Toc46388355"/>
      <w:r w:rsidRPr="00CE23AE">
        <w:rPr>
          <w:spacing w:val="0"/>
          <w:lang w:val="en-US"/>
        </w:rPr>
        <w:t>EVIDENCE</w:t>
      </w:r>
      <w:bookmarkEnd w:id="166"/>
    </w:p>
    <w:p w14:paraId="3998C94A" w14:textId="77777777" w:rsidR="00C51E3C" w:rsidRPr="00CE23AE" w:rsidRDefault="00C51E3C" w:rsidP="00356166">
      <w:pPr>
        <w:pStyle w:val="Sinespaciado"/>
        <w:tabs>
          <w:tab w:val="left" w:pos="567"/>
        </w:tabs>
        <w:jc w:val="center"/>
        <w:rPr>
          <w:b/>
          <w:szCs w:val="20"/>
          <w:lang w:val="en-US" w:eastAsia="es-MX"/>
        </w:rPr>
      </w:pPr>
    </w:p>
    <w:p w14:paraId="356EEB15" w14:textId="26F7E2D0" w:rsidR="00C51E3C" w:rsidRPr="00CE23AE" w:rsidRDefault="00000AD5" w:rsidP="009F36A1">
      <w:pPr>
        <w:pStyle w:val="Ttulo2"/>
        <w:numPr>
          <w:ilvl w:val="0"/>
          <w:numId w:val="2"/>
        </w:numPr>
        <w:rPr>
          <w:lang w:val="en-US"/>
        </w:rPr>
      </w:pPr>
      <w:bookmarkStart w:id="167" w:name="_Toc46388356"/>
      <w:r w:rsidRPr="00CE23AE">
        <w:rPr>
          <w:lang w:val="en-US"/>
        </w:rPr>
        <w:t>Documentary, testimonial and expert evidence</w:t>
      </w:r>
      <w:bookmarkEnd w:id="167"/>
    </w:p>
    <w:p w14:paraId="7B3D5E3D" w14:textId="77777777" w:rsidR="00356166" w:rsidRPr="00CE23AE" w:rsidRDefault="00356166" w:rsidP="00356166">
      <w:pPr>
        <w:rPr>
          <w:lang w:val="en-US" w:eastAsia="es-MX"/>
        </w:rPr>
      </w:pPr>
    </w:p>
    <w:p w14:paraId="7C5553A6" w14:textId="0338C7CE" w:rsidR="00C51E3C" w:rsidRPr="00CE23AE" w:rsidRDefault="00000AD5" w:rsidP="00582D8D">
      <w:pPr>
        <w:pStyle w:val="Prrafodelista"/>
        <w:numPr>
          <w:ilvl w:val="0"/>
          <w:numId w:val="6"/>
        </w:numPr>
        <w:tabs>
          <w:tab w:val="left" w:pos="567"/>
        </w:tabs>
        <w:autoSpaceDE w:val="0"/>
        <w:autoSpaceDN w:val="0"/>
        <w:spacing w:line="240" w:lineRule="auto"/>
        <w:ind w:left="0" w:right="22"/>
        <w:textAlignment w:val="auto"/>
        <w:rPr>
          <w:szCs w:val="20"/>
          <w:lang w:val="en-US"/>
        </w:rPr>
      </w:pPr>
      <w:bookmarkStart w:id="168" w:name="_Ref452646374"/>
      <w:r w:rsidRPr="00CE23AE">
        <w:rPr>
          <w:szCs w:val="20"/>
          <w:lang w:val="en-US"/>
        </w:rPr>
        <w:lastRenderedPageBreak/>
        <w:t>The</w:t>
      </w:r>
      <w:r w:rsidR="00C51E3C" w:rsidRPr="00CE23AE">
        <w:rPr>
          <w:szCs w:val="20"/>
          <w:lang w:val="en-US"/>
        </w:rPr>
        <w:t xml:space="preserve"> </w:t>
      </w:r>
      <w:r w:rsidRPr="00CE23AE">
        <w:rPr>
          <w:szCs w:val="20"/>
          <w:lang w:val="en-US"/>
        </w:rPr>
        <w:t xml:space="preserve">Court received diverse documents presented as evidence by </w:t>
      </w:r>
      <w:r w:rsidR="00C561DF" w:rsidRPr="00CE23AE">
        <w:rPr>
          <w:szCs w:val="20"/>
          <w:lang w:val="en-US"/>
        </w:rPr>
        <w:t xml:space="preserve">the Commission and </w:t>
      </w:r>
      <w:r w:rsidRPr="00CE23AE">
        <w:rPr>
          <w:szCs w:val="20"/>
          <w:lang w:val="en-US"/>
        </w:rPr>
        <w:t xml:space="preserve">the parties attached to their principal briefs </w:t>
      </w:r>
      <w:r w:rsidR="00C51E3C" w:rsidRPr="00CE23AE">
        <w:rPr>
          <w:szCs w:val="20"/>
          <w:lang w:val="en-US"/>
        </w:rPr>
        <w:t>(</w:t>
      </w:r>
      <w:r w:rsidR="00C51E3C" w:rsidRPr="00CE23AE">
        <w:rPr>
          <w:i/>
          <w:szCs w:val="20"/>
          <w:lang w:val="en-US"/>
        </w:rPr>
        <w:t xml:space="preserve">supra </w:t>
      </w:r>
      <w:r w:rsidR="005C743F" w:rsidRPr="00CE23AE">
        <w:rPr>
          <w:szCs w:val="20"/>
          <w:lang w:val="en-US"/>
        </w:rPr>
        <w:t>paras.</w:t>
      </w:r>
      <w:r w:rsidR="00C51E3C" w:rsidRPr="00CE23AE">
        <w:rPr>
          <w:szCs w:val="20"/>
          <w:lang w:val="en-US"/>
        </w:rPr>
        <w:t xml:space="preserve"> </w:t>
      </w:r>
      <w:r w:rsidR="00093EE4" w:rsidRPr="00CE23AE">
        <w:rPr>
          <w:szCs w:val="20"/>
          <w:lang w:val="en-US"/>
        </w:rPr>
        <w:fldChar w:fldCharType="begin"/>
      </w:r>
      <w:r w:rsidR="00093EE4" w:rsidRPr="00CE23AE">
        <w:rPr>
          <w:szCs w:val="20"/>
          <w:lang w:val="en-US"/>
        </w:rPr>
        <w:instrText xml:space="preserve"> REF _Ref453869259 \r \h </w:instrText>
      </w:r>
      <w:r w:rsidR="00847B25" w:rsidRPr="00CE23AE">
        <w:rPr>
          <w:szCs w:val="20"/>
          <w:lang w:val="en-US"/>
        </w:rPr>
        <w:instrText xml:space="preserve"> \* MERGEFORMAT </w:instrText>
      </w:r>
      <w:r w:rsidR="00093EE4" w:rsidRPr="00CE23AE">
        <w:rPr>
          <w:szCs w:val="20"/>
          <w:lang w:val="en-US"/>
        </w:rPr>
      </w:r>
      <w:r w:rsidR="00093EE4" w:rsidRPr="00CE23AE">
        <w:rPr>
          <w:szCs w:val="20"/>
          <w:lang w:val="en-US"/>
        </w:rPr>
        <w:fldChar w:fldCharType="separate"/>
      </w:r>
      <w:r w:rsidR="00BC2953" w:rsidRPr="00CE23AE">
        <w:rPr>
          <w:szCs w:val="20"/>
          <w:lang w:val="en-US"/>
        </w:rPr>
        <w:t>3</w:t>
      </w:r>
      <w:r w:rsidR="00093EE4" w:rsidRPr="00CE23AE">
        <w:rPr>
          <w:szCs w:val="20"/>
          <w:lang w:val="en-US"/>
        </w:rPr>
        <w:fldChar w:fldCharType="end"/>
      </w:r>
      <w:r w:rsidR="00093EE4" w:rsidRPr="00CE23AE">
        <w:rPr>
          <w:szCs w:val="20"/>
          <w:lang w:val="en-US"/>
        </w:rPr>
        <w:t xml:space="preserve">, </w:t>
      </w:r>
      <w:r w:rsidR="00093EE4" w:rsidRPr="00CE23AE">
        <w:rPr>
          <w:szCs w:val="20"/>
          <w:lang w:val="en-US"/>
        </w:rPr>
        <w:fldChar w:fldCharType="begin"/>
      </w:r>
      <w:r w:rsidR="00093EE4" w:rsidRPr="00CE23AE">
        <w:rPr>
          <w:szCs w:val="20"/>
          <w:lang w:val="en-US"/>
        </w:rPr>
        <w:instrText xml:space="preserve"> REF _Ref453869266 \r \h </w:instrText>
      </w:r>
      <w:r w:rsidR="00847B25" w:rsidRPr="00CE23AE">
        <w:rPr>
          <w:szCs w:val="20"/>
          <w:lang w:val="en-US"/>
        </w:rPr>
        <w:instrText xml:space="preserve"> \* MERGEFORMAT </w:instrText>
      </w:r>
      <w:r w:rsidR="00093EE4" w:rsidRPr="00CE23AE">
        <w:rPr>
          <w:szCs w:val="20"/>
          <w:lang w:val="en-US"/>
        </w:rPr>
      </w:r>
      <w:r w:rsidR="00093EE4" w:rsidRPr="00CE23AE">
        <w:rPr>
          <w:szCs w:val="20"/>
          <w:lang w:val="en-US"/>
        </w:rPr>
        <w:fldChar w:fldCharType="separate"/>
      </w:r>
      <w:r w:rsidR="00BC2953" w:rsidRPr="00CE23AE">
        <w:rPr>
          <w:szCs w:val="20"/>
          <w:lang w:val="en-US"/>
        </w:rPr>
        <w:t>6</w:t>
      </w:r>
      <w:r w:rsidR="00093EE4" w:rsidRPr="00CE23AE">
        <w:rPr>
          <w:szCs w:val="20"/>
          <w:lang w:val="en-US"/>
        </w:rPr>
        <w:fldChar w:fldCharType="end"/>
      </w:r>
      <w:r w:rsidR="00C561DF" w:rsidRPr="00CE23AE">
        <w:rPr>
          <w:szCs w:val="20"/>
          <w:lang w:val="en-US"/>
        </w:rPr>
        <w:t xml:space="preserve"> and </w:t>
      </w:r>
      <w:r w:rsidR="00093EE4" w:rsidRPr="00CE23AE">
        <w:rPr>
          <w:szCs w:val="20"/>
          <w:lang w:val="en-US"/>
        </w:rPr>
        <w:fldChar w:fldCharType="begin"/>
      </w:r>
      <w:r w:rsidR="00093EE4" w:rsidRPr="00CE23AE">
        <w:rPr>
          <w:szCs w:val="20"/>
          <w:lang w:val="en-US"/>
        </w:rPr>
        <w:instrText xml:space="preserve"> REF _Ref343193237 \r \h </w:instrText>
      </w:r>
      <w:r w:rsidR="00847B25" w:rsidRPr="00CE23AE">
        <w:rPr>
          <w:szCs w:val="20"/>
          <w:lang w:val="en-US"/>
        </w:rPr>
        <w:instrText xml:space="preserve"> \* MERGEFORMAT </w:instrText>
      </w:r>
      <w:r w:rsidR="00093EE4" w:rsidRPr="00CE23AE">
        <w:rPr>
          <w:szCs w:val="20"/>
          <w:lang w:val="en-US"/>
        </w:rPr>
      </w:r>
      <w:r w:rsidR="00093EE4" w:rsidRPr="00CE23AE">
        <w:rPr>
          <w:szCs w:val="20"/>
          <w:lang w:val="en-US"/>
        </w:rPr>
        <w:fldChar w:fldCharType="separate"/>
      </w:r>
      <w:r w:rsidR="00BC2953" w:rsidRPr="00CE23AE">
        <w:rPr>
          <w:szCs w:val="20"/>
          <w:lang w:val="en-US"/>
        </w:rPr>
        <w:t>7</w:t>
      </w:r>
      <w:r w:rsidR="00093EE4" w:rsidRPr="00CE23AE">
        <w:rPr>
          <w:szCs w:val="20"/>
          <w:lang w:val="en-US"/>
        </w:rPr>
        <w:fldChar w:fldCharType="end"/>
      </w:r>
      <w:r w:rsidR="00C51E3C" w:rsidRPr="00CE23AE">
        <w:rPr>
          <w:szCs w:val="20"/>
          <w:lang w:val="en-US"/>
        </w:rPr>
        <w:t xml:space="preserve">). </w:t>
      </w:r>
      <w:r w:rsidRPr="00CE23AE">
        <w:rPr>
          <w:szCs w:val="20"/>
          <w:lang w:val="en-US"/>
        </w:rPr>
        <w:t>The</w:t>
      </w:r>
      <w:r w:rsidR="00C561DF" w:rsidRPr="00CE23AE">
        <w:rPr>
          <w:szCs w:val="20"/>
          <w:lang w:val="en-US"/>
        </w:rPr>
        <w:t xml:space="preserve"> Court</w:t>
      </w:r>
      <w:r w:rsidR="00C51E3C" w:rsidRPr="00CE23AE">
        <w:rPr>
          <w:szCs w:val="20"/>
          <w:lang w:val="en-US"/>
        </w:rPr>
        <w:t xml:space="preserve"> </w:t>
      </w:r>
      <w:r w:rsidRPr="00CE23AE">
        <w:rPr>
          <w:szCs w:val="20"/>
          <w:lang w:val="en-US"/>
        </w:rPr>
        <w:t xml:space="preserve">also received from the parties documents requested by the Court’s judges as helpful evidence under </w:t>
      </w:r>
      <w:r w:rsidR="00C561DF" w:rsidRPr="00CE23AE">
        <w:rPr>
          <w:szCs w:val="20"/>
          <w:lang w:val="en-US"/>
        </w:rPr>
        <w:t>Article</w:t>
      </w:r>
      <w:r w:rsidR="00C51E3C" w:rsidRPr="00CE23AE">
        <w:rPr>
          <w:szCs w:val="20"/>
          <w:lang w:val="en-US"/>
        </w:rPr>
        <w:t xml:space="preserve"> 58</w:t>
      </w:r>
      <w:r w:rsidR="00C561DF" w:rsidRPr="00CE23AE">
        <w:rPr>
          <w:szCs w:val="20"/>
          <w:lang w:val="en-US"/>
        </w:rPr>
        <w:t xml:space="preserve"> of the Rules of Procedure</w:t>
      </w:r>
      <w:r w:rsidR="00C51E3C" w:rsidRPr="00CE23AE">
        <w:rPr>
          <w:szCs w:val="20"/>
          <w:lang w:val="en-US"/>
        </w:rPr>
        <w:t xml:space="preserve">. </w:t>
      </w:r>
      <w:r w:rsidRPr="00CE23AE">
        <w:rPr>
          <w:szCs w:val="20"/>
          <w:lang w:val="en-US"/>
        </w:rPr>
        <w:t>In addition, the Court</w:t>
      </w:r>
      <w:r w:rsidR="00CA1945" w:rsidRPr="00CE23AE">
        <w:rPr>
          <w:szCs w:val="20"/>
          <w:lang w:val="en-US"/>
        </w:rPr>
        <w:t xml:space="preserve"> </w:t>
      </w:r>
      <w:r w:rsidRPr="00CE23AE">
        <w:rPr>
          <w:szCs w:val="20"/>
          <w:lang w:val="en-US"/>
        </w:rPr>
        <w:t xml:space="preserve">received the affidavits prepared by the witnesses </w:t>
      </w:r>
      <w:r w:rsidR="00980A3A" w:rsidRPr="00CE23AE">
        <w:rPr>
          <w:rFonts w:eastAsiaTheme="minorHAnsi" w:cs="Verdana"/>
          <w:szCs w:val="20"/>
          <w:lang w:val="en-US" w:eastAsia="en-US"/>
        </w:rPr>
        <w:t>Germania Freire Silva, Lino Flor Cruz</w:t>
      </w:r>
      <w:r w:rsidR="00C51E3C" w:rsidRPr="00CE23AE">
        <w:rPr>
          <w:szCs w:val="20"/>
          <w:lang w:val="en-US"/>
        </w:rPr>
        <w:t xml:space="preserve">, </w:t>
      </w:r>
      <w:r w:rsidR="00980A3A" w:rsidRPr="00CE23AE">
        <w:rPr>
          <w:rFonts w:eastAsiaTheme="minorHAnsi" w:cs="Verdana"/>
          <w:szCs w:val="20"/>
          <w:lang w:val="en-US" w:eastAsia="en-US"/>
        </w:rPr>
        <w:t>Alejandro Flor Freire, Ximena Flor Freire</w:t>
      </w:r>
      <w:r w:rsidR="00C561DF" w:rsidRPr="00CE23AE">
        <w:rPr>
          <w:rFonts w:eastAsiaTheme="minorHAnsi" w:cs="Verdana"/>
          <w:szCs w:val="20"/>
          <w:lang w:val="en-US" w:eastAsia="en-US"/>
        </w:rPr>
        <w:t xml:space="preserve"> and </w:t>
      </w:r>
      <w:r w:rsidR="00980A3A" w:rsidRPr="00CE23AE">
        <w:rPr>
          <w:rFonts w:eastAsiaTheme="minorHAnsi" w:cs="Verdana"/>
          <w:szCs w:val="20"/>
          <w:lang w:val="en-US" w:eastAsia="en-US"/>
        </w:rPr>
        <w:t>Diego Vallejo Cevallos</w:t>
      </w:r>
      <w:r w:rsidR="00C51E3C" w:rsidRPr="00CE23AE">
        <w:rPr>
          <w:szCs w:val="20"/>
          <w:lang w:val="en-US"/>
        </w:rPr>
        <w:t>, as</w:t>
      </w:r>
      <w:r w:rsidRPr="00CE23AE">
        <w:rPr>
          <w:szCs w:val="20"/>
          <w:lang w:val="en-US"/>
        </w:rPr>
        <w:t xml:space="preserve"> well as the joint expert opinion of </w:t>
      </w:r>
      <w:r w:rsidR="00980A3A" w:rsidRPr="00CE23AE">
        <w:rPr>
          <w:iCs/>
          <w:color w:val="000000"/>
          <w:szCs w:val="20"/>
          <w:lang w:val="en-US"/>
        </w:rPr>
        <w:t>Fernando Casado</w:t>
      </w:r>
      <w:r w:rsidR="00C561DF" w:rsidRPr="00CE23AE">
        <w:rPr>
          <w:iCs/>
          <w:color w:val="000000"/>
          <w:szCs w:val="20"/>
          <w:lang w:val="en-US"/>
        </w:rPr>
        <w:t xml:space="preserve"> and </w:t>
      </w:r>
      <w:r w:rsidR="00980A3A" w:rsidRPr="00CE23AE">
        <w:rPr>
          <w:iCs/>
          <w:color w:val="000000"/>
          <w:szCs w:val="20"/>
          <w:lang w:val="en-US"/>
        </w:rPr>
        <w:t>Leonardo Jaramillo</w:t>
      </w:r>
      <w:r w:rsidRPr="00CE23AE">
        <w:rPr>
          <w:iCs/>
          <w:color w:val="000000"/>
          <w:szCs w:val="20"/>
          <w:lang w:val="en-US"/>
        </w:rPr>
        <w:t>.</w:t>
      </w:r>
      <w:r w:rsidR="00C51E3C" w:rsidRPr="00CE23AE">
        <w:rPr>
          <w:rStyle w:val="Refdenotaalpie"/>
          <w:szCs w:val="20"/>
          <w:lang w:val="en-US"/>
        </w:rPr>
        <w:footnoteReference w:id="45"/>
      </w:r>
      <w:r w:rsidRPr="00CE23AE">
        <w:rPr>
          <w:szCs w:val="20"/>
          <w:lang w:val="en-US"/>
        </w:rPr>
        <w:t xml:space="preserve"> Regarding the evidence presented during the </w:t>
      </w:r>
      <w:r w:rsidR="005C743F" w:rsidRPr="00CE23AE">
        <w:rPr>
          <w:szCs w:val="20"/>
          <w:lang w:val="en-US"/>
        </w:rPr>
        <w:t>public hearing</w:t>
      </w:r>
      <w:r w:rsidR="00C51E3C" w:rsidRPr="00CE23AE">
        <w:rPr>
          <w:szCs w:val="20"/>
          <w:lang w:val="en-US"/>
        </w:rPr>
        <w:t xml:space="preserve">, </w:t>
      </w:r>
      <w:r w:rsidR="00C561DF" w:rsidRPr="00CE23AE">
        <w:rPr>
          <w:szCs w:val="20"/>
          <w:lang w:val="en-US"/>
        </w:rPr>
        <w:t>the Court</w:t>
      </w:r>
      <w:r w:rsidR="00C51E3C" w:rsidRPr="00CE23AE">
        <w:rPr>
          <w:szCs w:val="20"/>
          <w:lang w:val="en-US"/>
        </w:rPr>
        <w:t xml:space="preserve"> </w:t>
      </w:r>
      <w:r w:rsidRPr="00CE23AE">
        <w:rPr>
          <w:szCs w:val="20"/>
          <w:lang w:val="en-US"/>
        </w:rPr>
        <w:t xml:space="preserve">received the statement of </w:t>
      </w:r>
      <w:r w:rsidR="008B76F3" w:rsidRPr="00CE23AE">
        <w:rPr>
          <w:szCs w:val="20"/>
          <w:lang w:val="en-US"/>
        </w:rPr>
        <w:t xml:space="preserve">the </w:t>
      </w:r>
      <w:r w:rsidR="00C561DF" w:rsidRPr="00CE23AE">
        <w:rPr>
          <w:szCs w:val="20"/>
          <w:lang w:val="en-US"/>
        </w:rPr>
        <w:t>presumed victim</w:t>
      </w:r>
      <w:r w:rsidRPr="00CE23AE">
        <w:rPr>
          <w:szCs w:val="20"/>
          <w:lang w:val="en-US"/>
        </w:rPr>
        <w:t>,</w:t>
      </w:r>
      <w:r w:rsidR="00C51E3C" w:rsidRPr="00CE23AE">
        <w:rPr>
          <w:szCs w:val="20"/>
          <w:lang w:val="en-US"/>
        </w:rPr>
        <w:t xml:space="preserve"> </w:t>
      </w:r>
      <w:r w:rsidR="00980A3A" w:rsidRPr="00CE23AE">
        <w:rPr>
          <w:iCs/>
          <w:szCs w:val="20"/>
          <w:lang w:val="en-US"/>
        </w:rPr>
        <w:t>Homero Flor Freire</w:t>
      </w:r>
      <w:r w:rsidRPr="00CE23AE">
        <w:rPr>
          <w:iCs/>
          <w:szCs w:val="20"/>
          <w:lang w:val="en-US"/>
        </w:rPr>
        <w:t>,</w:t>
      </w:r>
      <w:r w:rsidR="00C561DF" w:rsidRPr="00CE23AE">
        <w:rPr>
          <w:iCs/>
          <w:szCs w:val="20"/>
          <w:lang w:val="en-US"/>
        </w:rPr>
        <w:t xml:space="preserve"> and </w:t>
      </w:r>
      <w:r w:rsidRPr="00CE23AE">
        <w:rPr>
          <w:szCs w:val="20"/>
          <w:lang w:val="en-US"/>
        </w:rPr>
        <w:t>the expert opinions of</w:t>
      </w:r>
      <w:r w:rsidR="00980A3A" w:rsidRPr="00CE23AE">
        <w:rPr>
          <w:szCs w:val="20"/>
          <w:lang w:val="en-US"/>
        </w:rPr>
        <w:t xml:space="preserve"> </w:t>
      </w:r>
      <w:r w:rsidR="00980A3A" w:rsidRPr="00CE23AE">
        <w:rPr>
          <w:iCs/>
          <w:szCs w:val="20"/>
          <w:lang w:val="en-US"/>
        </w:rPr>
        <w:t>Leonardo Jaramillo, Ramiro Ávila Santamaría</w:t>
      </w:r>
      <w:r w:rsidR="00C561DF" w:rsidRPr="00CE23AE">
        <w:rPr>
          <w:iCs/>
          <w:szCs w:val="20"/>
          <w:lang w:val="en-US"/>
        </w:rPr>
        <w:t xml:space="preserve"> and </w:t>
      </w:r>
      <w:r w:rsidR="00980A3A" w:rsidRPr="00CE23AE">
        <w:rPr>
          <w:iCs/>
          <w:szCs w:val="20"/>
          <w:lang w:val="en-US"/>
        </w:rPr>
        <w:t>Robert Warren Wintemute</w:t>
      </w:r>
      <w:r w:rsidR="00C51E3C" w:rsidRPr="00CE23AE">
        <w:rPr>
          <w:szCs w:val="20"/>
          <w:lang w:val="en-US"/>
        </w:rPr>
        <w:t>.</w:t>
      </w:r>
      <w:bookmarkEnd w:id="168"/>
    </w:p>
    <w:p w14:paraId="7077137E" w14:textId="77777777" w:rsidR="00C51E3C" w:rsidRPr="00CE23AE" w:rsidRDefault="00C51E3C" w:rsidP="00356166">
      <w:pPr>
        <w:pStyle w:val="Sinespaciado"/>
        <w:tabs>
          <w:tab w:val="left" w:pos="567"/>
        </w:tabs>
        <w:rPr>
          <w:szCs w:val="20"/>
          <w:lang w:val="en-US"/>
        </w:rPr>
      </w:pPr>
    </w:p>
    <w:p w14:paraId="2333C349" w14:textId="6A526A27" w:rsidR="00C51E3C" w:rsidRPr="00CE23AE" w:rsidRDefault="00000AD5" w:rsidP="009F36A1">
      <w:pPr>
        <w:pStyle w:val="Ttulo2"/>
        <w:numPr>
          <w:ilvl w:val="0"/>
          <w:numId w:val="2"/>
        </w:numPr>
        <w:rPr>
          <w:lang w:val="en-US"/>
        </w:rPr>
      </w:pPr>
      <w:bookmarkStart w:id="169" w:name="_Toc46388357"/>
      <w:r w:rsidRPr="00CE23AE">
        <w:rPr>
          <w:lang w:val="en-US"/>
        </w:rPr>
        <w:t>Admission of the evidence</w:t>
      </w:r>
      <w:bookmarkEnd w:id="169"/>
    </w:p>
    <w:p w14:paraId="13D77A66" w14:textId="77777777" w:rsidR="00356166" w:rsidRPr="00CE23AE" w:rsidRDefault="00356166" w:rsidP="00356166">
      <w:pPr>
        <w:rPr>
          <w:lang w:val="en-US" w:eastAsia="es-MX"/>
        </w:rPr>
      </w:pPr>
    </w:p>
    <w:p w14:paraId="4C7F5B58" w14:textId="6EA748BE" w:rsidR="00C51E3C" w:rsidRPr="00CE23AE" w:rsidRDefault="00B4473B" w:rsidP="00356166">
      <w:pPr>
        <w:pStyle w:val="Ttulo3"/>
        <w:rPr>
          <w:spacing w:val="0"/>
          <w:lang w:val="en-US"/>
        </w:rPr>
      </w:pPr>
      <w:bookmarkStart w:id="170" w:name="_Toc424834692"/>
      <w:bookmarkStart w:id="171" w:name="_Toc431584615"/>
      <w:bookmarkStart w:id="172" w:name="_Toc434850403"/>
      <w:bookmarkStart w:id="173" w:name="_Toc453874319"/>
      <w:bookmarkStart w:id="174" w:name="_Toc454891480"/>
      <w:bookmarkStart w:id="175" w:name="_Toc457840584"/>
      <w:bookmarkStart w:id="176" w:name="_Toc460398531"/>
      <w:bookmarkStart w:id="177" w:name="_Toc464474971"/>
      <w:bookmarkStart w:id="178" w:name="_Toc46388358"/>
      <w:r w:rsidRPr="00CE23AE">
        <w:rPr>
          <w:spacing w:val="0"/>
          <w:lang w:val="en-US"/>
        </w:rPr>
        <w:t>B.1</w:t>
      </w:r>
      <w:r w:rsidR="00C51E3C" w:rsidRPr="00CE23AE">
        <w:rPr>
          <w:spacing w:val="0"/>
          <w:lang w:val="en-US"/>
        </w:rPr>
        <w:t xml:space="preserve"> </w:t>
      </w:r>
      <w:r w:rsidR="00000AD5" w:rsidRPr="00CE23AE">
        <w:rPr>
          <w:spacing w:val="0"/>
          <w:lang w:val="en-US"/>
        </w:rPr>
        <w:t>Admission of the documentary evidence</w:t>
      </w:r>
      <w:bookmarkEnd w:id="170"/>
      <w:bookmarkEnd w:id="171"/>
      <w:bookmarkEnd w:id="172"/>
      <w:bookmarkEnd w:id="173"/>
      <w:bookmarkEnd w:id="174"/>
      <w:bookmarkEnd w:id="175"/>
      <w:bookmarkEnd w:id="176"/>
      <w:bookmarkEnd w:id="177"/>
      <w:bookmarkEnd w:id="178"/>
    </w:p>
    <w:p w14:paraId="4CE012F7" w14:textId="03F6D799" w:rsidR="00C51E3C" w:rsidRPr="00CE23AE" w:rsidRDefault="00000AD5" w:rsidP="00356166">
      <w:pPr>
        <w:rPr>
          <w:szCs w:val="20"/>
          <w:lang w:val="en-US" w:eastAsia="x-none"/>
        </w:rPr>
      </w:pPr>
      <w:r w:rsidRPr="00CE23AE">
        <w:rPr>
          <w:szCs w:val="20"/>
          <w:lang w:val="en-US" w:eastAsia="x-none"/>
        </w:rPr>
        <w:t xml:space="preserve"> </w:t>
      </w:r>
    </w:p>
    <w:p w14:paraId="4B4458F5" w14:textId="47E43559" w:rsidR="00C51E3C" w:rsidRPr="00CE23AE" w:rsidRDefault="00000AD5" w:rsidP="00582D8D">
      <w:pPr>
        <w:pStyle w:val="Prrafodelista"/>
        <w:numPr>
          <w:ilvl w:val="0"/>
          <w:numId w:val="6"/>
        </w:numPr>
        <w:tabs>
          <w:tab w:val="left" w:pos="567"/>
        </w:tabs>
        <w:autoSpaceDE w:val="0"/>
        <w:autoSpaceDN w:val="0"/>
        <w:spacing w:line="240" w:lineRule="auto"/>
        <w:ind w:left="0" w:right="22"/>
        <w:textAlignment w:val="auto"/>
        <w:rPr>
          <w:szCs w:val="20"/>
          <w:lang w:val="en-US"/>
        </w:rPr>
      </w:pPr>
      <w:bookmarkStart w:id="179" w:name="_Ref451465794"/>
      <w:r w:rsidRPr="00CE23AE">
        <w:rPr>
          <w:szCs w:val="20"/>
          <w:lang w:val="en-US"/>
        </w:rPr>
        <w:t xml:space="preserve">In this case, as in others, the Court admits those documents submitted at the appropriate moment by the parties </w:t>
      </w:r>
      <w:r w:rsidR="00C561DF" w:rsidRPr="00CE23AE">
        <w:rPr>
          <w:szCs w:val="20"/>
          <w:lang w:val="en-US"/>
        </w:rPr>
        <w:t>and the Commission</w:t>
      </w:r>
      <w:r w:rsidR="00C51E3C" w:rsidRPr="00CE23AE">
        <w:rPr>
          <w:szCs w:val="20"/>
          <w:lang w:val="en-US"/>
        </w:rPr>
        <w:t xml:space="preserve"> o</w:t>
      </w:r>
      <w:r w:rsidRPr="00CE23AE">
        <w:rPr>
          <w:szCs w:val="20"/>
          <w:lang w:val="en-US"/>
        </w:rPr>
        <w:t>r requested as helpful evidence by the Court or its President</w:t>
      </w:r>
      <w:r w:rsidR="00C51E3C" w:rsidRPr="00CE23AE">
        <w:rPr>
          <w:szCs w:val="20"/>
          <w:lang w:val="en-US"/>
        </w:rPr>
        <w:t xml:space="preserve"> </w:t>
      </w:r>
      <w:r w:rsidRPr="00CE23AE">
        <w:rPr>
          <w:szCs w:val="20"/>
          <w:lang w:val="en-US"/>
        </w:rPr>
        <w:t xml:space="preserve">the admissibility of which was not contested or </w:t>
      </w:r>
      <w:r w:rsidR="00CA1945" w:rsidRPr="00CE23AE">
        <w:rPr>
          <w:szCs w:val="20"/>
          <w:lang w:val="en-US"/>
        </w:rPr>
        <w:t>challenged</w:t>
      </w:r>
      <w:r w:rsidRPr="00CE23AE">
        <w:rPr>
          <w:szCs w:val="20"/>
          <w:lang w:val="en-US"/>
        </w:rPr>
        <w:t>.</w:t>
      </w:r>
      <w:r w:rsidR="00C51E3C" w:rsidRPr="00CE23AE">
        <w:rPr>
          <w:rStyle w:val="Refdenotaalpie"/>
          <w:szCs w:val="20"/>
          <w:lang w:val="en-US"/>
        </w:rPr>
        <w:footnoteReference w:id="46"/>
      </w:r>
      <w:bookmarkEnd w:id="179"/>
    </w:p>
    <w:p w14:paraId="1916186A" w14:textId="6EAC5B45" w:rsidR="00961D25" w:rsidRPr="00CE23AE" w:rsidRDefault="00961D25" w:rsidP="00961D25">
      <w:pPr>
        <w:pStyle w:val="Prrafodelista"/>
        <w:tabs>
          <w:tab w:val="left" w:pos="567"/>
        </w:tabs>
        <w:autoSpaceDE w:val="0"/>
        <w:autoSpaceDN w:val="0"/>
        <w:spacing w:line="240" w:lineRule="auto"/>
        <w:ind w:left="0" w:right="22"/>
        <w:textAlignment w:val="auto"/>
        <w:rPr>
          <w:szCs w:val="20"/>
          <w:lang w:val="en-US"/>
        </w:rPr>
      </w:pPr>
    </w:p>
    <w:p w14:paraId="7FB36775" w14:textId="19BC22E8" w:rsidR="00961D25" w:rsidRPr="00CE23AE" w:rsidRDefault="00134F7D" w:rsidP="00134F7D">
      <w:pPr>
        <w:pStyle w:val="Prrafodelista"/>
        <w:numPr>
          <w:ilvl w:val="0"/>
          <w:numId w:val="6"/>
        </w:numPr>
        <w:tabs>
          <w:tab w:val="left" w:pos="567"/>
        </w:tabs>
        <w:autoSpaceDE w:val="0"/>
        <w:autoSpaceDN w:val="0"/>
        <w:spacing w:line="240" w:lineRule="auto"/>
        <w:ind w:left="0" w:right="22"/>
        <w:textAlignment w:val="auto"/>
        <w:rPr>
          <w:szCs w:val="20"/>
          <w:lang w:val="en-US"/>
        </w:rPr>
      </w:pPr>
      <w:r w:rsidRPr="00CE23AE">
        <w:rPr>
          <w:lang w:val="en-US"/>
        </w:rPr>
        <w:t>In its</w:t>
      </w:r>
      <w:r w:rsidR="00961D25" w:rsidRPr="00CE23AE">
        <w:rPr>
          <w:lang w:val="en-US"/>
        </w:rPr>
        <w:t xml:space="preserve"> </w:t>
      </w:r>
      <w:r w:rsidRPr="00CE23AE">
        <w:rPr>
          <w:lang w:val="en-US"/>
        </w:rPr>
        <w:t>a</w:t>
      </w:r>
      <w:r w:rsidR="005C743F" w:rsidRPr="00CE23AE">
        <w:rPr>
          <w:lang w:val="en-US"/>
        </w:rPr>
        <w:t>nswering brief</w:t>
      </w:r>
      <w:r w:rsidR="00961D25" w:rsidRPr="00CE23AE">
        <w:rPr>
          <w:lang w:val="en-US"/>
        </w:rPr>
        <w:t xml:space="preserve">, </w:t>
      </w:r>
      <w:r w:rsidR="00C561DF" w:rsidRPr="00CE23AE">
        <w:rPr>
          <w:lang w:val="en-US"/>
        </w:rPr>
        <w:t>the State</w:t>
      </w:r>
      <w:r w:rsidR="00961D25" w:rsidRPr="00CE23AE">
        <w:rPr>
          <w:lang w:val="en-US"/>
        </w:rPr>
        <w:t xml:space="preserve"> </w:t>
      </w:r>
      <w:r w:rsidRPr="00CE23AE">
        <w:rPr>
          <w:lang w:val="en-US"/>
        </w:rPr>
        <w:t>objected to the admission of the report on the formula for calculating the harm to the life project signed by Maria de los Ángeles Aguirre</w:t>
      </w:r>
      <w:r w:rsidR="00CA1945" w:rsidRPr="00CE23AE">
        <w:rPr>
          <w:lang w:val="en-US"/>
        </w:rPr>
        <w:t xml:space="preserve"> </w:t>
      </w:r>
      <w:r w:rsidRPr="00CE23AE">
        <w:rPr>
          <w:lang w:val="en-US"/>
        </w:rPr>
        <w:t>and submitted as annex 10 to the representative’s pleadings and motions brief. Ecuador argued that technical reports should be requested and dealt with as expert evidence by the Court, so that attaching them to a brief</w:t>
      </w:r>
      <w:r w:rsidR="00CA1945" w:rsidRPr="00CE23AE">
        <w:rPr>
          <w:lang w:val="en-US"/>
        </w:rPr>
        <w:t>,</w:t>
      </w:r>
      <w:r w:rsidRPr="00CE23AE">
        <w:rPr>
          <w:lang w:val="en-US"/>
        </w:rPr>
        <w:t xml:space="preserve"> as in this case, violate</w:t>
      </w:r>
      <w:r w:rsidR="00CA1945" w:rsidRPr="00CE23AE">
        <w:rPr>
          <w:lang w:val="en-US"/>
        </w:rPr>
        <w:t>d</w:t>
      </w:r>
      <w:r w:rsidRPr="00CE23AE">
        <w:rPr>
          <w:lang w:val="en-US"/>
        </w:rPr>
        <w:t xml:space="preserve"> legal certainty and the State’s right to defend itself. The Court notes that</w:t>
      </w:r>
      <w:r w:rsidR="00CA1945" w:rsidRPr="00CE23AE">
        <w:rPr>
          <w:lang w:val="en-US"/>
        </w:rPr>
        <w:t xml:space="preserve"> it is </w:t>
      </w:r>
      <w:r w:rsidR="00CA1945" w:rsidRPr="00CE23AE">
        <w:rPr>
          <w:color w:val="000000"/>
          <w:spacing w:val="-2"/>
          <w:szCs w:val="20"/>
          <w:lang w:val="en-US"/>
        </w:rPr>
        <w:t>the Court or its President</w:t>
      </w:r>
      <w:r w:rsidRPr="00CE23AE">
        <w:rPr>
          <w:lang w:val="en-US"/>
        </w:rPr>
        <w:t xml:space="preserve"> </w:t>
      </w:r>
      <w:r w:rsidR="00CA1945" w:rsidRPr="00CE23AE">
        <w:rPr>
          <w:lang w:val="en-US"/>
        </w:rPr>
        <w:t xml:space="preserve">that establishes </w:t>
      </w:r>
      <w:r w:rsidRPr="00CE23AE">
        <w:rPr>
          <w:lang w:val="en-US"/>
        </w:rPr>
        <w:t xml:space="preserve">the pertinence of a statement offered in a case by the parties or </w:t>
      </w:r>
      <w:r w:rsidRPr="00CE23AE">
        <w:rPr>
          <w:color w:val="000000"/>
          <w:spacing w:val="-2"/>
          <w:szCs w:val="20"/>
          <w:lang w:val="en-US"/>
        </w:rPr>
        <w:t>the Commission</w:t>
      </w:r>
      <w:r w:rsidR="00CA1945" w:rsidRPr="00CE23AE">
        <w:rPr>
          <w:color w:val="000000"/>
          <w:spacing w:val="-2"/>
          <w:szCs w:val="20"/>
          <w:lang w:val="en-US"/>
        </w:rPr>
        <w:t>,</w:t>
      </w:r>
      <w:r w:rsidRPr="00CE23AE">
        <w:rPr>
          <w:color w:val="000000"/>
          <w:spacing w:val="-2"/>
          <w:szCs w:val="20"/>
          <w:lang w:val="en-US"/>
        </w:rPr>
        <w:t xml:space="preserve"> and </w:t>
      </w:r>
      <w:r w:rsidR="00CA1945" w:rsidRPr="00CE23AE">
        <w:rPr>
          <w:color w:val="000000"/>
          <w:spacing w:val="-2"/>
          <w:szCs w:val="20"/>
          <w:lang w:val="en-US"/>
        </w:rPr>
        <w:t>defines</w:t>
      </w:r>
      <w:r w:rsidRPr="00CE23AE">
        <w:rPr>
          <w:color w:val="000000"/>
          <w:spacing w:val="-2"/>
          <w:szCs w:val="20"/>
          <w:lang w:val="en-US"/>
        </w:rPr>
        <w:t xml:space="preserve"> its purpose. However, this does not </w:t>
      </w:r>
      <w:r w:rsidR="00CA1945" w:rsidRPr="00CE23AE">
        <w:rPr>
          <w:color w:val="000000"/>
          <w:spacing w:val="-2"/>
          <w:szCs w:val="20"/>
          <w:lang w:val="en-US"/>
        </w:rPr>
        <w:t>restrict</w:t>
      </w:r>
      <w:r w:rsidRPr="00CE23AE">
        <w:rPr>
          <w:color w:val="000000"/>
          <w:spacing w:val="-2"/>
          <w:szCs w:val="20"/>
          <w:lang w:val="en-US"/>
        </w:rPr>
        <w:t xml:space="preserve"> the possibility of the parties present</w:t>
      </w:r>
      <w:r w:rsidR="00CA1945" w:rsidRPr="00CE23AE">
        <w:rPr>
          <w:color w:val="000000"/>
          <w:spacing w:val="-2"/>
          <w:szCs w:val="20"/>
          <w:lang w:val="en-US"/>
        </w:rPr>
        <w:t>ing</w:t>
      </w:r>
      <w:r w:rsidRPr="00CE23AE">
        <w:rPr>
          <w:color w:val="000000"/>
          <w:spacing w:val="-2"/>
          <w:szCs w:val="20"/>
          <w:lang w:val="en-US"/>
        </w:rPr>
        <w:t xml:space="preserve"> documentary evidence</w:t>
      </w:r>
      <w:r w:rsidR="00CA1945" w:rsidRPr="00CE23AE">
        <w:rPr>
          <w:color w:val="000000"/>
          <w:spacing w:val="-2"/>
          <w:szCs w:val="20"/>
          <w:lang w:val="en-US"/>
        </w:rPr>
        <w:t xml:space="preserve"> to </w:t>
      </w:r>
      <w:r w:rsidRPr="00CE23AE">
        <w:rPr>
          <w:color w:val="000000"/>
          <w:spacing w:val="-2"/>
          <w:szCs w:val="20"/>
          <w:lang w:val="en-US"/>
        </w:rPr>
        <w:t>support their arguments and claims. The report forwarded by the representative correspond</w:t>
      </w:r>
      <w:r w:rsidR="00CA1945" w:rsidRPr="00CE23AE">
        <w:rPr>
          <w:color w:val="000000"/>
          <w:spacing w:val="-2"/>
          <w:szCs w:val="20"/>
          <w:lang w:val="en-US"/>
        </w:rPr>
        <w:t>s</w:t>
      </w:r>
      <w:r w:rsidRPr="00CE23AE">
        <w:rPr>
          <w:color w:val="000000"/>
          <w:spacing w:val="-2"/>
          <w:szCs w:val="20"/>
          <w:lang w:val="en-US"/>
        </w:rPr>
        <w:t xml:space="preserve"> to documentary evidence and will be assessed as such in the context of the existing body of evidence.</w:t>
      </w:r>
      <w:r w:rsidR="00E82BFE" w:rsidRPr="00CE23AE">
        <w:rPr>
          <w:rFonts w:eastAsia="Calibri" w:cs="Verdana"/>
          <w:color w:val="000000"/>
          <w:spacing w:val="-2"/>
          <w:vertAlign w:val="superscript"/>
          <w:lang w:val="en-US" w:eastAsia="en-US"/>
        </w:rPr>
        <w:footnoteReference w:id="47"/>
      </w:r>
      <w:r w:rsidR="00E82BFE" w:rsidRPr="00CE23AE">
        <w:rPr>
          <w:color w:val="000000"/>
          <w:spacing w:val="-2"/>
          <w:szCs w:val="20"/>
          <w:lang w:val="en-US"/>
        </w:rPr>
        <w:t xml:space="preserve"> </w:t>
      </w:r>
      <w:r w:rsidR="00C561DF" w:rsidRPr="00CE23AE">
        <w:rPr>
          <w:color w:val="000000"/>
          <w:spacing w:val="-2"/>
          <w:szCs w:val="20"/>
          <w:lang w:val="en-US"/>
        </w:rPr>
        <w:t>The State</w:t>
      </w:r>
      <w:r w:rsidR="00E82BFE" w:rsidRPr="00CE23AE">
        <w:rPr>
          <w:color w:val="000000"/>
          <w:spacing w:val="-2"/>
          <w:szCs w:val="20"/>
          <w:lang w:val="en-US"/>
        </w:rPr>
        <w:t xml:space="preserve"> ha</w:t>
      </w:r>
      <w:r w:rsidRPr="00CE23AE">
        <w:rPr>
          <w:color w:val="000000"/>
          <w:spacing w:val="-2"/>
          <w:szCs w:val="20"/>
          <w:lang w:val="en-US"/>
        </w:rPr>
        <w:t>d the opportunity to exercise its right to defense in its a</w:t>
      </w:r>
      <w:r w:rsidR="005C743F" w:rsidRPr="00CE23AE">
        <w:rPr>
          <w:color w:val="000000"/>
          <w:spacing w:val="-2"/>
          <w:szCs w:val="20"/>
          <w:lang w:val="en-US"/>
        </w:rPr>
        <w:t>nswering brief</w:t>
      </w:r>
      <w:r w:rsidR="00C561DF" w:rsidRPr="00CE23AE">
        <w:rPr>
          <w:color w:val="000000"/>
          <w:spacing w:val="-2"/>
          <w:szCs w:val="20"/>
          <w:lang w:val="en-US"/>
        </w:rPr>
        <w:t xml:space="preserve"> and </w:t>
      </w:r>
      <w:r w:rsidRPr="00CE23AE">
        <w:rPr>
          <w:color w:val="000000"/>
          <w:spacing w:val="-2"/>
          <w:szCs w:val="20"/>
          <w:lang w:val="en-US"/>
        </w:rPr>
        <w:t xml:space="preserve">subsequent interventions before </w:t>
      </w:r>
      <w:r w:rsidR="00000AD5" w:rsidRPr="00CE23AE">
        <w:rPr>
          <w:color w:val="000000"/>
          <w:spacing w:val="-2"/>
          <w:szCs w:val="20"/>
          <w:lang w:val="en-US"/>
        </w:rPr>
        <w:t>this Court</w:t>
      </w:r>
      <w:r w:rsidRPr="00CE23AE">
        <w:rPr>
          <w:color w:val="000000"/>
          <w:spacing w:val="-2"/>
          <w:szCs w:val="20"/>
          <w:lang w:val="en-US"/>
        </w:rPr>
        <w:t>; therefore, the Court rejects Ecuador’s objection.</w:t>
      </w:r>
    </w:p>
    <w:p w14:paraId="2094E240" w14:textId="77777777" w:rsidR="00EE0466" w:rsidRPr="00CE23AE" w:rsidRDefault="00EE0466" w:rsidP="00EE0466">
      <w:pPr>
        <w:rPr>
          <w:lang w:val="en-US"/>
        </w:rPr>
      </w:pPr>
    </w:p>
    <w:p w14:paraId="0AB876B6" w14:textId="136135E3" w:rsidR="00656D4E" w:rsidRPr="00CE23AE" w:rsidRDefault="00134F7D" w:rsidP="00582D8D">
      <w:pPr>
        <w:pStyle w:val="Prrafodelista"/>
        <w:numPr>
          <w:ilvl w:val="0"/>
          <w:numId w:val="6"/>
        </w:numPr>
        <w:tabs>
          <w:tab w:val="left" w:pos="567"/>
        </w:tabs>
        <w:autoSpaceDE w:val="0"/>
        <w:autoSpaceDN w:val="0"/>
        <w:spacing w:line="240" w:lineRule="auto"/>
        <w:ind w:left="0" w:right="22"/>
        <w:textAlignment w:val="auto"/>
        <w:rPr>
          <w:szCs w:val="20"/>
          <w:lang w:val="en-US"/>
        </w:rPr>
      </w:pPr>
      <w:r w:rsidRPr="00CE23AE">
        <w:rPr>
          <w:szCs w:val="20"/>
          <w:lang w:val="en-US"/>
        </w:rPr>
        <w:t xml:space="preserve">In response to the request for helpful evidence, the State forwarded a document signed by expert witness </w:t>
      </w:r>
      <w:r w:rsidR="004C25E6" w:rsidRPr="00CE23AE">
        <w:rPr>
          <w:szCs w:val="20"/>
          <w:lang w:val="en-US"/>
        </w:rPr>
        <w:t>Leonardo Jaramillo</w:t>
      </w:r>
      <w:r w:rsidR="0023041C" w:rsidRPr="00CE23AE">
        <w:rPr>
          <w:szCs w:val="20"/>
          <w:lang w:val="en-US"/>
        </w:rPr>
        <w:t xml:space="preserve"> </w:t>
      </w:r>
      <w:r w:rsidRPr="00CE23AE">
        <w:rPr>
          <w:szCs w:val="20"/>
          <w:lang w:val="en-US"/>
        </w:rPr>
        <w:t xml:space="preserve">with the information requested. According to the State, this document sought to respond to the President’s request </w:t>
      </w:r>
      <w:r w:rsidR="003A085E" w:rsidRPr="00CE23AE">
        <w:rPr>
          <w:szCs w:val="20"/>
          <w:lang w:val="en-US"/>
        </w:rPr>
        <w:t>for domestic case law on reincorporation of personnel into</w:t>
      </w:r>
      <w:r w:rsidR="004C25E6" w:rsidRPr="00CE23AE">
        <w:rPr>
          <w:szCs w:val="20"/>
          <w:lang w:val="en-US"/>
        </w:rPr>
        <w:t xml:space="preserve"> </w:t>
      </w:r>
      <w:r w:rsidR="009C5D46" w:rsidRPr="00CE23AE">
        <w:rPr>
          <w:szCs w:val="20"/>
          <w:lang w:val="en-US"/>
        </w:rPr>
        <w:t>the Armed Forces</w:t>
      </w:r>
      <w:r w:rsidR="003A085E" w:rsidRPr="00CE23AE">
        <w:rPr>
          <w:szCs w:val="20"/>
          <w:lang w:val="en-US"/>
        </w:rPr>
        <w:t>.</w:t>
      </w:r>
      <w:r w:rsidR="004C25E6" w:rsidRPr="00CE23AE">
        <w:rPr>
          <w:rStyle w:val="Refdenotaalpie"/>
          <w:szCs w:val="20"/>
          <w:lang w:val="en-US"/>
        </w:rPr>
        <w:footnoteReference w:id="48"/>
      </w:r>
      <w:r w:rsidR="004C25E6" w:rsidRPr="00CE23AE">
        <w:rPr>
          <w:szCs w:val="20"/>
          <w:lang w:val="en-US"/>
        </w:rPr>
        <w:t xml:space="preserve"> </w:t>
      </w:r>
      <w:r w:rsidR="00C561DF" w:rsidRPr="00CE23AE">
        <w:rPr>
          <w:szCs w:val="20"/>
          <w:lang w:val="en-US"/>
        </w:rPr>
        <w:t>The representative</w:t>
      </w:r>
      <w:r w:rsidR="00532C65" w:rsidRPr="00CE23AE">
        <w:rPr>
          <w:szCs w:val="20"/>
          <w:lang w:val="en-US"/>
        </w:rPr>
        <w:t xml:space="preserve"> obje</w:t>
      </w:r>
      <w:r w:rsidR="003A085E" w:rsidRPr="00CE23AE">
        <w:rPr>
          <w:szCs w:val="20"/>
          <w:lang w:val="en-US"/>
        </w:rPr>
        <w:t xml:space="preserve">cted to the admissibility of this document. In this regard, the Court notes that the document does not have the probative value of an expert opinion and will not be considered an extension of the expert opinion provided by </w:t>
      </w:r>
      <w:r w:rsidR="0023041C" w:rsidRPr="00CE23AE">
        <w:rPr>
          <w:lang w:val="en-US"/>
        </w:rPr>
        <w:t>Leonardo Jaramillo</w:t>
      </w:r>
      <w:r w:rsidR="003A085E" w:rsidRPr="00CE23AE">
        <w:rPr>
          <w:lang w:val="en-US"/>
        </w:rPr>
        <w:t xml:space="preserve"> at the public hearing. However, insofar as it was received </w:t>
      </w:r>
      <w:r w:rsidR="00CA1945" w:rsidRPr="00CE23AE">
        <w:rPr>
          <w:lang w:val="en-US"/>
        </w:rPr>
        <w:t>in</w:t>
      </w:r>
      <w:r w:rsidR="003A085E" w:rsidRPr="00CE23AE">
        <w:rPr>
          <w:lang w:val="en-US"/>
        </w:rPr>
        <w:t xml:space="preserve"> response to a request for helpful evidence, it will be considered part of the information and clarifications provided by the State</w:t>
      </w:r>
      <w:r w:rsidR="00CA1945" w:rsidRPr="00CE23AE">
        <w:rPr>
          <w:lang w:val="en-US"/>
        </w:rPr>
        <w:t xml:space="preserve"> </w:t>
      </w:r>
      <w:r w:rsidR="003A085E" w:rsidRPr="00CE23AE">
        <w:rPr>
          <w:lang w:val="en-US"/>
        </w:rPr>
        <w:t xml:space="preserve">to </w:t>
      </w:r>
      <w:r w:rsidR="003A085E" w:rsidRPr="00CE23AE">
        <w:rPr>
          <w:lang w:val="en-US"/>
        </w:rPr>
        <w:lastRenderedPageBreak/>
        <w:t xml:space="preserve">address the request made by </w:t>
      </w:r>
      <w:r w:rsidR="00C561DF" w:rsidRPr="00CE23AE">
        <w:rPr>
          <w:lang w:val="en-US"/>
        </w:rPr>
        <w:t>the President</w:t>
      </w:r>
      <w:r w:rsidR="003A085E" w:rsidRPr="00CE23AE">
        <w:rPr>
          <w:lang w:val="en-US"/>
        </w:rPr>
        <w:t xml:space="preserve"> of </w:t>
      </w:r>
      <w:r w:rsidR="00C561DF" w:rsidRPr="00CE23AE">
        <w:rPr>
          <w:lang w:val="en-US"/>
        </w:rPr>
        <w:t>the Court</w:t>
      </w:r>
      <w:r w:rsidR="0023041C" w:rsidRPr="00CE23AE">
        <w:rPr>
          <w:lang w:val="en-US"/>
        </w:rPr>
        <w:t xml:space="preserve">. </w:t>
      </w:r>
    </w:p>
    <w:p w14:paraId="61AEE634" w14:textId="77777777" w:rsidR="00C51E3C" w:rsidRPr="00CE23AE" w:rsidRDefault="00255CB2" w:rsidP="00426334">
      <w:pPr>
        <w:pStyle w:val="Prrafodelista"/>
        <w:tabs>
          <w:tab w:val="left" w:pos="567"/>
        </w:tabs>
        <w:autoSpaceDE w:val="0"/>
        <w:autoSpaceDN w:val="0"/>
        <w:spacing w:line="240" w:lineRule="auto"/>
        <w:ind w:left="0" w:right="22"/>
        <w:textAlignment w:val="auto"/>
        <w:rPr>
          <w:szCs w:val="20"/>
          <w:lang w:val="en-US"/>
        </w:rPr>
      </w:pPr>
      <w:r w:rsidRPr="00CE23AE">
        <w:rPr>
          <w:szCs w:val="20"/>
          <w:lang w:val="en-US"/>
        </w:rPr>
        <w:t xml:space="preserve"> </w:t>
      </w:r>
    </w:p>
    <w:p w14:paraId="0DC23AAD" w14:textId="03577864" w:rsidR="00C51E3C" w:rsidRPr="00CE23AE" w:rsidRDefault="00B4473B" w:rsidP="00356166">
      <w:pPr>
        <w:pStyle w:val="Ttulo3"/>
        <w:rPr>
          <w:spacing w:val="0"/>
          <w:lang w:val="en-US"/>
        </w:rPr>
      </w:pPr>
      <w:bookmarkStart w:id="180" w:name="_Toc424834693"/>
      <w:bookmarkStart w:id="181" w:name="_Toc431584616"/>
      <w:bookmarkStart w:id="182" w:name="_Toc434850404"/>
      <w:bookmarkStart w:id="183" w:name="_Toc453874320"/>
      <w:bookmarkStart w:id="184" w:name="_Toc454891481"/>
      <w:bookmarkStart w:id="185" w:name="_Toc457840585"/>
      <w:bookmarkStart w:id="186" w:name="_Toc460398532"/>
      <w:bookmarkStart w:id="187" w:name="_Toc464474972"/>
      <w:bookmarkStart w:id="188" w:name="_Toc46388359"/>
      <w:r w:rsidRPr="00CE23AE">
        <w:rPr>
          <w:spacing w:val="0"/>
          <w:lang w:val="en-US"/>
        </w:rPr>
        <w:t>B.2</w:t>
      </w:r>
      <w:r w:rsidR="00C51E3C" w:rsidRPr="00CE23AE">
        <w:rPr>
          <w:spacing w:val="0"/>
          <w:lang w:val="en-US"/>
        </w:rPr>
        <w:t xml:space="preserve"> </w:t>
      </w:r>
      <w:r w:rsidR="00000AD5" w:rsidRPr="00CE23AE">
        <w:rPr>
          <w:spacing w:val="0"/>
          <w:lang w:val="en-US"/>
        </w:rPr>
        <w:t xml:space="preserve">Admission of the </w:t>
      </w:r>
      <w:r w:rsidR="003A085E" w:rsidRPr="00CE23AE">
        <w:rPr>
          <w:spacing w:val="0"/>
          <w:lang w:val="en-US"/>
        </w:rPr>
        <w:t>testimonial and expert evidence</w:t>
      </w:r>
      <w:bookmarkEnd w:id="180"/>
      <w:bookmarkEnd w:id="181"/>
      <w:bookmarkEnd w:id="182"/>
      <w:bookmarkEnd w:id="183"/>
      <w:bookmarkEnd w:id="184"/>
      <w:bookmarkEnd w:id="185"/>
      <w:bookmarkEnd w:id="186"/>
      <w:bookmarkEnd w:id="187"/>
      <w:bookmarkEnd w:id="188"/>
    </w:p>
    <w:p w14:paraId="6F51B3E5" w14:textId="77777777" w:rsidR="00C51E3C" w:rsidRPr="00CE23AE" w:rsidRDefault="00C51E3C" w:rsidP="00356166">
      <w:pPr>
        <w:tabs>
          <w:tab w:val="left" w:pos="567"/>
        </w:tabs>
        <w:jc w:val="center"/>
        <w:rPr>
          <w:szCs w:val="20"/>
          <w:lang w:val="en-US"/>
        </w:rPr>
      </w:pPr>
    </w:p>
    <w:p w14:paraId="07D90E04" w14:textId="19AA2E80" w:rsidR="004A46A6" w:rsidRPr="00CE23AE" w:rsidRDefault="004A46A6" w:rsidP="00582D8D">
      <w:pPr>
        <w:pStyle w:val="Prrafodelista"/>
        <w:numPr>
          <w:ilvl w:val="0"/>
          <w:numId w:val="6"/>
        </w:numPr>
        <w:tabs>
          <w:tab w:val="left" w:pos="567"/>
        </w:tabs>
        <w:autoSpaceDE w:val="0"/>
        <w:autoSpaceDN w:val="0"/>
        <w:spacing w:line="240" w:lineRule="auto"/>
        <w:ind w:left="0" w:right="22"/>
        <w:textAlignment w:val="auto"/>
        <w:rPr>
          <w:szCs w:val="20"/>
          <w:lang w:val="en-US"/>
        </w:rPr>
      </w:pPr>
      <w:r w:rsidRPr="00CE23AE">
        <w:rPr>
          <w:szCs w:val="20"/>
          <w:lang w:val="en-US"/>
        </w:rPr>
        <w:t xml:space="preserve">The Court also finds it pertinent to admit the statements </w:t>
      </w:r>
      <w:r w:rsidR="008B76F3" w:rsidRPr="00CE23AE">
        <w:rPr>
          <w:szCs w:val="20"/>
          <w:lang w:val="en-US"/>
        </w:rPr>
        <w:t xml:space="preserve">of the </w:t>
      </w:r>
      <w:r w:rsidR="00C561DF" w:rsidRPr="00CE23AE">
        <w:rPr>
          <w:szCs w:val="20"/>
          <w:lang w:val="en-US"/>
        </w:rPr>
        <w:t>presumed victim</w:t>
      </w:r>
      <w:r w:rsidR="00C51E3C" w:rsidRPr="00CE23AE">
        <w:rPr>
          <w:szCs w:val="20"/>
          <w:lang w:val="en-US"/>
        </w:rPr>
        <w:t xml:space="preserve">, </w:t>
      </w:r>
      <w:r w:rsidRPr="00CE23AE">
        <w:rPr>
          <w:szCs w:val="20"/>
          <w:lang w:val="en-US"/>
        </w:rPr>
        <w:t xml:space="preserve">the witnesses, and the expert opinions provided during the </w:t>
      </w:r>
      <w:r w:rsidR="005C743F" w:rsidRPr="00CE23AE">
        <w:rPr>
          <w:szCs w:val="20"/>
          <w:lang w:val="en-US"/>
        </w:rPr>
        <w:t>public hearing</w:t>
      </w:r>
      <w:r w:rsidR="00C561DF" w:rsidRPr="00CE23AE">
        <w:rPr>
          <w:szCs w:val="20"/>
          <w:lang w:val="en-US"/>
        </w:rPr>
        <w:t xml:space="preserve"> and </w:t>
      </w:r>
      <w:r w:rsidRPr="00CE23AE">
        <w:rPr>
          <w:szCs w:val="20"/>
          <w:lang w:val="en-US"/>
        </w:rPr>
        <w:t>by affidavit, insofar as they are in keeping with the purpose defined by the President in the order requiring them and the purpose of this case.</w:t>
      </w:r>
    </w:p>
    <w:p w14:paraId="445486D2" w14:textId="77777777" w:rsidR="00C51E3C" w:rsidRPr="00CE23AE" w:rsidRDefault="00C51E3C" w:rsidP="00356166">
      <w:pPr>
        <w:pStyle w:val="Sinespaciado"/>
        <w:tabs>
          <w:tab w:val="left" w:pos="567"/>
        </w:tabs>
        <w:rPr>
          <w:szCs w:val="20"/>
          <w:lang w:val="en-US"/>
        </w:rPr>
      </w:pPr>
    </w:p>
    <w:p w14:paraId="79C50359" w14:textId="4043686A" w:rsidR="00C51E3C" w:rsidRPr="00CE23AE" w:rsidRDefault="003A085E" w:rsidP="009F36A1">
      <w:pPr>
        <w:pStyle w:val="Ttulo2"/>
        <w:numPr>
          <w:ilvl w:val="0"/>
          <w:numId w:val="2"/>
        </w:numPr>
        <w:rPr>
          <w:lang w:val="en-US"/>
        </w:rPr>
      </w:pPr>
      <w:bookmarkStart w:id="189" w:name="_Toc46388360"/>
      <w:r w:rsidRPr="00CE23AE">
        <w:rPr>
          <w:lang w:val="en-US"/>
        </w:rPr>
        <w:t>Assessment of the evidence</w:t>
      </w:r>
      <w:bookmarkEnd w:id="189"/>
    </w:p>
    <w:p w14:paraId="161E5E1A" w14:textId="77777777" w:rsidR="00356166" w:rsidRPr="00CE23AE" w:rsidRDefault="00356166" w:rsidP="00356166">
      <w:pPr>
        <w:rPr>
          <w:lang w:val="en-US" w:eastAsia="es-MX"/>
        </w:rPr>
      </w:pPr>
    </w:p>
    <w:p w14:paraId="260CCD29" w14:textId="0B2896D6" w:rsidR="00C51E3C" w:rsidRPr="00CE23AE" w:rsidRDefault="004A46A6" w:rsidP="00582D8D">
      <w:pPr>
        <w:pStyle w:val="Prrafodelista"/>
        <w:numPr>
          <w:ilvl w:val="0"/>
          <w:numId w:val="6"/>
        </w:numPr>
        <w:tabs>
          <w:tab w:val="left" w:pos="567"/>
        </w:tabs>
        <w:autoSpaceDE w:val="0"/>
        <w:autoSpaceDN w:val="0"/>
        <w:spacing w:line="240" w:lineRule="auto"/>
        <w:ind w:left="0" w:right="22"/>
        <w:textAlignment w:val="auto"/>
        <w:rPr>
          <w:szCs w:val="20"/>
          <w:lang w:val="en-US"/>
        </w:rPr>
      </w:pPr>
      <w:r w:rsidRPr="00CE23AE">
        <w:rPr>
          <w:szCs w:val="20"/>
          <w:lang w:val="en-US"/>
        </w:rPr>
        <w:t>Pursuant to</w:t>
      </w:r>
      <w:r w:rsidR="00C51E3C" w:rsidRPr="00CE23AE">
        <w:rPr>
          <w:szCs w:val="20"/>
          <w:lang w:val="en-US"/>
        </w:rPr>
        <w:t xml:space="preserve"> </w:t>
      </w:r>
      <w:r w:rsidR="00C561DF" w:rsidRPr="00CE23AE">
        <w:rPr>
          <w:szCs w:val="20"/>
          <w:lang w:val="en-US"/>
        </w:rPr>
        <w:t>Articles</w:t>
      </w:r>
      <w:r w:rsidR="00C51E3C" w:rsidRPr="00CE23AE">
        <w:rPr>
          <w:szCs w:val="20"/>
          <w:lang w:val="en-US"/>
        </w:rPr>
        <w:t xml:space="preserve"> 4</w:t>
      </w:r>
      <w:r w:rsidR="00845194" w:rsidRPr="00CE23AE">
        <w:rPr>
          <w:szCs w:val="20"/>
          <w:lang w:val="en-US"/>
        </w:rPr>
        <w:t>6</w:t>
      </w:r>
      <w:r w:rsidR="00C51E3C" w:rsidRPr="00CE23AE">
        <w:rPr>
          <w:szCs w:val="20"/>
          <w:lang w:val="en-US"/>
        </w:rPr>
        <w:t>, 47, 48, 50, 51, 57</w:t>
      </w:r>
      <w:r w:rsidR="00C561DF" w:rsidRPr="00CE23AE">
        <w:rPr>
          <w:szCs w:val="20"/>
          <w:lang w:val="en-US"/>
        </w:rPr>
        <w:t xml:space="preserve"> and </w:t>
      </w:r>
      <w:r w:rsidR="00C51E3C" w:rsidRPr="00CE23AE">
        <w:rPr>
          <w:szCs w:val="20"/>
          <w:lang w:val="en-US"/>
        </w:rPr>
        <w:t>58</w:t>
      </w:r>
      <w:r w:rsidR="00C561DF" w:rsidRPr="00CE23AE">
        <w:rPr>
          <w:szCs w:val="20"/>
          <w:lang w:val="en-US"/>
        </w:rPr>
        <w:t xml:space="preserve"> of the Rules of Procedure</w:t>
      </w:r>
      <w:r w:rsidR="00C51E3C" w:rsidRPr="00CE23AE">
        <w:rPr>
          <w:szCs w:val="20"/>
          <w:lang w:val="en-US"/>
        </w:rPr>
        <w:t>, as</w:t>
      </w:r>
      <w:r w:rsidRPr="00CE23AE">
        <w:rPr>
          <w:szCs w:val="20"/>
          <w:lang w:val="en-US"/>
        </w:rPr>
        <w:t xml:space="preserve"> well as its consistent case law regarding evidence and its assessment,</w:t>
      </w:r>
      <w:r w:rsidR="00C51E3C" w:rsidRPr="00CE23AE">
        <w:rPr>
          <w:rStyle w:val="Refdenotaalpie"/>
          <w:szCs w:val="20"/>
          <w:lang w:val="en-US"/>
        </w:rPr>
        <w:footnoteReference w:id="49"/>
      </w:r>
      <w:r w:rsidR="00C51E3C" w:rsidRPr="00CE23AE">
        <w:rPr>
          <w:szCs w:val="20"/>
          <w:lang w:val="en-US"/>
        </w:rPr>
        <w:t xml:space="preserve"> </w:t>
      </w:r>
      <w:r w:rsidR="00C561DF" w:rsidRPr="00CE23AE">
        <w:rPr>
          <w:szCs w:val="20"/>
          <w:lang w:val="en-US"/>
        </w:rPr>
        <w:t>the Court</w:t>
      </w:r>
      <w:r w:rsidR="00C51E3C" w:rsidRPr="00CE23AE">
        <w:rPr>
          <w:szCs w:val="20"/>
          <w:lang w:val="en-US"/>
        </w:rPr>
        <w:t xml:space="preserve"> </w:t>
      </w:r>
      <w:r w:rsidRPr="00CE23AE">
        <w:rPr>
          <w:szCs w:val="20"/>
          <w:lang w:val="en-US"/>
        </w:rPr>
        <w:t xml:space="preserve">will examine and assess the documentary probative evidence provided by the parties </w:t>
      </w:r>
      <w:r w:rsidR="00C561DF" w:rsidRPr="00CE23AE">
        <w:rPr>
          <w:szCs w:val="20"/>
          <w:lang w:val="en-US"/>
        </w:rPr>
        <w:t>and the Commission</w:t>
      </w:r>
      <w:r w:rsidR="00C51E3C" w:rsidRPr="00CE23AE">
        <w:rPr>
          <w:szCs w:val="20"/>
          <w:lang w:val="en-US"/>
        </w:rPr>
        <w:t xml:space="preserve">, </w:t>
      </w:r>
      <w:r w:rsidRPr="00CE23AE">
        <w:rPr>
          <w:szCs w:val="20"/>
          <w:lang w:val="en-US"/>
        </w:rPr>
        <w:t xml:space="preserve">the statements, testimony and expert opinions, and the helpful evidence requested and incorporated by this Court </w:t>
      </w:r>
      <w:r w:rsidR="008B6B4F" w:rsidRPr="00CE23AE">
        <w:rPr>
          <w:szCs w:val="20"/>
          <w:lang w:val="en-US"/>
        </w:rPr>
        <w:t>to establish the facts of the case and to rule on the merits. To this end, it will abide by the principles of sound judicial discretion within the corresponding legal framework, taking into account the whole body of evidence and the arguments submitted in this case.</w:t>
      </w:r>
      <w:r w:rsidR="00C51E3C" w:rsidRPr="00CE23AE">
        <w:rPr>
          <w:rStyle w:val="Refdenotaalpie"/>
          <w:szCs w:val="20"/>
          <w:lang w:val="en-US"/>
        </w:rPr>
        <w:footnoteReference w:id="50"/>
      </w:r>
    </w:p>
    <w:p w14:paraId="54275CD5" w14:textId="77777777" w:rsidR="00C51E3C" w:rsidRPr="00CE23AE" w:rsidRDefault="00C51E3C" w:rsidP="00356166">
      <w:pPr>
        <w:pStyle w:val="Sinespaciado"/>
        <w:tabs>
          <w:tab w:val="left" w:pos="567"/>
        </w:tabs>
        <w:rPr>
          <w:szCs w:val="20"/>
          <w:lang w:val="en-US"/>
        </w:rPr>
      </w:pPr>
    </w:p>
    <w:p w14:paraId="05214767" w14:textId="42F03B1D" w:rsidR="00C51E3C" w:rsidRPr="00CE23AE" w:rsidRDefault="008B6B4F" w:rsidP="00582D8D">
      <w:pPr>
        <w:pStyle w:val="Prrafodelista"/>
        <w:numPr>
          <w:ilvl w:val="0"/>
          <w:numId w:val="6"/>
        </w:numPr>
        <w:tabs>
          <w:tab w:val="left" w:pos="567"/>
        </w:tabs>
        <w:autoSpaceDE w:val="0"/>
        <w:autoSpaceDN w:val="0"/>
        <w:spacing w:line="240" w:lineRule="auto"/>
        <w:ind w:left="0" w:right="22"/>
        <w:textAlignment w:val="auto"/>
        <w:rPr>
          <w:szCs w:val="20"/>
          <w:lang w:val="en-US"/>
        </w:rPr>
      </w:pPr>
      <w:r w:rsidRPr="00CE23AE">
        <w:rPr>
          <w:szCs w:val="20"/>
          <w:lang w:val="en-US"/>
        </w:rPr>
        <w:t>Furthermore, in accordance with the case law</w:t>
      </w:r>
      <w:r w:rsidR="00C561DF" w:rsidRPr="00CE23AE">
        <w:rPr>
          <w:szCs w:val="20"/>
          <w:lang w:val="en-US"/>
        </w:rPr>
        <w:t xml:space="preserve"> of the Inter-American Court</w:t>
      </w:r>
      <w:r w:rsidR="00C51E3C" w:rsidRPr="00CE23AE">
        <w:rPr>
          <w:szCs w:val="20"/>
          <w:lang w:val="en-US"/>
        </w:rPr>
        <w:t xml:space="preserve">, </w:t>
      </w:r>
      <w:r w:rsidRPr="00CE23AE">
        <w:rPr>
          <w:szCs w:val="20"/>
          <w:lang w:val="en-US"/>
        </w:rPr>
        <w:t xml:space="preserve">the statement made by </w:t>
      </w:r>
      <w:r w:rsidR="00C561DF" w:rsidRPr="00CE23AE">
        <w:rPr>
          <w:szCs w:val="20"/>
          <w:lang w:val="en-US"/>
        </w:rPr>
        <w:t>the presumed victim</w:t>
      </w:r>
      <w:r w:rsidR="00C51E3C" w:rsidRPr="00CE23AE">
        <w:rPr>
          <w:szCs w:val="20"/>
          <w:lang w:val="en-US"/>
        </w:rPr>
        <w:t xml:space="preserve"> </w:t>
      </w:r>
      <w:r w:rsidRPr="00CE23AE">
        <w:rPr>
          <w:szCs w:val="20"/>
          <w:lang w:val="en-US"/>
        </w:rPr>
        <w:t>cannot be assessed in isolation, but rather in the context of all the evidence in the proceedings, insofar as it may provide further information on the presumed violations and their consequences.</w:t>
      </w:r>
      <w:r w:rsidR="00C51E3C" w:rsidRPr="00CE23AE">
        <w:rPr>
          <w:rStyle w:val="Refdenotaalpie"/>
          <w:szCs w:val="20"/>
          <w:lang w:val="en-US"/>
        </w:rPr>
        <w:footnoteReference w:id="51"/>
      </w:r>
    </w:p>
    <w:p w14:paraId="1C9193F4" w14:textId="77777777" w:rsidR="00AF631C" w:rsidRPr="00CE23AE" w:rsidRDefault="00AF631C" w:rsidP="00AF631C">
      <w:pPr>
        <w:pStyle w:val="Prrafodelista"/>
        <w:tabs>
          <w:tab w:val="left" w:pos="567"/>
        </w:tabs>
        <w:autoSpaceDE w:val="0"/>
        <w:autoSpaceDN w:val="0"/>
        <w:spacing w:before="120" w:line="240" w:lineRule="auto"/>
        <w:ind w:left="0" w:right="22"/>
        <w:textAlignment w:val="auto"/>
        <w:rPr>
          <w:szCs w:val="20"/>
          <w:lang w:val="en-US"/>
        </w:rPr>
      </w:pPr>
    </w:p>
    <w:p w14:paraId="306CF97B" w14:textId="77777777" w:rsidR="00AD2423" w:rsidRPr="00CE23AE" w:rsidRDefault="00AD2423" w:rsidP="00AD2423">
      <w:pPr>
        <w:pStyle w:val="Ttulo1"/>
        <w:tabs>
          <w:tab w:val="left" w:pos="567"/>
        </w:tabs>
        <w:rPr>
          <w:spacing w:val="0"/>
          <w:lang w:val="en-US"/>
        </w:rPr>
      </w:pPr>
      <w:bookmarkStart w:id="190" w:name="_Toc424834695"/>
      <w:bookmarkStart w:id="191" w:name="_Toc427932799"/>
      <w:bookmarkStart w:id="192" w:name="_Toc431584618"/>
      <w:bookmarkStart w:id="193" w:name="_Toc434850406"/>
      <w:bookmarkStart w:id="194" w:name="_Toc453874322"/>
      <w:bookmarkStart w:id="195" w:name="_Toc454891483"/>
      <w:bookmarkStart w:id="196" w:name="_Toc457840587"/>
      <w:bookmarkStart w:id="197" w:name="_Toc464474974"/>
      <w:bookmarkStart w:id="198" w:name="_Toc46388361"/>
      <w:r w:rsidRPr="00CE23AE">
        <w:rPr>
          <w:spacing w:val="0"/>
          <w:lang w:val="en-US"/>
        </w:rPr>
        <w:t>VI</w:t>
      </w:r>
      <w:bookmarkEnd w:id="190"/>
      <w:bookmarkEnd w:id="191"/>
      <w:bookmarkEnd w:id="192"/>
      <w:bookmarkEnd w:id="193"/>
      <w:r w:rsidRPr="00CE23AE">
        <w:rPr>
          <w:spacing w:val="0"/>
          <w:lang w:val="en-US"/>
        </w:rPr>
        <w:t>I</w:t>
      </w:r>
      <w:bookmarkEnd w:id="194"/>
      <w:bookmarkEnd w:id="195"/>
      <w:bookmarkEnd w:id="196"/>
      <w:bookmarkEnd w:id="197"/>
      <w:bookmarkEnd w:id="198"/>
    </w:p>
    <w:p w14:paraId="58340AA3" w14:textId="30E6CBE2" w:rsidR="00AD2423" w:rsidRPr="00CE23AE" w:rsidRDefault="00000AD5" w:rsidP="00341A13">
      <w:pPr>
        <w:pStyle w:val="Ttulo1"/>
        <w:tabs>
          <w:tab w:val="left" w:pos="567"/>
        </w:tabs>
        <w:rPr>
          <w:spacing w:val="0"/>
          <w:lang w:val="en-US"/>
        </w:rPr>
      </w:pPr>
      <w:bookmarkStart w:id="199" w:name="_Toc46388362"/>
      <w:r w:rsidRPr="00CE23AE">
        <w:rPr>
          <w:spacing w:val="0"/>
          <w:lang w:val="en-US"/>
        </w:rPr>
        <w:t>FACTS</w:t>
      </w:r>
      <w:bookmarkEnd w:id="199"/>
    </w:p>
    <w:p w14:paraId="294B5EE3" w14:textId="77777777" w:rsidR="00341A13" w:rsidRPr="00CE23AE" w:rsidRDefault="00341A13" w:rsidP="00341A13">
      <w:pPr>
        <w:rPr>
          <w:lang w:val="en-US" w:eastAsia="es-ES"/>
        </w:rPr>
      </w:pPr>
    </w:p>
    <w:p w14:paraId="5F890227" w14:textId="0A8C500F" w:rsidR="00C51E3C" w:rsidRPr="00CE23AE" w:rsidRDefault="00CB4410" w:rsidP="0054620E">
      <w:pPr>
        <w:pStyle w:val="PrrafodeSentencia"/>
        <w:rPr>
          <w:lang w:val="en-US"/>
        </w:rPr>
      </w:pPr>
      <w:r w:rsidRPr="00CE23AE">
        <w:rPr>
          <w:lang w:val="en-US"/>
        </w:rPr>
        <w:t xml:space="preserve">This case relates to the discharge </w:t>
      </w:r>
      <w:r w:rsidR="00000AE1" w:rsidRPr="00CE23AE">
        <w:rPr>
          <w:lang w:val="en-US"/>
        </w:rPr>
        <w:t>of Mr.</w:t>
      </w:r>
      <w:r w:rsidR="00F5102B" w:rsidRPr="00CE23AE">
        <w:rPr>
          <w:lang w:val="en-US"/>
        </w:rPr>
        <w:t xml:space="preserve"> Flor</w:t>
      </w:r>
      <w:r w:rsidR="00774903" w:rsidRPr="00CE23AE">
        <w:rPr>
          <w:lang w:val="en-US"/>
        </w:rPr>
        <w:t xml:space="preserve"> Freire</w:t>
      </w:r>
      <w:r w:rsidR="008B76F3" w:rsidRPr="00CE23AE">
        <w:rPr>
          <w:lang w:val="en-US"/>
        </w:rPr>
        <w:t xml:space="preserve"> </w:t>
      </w:r>
      <w:r w:rsidRPr="00CE23AE">
        <w:rPr>
          <w:lang w:val="en-US"/>
        </w:rPr>
        <w:t>from</w:t>
      </w:r>
      <w:r w:rsidR="008B76F3" w:rsidRPr="00CE23AE">
        <w:rPr>
          <w:lang w:val="en-US"/>
        </w:rPr>
        <w:t xml:space="preserve"> the </w:t>
      </w:r>
      <w:r w:rsidRPr="00CE23AE">
        <w:rPr>
          <w:lang w:val="en-US"/>
        </w:rPr>
        <w:t xml:space="preserve">Ecuadorian </w:t>
      </w:r>
      <w:r w:rsidR="008B76F3" w:rsidRPr="00CE23AE">
        <w:rPr>
          <w:lang w:val="en-US"/>
        </w:rPr>
        <w:t>Ground Forces</w:t>
      </w:r>
      <w:r w:rsidR="00774903" w:rsidRPr="00CE23AE">
        <w:rPr>
          <w:lang w:val="en-US"/>
        </w:rPr>
        <w:t xml:space="preserve"> </w:t>
      </w:r>
      <w:r w:rsidRPr="00CE23AE">
        <w:rPr>
          <w:lang w:val="en-US"/>
        </w:rPr>
        <w:t xml:space="preserve">for reasons that are alleged to have been discriminatory owing to a perceived sexual orientation. In this chapter, the Court will describe the relevant facts with regard to: </w:t>
      </w:r>
      <w:r w:rsidR="00774903" w:rsidRPr="00CE23AE">
        <w:rPr>
          <w:lang w:val="en-US"/>
        </w:rPr>
        <w:t xml:space="preserve">(A) </w:t>
      </w:r>
      <w:r w:rsidRPr="00CE23AE">
        <w:rPr>
          <w:lang w:val="en-US"/>
        </w:rPr>
        <w:t xml:space="preserve">the </w:t>
      </w:r>
      <w:r w:rsidR="005C6C94" w:rsidRPr="00CE23AE">
        <w:rPr>
          <w:lang w:val="en-US"/>
        </w:rPr>
        <w:t>affiliation of Homero Flor Freire with the Ecuadorian</w:t>
      </w:r>
      <w:r w:rsidRPr="00CE23AE">
        <w:rPr>
          <w:lang w:val="en-US"/>
        </w:rPr>
        <w:t xml:space="preserve"> Ground Forces</w:t>
      </w:r>
      <w:r w:rsidR="00C561DF" w:rsidRPr="00CE23AE">
        <w:rPr>
          <w:lang w:val="en-US"/>
        </w:rPr>
        <w:t xml:space="preserve"> and </w:t>
      </w:r>
      <w:r w:rsidRPr="00CE23AE">
        <w:rPr>
          <w:lang w:val="en-US"/>
        </w:rPr>
        <w:t>the events</w:t>
      </w:r>
      <w:r w:rsidR="00774903" w:rsidRPr="00CE23AE">
        <w:rPr>
          <w:lang w:val="en-US"/>
        </w:rPr>
        <w:t xml:space="preserve"> </w:t>
      </w:r>
      <w:r w:rsidR="004A46A6" w:rsidRPr="00CE23AE">
        <w:rPr>
          <w:lang w:val="en-US"/>
        </w:rPr>
        <w:t>of November 19,</w:t>
      </w:r>
      <w:r w:rsidR="00774903" w:rsidRPr="00CE23AE">
        <w:rPr>
          <w:lang w:val="en-US"/>
        </w:rPr>
        <w:t xml:space="preserve"> 2000; (B)</w:t>
      </w:r>
      <w:r w:rsidRPr="00CE23AE">
        <w:rPr>
          <w:lang w:val="en-US"/>
        </w:rPr>
        <w:t xml:space="preserve"> the domestic norms applied in this case</w:t>
      </w:r>
      <w:r w:rsidR="00EE32BB" w:rsidRPr="00CE23AE">
        <w:rPr>
          <w:lang w:val="en-US"/>
        </w:rPr>
        <w:t xml:space="preserve">; (C) </w:t>
      </w:r>
      <w:r w:rsidRPr="00CE23AE">
        <w:rPr>
          <w:lang w:val="en-US"/>
        </w:rPr>
        <w:t xml:space="preserve">the </w:t>
      </w:r>
      <w:r w:rsidR="00A06577" w:rsidRPr="00CE23AE">
        <w:rPr>
          <w:lang w:val="en-US"/>
        </w:rPr>
        <w:t>summary inquiry</w:t>
      </w:r>
      <w:r w:rsidR="00DC241E" w:rsidRPr="00CE23AE">
        <w:rPr>
          <w:lang w:val="en-US"/>
        </w:rPr>
        <w:t xml:space="preserve"> </w:t>
      </w:r>
      <w:r w:rsidRPr="00CE23AE">
        <w:rPr>
          <w:lang w:val="en-US"/>
        </w:rPr>
        <w:t xml:space="preserve">disciplinary procedure </w:t>
      </w:r>
      <w:r w:rsidR="00DC241E" w:rsidRPr="00CE23AE">
        <w:rPr>
          <w:lang w:val="en-US"/>
        </w:rPr>
        <w:t>(</w:t>
      </w:r>
      <w:r w:rsidR="00DC241E" w:rsidRPr="00CE23AE">
        <w:rPr>
          <w:i/>
          <w:iCs/>
          <w:lang w:val="en-US"/>
        </w:rPr>
        <w:t>proceso disciplinario de información sumaria</w:t>
      </w:r>
      <w:r w:rsidR="00DC241E" w:rsidRPr="00CE23AE">
        <w:rPr>
          <w:lang w:val="en-US"/>
        </w:rPr>
        <w:t xml:space="preserve">) </w:t>
      </w:r>
      <w:r w:rsidRPr="00CE23AE">
        <w:rPr>
          <w:lang w:val="en-US"/>
        </w:rPr>
        <w:t xml:space="preserve">followed owing to the events, and </w:t>
      </w:r>
      <w:r w:rsidR="00774903" w:rsidRPr="00CE23AE">
        <w:rPr>
          <w:lang w:val="en-US"/>
        </w:rPr>
        <w:t>(</w:t>
      </w:r>
      <w:r w:rsidR="00EE32BB" w:rsidRPr="00CE23AE">
        <w:rPr>
          <w:lang w:val="en-US"/>
        </w:rPr>
        <w:t>D</w:t>
      </w:r>
      <w:r w:rsidR="00774903" w:rsidRPr="00CE23AE">
        <w:rPr>
          <w:lang w:val="en-US"/>
        </w:rPr>
        <w:t xml:space="preserve">) </w:t>
      </w:r>
      <w:r w:rsidRPr="00CE23AE">
        <w:rPr>
          <w:lang w:val="en-US"/>
        </w:rPr>
        <w:t xml:space="preserve">the application for constitutional </w:t>
      </w:r>
      <w:r w:rsidR="00DC241E" w:rsidRPr="00CE23AE">
        <w:rPr>
          <w:lang w:val="en-US"/>
        </w:rPr>
        <w:t xml:space="preserve">amparo </w:t>
      </w:r>
      <w:r w:rsidRPr="00CE23AE">
        <w:rPr>
          <w:lang w:val="en-US"/>
        </w:rPr>
        <w:t xml:space="preserve">filed by </w:t>
      </w:r>
      <w:r w:rsidR="00F5102B" w:rsidRPr="00CE23AE">
        <w:rPr>
          <w:lang w:val="en-US"/>
        </w:rPr>
        <w:t>Mr. Flor</w:t>
      </w:r>
      <w:r w:rsidR="00DB097E" w:rsidRPr="00CE23AE">
        <w:rPr>
          <w:lang w:val="en-US"/>
        </w:rPr>
        <w:t xml:space="preserve"> Freire </w:t>
      </w:r>
      <w:r w:rsidRPr="00CE23AE">
        <w:rPr>
          <w:lang w:val="en-US"/>
        </w:rPr>
        <w:t>in January</w:t>
      </w:r>
      <w:r w:rsidR="0054620E" w:rsidRPr="00CE23AE">
        <w:rPr>
          <w:lang w:val="en-US"/>
        </w:rPr>
        <w:t xml:space="preserve"> 2001. </w:t>
      </w:r>
    </w:p>
    <w:p w14:paraId="2624846F" w14:textId="4370AD8A" w:rsidR="00C51E3C" w:rsidRPr="00CE23AE" w:rsidRDefault="00A055CE" w:rsidP="00AF631C">
      <w:pPr>
        <w:rPr>
          <w:szCs w:val="20"/>
          <w:lang w:val="en-US" w:eastAsia="es-ES"/>
        </w:rPr>
      </w:pPr>
      <w:r w:rsidRPr="00CE23AE">
        <w:rPr>
          <w:szCs w:val="20"/>
          <w:lang w:val="en-US" w:eastAsia="es-ES"/>
        </w:rPr>
        <w:t xml:space="preserve"> </w:t>
      </w:r>
    </w:p>
    <w:p w14:paraId="61F9703D" w14:textId="2A418F1A" w:rsidR="00C51E3C" w:rsidRPr="00CE23AE" w:rsidRDefault="005C6C94" w:rsidP="009F36A1">
      <w:pPr>
        <w:pStyle w:val="Ttulo2"/>
        <w:numPr>
          <w:ilvl w:val="0"/>
          <w:numId w:val="8"/>
        </w:numPr>
        <w:rPr>
          <w:lang w:val="en-US"/>
        </w:rPr>
      </w:pPr>
      <w:bookmarkStart w:id="200" w:name="_Toc453874324"/>
      <w:bookmarkStart w:id="201" w:name="_Toc454891485"/>
      <w:bookmarkStart w:id="202" w:name="_Toc457840589"/>
      <w:bookmarkStart w:id="203" w:name="_Toc464474976"/>
      <w:bookmarkStart w:id="204" w:name="_Toc46388363"/>
      <w:r w:rsidRPr="00CE23AE">
        <w:rPr>
          <w:lang w:val="en-US"/>
        </w:rPr>
        <w:t>Affiliation of Homero Flor Freire with the Ecuadorian</w:t>
      </w:r>
      <w:r w:rsidR="00CB4410" w:rsidRPr="00CE23AE">
        <w:rPr>
          <w:lang w:val="en-US"/>
        </w:rPr>
        <w:t xml:space="preserve"> Ground Forces</w:t>
      </w:r>
      <w:r w:rsidR="00C561DF" w:rsidRPr="00CE23AE">
        <w:rPr>
          <w:lang w:val="en-US"/>
        </w:rPr>
        <w:t xml:space="preserve"> and </w:t>
      </w:r>
      <w:r w:rsidR="00CB4410" w:rsidRPr="00CE23AE">
        <w:rPr>
          <w:lang w:val="en-US"/>
        </w:rPr>
        <w:t>the events of November 19,</w:t>
      </w:r>
      <w:r w:rsidR="00C51E3C" w:rsidRPr="00CE23AE">
        <w:rPr>
          <w:lang w:val="en-US"/>
        </w:rPr>
        <w:t xml:space="preserve"> 2000</w:t>
      </w:r>
      <w:bookmarkEnd w:id="200"/>
      <w:bookmarkEnd w:id="201"/>
      <w:bookmarkEnd w:id="202"/>
      <w:bookmarkEnd w:id="203"/>
      <w:bookmarkEnd w:id="204"/>
    </w:p>
    <w:p w14:paraId="7A6115DC" w14:textId="77777777" w:rsidR="00DB38DB" w:rsidRPr="00CE23AE" w:rsidRDefault="00DB38DB" w:rsidP="00AF631C">
      <w:pPr>
        <w:rPr>
          <w:lang w:val="en-US" w:eastAsia="es-MX"/>
        </w:rPr>
      </w:pPr>
    </w:p>
    <w:p w14:paraId="7990A376" w14:textId="593A3E3E" w:rsidR="00DB38DB" w:rsidRPr="00CE23AE" w:rsidRDefault="00DB38DB" w:rsidP="00DB38DB">
      <w:pPr>
        <w:pStyle w:val="Prrafodelista"/>
        <w:widowControl/>
        <w:numPr>
          <w:ilvl w:val="0"/>
          <w:numId w:val="6"/>
        </w:numPr>
        <w:tabs>
          <w:tab w:val="left" w:pos="709"/>
        </w:tabs>
        <w:suppressAutoHyphens/>
        <w:adjustRightInd/>
        <w:spacing w:line="240" w:lineRule="auto"/>
        <w:ind w:left="0"/>
        <w:contextualSpacing/>
        <w:textAlignment w:val="auto"/>
        <w:rPr>
          <w:szCs w:val="20"/>
          <w:lang w:val="en-US"/>
        </w:rPr>
      </w:pPr>
      <w:r w:rsidRPr="00CE23AE">
        <w:rPr>
          <w:szCs w:val="20"/>
          <w:lang w:val="en-US"/>
        </w:rPr>
        <w:t xml:space="preserve">Homero Flor Freire </w:t>
      </w:r>
      <w:r w:rsidR="00CB4410" w:rsidRPr="00CE23AE">
        <w:rPr>
          <w:szCs w:val="20"/>
          <w:lang w:val="en-US"/>
        </w:rPr>
        <w:t>entered</w:t>
      </w:r>
      <w:r w:rsidRPr="00CE23AE">
        <w:rPr>
          <w:szCs w:val="20"/>
          <w:lang w:val="en-US"/>
        </w:rPr>
        <w:t xml:space="preserve"> </w:t>
      </w:r>
      <w:r w:rsidR="008B76F3" w:rsidRPr="00CE23AE">
        <w:rPr>
          <w:szCs w:val="20"/>
          <w:lang w:val="en-US"/>
        </w:rPr>
        <w:t xml:space="preserve">the </w:t>
      </w:r>
      <w:r w:rsidR="00CB4410" w:rsidRPr="00CE23AE">
        <w:rPr>
          <w:szCs w:val="20"/>
          <w:lang w:val="en-US"/>
        </w:rPr>
        <w:t>Ecuadorian Ground Forces</w:t>
      </w:r>
      <w:r w:rsidRPr="00CE23AE">
        <w:rPr>
          <w:szCs w:val="20"/>
          <w:lang w:val="en-US"/>
        </w:rPr>
        <w:t xml:space="preserve"> </w:t>
      </w:r>
      <w:r w:rsidR="00CB4410" w:rsidRPr="00CE23AE">
        <w:rPr>
          <w:szCs w:val="20"/>
          <w:lang w:val="en-US"/>
        </w:rPr>
        <w:t xml:space="preserve">with the rank of Second Lieutenant of the Armored Cavalry on August 7, </w:t>
      </w:r>
      <w:r w:rsidRPr="00CE23AE">
        <w:rPr>
          <w:szCs w:val="20"/>
          <w:lang w:val="en-US"/>
        </w:rPr>
        <w:t>1992</w:t>
      </w:r>
      <w:r w:rsidR="00CB4410" w:rsidRPr="00CE23AE">
        <w:rPr>
          <w:szCs w:val="20"/>
          <w:lang w:val="en-US"/>
        </w:rPr>
        <w:t>.</w:t>
      </w:r>
      <w:r w:rsidRPr="00CE23AE">
        <w:rPr>
          <w:rStyle w:val="Refdenotaalpie"/>
          <w:lang w:val="en-US"/>
        </w:rPr>
        <w:footnoteReference w:id="52"/>
      </w:r>
      <w:r w:rsidRPr="00CE23AE">
        <w:rPr>
          <w:szCs w:val="20"/>
          <w:lang w:val="en-US"/>
        </w:rPr>
        <w:t xml:space="preserve"> </w:t>
      </w:r>
      <w:r w:rsidR="00CB4410" w:rsidRPr="00CE23AE">
        <w:rPr>
          <w:szCs w:val="20"/>
          <w:lang w:val="en-US"/>
        </w:rPr>
        <w:t xml:space="preserve">At the time of his discharge from the </w:t>
      </w:r>
      <w:r w:rsidR="00DC241E" w:rsidRPr="00CE23AE">
        <w:rPr>
          <w:szCs w:val="20"/>
          <w:lang w:val="en-US"/>
        </w:rPr>
        <w:t>G</w:t>
      </w:r>
      <w:r w:rsidR="00CB4410" w:rsidRPr="00CE23AE">
        <w:rPr>
          <w:szCs w:val="20"/>
          <w:lang w:val="en-US"/>
        </w:rPr>
        <w:t xml:space="preserve">round </w:t>
      </w:r>
      <w:r w:rsidR="00DC241E" w:rsidRPr="00CE23AE">
        <w:rPr>
          <w:szCs w:val="20"/>
          <w:lang w:val="en-US"/>
        </w:rPr>
        <w:t>F</w:t>
      </w:r>
      <w:r w:rsidR="00CB4410" w:rsidRPr="00CE23AE">
        <w:rPr>
          <w:szCs w:val="20"/>
          <w:lang w:val="en-US"/>
        </w:rPr>
        <w:t xml:space="preserve">orces he had the rank of Lieutenant and was serving in </w:t>
      </w:r>
      <w:r w:rsidR="0078516C" w:rsidRPr="00CE23AE">
        <w:rPr>
          <w:szCs w:val="20"/>
          <w:lang w:val="en-US"/>
        </w:rPr>
        <w:t>the Fourth Military Zone</w:t>
      </w:r>
      <w:r w:rsidR="00CB4410" w:rsidRPr="00CE23AE">
        <w:rPr>
          <w:szCs w:val="20"/>
          <w:lang w:val="en-US"/>
        </w:rPr>
        <w:t>.</w:t>
      </w:r>
      <w:r w:rsidRPr="00CE23AE">
        <w:rPr>
          <w:rStyle w:val="Refdenotaalpie"/>
          <w:lang w:val="en-US"/>
        </w:rPr>
        <w:footnoteReference w:id="53"/>
      </w:r>
      <w:r w:rsidRPr="00CE23AE">
        <w:rPr>
          <w:szCs w:val="20"/>
          <w:lang w:val="en-US"/>
        </w:rPr>
        <w:t xml:space="preserve"> </w:t>
      </w:r>
    </w:p>
    <w:p w14:paraId="3CDBE086" w14:textId="77777777" w:rsidR="00DB38DB" w:rsidRPr="00CE23AE" w:rsidRDefault="00DB38DB" w:rsidP="00DB38DB">
      <w:pPr>
        <w:pStyle w:val="Prrafodelista"/>
        <w:widowControl/>
        <w:tabs>
          <w:tab w:val="left" w:pos="709"/>
        </w:tabs>
        <w:suppressAutoHyphens/>
        <w:adjustRightInd/>
        <w:spacing w:line="240" w:lineRule="auto"/>
        <w:ind w:left="0"/>
        <w:contextualSpacing/>
        <w:textAlignment w:val="auto"/>
        <w:rPr>
          <w:szCs w:val="20"/>
          <w:lang w:val="en-US"/>
        </w:rPr>
      </w:pPr>
    </w:p>
    <w:p w14:paraId="5A415BDB" w14:textId="600D7365" w:rsidR="00DB38DB" w:rsidRPr="00CE23AE" w:rsidRDefault="00A77108" w:rsidP="00A77108">
      <w:pPr>
        <w:pStyle w:val="Prrafodelista"/>
        <w:widowControl/>
        <w:numPr>
          <w:ilvl w:val="0"/>
          <w:numId w:val="6"/>
        </w:numPr>
        <w:tabs>
          <w:tab w:val="left" w:pos="709"/>
          <w:tab w:val="num" w:pos="851"/>
        </w:tabs>
        <w:suppressAutoHyphens/>
        <w:adjustRightInd/>
        <w:spacing w:line="240" w:lineRule="auto"/>
        <w:ind w:left="0"/>
        <w:contextualSpacing/>
        <w:textAlignment w:val="auto"/>
        <w:rPr>
          <w:szCs w:val="20"/>
          <w:lang w:val="en-US"/>
        </w:rPr>
      </w:pPr>
      <w:bookmarkStart w:id="205" w:name="_Ref454892777"/>
      <w:r w:rsidRPr="00CE23AE">
        <w:rPr>
          <w:szCs w:val="20"/>
          <w:lang w:val="en-US"/>
        </w:rPr>
        <w:t>It is alleged that the events that resulted in the procedure under the military disciplinary jurisdiction took place o</w:t>
      </w:r>
      <w:r w:rsidR="00CB4410" w:rsidRPr="00CE23AE">
        <w:rPr>
          <w:szCs w:val="20"/>
          <w:lang w:val="en-US"/>
        </w:rPr>
        <w:t>n</w:t>
      </w:r>
      <w:r w:rsidR="00DB38DB" w:rsidRPr="00CE23AE">
        <w:rPr>
          <w:szCs w:val="20"/>
          <w:lang w:val="en-US"/>
        </w:rPr>
        <w:t xml:space="preserve"> </w:t>
      </w:r>
      <w:r w:rsidR="00CB4410" w:rsidRPr="00CE23AE">
        <w:rPr>
          <w:szCs w:val="20"/>
          <w:lang w:val="en-US"/>
        </w:rPr>
        <w:t>November 19,</w:t>
      </w:r>
      <w:r w:rsidR="00DB38DB" w:rsidRPr="00CE23AE">
        <w:rPr>
          <w:szCs w:val="20"/>
          <w:lang w:val="en-US"/>
        </w:rPr>
        <w:t xml:space="preserve"> 2000, </w:t>
      </w:r>
      <w:r w:rsidRPr="00CE23AE">
        <w:rPr>
          <w:szCs w:val="20"/>
          <w:lang w:val="en-US"/>
        </w:rPr>
        <w:t xml:space="preserve">on the premises of the </w:t>
      </w:r>
      <w:r w:rsidR="00DB38DB" w:rsidRPr="00CE23AE">
        <w:rPr>
          <w:szCs w:val="20"/>
          <w:lang w:val="en-US"/>
        </w:rPr>
        <w:t>Amazonas</w:t>
      </w:r>
      <w:r w:rsidR="00CB4410" w:rsidRPr="00CE23AE">
        <w:rPr>
          <w:szCs w:val="20"/>
          <w:lang w:val="en-US"/>
        </w:rPr>
        <w:t xml:space="preserve"> Military </w:t>
      </w:r>
      <w:r w:rsidR="0068143D" w:rsidRPr="00CE23AE">
        <w:rPr>
          <w:szCs w:val="20"/>
          <w:lang w:val="en-US"/>
        </w:rPr>
        <w:t>Base</w:t>
      </w:r>
      <w:r w:rsidR="00DB38DB" w:rsidRPr="00CE23AE">
        <w:rPr>
          <w:szCs w:val="20"/>
          <w:lang w:val="en-US"/>
        </w:rPr>
        <w:t xml:space="preserve">, </w:t>
      </w:r>
      <w:r w:rsidRPr="00CE23AE">
        <w:rPr>
          <w:szCs w:val="20"/>
          <w:lang w:val="en-US"/>
        </w:rPr>
        <w:t xml:space="preserve">located in the city of </w:t>
      </w:r>
      <w:r w:rsidR="00DB38DB" w:rsidRPr="00CE23AE">
        <w:rPr>
          <w:szCs w:val="20"/>
          <w:lang w:val="en-US"/>
        </w:rPr>
        <w:t>Shell</w:t>
      </w:r>
      <w:r w:rsidR="00DC241E" w:rsidRPr="00CE23AE">
        <w:rPr>
          <w:szCs w:val="20"/>
          <w:lang w:val="en-US"/>
        </w:rPr>
        <w:t>,</w:t>
      </w:r>
      <w:r w:rsidR="00DB38DB" w:rsidRPr="00CE23AE">
        <w:rPr>
          <w:szCs w:val="20"/>
          <w:lang w:val="en-US"/>
        </w:rPr>
        <w:t xml:space="preserve"> </w:t>
      </w:r>
      <w:r w:rsidRPr="00CE23AE">
        <w:rPr>
          <w:szCs w:val="20"/>
          <w:lang w:val="en-US"/>
        </w:rPr>
        <w:t xml:space="preserve">in the province of </w:t>
      </w:r>
      <w:r w:rsidR="00DB38DB" w:rsidRPr="00CE23AE">
        <w:rPr>
          <w:szCs w:val="20"/>
          <w:lang w:val="en-US"/>
        </w:rPr>
        <w:t xml:space="preserve">Pastaza. </w:t>
      </w:r>
      <w:r w:rsidRPr="00CE23AE">
        <w:rPr>
          <w:szCs w:val="20"/>
          <w:lang w:val="en-US"/>
        </w:rPr>
        <w:t>Two versions of what happened on that date have been presented. The Court will describe both versions in this judgment because it does not have the necessary evidence to reject either of them. On the one hand, several military officers affirm that they saw Lieutenant Homero Flor Freire and a soldier having sexual relations in the</w:t>
      </w:r>
      <w:r w:rsidR="0068143D" w:rsidRPr="00CE23AE">
        <w:rPr>
          <w:szCs w:val="20"/>
          <w:lang w:val="en-US"/>
        </w:rPr>
        <w:t xml:space="preserve"> </w:t>
      </w:r>
      <w:r w:rsidRPr="00CE23AE">
        <w:rPr>
          <w:szCs w:val="20"/>
          <w:lang w:val="en-US"/>
        </w:rPr>
        <w:t>Lieutenant’s r</w:t>
      </w:r>
      <w:r w:rsidR="0068143D" w:rsidRPr="00CE23AE">
        <w:rPr>
          <w:szCs w:val="20"/>
          <w:lang w:val="en-US"/>
        </w:rPr>
        <w:t>o</w:t>
      </w:r>
      <w:r w:rsidRPr="00CE23AE">
        <w:rPr>
          <w:szCs w:val="20"/>
          <w:lang w:val="en-US"/>
        </w:rPr>
        <w:t xml:space="preserve">om at the Military </w:t>
      </w:r>
      <w:r w:rsidR="0068143D" w:rsidRPr="00CE23AE">
        <w:rPr>
          <w:szCs w:val="20"/>
          <w:lang w:val="en-US"/>
        </w:rPr>
        <w:t>Base</w:t>
      </w:r>
      <w:r w:rsidRPr="00CE23AE">
        <w:rPr>
          <w:szCs w:val="20"/>
          <w:lang w:val="en-US"/>
        </w:rPr>
        <w:t xml:space="preserve"> on November 19, 2000. This version was admitted in the decisions that were subsequently adopted by the different organs that heard the case</w:t>
      </w:r>
      <w:r w:rsidR="00DB38DB" w:rsidRPr="00CE23AE">
        <w:rPr>
          <w:szCs w:val="20"/>
          <w:lang w:val="en-US"/>
        </w:rPr>
        <w:t xml:space="preserve"> (</w:t>
      </w:r>
      <w:r w:rsidR="00DB38DB" w:rsidRPr="00CE23AE">
        <w:rPr>
          <w:i/>
          <w:szCs w:val="20"/>
          <w:lang w:val="en-US"/>
        </w:rPr>
        <w:t>infra</w:t>
      </w:r>
      <w:r w:rsidR="00DB38DB" w:rsidRPr="00CE23AE">
        <w:rPr>
          <w:szCs w:val="20"/>
          <w:lang w:val="en-US"/>
        </w:rPr>
        <w:t xml:space="preserve"> </w:t>
      </w:r>
      <w:r w:rsidR="005C743F" w:rsidRPr="00CE23AE">
        <w:rPr>
          <w:szCs w:val="20"/>
          <w:lang w:val="en-US"/>
        </w:rPr>
        <w:t>paras.</w:t>
      </w:r>
      <w:r w:rsidR="00DB38DB" w:rsidRPr="00CE23AE">
        <w:rPr>
          <w:szCs w:val="20"/>
          <w:lang w:val="en-US"/>
        </w:rPr>
        <w:t xml:space="preserve"> </w:t>
      </w:r>
      <w:r w:rsidR="006B4BD4" w:rsidRPr="00CE23AE">
        <w:rPr>
          <w:szCs w:val="20"/>
          <w:lang w:val="en-US"/>
        </w:rPr>
        <w:fldChar w:fldCharType="begin"/>
      </w:r>
      <w:r w:rsidR="006B4BD4" w:rsidRPr="00CE23AE">
        <w:rPr>
          <w:szCs w:val="20"/>
          <w:lang w:val="en-US"/>
        </w:rPr>
        <w:instrText xml:space="preserve"> REF _Ref454892669 \r \h </w:instrText>
      </w:r>
      <w:r w:rsidR="00CE23AE">
        <w:rPr>
          <w:szCs w:val="20"/>
          <w:lang w:val="en-US"/>
        </w:rPr>
        <w:instrText xml:space="preserve"> \* MERGEFORMAT </w:instrText>
      </w:r>
      <w:r w:rsidR="006B4BD4" w:rsidRPr="00CE23AE">
        <w:rPr>
          <w:szCs w:val="20"/>
          <w:lang w:val="en-US"/>
        </w:rPr>
      </w:r>
      <w:r w:rsidR="006B4BD4" w:rsidRPr="00CE23AE">
        <w:rPr>
          <w:szCs w:val="20"/>
          <w:lang w:val="en-US"/>
        </w:rPr>
        <w:fldChar w:fldCharType="separate"/>
      </w:r>
      <w:r w:rsidR="00BC2953" w:rsidRPr="00CE23AE">
        <w:rPr>
          <w:szCs w:val="20"/>
          <w:lang w:val="en-US"/>
        </w:rPr>
        <w:t>68</w:t>
      </w:r>
      <w:r w:rsidR="006B4BD4" w:rsidRPr="00CE23AE">
        <w:rPr>
          <w:szCs w:val="20"/>
          <w:lang w:val="en-US"/>
        </w:rPr>
        <w:fldChar w:fldCharType="end"/>
      </w:r>
      <w:r w:rsidR="006B4BD4" w:rsidRPr="00CE23AE">
        <w:rPr>
          <w:szCs w:val="20"/>
          <w:lang w:val="en-US"/>
        </w:rPr>
        <w:t xml:space="preserve"> </w:t>
      </w:r>
      <w:r w:rsidRPr="00CE23AE">
        <w:rPr>
          <w:szCs w:val="20"/>
          <w:lang w:val="en-US"/>
        </w:rPr>
        <w:t>to</w:t>
      </w:r>
      <w:r w:rsidR="006B4BD4" w:rsidRPr="00CE23AE">
        <w:rPr>
          <w:szCs w:val="20"/>
          <w:lang w:val="en-US"/>
        </w:rPr>
        <w:t xml:space="preserve"> </w:t>
      </w:r>
      <w:r w:rsidR="00DB38DB" w:rsidRPr="00CE23AE">
        <w:rPr>
          <w:szCs w:val="20"/>
          <w:lang w:val="en-US"/>
        </w:rPr>
        <w:fldChar w:fldCharType="begin"/>
      </w:r>
      <w:r w:rsidR="00DB38DB" w:rsidRPr="00CE23AE">
        <w:rPr>
          <w:szCs w:val="20"/>
          <w:lang w:val="en-US"/>
        </w:rPr>
        <w:instrText xml:space="preserve"> REF _Ref453869467 \r \h </w:instrText>
      </w:r>
      <w:r w:rsidR="00CE23AE">
        <w:rPr>
          <w:szCs w:val="20"/>
          <w:lang w:val="en-US"/>
        </w:rPr>
        <w:instrText xml:space="preserve"> \* MERGEFORMAT </w:instrText>
      </w:r>
      <w:r w:rsidR="00DB38DB" w:rsidRPr="00CE23AE">
        <w:rPr>
          <w:szCs w:val="20"/>
          <w:lang w:val="en-US"/>
        </w:rPr>
      </w:r>
      <w:r w:rsidR="00DB38DB" w:rsidRPr="00CE23AE">
        <w:rPr>
          <w:szCs w:val="20"/>
          <w:lang w:val="en-US"/>
        </w:rPr>
        <w:fldChar w:fldCharType="separate"/>
      </w:r>
      <w:r w:rsidR="00BC2953" w:rsidRPr="00CE23AE">
        <w:rPr>
          <w:szCs w:val="20"/>
          <w:lang w:val="en-US"/>
        </w:rPr>
        <w:t>82</w:t>
      </w:r>
      <w:r w:rsidR="00DB38DB" w:rsidRPr="00CE23AE">
        <w:rPr>
          <w:szCs w:val="20"/>
          <w:lang w:val="en-US"/>
        </w:rPr>
        <w:fldChar w:fldCharType="end"/>
      </w:r>
      <w:r w:rsidR="00DB38DB" w:rsidRPr="00CE23AE">
        <w:rPr>
          <w:szCs w:val="20"/>
          <w:lang w:val="en-US"/>
        </w:rPr>
        <w:t>).</w:t>
      </w:r>
      <w:bookmarkEnd w:id="205"/>
      <w:r w:rsidR="00DB38DB" w:rsidRPr="00CE23AE">
        <w:rPr>
          <w:szCs w:val="20"/>
          <w:lang w:val="en-US"/>
        </w:rPr>
        <w:t xml:space="preserve"> </w:t>
      </w:r>
      <w:bookmarkStart w:id="206" w:name="_Ref451422535"/>
    </w:p>
    <w:p w14:paraId="186DBEF9" w14:textId="6EF62E51" w:rsidR="00DB38DB" w:rsidRPr="00CE23AE" w:rsidRDefault="00CB4410" w:rsidP="00DB38DB">
      <w:pPr>
        <w:pStyle w:val="Prrafodelista"/>
        <w:widowControl/>
        <w:tabs>
          <w:tab w:val="left" w:pos="709"/>
        </w:tabs>
        <w:suppressAutoHyphens/>
        <w:adjustRightInd/>
        <w:spacing w:line="240" w:lineRule="auto"/>
        <w:ind w:left="0"/>
        <w:contextualSpacing/>
        <w:textAlignment w:val="auto"/>
        <w:rPr>
          <w:szCs w:val="20"/>
          <w:lang w:val="en-US"/>
        </w:rPr>
      </w:pPr>
      <w:r w:rsidRPr="00CE23AE">
        <w:rPr>
          <w:szCs w:val="20"/>
          <w:lang w:val="en-US"/>
        </w:rPr>
        <w:t xml:space="preserve"> </w:t>
      </w:r>
    </w:p>
    <w:p w14:paraId="454404D6" w14:textId="247F45BC" w:rsidR="00DB38DB" w:rsidRPr="00CE23AE" w:rsidRDefault="00A77108" w:rsidP="00F030F2">
      <w:pPr>
        <w:pStyle w:val="Prrafodelista"/>
        <w:widowControl/>
        <w:numPr>
          <w:ilvl w:val="0"/>
          <w:numId w:val="6"/>
        </w:numPr>
        <w:tabs>
          <w:tab w:val="left" w:pos="709"/>
        </w:tabs>
        <w:suppressAutoHyphens/>
        <w:adjustRightInd/>
        <w:spacing w:line="240" w:lineRule="auto"/>
        <w:ind w:left="0"/>
        <w:contextualSpacing/>
        <w:textAlignment w:val="auto"/>
        <w:rPr>
          <w:szCs w:val="20"/>
          <w:lang w:val="en-US"/>
        </w:rPr>
      </w:pPr>
      <w:bookmarkStart w:id="207" w:name="_Ref454892790"/>
      <w:bookmarkStart w:id="208" w:name="_Ref464555426"/>
      <w:r w:rsidRPr="00CE23AE">
        <w:rPr>
          <w:szCs w:val="20"/>
          <w:lang w:val="en-US"/>
        </w:rPr>
        <w:t>On the other hand,</w:t>
      </w:r>
      <w:r w:rsidR="00DB38DB" w:rsidRPr="00CE23AE">
        <w:rPr>
          <w:szCs w:val="20"/>
          <w:lang w:val="en-US"/>
        </w:rPr>
        <w:t xml:space="preserve"> </w:t>
      </w:r>
      <w:r w:rsidR="00F5102B" w:rsidRPr="00CE23AE">
        <w:rPr>
          <w:szCs w:val="20"/>
          <w:lang w:val="en-US"/>
        </w:rPr>
        <w:t>Mr. Flor</w:t>
      </w:r>
      <w:r w:rsidR="00DB38DB" w:rsidRPr="00CE23AE">
        <w:rPr>
          <w:szCs w:val="20"/>
          <w:lang w:val="en-US"/>
        </w:rPr>
        <w:t xml:space="preserve"> </w:t>
      </w:r>
      <w:r w:rsidR="00DB38DB" w:rsidRPr="00CE23AE">
        <w:rPr>
          <w:rFonts w:eastAsia="Calibri" w:cs="TimesNewRomanPSMT"/>
          <w:szCs w:val="20"/>
          <w:lang w:val="en-US" w:eastAsia="en-US"/>
        </w:rPr>
        <w:t>Freire</w:t>
      </w:r>
      <w:r w:rsidR="00DB38DB" w:rsidRPr="00CE23AE">
        <w:rPr>
          <w:szCs w:val="20"/>
          <w:lang w:val="en-US"/>
        </w:rPr>
        <w:t xml:space="preserve"> ha</w:t>
      </w:r>
      <w:r w:rsidRPr="00CE23AE">
        <w:rPr>
          <w:szCs w:val="20"/>
          <w:lang w:val="en-US"/>
        </w:rPr>
        <w:t xml:space="preserve">s denied the accusation made against him. According to his version, on </w:t>
      </w:r>
      <w:r w:rsidR="00CB4410" w:rsidRPr="00CE23AE">
        <w:rPr>
          <w:rFonts w:eastAsia="Calibri" w:cs="TimesNewRomanPSMT"/>
          <w:szCs w:val="20"/>
          <w:lang w:val="en-US" w:eastAsia="en-US"/>
        </w:rPr>
        <w:t>November 19,</w:t>
      </w:r>
      <w:r w:rsidR="006B4BD4" w:rsidRPr="00CE23AE">
        <w:rPr>
          <w:rFonts w:eastAsia="Calibri" w:cs="TimesNewRomanPSMT"/>
          <w:szCs w:val="20"/>
          <w:lang w:val="en-US" w:eastAsia="en-US"/>
        </w:rPr>
        <w:t xml:space="preserve"> 2000</w:t>
      </w:r>
      <w:r w:rsidRPr="00CE23AE">
        <w:rPr>
          <w:rFonts w:eastAsia="Calibri" w:cs="TimesNewRomanPSMT"/>
          <w:szCs w:val="20"/>
          <w:lang w:val="en-US" w:eastAsia="en-US"/>
        </w:rPr>
        <w:t xml:space="preserve">, he was </w:t>
      </w:r>
      <w:r w:rsidR="00DC241E" w:rsidRPr="00CE23AE">
        <w:rPr>
          <w:rFonts w:eastAsia="Calibri" w:cs="TimesNewRomanPSMT"/>
          <w:szCs w:val="20"/>
          <w:lang w:val="en-US" w:eastAsia="en-US"/>
        </w:rPr>
        <w:t>performing</w:t>
      </w:r>
      <w:r w:rsidRPr="00CE23AE">
        <w:rPr>
          <w:rFonts w:eastAsia="Calibri" w:cs="TimesNewRomanPSMT"/>
          <w:szCs w:val="20"/>
          <w:lang w:val="en-US" w:eastAsia="en-US"/>
        </w:rPr>
        <w:t xml:space="preserve"> his duties as </w:t>
      </w:r>
      <w:r w:rsidR="00E14BA7" w:rsidRPr="00CE23AE">
        <w:rPr>
          <w:rFonts w:eastAsia="Calibri" w:cs="TimesNewRomanPSMT"/>
          <w:szCs w:val="20"/>
          <w:lang w:val="en-US" w:eastAsia="en-US"/>
        </w:rPr>
        <w:t xml:space="preserve">a </w:t>
      </w:r>
      <w:r w:rsidRPr="00CE23AE">
        <w:rPr>
          <w:rFonts w:eastAsia="Calibri" w:cs="TimesNewRomanPSMT"/>
          <w:szCs w:val="20"/>
          <w:lang w:val="en-US" w:eastAsia="en-US"/>
        </w:rPr>
        <w:t>Military Police</w:t>
      </w:r>
      <w:r w:rsidR="00E14BA7" w:rsidRPr="00CE23AE">
        <w:rPr>
          <w:rFonts w:eastAsia="Calibri" w:cs="TimesNewRomanPSMT"/>
          <w:szCs w:val="20"/>
          <w:lang w:val="en-US" w:eastAsia="en-US"/>
        </w:rPr>
        <w:t xml:space="preserve"> </w:t>
      </w:r>
      <w:r w:rsidR="00DC241E" w:rsidRPr="00CE23AE">
        <w:rPr>
          <w:rFonts w:eastAsia="Calibri" w:cs="TimesNewRomanPSMT"/>
          <w:szCs w:val="20"/>
          <w:lang w:val="en-US" w:eastAsia="en-US"/>
        </w:rPr>
        <w:t>O</w:t>
      </w:r>
      <w:r w:rsidR="00E14BA7" w:rsidRPr="00CE23AE">
        <w:rPr>
          <w:rFonts w:eastAsia="Calibri" w:cs="TimesNewRomanPSMT"/>
          <w:szCs w:val="20"/>
          <w:lang w:val="en-US" w:eastAsia="en-US"/>
        </w:rPr>
        <w:t>fficer</w:t>
      </w:r>
      <w:r w:rsidRPr="00CE23AE">
        <w:rPr>
          <w:rFonts w:eastAsia="Calibri" w:cs="TimesNewRomanPSMT"/>
          <w:szCs w:val="20"/>
          <w:lang w:val="en-US" w:eastAsia="en-US"/>
        </w:rPr>
        <w:t>, which included “ensuring the well-being of the members of the Armed Forces of his brigade.</w:t>
      </w:r>
      <w:r w:rsidR="00DB38DB" w:rsidRPr="00CE23AE">
        <w:rPr>
          <w:rFonts w:eastAsia="Calibri" w:cs="TimesNewRomanPSMT"/>
          <w:szCs w:val="20"/>
          <w:lang w:val="en-US" w:eastAsia="en-US"/>
        </w:rPr>
        <w:t>”</w:t>
      </w:r>
      <w:r w:rsidR="00DB38DB" w:rsidRPr="00CE23AE">
        <w:rPr>
          <w:rStyle w:val="Refdenotaalpie"/>
          <w:rFonts w:eastAsia="Calibri" w:cs="TimesNewRomanPSMT"/>
          <w:szCs w:val="20"/>
          <w:lang w:val="en-US" w:eastAsia="en-US"/>
        </w:rPr>
        <w:footnoteReference w:id="54"/>
      </w:r>
      <w:r w:rsidRPr="00CE23AE">
        <w:rPr>
          <w:rFonts w:eastAsia="Calibri" w:cs="TimesNewRomanPSMT"/>
          <w:szCs w:val="20"/>
          <w:lang w:val="en-US" w:eastAsia="en-US"/>
        </w:rPr>
        <w:t xml:space="preserve"> According to his version, at around 5.20 a.m. that day, he was outside the Coliseum of the city of Shell Mera when he saw a soldier who was inebriated and </w:t>
      </w:r>
      <w:r w:rsidR="00DC241E" w:rsidRPr="00CE23AE">
        <w:rPr>
          <w:rFonts w:eastAsia="Calibri" w:cs="TimesNewRomanPSMT"/>
          <w:szCs w:val="20"/>
          <w:lang w:val="en-US" w:eastAsia="en-US"/>
        </w:rPr>
        <w:t>in a</w:t>
      </w:r>
      <w:r w:rsidRPr="00CE23AE">
        <w:rPr>
          <w:rFonts w:eastAsia="Calibri" w:cs="TimesNewRomanPSMT"/>
          <w:szCs w:val="20"/>
          <w:lang w:val="en-US" w:eastAsia="en-US"/>
        </w:rPr>
        <w:t xml:space="preserve"> problem</w:t>
      </w:r>
      <w:r w:rsidR="00DC241E" w:rsidRPr="00CE23AE">
        <w:rPr>
          <w:rFonts w:eastAsia="Calibri" w:cs="TimesNewRomanPSMT"/>
          <w:szCs w:val="20"/>
          <w:lang w:val="en-US" w:eastAsia="en-US"/>
        </w:rPr>
        <w:t>atic situation w</w:t>
      </w:r>
      <w:r w:rsidRPr="00CE23AE">
        <w:rPr>
          <w:rFonts w:eastAsia="Calibri" w:cs="TimesNewRomanPSMT"/>
          <w:szCs w:val="20"/>
          <w:lang w:val="en-US" w:eastAsia="en-US"/>
        </w:rPr>
        <w:t xml:space="preserve">ith some individuals who </w:t>
      </w:r>
      <w:r w:rsidR="00E14BA7" w:rsidRPr="00CE23AE">
        <w:rPr>
          <w:rFonts w:eastAsia="Calibri" w:cs="TimesNewRomanPSMT"/>
          <w:szCs w:val="20"/>
          <w:lang w:val="en-US" w:eastAsia="en-US"/>
        </w:rPr>
        <w:t xml:space="preserve">had </w:t>
      </w:r>
      <w:r w:rsidRPr="00CE23AE">
        <w:rPr>
          <w:rFonts w:eastAsia="Calibri" w:cs="TimesNewRomanPSMT"/>
          <w:szCs w:val="20"/>
          <w:lang w:val="en-US" w:eastAsia="en-US"/>
        </w:rPr>
        <w:t xml:space="preserve">attended a dance </w:t>
      </w:r>
      <w:r w:rsidR="00E14BA7" w:rsidRPr="00CE23AE">
        <w:rPr>
          <w:rFonts w:eastAsia="Calibri" w:cs="TimesNewRomanPSMT"/>
          <w:szCs w:val="20"/>
          <w:lang w:val="en-US" w:eastAsia="en-US"/>
        </w:rPr>
        <w:t>there</w:t>
      </w:r>
      <w:r w:rsidR="00DC241E" w:rsidRPr="00CE23AE">
        <w:rPr>
          <w:rFonts w:eastAsia="Calibri" w:cs="TimesNewRomanPSMT"/>
          <w:szCs w:val="20"/>
          <w:lang w:val="en-US" w:eastAsia="en-US"/>
        </w:rPr>
        <w:t>,</w:t>
      </w:r>
      <w:r w:rsidRPr="00CE23AE">
        <w:rPr>
          <w:rFonts w:eastAsia="Calibri" w:cs="TimesNewRomanPSMT"/>
          <w:szCs w:val="20"/>
          <w:lang w:val="en-US" w:eastAsia="en-US"/>
        </w:rPr>
        <w:t xml:space="preserve"> “</w:t>
      </w:r>
      <w:r w:rsidR="00DC241E" w:rsidRPr="00CE23AE">
        <w:rPr>
          <w:rFonts w:eastAsia="Calibri" w:cs="TimesNewRomanPSMT"/>
          <w:szCs w:val="20"/>
          <w:lang w:val="en-US" w:eastAsia="en-US"/>
        </w:rPr>
        <w:t>endangering his</w:t>
      </w:r>
      <w:r w:rsidRPr="00CE23AE">
        <w:rPr>
          <w:rFonts w:eastAsia="Calibri" w:cs="TimesNewRomanPSMT"/>
          <w:szCs w:val="20"/>
          <w:lang w:val="en-US" w:eastAsia="en-US"/>
        </w:rPr>
        <w:t xml:space="preserve"> physical integrity and also the honor and prestige of his</w:t>
      </w:r>
      <w:r w:rsidR="00DC241E" w:rsidRPr="00CE23AE">
        <w:rPr>
          <w:rFonts w:eastAsia="Calibri" w:cs="TimesNewRomanPSMT"/>
          <w:szCs w:val="20"/>
          <w:lang w:val="en-US" w:eastAsia="en-US"/>
        </w:rPr>
        <w:t xml:space="preserve"> military</w:t>
      </w:r>
      <w:r w:rsidRPr="00CE23AE">
        <w:rPr>
          <w:rFonts w:eastAsia="Calibri" w:cs="TimesNewRomanPSMT"/>
          <w:szCs w:val="20"/>
          <w:lang w:val="en-US" w:eastAsia="en-US"/>
        </w:rPr>
        <w:t xml:space="preserve"> functions.</w:t>
      </w:r>
      <w:r w:rsidR="00DB38DB" w:rsidRPr="00CE23AE">
        <w:rPr>
          <w:rFonts w:eastAsia="Calibri" w:cs="TimesNewRomanPSMT"/>
          <w:szCs w:val="20"/>
          <w:lang w:val="en-US" w:eastAsia="en-US"/>
        </w:rPr>
        <w:t>”</w:t>
      </w:r>
      <w:r w:rsidR="00DB38DB" w:rsidRPr="00CE23AE">
        <w:rPr>
          <w:rStyle w:val="Refdenotaalpie"/>
          <w:rFonts w:eastAsia="Calibri" w:cs="TimesNewRomanPSMT"/>
          <w:szCs w:val="20"/>
          <w:lang w:val="en-US" w:eastAsia="en-US"/>
        </w:rPr>
        <w:footnoteReference w:id="55"/>
      </w:r>
      <w:r w:rsidR="00F030F2" w:rsidRPr="00CE23AE">
        <w:rPr>
          <w:rFonts w:eastAsia="Calibri" w:cs="TimesNewRomanPSMT"/>
          <w:szCs w:val="20"/>
          <w:lang w:val="en-US" w:eastAsia="en-US"/>
        </w:rPr>
        <w:t xml:space="preserve"> </w:t>
      </w:r>
      <w:r w:rsidR="00DC241E" w:rsidRPr="00CE23AE">
        <w:rPr>
          <w:rFonts w:eastAsia="Calibri" w:cs="TimesNewRomanPSMT"/>
          <w:szCs w:val="20"/>
          <w:lang w:val="en-US" w:eastAsia="en-US"/>
        </w:rPr>
        <w:t>Mr. Flor Freire</w:t>
      </w:r>
      <w:r w:rsidR="00F030F2" w:rsidRPr="00CE23AE">
        <w:rPr>
          <w:rFonts w:eastAsia="Calibri" w:cs="TimesNewRomanPSMT"/>
          <w:szCs w:val="20"/>
          <w:lang w:val="en-US" w:eastAsia="en-US"/>
        </w:rPr>
        <w:t xml:space="preserve"> therefore decided to </w:t>
      </w:r>
      <w:r w:rsidR="00E14BA7" w:rsidRPr="00CE23AE">
        <w:rPr>
          <w:rFonts w:eastAsia="Calibri" w:cs="TimesNewRomanPSMT"/>
          <w:szCs w:val="20"/>
          <w:lang w:val="en-US" w:eastAsia="en-US"/>
        </w:rPr>
        <w:t xml:space="preserve">take </w:t>
      </w:r>
      <w:r w:rsidR="00DC241E" w:rsidRPr="00CE23AE">
        <w:rPr>
          <w:rFonts w:eastAsia="Calibri" w:cs="TimesNewRomanPSMT"/>
          <w:szCs w:val="20"/>
          <w:lang w:val="en-US" w:eastAsia="en-US"/>
        </w:rPr>
        <w:t>the soldier</w:t>
      </w:r>
      <w:r w:rsidR="00F030F2" w:rsidRPr="00CE23AE">
        <w:rPr>
          <w:rFonts w:eastAsia="Calibri" w:cs="TimesNewRomanPSMT"/>
          <w:szCs w:val="20"/>
          <w:lang w:val="en-US" w:eastAsia="en-US"/>
        </w:rPr>
        <w:t xml:space="preserve"> </w:t>
      </w:r>
      <w:r w:rsidR="00DC241E" w:rsidRPr="00CE23AE">
        <w:rPr>
          <w:rFonts w:eastAsia="Calibri" w:cs="TimesNewRomanPSMT"/>
          <w:szCs w:val="20"/>
          <w:lang w:val="en-US" w:eastAsia="en-US"/>
        </w:rPr>
        <w:t>back</w:t>
      </w:r>
      <w:r w:rsidR="00F030F2" w:rsidRPr="00CE23AE">
        <w:rPr>
          <w:rFonts w:eastAsia="Calibri" w:cs="TimesNewRomanPSMT"/>
          <w:szCs w:val="20"/>
          <w:lang w:val="en-US" w:eastAsia="en-US"/>
        </w:rPr>
        <w:t xml:space="preserve"> to the Amazonas</w:t>
      </w:r>
      <w:r w:rsidR="0068143D" w:rsidRPr="00CE23AE">
        <w:rPr>
          <w:rFonts w:eastAsia="Calibri" w:cs="TimesNewRomanPSMT"/>
          <w:szCs w:val="20"/>
          <w:lang w:val="en-US" w:eastAsia="en-US"/>
        </w:rPr>
        <w:t xml:space="preserve"> Base</w:t>
      </w:r>
      <w:r w:rsidR="00F030F2" w:rsidRPr="00CE23AE">
        <w:rPr>
          <w:rFonts w:eastAsia="Calibri" w:cs="TimesNewRomanPSMT"/>
          <w:szCs w:val="20"/>
          <w:lang w:val="en-US" w:eastAsia="en-US"/>
        </w:rPr>
        <w:t>. On entering the military premises, Mr. Flor Freire proceeded to leave him in the</w:t>
      </w:r>
      <w:r w:rsidR="0095634D" w:rsidRPr="00CE23AE">
        <w:rPr>
          <w:rFonts w:eastAsia="Calibri" w:cs="TimesNewRomanPSMT"/>
          <w:szCs w:val="20"/>
          <w:lang w:val="en-US" w:eastAsia="en-US"/>
        </w:rPr>
        <w:t xml:space="preserve"> Guardhouse</w:t>
      </w:r>
      <w:r w:rsidR="00F030F2" w:rsidRPr="00CE23AE">
        <w:rPr>
          <w:rFonts w:eastAsia="Calibri" w:cs="TimesNewRomanPSMT"/>
          <w:szCs w:val="20"/>
          <w:lang w:val="en-US" w:eastAsia="en-US"/>
        </w:rPr>
        <w:t xml:space="preserve"> in the hands of the duty officers. However, at that moment, the soldier had tried to return to the place where the party was being held</w:t>
      </w:r>
      <w:r w:rsidR="00085829" w:rsidRPr="00CE23AE">
        <w:rPr>
          <w:rFonts w:eastAsia="Calibri" w:cs="TimesNewRomanPSMT"/>
          <w:szCs w:val="20"/>
          <w:lang w:val="en-US" w:eastAsia="en-US"/>
        </w:rPr>
        <w:t xml:space="preserve">; </w:t>
      </w:r>
      <w:r w:rsidR="00F030F2" w:rsidRPr="00CE23AE">
        <w:rPr>
          <w:rFonts w:eastAsia="Calibri" w:cs="TimesNewRomanPSMT"/>
          <w:szCs w:val="20"/>
          <w:lang w:val="en-US" w:eastAsia="en-US"/>
        </w:rPr>
        <w:t xml:space="preserve">Mr. Flor Freire had </w:t>
      </w:r>
      <w:r w:rsidR="00085829" w:rsidRPr="00CE23AE">
        <w:rPr>
          <w:rFonts w:eastAsia="Calibri" w:cs="TimesNewRomanPSMT"/>
          <w:szCs w:val="20"/>
          <w:lang w:val="en-US" w:eastAsia="en-US"/>
        </w:rPr>
        <w:t xml:space="preserve">therefore </w:t>
      </w:r>
      <w:r w:rsidR="00F030F2" w:rsidRPr="00CE23AE">
        <w:rPr>
          <w:rFonts w:eastAsia="Calibri" w:cs="TimesNewRomanPSMT"/>
          <w:szCs w:val="20"/>
          <w:lang w:val="en-US" w:eastAsia="en-US"/>
        </w:rPr>
        <w:t xml:space="preserve">opted to take </w:t>
      </w:r>
      <w:r w:rsidR="00085829" w:rsidRPr="00CE23AE">
        <w:rPr>
          <w:rFonts w:eastAsia="Calibri" w:cs="TimesNewRomanPSMT"/>
          <w:szCs w:val="20"/>
          <w:lang w:val="en-US" w:eastAsia="en-US"/>
        </w:rPr>
        <w:t>the soldier</w:t>
      </w:r>
      <w:r w:rsidR="00F030F2" w:rsidRPr="00CE23AE">
        <w:rPr>
          <w:rFonts w:eastAsia="Calibri" w:cs="TimesNewRomanPSMT"/>
          <w:szCs w:val="20"/>
          <w:lang w:val="en-US" w:eastAsia="en-US"/>
        </w:rPr>
        <w:t xml:space="preserve"> to his own room where there was an additional bed so that he could sleep there.</w:t>
      </w:r>
      <w:r w:rsidR="00DB38DB" w:rsidRPr="00CE23AE">
        <w:rPr>
          <w:rStyle w:val="Refdenotaalpie"/>
          <w:rFonts w:eastAsia="Calibri" w:cs="TimesNewRomanPSMT"/>
          <w:szCs w:val="20"/>
          <w:lang w:val="en-US" w:eastAsia="en-US"/>
        </w:rPr>
        <w:footnoteReference w:id="56"/>
      </w:r>
      <w:r w:rsidR="00DB38DB" w:rsidRPr="00CE23AE">
        <w:rPr>
          <w:rFonts w:eastAsia="Calibri" w:cs="TimesNewRomanPSMT"/>
          <w:szCs w:val="20"/>
          <w:lang w:val="en-US" w:eastAsia="en-US"/>
        </w:rPr>
        <w:t xml:space="preserve"> </w:t>
      </w:r>
      <w:r w:rsidR="00F5102B" w:rsidRPr="00CE23AE">
        <w:rPr>
          <w:rFonts w:eastAsia="Calibri" w:cs="TimesNewRomanPSMT"/>
          <w:szCs w:val="20"/>
          <w:lang w:val="en-US" w:eastAsia="en-US"/>
        </w:rPr>
        <w:t>Mr. Flor</w:t>
      </w:r>
      <w:r w:rsidR="00DB38DB" w:rsidRPr="00CE23AE">
        <w:rPr>
          <w:rFonts w:eastAsia="Calibri" w:cs="TimesNewRomanPSMT"/>
          <w:szCs w:val="20"/>
          <w:lang w:val="en-US" w:eastAsia="en-US"/>
        </w:rPr>
        <w:t xml:space="preserve"> Freire </w:t>
      </w:r>
      <w:r w:rsidR="00F030F2" w:rsidRPr="00CE23AE">
        <w:rPr>
          <w:rFonts w:eastAsia="Calibri" w:cs="TimesNewRomanPSMT"/>
          <w:szCs w:val="20"/>
          <w:lang w:val="en-US" w:eastAsia="en-US"/>
        </w:rPr>
        <w:t xml:space="preserve">stated that, shortly after he entered his room, a </w:t>
      </w:r>
      <w:r w:rsidR="006530E5" w:rsidRPr="00CE23AE">
        <w:rPr>
          <w:rFonts w:eastAsia="Calibri" w:cs="TimesNewRomanPSMT"/>
          <w:szCs w:val="20"/>
          <w:lang w:val="en-US" w:eastAsia="en-US"/>
        </w:rPr>
        <w:t>M</w:t>
      </w:r>
      <w:r w:rsidR="00F030F2" w:rsidRPr="00CE23AE">
        <w:rPr>
          <w:rFonts w:eastAsia="Calibri" w:cs="TimesNewRomanPSMT"/>
          <w:szCs w:val="20"/>
          <w:lang w:val="en-US" w:eastAsia="en-US"/>
        </w:rPr>
        <w:t>ajor entered without authorization</w:t>
      </w:r>
      <w:r w:rsidR="00085829" w:rsidRPr="00CE23AE">
        <w:rPr>
          <w:rFonts w:eastAsia="Calibri" w:cs="TimesNewRomanPSMT"/>
          <w:szCs w:val="20"/>
          <w:lang w:val="en-US" w:eastAsia="en-US"/>
        </w:rPr>
        <w:t>,</w:t>
      </w:r>
      <w:r w:rsidR="00F030F2" w:rsidRPr="00CE23AE">
        <w:rPr>
          <w:rFonts w:eastAsia="Calibri" w:cs="TimesNewRomanPSMT"/>
          <w:szCs w:val="20"/>
          <w:lang w:val="en-US" w:eastAsia="en-US"/>
        </w:rPr>
        <w:t xml:space="preserve"> “arbitrarily and violently,</w:t>
      </w:r>
      <w:r w:rsidR="00DB38DB" w:rsidRPr="00CE23AE">
        <w:rPr>
          <w:rFonts w:eastAsia="Calibri" w:cs="TimesNewRomanPSMT"/>
          <w:szCs w:val="20"/>
          <w:lang w:val="en-US" w:eastAsia="en-US"/>
        </w:rPr>
        <w:t>”</w:t>
      </w:r>
      <w:r w:rsidR="00DB38DB" w:rsidRPr="00CE23AE">
        <w:rPr>
          <w:rStyle w:val="Refdenotaalpie"/>
          <w:rFonts w:eastAsia="Calibri" w:cs="TimesNewRomanPSMT"/>
          <w:szCs w:val="20"/>
          <w:lang w:val="en-US" w:eastAsia="en-US"/>
        </w:rPr>
        <w:footnoteReference w:id="57"/>
      </w:r>
      <w:r w:rsidR="00F030F2" w:rsidRPr="00CE23AE">
        <w:rPr>
          <w:rFonts w:eastAsia="Calibri" w:cs="TimesNewRomanPSMT"/>
          <w:szCs w:val="20"/>
          <w:lang w:val="en-US" w:eastAsia="en-US"/>
        </w:rPr>
        <w:t xml:space="preserve"> to inform him that </w:t>
      </w:r>
      <w:r w:rsidR="00E14BA7" w:rsidRPr="00CE23AE">
        <w:rPr>
          <w:rFonts w:eastAsia="Calibri" w:cs="TimesNewRomanPSMT"/>
          <w:szCs w:val="20"/>
          <w:lang w:val="en-US" w:eastAsia="en-US"/>
        </w:rPr>
        <w:t xml:space="preserve">he </w:t>
      </w:r>
      <w:r w:rsidR="00F030F2" w:rsidRPr="00CE23AE">
        <w:rPr>
          <w:rFonts w:eastAsia="Calibri" w:cs="TimesNewRomanPSMT"/>
          <w:szCs w:val="20"/>
          <w:lang w:val="en-US" w:eastAsia="en-US"/>
        </w:rPr>
        <w:t xml:space="preserve">“was in </w:t>
      </w:r>
      <w:r w:rsidR="00E14BA7" w:rsidRPr="00CE23AE">
        <w:rPr>
          <w:rFonts w:eastAsia="Calibri" w:cs="TimesNewRomanPSMT"/>
          <w:szCs w:val="20"/>
          <w:lang w:val="en-US" w:eastAsia="en-US"/>
        </w:rPr>
        <w:t>serious trouble</w:t>
      </w:r>
      <w:r w:rsidR="00F030F2" w:rsidRPr="00CE23AE">
        <w:rPr>
          <w:rFonts w:eastAsia="Calibri" w:cs="TimesNewRomanPSMT"/>
          <w:szCs w:val="20"/>
          <w:lang w:val="en-US" w:eastAsia="en-US"/>
        </w:rPr>
        <w:t>” and ordered him to</w:t>
      </w:r>
      <w:r w:rsidR="006530E5" w:rsidRPr="00CE23AE">
        <w:rPr>
          <w:rFonts w:eastAsia="Calibri" w:cs="TimesNewRomanPSMT"/>
          <w:szCs w:val="20"/>
          <w:lang w:val="en-US" w:eastAsia="en-US"/>
        </w:rPr>
        <w:t xml:space="preserve"> surrender his weapon. On requesting an explanation, the Major informed him that there were “witnesses who had seen [him] in a ‘situation</w:t>
      </w:r>
      <w:r w:rsidR="00085829" w:rsidRPr="00CE23AE">
        <w:rPr>
          <w:rFonts w:eastAsia="Calibri" w:cs="TimesNewRomanPSMT"/>
          <w:szCs w:val="20"/>
          <w:lang w:val="en-US" w:eastAsia="en-US"/>
        </w:rPr>
        <w:t xml:space="preserve"> of homosexuality</w:t>
      </w:r>
      <w:r w:rsidR="006530E5" w:rsidRPr="00CE23AE">
        <w:rPr>
          <w:rFonts w:eastAsia="Calibri" w:cs="TimesNewRomanPSMT"/>
          <w:szCs w:val="20"/>
          <w:lang w:val="en-US" w:eastAsia="en-US"/>
        </w:rPr>
        <w:t>.’</w:t>
      </w:r>
      <w:r w:rsidR="00DB38DB" w:rsidRPr="00CE23AE">
        <w:rPr>
          <w:rFonts w:eastAsia="Calibri" w:cs="TimesNewRomanPSMT"/>
          <w:szCs w:val="20"/>
          <w:lang w:val="en-US" w:eastAsia="en-US"/>
        </w:rPr>
        <w:t>”</w:t>
      </w:r>
      <w:r w:rsidR="00DB38DB" w:rsidRPr="00CE23AE">
        <w:rPr>
          <w:rStyle w:val="Refdenotaalpie"/>
          <w:lang w:val="en-US"/>
        </w:rPr>
        <w:footnoteReference w:id="58"/>
      </w:r>
      <w:bookmarkEnd w:id="206"/>
      <w:bookmarkEnd w:id="207"/>
      <w:r w:rsidR="00DB38DB" w:rsidRPr="00CE23AE">
        <w:rPr>
          <w:rFonts w:eastAsia="Calibri" w:cs="TimesNewRomanPSMT"/>
          <w:szCs w:val="20"/>
          <w:lang w:val="en-US" w:eastAsia="en-US"/>
        </w:rPr>
        <w:t xml:space="preserve"> </w:t>
      </w:r>
      <w:r w:rsidR="006530E5" w:rsidRPr="00CE23AE">
        <w:rPr>
          <w:szCs w:val="20"/>
          <w:lang w:val="en-US"/>
        </w:rPr>
        <w:t>According to</w:t>
      </w:r>
      <w:r w:rsidR="00DB38DB" w:rsidRPr="00CE23AE">
        <w:rPr>
          <w:szCs w:val="20"/>
          <w:lang w:val="en-US"/>
        </w:rPr>
        <w:t xml:space="preserve"> </w:t>
      </w:r>
      <w:r w:rsidR="008B76F3" w:rsidRPr="00CE23AE">
        <w:rPr>
          <w:szCs w:val="20"/>
          <w:lang w:val="en-US"/>
        </w:rPr>
        <w:t>Mr.</w:t>
      </w:r>
      <w:r w:rsidR="00DB38DB" w:rsidRPr="00CE23AE">
        <w:rPr>
          <w:szCs w:val="20"/>
          <w:lang w:val="en-US"/>
        </w:rPr>
        <w:t xml:space="preserve"> Flor Freire, </w:t>
      </w:r>
      <w:r w:rsidR="006530E5" w:rsidRPr="00CE23AE">
        <w:rPr>
          <w:szCs w:val="20"/>
          <w:lang w:val="en-US"/>
        </w:rPr>
        <w:t xml:space="preserve">his discharge could be </w:t>
      </w:r>
      <w:r w:rsidR="00085829" w:rsidRPr="00CE23AE">
        <w:rPr>
          <w:szCs w:val="20"/>
          <w:lang w:val="en-US"/>
        </w:rPr>
        <w:t>in</w:t>
      </w:r>
      <w:r w:rsidR="006530E5" w:rsidRPr="00CE23AE">
        <w:rPr>
          <w:szCs w:val="20"/>
          <w:lang w:val="en-US"/>
        </w:rPr>
        <w:t xml:space="preserve"> retaliation fo</w:t>
      </w:r>
      <w:r w:rsidR="00085829" w:rsidRPr="00CE23AE">
        <w:rPr>
          <w:szCs w:val="20"/>
          <w:lang w:val="en-US"/>
        </w:rPr>
        <w:t xml:space="preserve">r </w:t>
      </w:r>
      <w:r w:rsidR="00555204" w:rsidRPr="00CE23AE">
        <w:rPr>
          <w:szCs w:val="20"/>
          <w:lang w:val="en-US"/>
        </w:rPr>
        <w:t>actions he had taken</w:t>
      </w:r>
      <w:r w:rsidR="006530E5" w:rsidRPr="00CE23AE">
        <w:rPr>
          <w:szCs w:val="20"/>
          <w:lang w:val="en-US"/>
        </w:rPr>
        <w:t xml:space="preserve"> to reduce un</w:t>
      </w:r>
      <w:r w:rsidR="00555204" w:rsidRPr="00CE23AE">
        <w:rPr>
          <w:szCs w:val="20"/>
          <w:lang w:val="en-US"/>
        </w:rPr>
        <w:t>necessary</w:t>
      </w:r>
      <w:r w:rsidR="006530E5" w:rsidRPr="00CE23AE">
        <w:rPr>
          <w:szCs w:val="20"/>
          <w:lang w:val="en-US"/>
        </w:rPr>
        <w:t xml:space="preserve"> expen</w:t>
      </w:r>
      <w:r w:rsidR="00085829" w:rsidRPr="00CE23AE">
        <w:rPr>
          <w:szCs w:val="20"/>
          <w:lang w:val="en-US"/>
        </w:rPr>
        <w:t>diture</w:t>
      </w:r>
      <w:r w:rsidR="006530E5" w:rsidRPr="00CE23AE">
        <w:rPr>
          <w:szCs w:val="20"/>
          <w:lang w:val="en-US"/>
        </w:rPr>
        <w:t xml:space="preserve"> and </w:t>
      </w:r>
      <w:r w:rsidR="00555204" w:rsidRPr="00CE23AE">
        <w:rPr>
          <w:szCs w:val="20"/>
          <w:lang w:val="en-US"/>
        </w:rPr>
        <w:t>co</w:t>
      </w:r>
      <w:r w:rsidR="00085829" w:rsidRPr="00CE23AE">
        <w:rPr>
          <w:szCs w:val="20"/>
          <w:lang w:val="en-US"/>
        </w:rPr>
        <w:t>mbat</w:t>
      </w:r>
      <w:r w:rsidR="00555204" w:rsidRPr="00CE23AE">
        <w:rPr>
          <w:szCs w:val="20"/>
          <w:lang w:val="en-US"/>
        </w:rPr>
        <w:t xml:space="preserve"> </w:t>
      </w:r>
      <w:r w:rsidR="006530E5" w:rsidRPr="00CE23AE">
        <w:rPr>
          <w:szCs w:val="20"/>
          <w:lang w:val="en-US"/>
        </w:rPr>
        <w:t>corruption in the unit, because he was responsible for purchasing food and other commodities for the military base where he worked.</w:t>
      </w:r>
      <w:r w:rsidR="00DB38DB" w:rsidRPr="00CE23AE">
        <w:rPr>
          <w:rStyle w:val="Refdenotaalpie"/>
          <w:szCs w:val="20"/>
          <w:lang w:val="en-US"/>
        </w:rPr>
        <w:footnoteReference w:id="59"/>
      </w:r>
      <w:bookmarkEnd w:id="208"/>
    </w:p>
    <w:p w14:paraId="6E7CD325" w14:textId="23810CA8" w:rsidR="00D02D60" w:rsidRPr="00CE23AE" w:rsidRDefault="00D02D60" w:rsidP="00D02D60">
      <w:pPr>
        <w:pStyle w:val="Prrafodelista"/>
        <w:widowControl/>
        <w:tabs>
          <w:tab w:val="left" w:pos="709"/>
        </w:tabs>
        <w:suppressAutoHyphens/>
        <w:adjustRightInd/>
        <w:spacing w:line="240" w:lineRule="auto"/>
        <w:ind w:left="0"/>
        <w:contextualSpacing/>
        <w:textAlignment w:val="auto"/>
        <w:rPr>
          <w:rFonts w:eastAsia="Calibri" w:cs="TimesNewRomanPSMT"/>
          <w:szCs w:val="20"/>
          <w:lang w:val="en-US" w:eastAsia="en-US"/>
        </w:rPr>
      </w:pPr>
    </w:p>
    <w:p w14:paraId="65DAE2D3" w14:textId="7F10D117" w:rsidR="00AF631C" w:rsidRPr="00CE23AE" w:rsidRDefault="00555204" w:rsidP="00F61206">
      <w:pPr>
        <w:pStyle w:val="Prrafodelista"/>
        <w:widowControl/>
        <w:numPr>
          <w:ilvl w:val="0"/>
          <w:numId w:val="6"/>
        </w:numPr>
        <w:tabs>
          <w:tab w:val="left" w:pos="709"/>
          <w:tab w:val="num" w:pos="851"/>
        </w:tabs>
        <w:suppressAutoHyphens/>
        <w:adjustRightInd/>
        <w:spacing w:line="240" w:lineRule="auto"/>
        <w:ind w:left="0"/>
        <w:contextualSpacing/>
        <w:textAlignment w:val="auto"/>
        <w:rPr>
          <w:rFonts w:eastAsia="Calibri" w:cs="TimesNewRomanPSMT"/>
          <w:szCs w:val="20"/>
          <w:lang w:val="en-US" w:eastAsia="en-US"/>
        </w:rPr>
      </w:pPr>
      <w:r w:rsidRPr="00CE23AE">
        <w:rPr>
          <w:rFonts w:eastAsia="Calibri" w:cs="TimesNewRomanPSMT"/>
          <w:szCs w:val="20"/>
          <w:lang w:val="en-US" w:eastAsia="en-US"/>
        </w:rPr>
        <w:t xml:space="preserve">Owing to the accusations made, </w:t>
      </w:r>
      <w:r w:rsidR="00F5102B" w:rsidRPr="00CE23AE">
        <w:rPr>
          <w:rFonts w:eastAsia="Calibri" w:cs="TimesNewRomanPSMT"/>
          <w:szCs w:val="20"/>
          <w:lang w:val="en-US" w:eastAsia="en-US"/>
        </w:rPr>
        <w:t>Mr. Flor</w:t>
      </w:r>
      <w:r w:rsidR="00D02D60" w:rsidRPr="00CE23AE">
        <w:rPr>
          <w:rFonts w:eastAsia="Calibri" w:cs="TimesNewRomanPSMT"/>
          <w:szCs w:val="20"/>
          <w:lang w:val="en-US" w:eastAsia="en-US"/>
        </w:rPr>
        <w:t xml:space="preserve"> Freire</w:t>
      </w:r>
      <w:r w:rsidRPr="00CE23AE">
        <w:rPr>
          <w:rFonts w:eastAsia="Calibri" w:cs="TimesNewRomanPSMT"/>
          <w:szCs w:val="20"/>
          <w:lang w:val="en-US" w:eastAsia="en-US"/>
        </w:rPr>
        <w:t xml:space="preserve"> gave an unsworn statement on </w:t>
      </w:r>
      <w:r w:rsidR="00CB4410" w:rsidRPr="00CE23AE">
        <w:rPr>
          <w:rFonts w:eastAsia="Calibri" w:cs="TimesNewRomanPSMT"/>
          <w:szCs w:val="20"/>
          <w:lang w:val="en-US" w:eastAsia="en-US"/>
        </w:rPr>
        <w:t>November 19,</w:t>
      </w:r>
      <w:r w:rsidR="00D02D60" w:rsidRPr="00CE23AE">
        <w:rPr>
          <w:rFonts w:eastAsia="Calibri" w:cs="TimesNewRomanPSMT"/>
          <w:szCs w:val="20"/>
          <w:lang w:val="en-US" w:eastAsia="en-US"/>
        </w:rPr>
        <w:t xml:space="preserve"> 2000</w:t>
      </w:r>
      <w:r w:rsidRPr="00CE23AE">
        <w:rPr>
          <w:rFonts w:eastAsia="Calibri" w:cs="TimesNewRomanPSMT"/>
          <w:szCs w:val="20"/>
          <w:lang w:val="en-US" w:eastAsia="en-US"/>
        </w:rPr>
        <w:t>, before Intelligence Group</w:t>
      </w:r>
      <w:r w:rsidR="00D02D60" w:rsidRPr="00CE23AE">
        <w:rPr>
          <w:rFonts w:eastAsia="Calibri" w:cs="TimesNewRomanPSMT"/>
          <w:szCs w:val="20"/>
          <w:lang w:val="en-US" w:eastAsia="en-US"/>
        </w:rPr>
        <w:t xml:space="preserve"> No. 4 </w:t>
      </w:r>
      <w:r w:rsidRPr="00CE23AE">
        <w:rPr>
          <w:rFonts w:eastAsia="Calibri" w:cs="TimesNewRomanPSMT"/>
          <w:szCs w:val="20"/>
          <w:lang w:val="en-US" w:eastAsia="en-US"/>
        </w:rPr>
        <w:t>on what had happened,</w:t>
      </w:r>
      <w:r w:rsidR="00D02D60" w:rsidRPr="00CE23AE">
        <w:rPr>
          <w:rStyle w:val="Refdenotaalpie"/>
          <w:rFonts w:eastAsia="Calibri" w:cs="TimesNewRomanPSMT"/>
          <w:szCs w:val="20"/>
          <w:lang w:val="en-US" w:eastAsia="en-US"/>
        </w:rPr>
        <w:footnoteReference w:id="60"/>
      </w:r>
      <w:r w:rsidRPr="00CE23AE">
        <w:rPr>
          <w:rFonts w:eastAsia="Calibri" w:cs="TimesNewRomanPSMT"/>
          <w:szCs w:val="20"/>
          <w:lang w:val="en-US" w:eastAsia="en-US"/>
        </w:rPr>
        <w:t xml:space="preserve"> when his versions of the facts was </w:t>
      </w:r>
      <w:r w:rsidRPr="00CE23AE">
        <w:rPr>
          <w:rFonts w:eastAsia="Calibri" w:cs="TimesNewRomanPSMT"/>
          <w:szCs w:val="20"/>
          <w:lang w:val="en-US" w:eastAsia="en-US"/>
        </w:rPr>
        <w:lastRenderedPageBreak/>
        <w:t>recorded</w:t>
      </w:r>
      <w:r w:rsidR="00D02D60" w:rsidRPr="00CE23AE">
        <w:rPr>
          <w:rStyle w:val="Refdenotaalpie"/>
          <w:rFonts w:eastAsia="Calibri" w:cs="TimesNewRomanPSMT"/>
          <w:szCs w:val="20"/>
          <w:lang w:val="en-US" w:eastAsia="en-US"/>
        </w:rPr>
        <w:footnoteReference w:id="61"/>
      </w:r>
      <w:r w:rsidR="00F63BE2" w:rsidRPr="00CE23AE">
        <w:rPr>
          <w:rFonts w:eastAsia="Calibri" w:cs="TimesNewRomanPSMT"/>
          <w:szCs w:val="20"/>
          <w:lang w:val="en-US" w:eastAsia="en-US"/>
        </w:rPr>
        <w:t xml:space="preserve"> (</w:t>
      </w:r>
      <w:r w:rsidR="00F63BE2" w:rsidRPr="00CE23AE">
        <w:rPr>
          <w:rFonts w:eastAsia="Calibri" w:cs="TimesNewRomanPSMT"/>
          <w:i/>
          <w:szCs w:val="20"/>
          <w:lang w:val="en-US" w:eastAsia="en-US"/>
        </w:rPr>
        <w:t>supra</w:t>
      </w:r>
      <w:r w:rsidR="00F63BE2" w:rsidRPr="00CE23AE">
        <w:rPr>
          <w:rFonts w:eastAsia="Calibri" w:cs="TimesNewRomanPSMT"/>
          <w:szCs w:val="20"/>
          <w:lang w:val="en-US" w:eastAsia="en-US"/>
        </w:rPr>
        <w:t xml:space="preserve"> </w:t>
      </w:r>
      <w:r w:rsidR="005C743F" w:rsidRPr="00CE23AE">
        <w:rPr>
          <w:rFonts w:eastAsia="Calibri" w:cs="TimesNewRomanPSMT"/>
          <w:szCs w:val="20"/>
          <w:lang w:val="en-US" w:eastAsia="en-US"/>
        </w:rPr>
        <w:t>para.</w:t>
      </w:r>
      <w:r w:rsidR="00F63BE2" w:rsidRPr="00CE23AE">
        <w:rPr>
          <w:rFonts w:eastAsia="Calibri" w:cs="TimesNewRomanPSMT"/>
          <w:szCs w:val="20"/>
          <w:lang w:val="en-US" w:eastAsia="en-US"/>
        </w:rPr>
        <w:t xml:space="preserve"> </w:t>
      </w:r>
      <w:r w:rsidR="00F63BE2" w:rsidRPr="00CE23AE">
        <w:rPr>
          <w:rFonts w:eastAsia="Calibri" w:cs="TimesNewRomanPSMT"/>
          <w:szCs w:val="20"/>
          <w:lang w:val="en-US" w:eastAsia="en-US"/>
        </w:rPr>
        <w:fldChar w:fldCharType="begin"/>
      </w:r>
      <w:r w:rsidR="00F63BE2" w:rsidRPr="00CE23AE">
        <w:rPr>
          <w:rFonts w:eastAsia="Calibri" w:cs="TimesNewRomanPSMT"/>
          <w:szCs w:val="20"/>
          <w:lang w:val="en-US" w:eastAsia="en-US"/>
        </w:rPr>
        <w:instrText xml:space="preserve"> REF _Ref464555426 \r \h </w:instrText>
      </w:r>
      <w:r w:rsidR="00CE23AE">
        <w:rPr>
          <w:rFonts w:eastAsia="Calibri" w:cs="TimesNewRomanPSMT"/>
          <w:szCs w:val="20"/>
          <w:lang w:val="en-US" w:eastAsia="en-US"/>
        </w:rPr>
        <w:instrText xml:space="preserve"> \* MERGEFORMAT </w:instrText>
      </w:r>
      <w:r w:rsidR="00F63BE2" w:rsidRPr="00CE23AE">
        <w:rPr>
          <w:rFonts w:eastAsia="Calibri" w:cs="TimesNewRomanPSMT"/>
          <w:szCs w:val="20"/>
          <w:lang w:val="en-US" w:eastAsia="en-US"/>
        </w:rPr>
      </w:r>
      <w:r w:rsidR="00F63BE2" w:rsidRPr="00CE23AE">
        <w:rPr>
          <w:rFonts w:eastAsia="Calibri" w:cs="TimesNewRomanPSMT"/>
          <w:szCs w:val="20"/>
          <w:lang w:val="en-US" w:eastAsia="en-US"/>
        </w:rPr>
        <w:fldChar w:fldCharType="separate"/>
      </w:r>
      <w:r w:rsidR="00BC2953" w:rsidRPr="00CE23AE">
        <w:rPr>
          <w:rFonts w:eastAsia="Calibri" w:cs="TimesNewRomanPSMT"/>
          <w:szCs w:val="20"/>
          <w:lang w:val="en-US" w:eastAsia="en-US"/>
        </w:rPr>
        <w:t>57</w:t>
      </w:r>
      <w:r w:rsidR="00F63BE2" w:rsidRPr="00CE23AE">
        <w:rPr>
          <w:rFonts w:eastAsia="Calibri" w:cs="TimesNewRomanPSMT"/>
          <w:szCs w:val="20"/>
          <w:lang w:val="en-US" w:eastAsia="en-US"/>
        </w:rPr>
        <w:fldChar w:fldCharType="end"/>
      </w:r>
      <w:r w:rsidR="00F63BE2" w:rsidRPr="00CE23AE">
        <w:rPr>
          <w:rFonts w:eastAsia="Calibri" w:cs="TimesNewRomanPSMT"/>
          <w:szCs w:val="20"/>
          <w:lang w:val="en-US" w:eastAsia="en-US"/>
        </w:rPr>
        <w:t>)</w:t>
      </w:r>
      <w:r w:rsidR="00D02D60" w:rsidRPr="00CE23AE">
        <w:rPr>
          <w:rFonts w:eastAsia="Calibri" w:cs="TimesNewRomanPSMT"/>
          <w:szCs w:val="20"/>
          <w:lang w:val="en-US" w:eastAsia="en-US"/>
        </w:rPr>
        <w:t xml:space="preserve">. </w:t>
      </w:r>
      <w:r w:rsidRPr="00CE23AE">
        <w:rPr>
          <w:lang w:val="en-US"/>
        </w:rPr>
        <w:t xml:space="preserve">According to </w:t>
      </w:r>
      <w:r w:rsidR="00C561DF" w:rsidRPr="00CE23AE">
        <w:rPr>
          <w:lang w:val="en-US"/>
        </w:rPr>
        <w:t>the presumed victim</w:t>
      </w:r>
      <w:r w:rsidR="00D02D60" w:rsidRPr="00CE23AE">
        <w:rPr>
          <w:lang w:val="en-US"/>
        </w:rPr>
        <w:t xml:space="preserve">, </w:t>
      </w:r>
      <w:r w:rsidRPr="00CE23AE">
        <w:rPr>
          <w:lang w:val="en-US"/>
        </w:rPr>
        <w:t>shortly afterwards he began to receive pressure to request his discharge or voluntary retirement.</w:t>
      </w:r>
      <w:r w:rsidR="00D02D60" w:rsidRPr="00CE23AE">
        <w:rPr>
          <w:rStyle w:val="Refdenotaalpie"/>
          <w:lang w:val="en-US"/>
        </w:rPr>
        <w:footnoteReference w:id="62"/>
      </w:r>
      <w:r w:rsidR="00D02D60" w:rsidRPr="00CE23AE">
        <w:rPr>
          <w:lang w:val="en-US"/>
        </w:rPr>
        <w:t xml:space="preserve"> </w:t>
      </w:r>
    </w:p>
    <w:p w14:paraId="44160A2F" w14:textId="77777777" w:rsidR="00AF631C" w:rsidRPr="00CE23AE" w:rsidRDefault="00AF631C" w:rsidP="00F61206">
      <w:pPr>
        <w:rPr>
          <w:szCs w:val="20"/>
          <w:lang w:val="en-US"/>
        </w:rPr>
      </w:pPr>
    </w:p>
    <w:p w14:paraId="1E2BE338" w14:textId="23A52B39" w:rsidR="00F61206" w:rsidRPr="00CE23AE" w:rsidRDefault="00555204" w:rsidP="009F36A1">
      <w:pPr>
        <w:pStyle w:val="Ttulo2"/>
        <w:numPr>
          <w:ilvl w:val="0"/>
          <w:numId w:val="2"/>
        </w:numPr>
        <w:rPr>
          <w:lang w:val="en-US"/>
        </w:rPr>
      </w:pPr>
      <w:bookmarkStart w:id="209" w:name="_Toc46388364"/>
      <w:r w:rsidRPr="00CE23AE">
        <w:rPr>
          <w:lang w:val="en-US"/>
        </w:rPr>
        <w:t>Provisions of Ecuador’s domestic law applicable to the case</w:t>
      </w:r>
      <w:bookmarkEnd w:id="209"/>
    </w:p>
    <w:p w14:paraId="2175D311" w14:textId="77777777" w:rsidR="000B5CC5" w:rsidRPr="00CE23AE" w:rsidRDefault="000B5CC5" w:rsidP="000B5CC5">
      <w:pPr>
        <w:rPr>
          <w:lang w:val="en-US" w:eastAsia="es-MX"/>
        </w:rPr>
      </w:pPr>
    </w:p>
    <w:p w14:paraId="402EF26A" w14:textId="625417A0" w:rsidR="000B5CC5" w:rsidRPr="00CE23AE" w:rsidRDefault="00555204" w:rsidP="000B5CC5">
      <w:pPr>
        <w:widowControl/>
        <w:numPr>
          <w:ilvl w:val="0"/>
          <w:numId w:val="6"/>
        </w:numPr>
        <w:tabs>
          <w:tab w:val="left" w:pos="567"/>
        </w:tabs>
        <w:suppressAutoHyphens/>
        <w:adjustRightInd/>
        <w:spacing w:line="240" w:lineRule="auto"/>
        <w:textAlignment w:val="auto"/>
        <w:rPr>
          <w:rStyle w:val="subenglish"/>
          <w:lang w:val="en-US"/>
        </w:rPr>
      </w:pPr>
      <w:r w:rsidRPr="00CE23AE">
        <w:rPr>
          <w:rStyle w:val="subenglish"/>
          <w:lang w:val="en-US"/>
        </w:rPr>
        <w:t>The Constitution of</w:t>
      </w:r>
      <w:r w:rsidR="000B5CC5" w:rsidRPr="00CE23AE">
        <w:rPr>
          <w:rStyle w:val="subenglish"/>
          <w:lang w:val="en-US"/>
        </w:rPr>
        <w:t xml:space="preserve"> Ecuador </w:t>
      </w:r>
      <w:r w:rsidR="0005476C" w:rsidRPr="00CE23AE">
        <w:rPr>
          <w:rStyle w:val="subenglish"/>
          <w:lang w:val="en-US"/>
        </w:rPr>
        <w:t>in force at the time of the facts recognized the right to equality before the law, without discrimination on the basis, among other reasons, of a person’s sexual orientation.</w:t>
      </w:r>
      <w:bookmarkStart w:id="210" w:name="_Toc370134029"/>
      <w:r w:rsidR="000B5CC5" w:rsidRPr="00CE23AE">
        <w:rPr>
          <w:rStyle w:val="Refdenotaalpie"/>
          <w:szCs w:val="20"/>
          <w:lang w:val="en-US"/>
        </w:rPr>
        <w:footnoteReference w:id="63"/>
      </w:r>
      <w:bookmarkEnd w:id="210"/>
      <w:r w:rsidR="000B5CC5" w:rsidRPr="00CE23AE">
        <w:rPr>
          <w:rStyle w:val="subenglish"/>
          <w:szCs w:val="20"/>
          <w:lang w:val="en-US"/>
        </w:rPr>
        <w:t xml:space="preserve"> </w:t>
      </w:r>
      <w:r w:rsidR="00C561DF" w:rsidRPr="00CE23AE">
        <w:rPr>
          <w:rStyle w:val="subenglish"/>
          <w:szCs w:val="20"/>
          <w:lang w:val="en-US"/>
        </w:rPr>
        <w:t>Articles</w:t>
      </w:r>
      <w:r w:rsidR="000B5CC5" w:rsidRPr="00CE23AE">
        <w:rPr>
          <w:rStyle w:val="subenglish"/>
          <w:szCs w:val="20"/>
          <w:lang w:val="en-US"/>
        </w:rPr>
        <w:t xml:space="preserve"> 273</w:t>
      </w:r>
      <w:r w:rsidR="00C561DF" w:rsidRPr="00CE23AE">
        <w:rPr>
          <w:rStyle w:val="subenglish"/>
          <w:szCs w:val="20"/>
          <w:lang w:val="en-US"/>
        </w:rPr>
        <w:t xml:space="preserve"> and </w:t>
      </w:r>
      <w:r w:rsidR="000B5CC5" w:rsidRPr="00CE23AE">
        <w:rPr>
          <w:rStyle w:val="subenglish"/>
          <w:szCs w:val="20"/>
          <w:lang w:val="en-US"/>
        </w:rPr>
        <w:t>274</w:t>
      </w:r>
      <w:r w:rsidR="0005476C" w:rsidRPr="00CE23AE">
        <w:rPr>
          <w:rStyle w:val="subenglish"/>
          <w:szCs w:val="20"/>
          <w:lang w:val="en-US"/>
        </w:rPr>
        <w:t xml:space="preserve"> of the Constitution</w:t>
      </w:r>
      <w:r w:rsidR="000B5CC5" w:rsidRPr="00CE23AE">
        <w:rPr>
          <w:rStyle w:val="subenglish"/>
          <w:lang w:val="en-US"/>
        </w:rPr>
        <w:t xml:space="preserve"> estab</w:t>
      </w:r>
      <w:r w:rsidR="0005476C" w:rsidRPr="00CE23AE">
        <w:rPr>
          <w:rStyle w:val="subenglish"/>
          <w:lang w:val="en-US"/>
        </w:rPr>
        <w:t>lished</w:t>
      </w:r>
      <w:r w:rsidR="000B5CC5" w:rsidRPr="00CE23AE">
        <w:rPr>
          <w:rStyle w:val="subenglish"/>
          <w:lang w:val="en-US"/>
        </w:rPr>
        <w:t>:</w:t>
      </w:r>
    </w:p>
    <w:p w14:paraId="6416B209" w14:textId="77777777" w:rsidR="000B5CC5" w:rsidRPr="00CE23AE" w:rsidRDefault="000B5CC5" w:rsidP="000B5CC5">
      <w:pPr>
        <w:ind w:right="720"/>
        <w:rPr>
          <w:szCs w:val="20"/>
          <w:lang w:val="en-US"/>
        </w:rPr>
      </w:pPr>
    </w:p>
    <w:p w14:paraId="55B8E1D4" w14:textId="507AF773" w:rsidR="000B5CC5" w:rsidRPr="00CE23AE" w:rsidRDefault="00C561DF" w:rsidP="00E81FEB">
      <w:pPr>
        <w:ind w:left="567" w:right="720"/>
        <w:rPr>
          <w:sz w:val="18"/>
          <w:szCs w:val="18"/>
          <w:lang w:val="en-US"/>
        </w:rPr>
      </w:pPr>
      <w:r w:rsidRPr="00CE23AE">
        <w:rPr>
          <w:b/>
          <w:sz w:val="18"/>
          <w:szCs w:val="18"/>
          <w:lang w:val="en-US"/>
        </w:rPr>
        <w:t>Article</w:t>
      </w:r>
      <w:r w:rsidR="000B5CC5" w:rsidRPr="00CE23AE">
        <w:rPr>
          <w:b/>
          <w:sz w:val="18"/>
          <w:szCs w:val="18"/>
          <w:lang w:val="en-US"/>
        </w:rPr>
        <w:t xml:space="preserve"> 273</w:t>
      </w:r>
      <w:r w:rsidR="000B5CC5" w:rsidRPr="00CE23AE">
        <w:rPr>
          <w:sz w:val="18"/>
          <w:szCs w:val="18"/>
          <w:lang w:val="en-US"/>
        </w:rPr>
        <w:t xml:space="preserve">. </w:t>
      </w:r>
      <w:r w:rsidR="0005476C" w:rsidRPr="00CE23AE">
        <w:rPr>
          <w:sz w:val="18"/>
          <w:szCs w:val="18"/>
          <w:lang w:val="en-US"/>
        </w:rPr>
        <w:t>The courts, tribunals, judges and administrative authorities shall be obliged to apply the pertinent provisions of the Constitution even if the interested party does not expressly invoke them.</w:t>
      </w:r>
    </w:p>
    <w:p w14:paraId="30BC64B3" w14:textId="77777777" w:rsidR="000B5CC5" w:rsidRPr="00CE23AE" w:rsidRDefault="000B5CC5" w:rsidP="00E81FEB">
      <w:pPr>
        <w:ind w:left="567" w:right="720"/>
        <w:rPr>
          <w:sz w:val="18"/>
          <w:szCs w:val="18"/>
          <w:lang w:val="en-US"/>
        </w:rPr>
      </w:pPr>
    </w:p>
    <w:p w14:paraId="466FE2F8" w14:textId="3D30EF5A" w:rsidR="000B5CC5" w:rsidRPr="00CE23AE" w:rsidRDefault="00C561DF" w:rsidP="0005476C">
      <w:pPr>
        <w:ind w:left="567" w:right="720"/>
        <w:rPr>
          <w:sz w:val="18"/>
          <w:szCs w:val="18"/>
          <w:lang w:val="en-US"/>
        </w:rPr>
      </w:pPr>
      <w:r w:rsidRPr="00CE23AE">
        <w:rPr>
          <w:b/>
          <w:sz w:val="18"/>
          <w:szCs w:val="18"/>
          <w:lang w:val="en-US"/>
        </w:rPr>
        <w:t>Article</w:t>
      </w:r>
      <w:r w:rsidR="000B5CC5" w:rsidRPr="00CE23AE">
        <w:rPr>
          <w:b/>
          <w:sz w:val="18"/>
          <w:szCs w:val="18"/>
          <w:lang w:val="en-US"/>
        </w:rPr>
        <w:t xml:space="preserve"> 274</w:t>
      </w:r>
      <w:r w:rsidR="000B5CC5" w:rsidRPr="00CE23AE">
        <w:rPr>
          <w:sz w:val="18"/>
          <w:szCs w:val="18"/>
          <w:lang w:val="en-US"/>
        </w:rPr>
        <w:t xml:space="preserve">. </w:t>
      </w:r>
      <w:r w:rsidR="0005476C" w:rsidRPr="00CE23AE">
        <w:rPr>
          <w:sz w:val="18"/>
          <w:szCs w:val="18"/>
          <w:lang w:val="en-US"/>
        </w:rPr>
        <w:t xml:space="preserve">Any judge or court, in the cases heard, may declare inapplicable, </w:t>
      </w:r>
      <w:r w:rsidR="0005476C" w:rsidRPr="00CE23AE">
        <w:rPr>
          <w:i/>
          <w:iCs/>
          <w:sz w:val="18"/>
          <w:szCs w:val="18"/>
          <w:lang w:val="en-US"/>
        </w:rPr>
        <w:t>ex officio,</w:t>
      </w:r>
      <w:r w:rsidR="0005476C" w:rsidRPr="00CE23AE">
        <w:rPr>
          <w:sz w:val="18"/>
          <w:szCs w:val="18"/>
          <w:lang w:val="en-US"/>
        </w:rPr>
        <w:t xml:space="preserve"> or at the request of a party, a legal precept contrary to the provisions of the Constitution or of international treaties or conventions, without prejudice to ruling on the disputed matter. That declaration shall not have binding force except in the cases in which it is indicated. The judge, court or chamber shall present a report on the declaration of unconstitutionality, for the Constitutional Court to take a general and binding decision.</w:t>
      </w:r>
      <w:r w:rsidR="000B5CC5" w:rsidRPr="00CE23AE">
        <w:rPr>
          <w:rStyle w:val="Refdenotaalpie"/>
          <w:sz w:val="18"/>
          <w:szCs w:val="18"/>
          <w:lang w:val="en-US"/>
        </w:rPr>
        <w:footnoteReference w:id="64"/>
      </w:r>
    </w:p>
    <w:p w14:paraId="4D6329EC" w14:textId="77777777" w:rsidR="000B5CC5" w:rsidRPr="00CE23AE" w:rsidRDefault="000B5CC5" w:rsidP="000B5CC5">
      <w:pPr>
        <w:rPr>
          <w:szCs w:val="20"/>
          <w:lang w:val="en-US"/>
        </w:rPr>
      </w:pPr>
    </w:p>
    <w:p w14:paraId="2B7E7BC5" w14:textId="759CAA3A" w:rsidR="00F63BE2" w:rsidRPr="00CE23AE" w:rsidRDefault="00A055CE" w:rsidP="00F63BE2">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In addition, at</w:t>
      </w:r>
      <w:r w:rsidR="0005476C" w:rsidRPr="00CE23AE">
        <w:rPr>
          <w:szCs w:val="20"/>
          <w:lang w:val="en-US"/>
        </w:rPr>
        <w:t xml:space="preserve"> the time of the facts of this case, </w:t>
      </w:r>
      <w:r w:rsidR="00C561DF" w:rsidRPr="00CE23AE">
        <w:rPr>
          <w:szCs w:val="20"/>
          <w:lang w:val="en-US"/>
        </w:rPr>
        <w:t xml:space="preserve">the </w:t>
      </w:r>
      <w:r w:rsidR="0005476C" w:rsidRPr="00CE23AE">
        <w:rPr>
          <w:szCs w:val="20"/>
          <w:lang w:val="en-US"/>
        </w:rPr>
        <w:t xml:space="preserve">1998 </w:t>
      </w:r>
      <w:r w:rsidR="009C5D46" w:rsidRPr="00CE23AE">
        <w:rPr>
          <w:szCs w:val="20"/>
          <w:lang w:val="en-US"/>
        </w:rPr>
        <w:t>Military Discipline Regulations</w:t>
      </w:r>
      <w:r w:rsidR="0005476C" w:rsidRPr="00CE23AE">
        <w:rPr>
          <w:szCs w:val="20"/>
          <w:lang w:val="en-US"/>
        </w:rPr>
        <w:t xml:space="preserve"> were in force. These regulations establish</w:t>
      </w:r>
      <w:r w:rsidRPr="00CE23AE">
        <w:rPr>
          <w:szCs w:val="20"/>
          <w:lang w:val="en-US"/>
        </w:rPr>
        <w:t>ed</w:t>
      </w:r>
      <w:r w:rsidR="0005476C" w:rsidRPr="00CE23AE">
        <w:rPr>
          <w:szCs w:val="20"/>
          <w:lang w:val="en-US"/>
        </w:rPr>
        <w:t xml:space="preserve"> that offenses against military discipline could be light, severe </w:t>
      </w:r>
      <w:r w:rsidR="00C561DF" w:rsidRPr="00CE23AE">
        <w:rPr>
          <w:szCs w:val="20"/>
          <w:lang w:val="en-US"/>
        </w:rPr>
        <w:t xml:space="preserve">and </w:t>
      </w:r>
      <w:r w:rsidR="00EA0AA6" w:rsidRPr="00CE23AE">
        <w:rPr>
          <w:szCs w:val="20"/>
          <w:lang w:val="en-US"/>
        </w:rPr>
        <w:t>with criminal intent</w:t>
      </w:r>
      <w:r w:rsidRPr="00CE23AE">
        <w:rPr>
          <w:szCs w:val="20"/>
          <w:lang w:val="en-US"/>
        </w:rPr>
        <w:t xml:space="preserve"> (</w:t>
      </w:r>
      <w:r w:rsidRPr="00CE23AE">
        <w:rPr>
          <w:i/>
          <w:iCs/>
          <w:szCs w:val="20"/>
          <w:lang w:val="en-US"/>
        </w:rPr>
        <w:t>atentorios</w:t>
      </w:r>
      <w:r w:rsidRPr="00CE23AE">
        <w:rPr>
          <w:szCs w:val="20"/>
          <w:lang w:val="en-US"/>
        </w:rPr>
        <w:t>)</w:t>
      </w:r>
      <w:r w:rsidR="006B4BD4" w:rsidRPr="00CE23AE">
        <w:rPr>
          <w:szCs w:val="20"/>
          <w:lang w:val="en-US"/>
        </w:rPr>
        <w:t xml:space="preserve">. </w:t>
      </w:r>
      <w:r w:rsidR="00C561DF" w:rsidRPr="00CE23AE">
        <w:rPr>
          <w:szCs w:val="20"/>
          <w:lang w:val="en-US"/>
        </w:rPr>
        <w:t>Article</w:t>
      </w:r>
      <w:r w:rsidR="000B5CC5" w:rsidRPr="00CE23AE">
        <w:rPr>
          <w:szCs w:val="20"/>
          <w:lang w:val="en-US"/>
        </w:rPr>
        <w:t xml:space="preserve"> 67</w:t>
      </w:r>
      <w:r w:rsidR="0005476C" w:rsidRPr="00CE23AE">
        <w:rPr>
          <w:szCs w:val="20"/>
          <w:lang w:val="en-US"/>
        </w:rPr>
        <w:t>(</w:t>
      </w:r>
      <w:r w:rsidR="000B5CC5" w:rsidRPr="00CE23AE">
        <w:rPr>
          <w:szCs w:val="20"/>
          <w:lang w:val="en-US"/>
        </w:rPr>
        <w:t>a</w:t>
      </w:r>
      <w:r w:rsidR="0005476C" w:rsidRPr="00CE23AE">
        <w:rPr>
          <w:szCs w:val="20"/>
          <w:lang w:val="en-US"/>
        </w:rPr>
        <w:t xml:space="preserve">) of these </w:t>
      </w:r>
      <w:r w:rsidRPr="00CE23AE">
        <w:rPr>
          <w:szCs w:val="20"/>
          <w:lang w:val="en-US"/>
        </w:rPr>
        <w:t>r</w:t>
      </w:r>
      <w:r w:rsidR="0005476C" w:rsidRPr="00CE23AE">
        <w:rPr>
          <w:szCs w:val="20"/>
          <w:lang w:val="en-US"/>
        </w:rPr>
        <w:t>egulations included as an</w:t>
      </w:r>
      <w:r w:rsidR="00E60595" w:rsidRPr="00CE23AE">
        <w:rPr>
          <w:szCs w:val="20"/>
          <w:lang w:val="en-US"/>
        </w:rPr>
        <w:t xml:space="preserve"> </w:t>
      </w:r>
      <w:r w:rsidR="0005476C" w:rsidRPr="00CE23AE">
        <w:rPr>
          <w:szCs w:val="20"/>
          <w:lang w:val="en-US"/>
        </w:rPr>
        <w:t>offense</w:t>
      </w:r>
      <w:r w:rsidR="00E60595" w:rsidRPr="00CE23AE">
        <w:rPr>
          <w:szCs w:val="20"/>
          <w:lang w:val="en-US"/>
        </w:rPr>
        <w:t xml:space="preserve"> with criminal intent</w:t>
      </w:r>
      <w:r w:rsidR="0005476C" w:rsidRPr="00CE23AE">
        <w:rPr>
          <w:szCs w:val="20"/>
          <w:lang w:val="en-US"/>
        </w:rPr>
        <w:t xml:space="preserve"> “against morality</w:t>
      </w:r>
      <w:r w:rsidR="000B5CC5" w:rsidRPr="00CE23AE">
        <w:rPr>
          <w:szCs w:val="20"/>
          <w:lang w:val="en-US"/>
        </w:rPr>
        <w:t>”: “[</w:t>
      </w:r>
      <w:r w:rsidR="0005476C" w:rsidRPr="00CE23AE">
        <w:rPr>
          <w:szCs w:val="20"/>
          <w:lang w:val="en-US"/>
        </w:rPr>
        <w:t>t</w:t>
      </w:r>
      <w:r w:rsidR="000B5CC5" w:rsidRPr="00CE23AE">
        <w:rPr>
          <w:szCs w:val="20"/>
          <w:lang w:val="en-US"/>
        </w:rPr>
        <w:t>]</w:t>
      </w:r>
      <w:r w:rsidR="0005476C" w:rsidRPr="00CE23AE">
        <w:rPr>
          <w:szCs w:val="20"/>
          <w:lang w:val="en-US"/>
        </w:rPr>
        <w:t xml:space="preserve">o execute unlawful sexual acts </w:t>
      </w:r>
      <w:r w:rsidR="00EA0AA6" w:rsidRPr="00CE23AE">
        <w:rPr>
          <w:szCs w:val="20"/>
          <w:lang w:val="en-US"/>
        </w:rPr>
        <w:t>on</w:t>
      </w:r>
      <w:r w:rsidR="0005476C" w:rsidRPr="00CE23AE">
        <w:rPr>
          <w:szCs w:val="20"/>
          <w:lang w:val="en-US"/>
        </w:rPr>
        <w:t xml:space="preserve"> military </w:t>
      </w:r>
      <w:r w:rsidR="00EA0AA6" w:rsidRPr="00CE23AE">
        <w:rPr>
          <w:szCs w:val="20"/>
          <w:lang w:val="en-US"/>
        </w:rPr>
        <w:t>premises</w:t>
      </w:r>
      <w:r w:rsidR="0005476C" w:rsidRPr="00CE23AE">
        <w:rPr>
          <w:szCs w:val="20"/>
          <w:lang w:val="en-US"/>
        </w:rPr>
        <w:t>.</w:t>
      </w:r>
      <w:r w:rsidR="000B5CC5" w:rsidRPr="00CE23AE">
        <w:rPr>
          <w:szCs w:val="20"/>
          <w:lang w:val="en-US"/>
        </w:rPr>
        <w:t>”</w:t>
      </w:r>
      <w:r w:rsidR="000B5CC5" w:rsidRPr="00CE23AE">
        <w:rPr>
          <w:rStyle w:val="Refdenotaalpie"/>
          <w:szCs w:val="20"/>
          <w:lang w:val="en-US"/>
        </w:rPr>
        <w:footnoteReference w:id="65"/>
      </w:r>
      <w:bookmarkStart w:id="212" w:name="_Ref451448477"/>
      <w:r w:rsidR="00F63BE2" w:rsidRPr="00CE23AE">
        <w:rPr>
          <w:szCs w:val="20"/>
          <w:lang w:val="en-US"/>
        </w:rPr>
        <w:t xml:space="preserve"> </w:t>
      </w:r>
      <w:r w:rsidR="0005476C" w:rsidRPr="00CE23AE">
        <w:rPr>
          <w:szCs w:val="20"/>
          <w:lang w:val="en-US"/>
        </w:rPr>
        <w:t xml:space="preserve">According to </w:t>
      </w:r>
      <w:r w:rsidR="00C561DF" w:rsidRPr="00CE23AE">
        <w:rPr>
          <w:szCs w:val="20"/>
          <w:lang w:val="en-US"/>
        </w:rPr>
        <w:t>Article</w:t>
      </w:r>
      <w:r w:rsidR="000B5CC5" w:rsidRPr="00CE23AE">
        <w:rPr>
          <w:szCs w:val="20"/>
          <w:lang w:val="en-US"/>
        </w:rPr>
        <w:t xml:space="preserve"> 72 </w:t>
      </w:r>
      <w:r w:rsidR="0005476C" w:rsidRPr="00CE23AE">
        <w:rPr>
          <w:szCs w:val="20"/>
          <w:lang w:val="en-US"/>
        </w:rPr>
        <w:t xml:space="preserve">of the </w:t>
      </w:r>
      <w:r w:rsidRPr="00CE23AE">
        <w:rPr>
          <w:szCs w:val="20"/>
          <w:lang w:val="en-US"/>
        </w:rPr>
        <w:t>r</w:t>
      </w:r>
      <w:r w:rsidR="0005476C" w:rsidRPr="00CE23AE">
        <w:rPr>
          <w:szCs w:val="20"/>
          <w:lang w:val="en-US"/>
        </w:rPr>
        <w:t xml:space="preserve">egulations, offenses </w:t>
      </w:r>
      <w:r w:rsidR="00EA0AA6" w:rsidRPr="00CE23AE">
        <w:rPr>
          <w:szCs w:val="20"/>
          <w:lang w:val="en-US"/>
        </w:rPr>
        <w:t xml:space="preserve">with criminal intent </w:t>
      </w:r>
      <w:r w:rsidR="000B5CC5" w:rsidRPr="00CE23AE">
        <w:rPr>
          <w:szCs w:val="20"/>
          <w:lang w:val="en-US"/>
        </w:rPr>
        <w:t>com</w:t>
      </w:r>
      <w:r w:rsidR="0005476C" w:rsidRPr="00CE23AE">
        <w:rPr>
          <w:szCs w:val="20"/>
          <w:lang w:val="en-US"/>
        </w:rPr>
        <w:t>mitted by officers should be punished by</w:t>
      </w:r>
      <w:r w:rsidR="000B5CC5" w:rsidRPr="00CE23AE">
        <w:rPr>
          <w:szCs w:val="20"/>
          <w:lang w:val="en-US"/>
        </w:rPr>
        <w:t>: “</w:t>
      </w:r>
      <w:r w:rsidR="0005476C" w:rsidRPr="00CE23AE">
        <w:rPr>
          <w:szCs w:val="20"/>
          <w:lang w:val="en-US"/>
        </w:rPr>
        <w:t>(</w:t>
      </w:r>
      <w:r w:rsidR="000B5CC5" w:rsidRPr="00CE23AE">
        <w:rPr>
          <w:szCs w:val="20"/>
          <w:lang w:val="en-US"/>
        </w:rPr>
        <w:t xml:space="preserve">a) </w:t>
      </w:r>
      <w:r w:rsidR="00BA678F" w:rsidRPr="00CE23AE">
        <w:rPr>
          <w:szCs w:val="20"/>
          <w:lang w:val="en-US"/>
        </w:rPr>
        <w:t>Strict arrest</w:t>
      </w:r>
      <w:r w:rsidRPr="00CE23AE">
        <w:rPr>
          <w:szCs w:val="20"/>
          <w:lang w:val="en-US"/>
        </w:rPr>
        <w:t xml:space="preserve"> for </w:t>
      </w:r>
      <w:r w:rsidR="00BA678F" w:rsidRPr="00CE23AE">
        <w:rPr>
          <w:szCs w:val="20"/>
          <w:lang w:val="en-US"/>
        </w:rPr>
        <w:t>ten to fifteen days</w:t>
      </w:r>
      <w:r w:rsidR="000B5CC5" w:rsidRPr="00CE23AE">
        <w:rPr>
          <w:szCs w:val="20"/>
          <w:lang w:val="en-US"/>
        </w:rPr>
        <w:t>”; “</w:t>
      </w:r>
      <w:r w:rsidR="001E177A" w:rsidRPr="00CE23AE">
        <w:rPr>
          <w:szCs w:val="20"/>
          <w:lang w:val="en-US"/>
        </w:rPr>
        <w:t>(</w:t>
      </w:r>
      <w:r w:rsidR="000B5CC5" w:rsidRPr="00CE23AE">
        <w:rPr>
          <w:szCs w:val="20"/>
          <w:lang w:val="en-US"/>
        </w:rPr>
        <w:t xml:space="preserve">b) </w:t>
      </w:r>
      <w:r w:rsidR="001E177A" w:rsidRPr="00CE23AE">
        <w:rPr>
          <w:szCs w:val="20"/>
          <w:lang w:val="en-US"/>
        </w:rPr>
        <w:t xml:space="preserve">Strict arrest on another base </w:t>
      </w:r>
      <w:r w:rsidRPr="00CE23AE">
        <w:rPr>
          <w:szCs w:val="20"/>
          <w:lang w:val="en-US"/>
        </w:rPr>
        <w:t>for</w:t>
      </w:r>
      <w:r w:rsidR="001E177A" w:rsidRPr="00CE23AE">
        <w:rPr>
          <w:szCs w:val="20"/>
          <w:lang w:val="en-US"/>
        </w:rPr>
        <w:t xml:space="preserve"> three to ten days</w:t>
      </w:r>
      <w:r w:rsidRPr="00CE23AE">
        <w:rPr>
          <w:szCs w:val="20"/>
          <w:lang w:val="en-US"/>
        </w:rPr>
        <w:t>,</w:t>
      </w:r>
      <w:r w:rsidR="001E177A" w:rsidRPr="00CE23AE">
        <w:rPr>
          <w:szCs w:val="20"/>
          <w:lang w:val="en-US"/>
        </w:rPr>
        <w:t xml:space="preserve">” </w:t>
      </w:r>
      <w:r w:rsidRPr="00CE23AE">
        <w:rPr>
          <w:szCs w:val="20"/>
          <w:lang w:val="en-US"/>
        </w:rPr>
        <w:t>a</w:t>
      </w:r>
      <w:r w:rsidR="001E177A" w:rsidRPr="00CE23AE">
        <w:rPr>
          <w:szCs w:val="20"/>
          <w:lang w:val="en-US"/>
        </w:rPr>
        <w:t xml:space="preserve">nd </w:t>
      </w:r>
      <w:r w:rsidR="000B5CC5" w:rsidRPr="00CE23AE">
        <w:rPr>
          <w:szCs w:val="20"/>
          <w:lang w:val="en-US"/>
        </w:rPr>
        <w:t>“</w:t>
      </w:r>
      <w:r w:rsidR="001E177A" w:rsidRPr="00CE23AE">
        <w:rPr>
          <w:szCs w:val="20"/>
          <w:lang w:val="en-US"/>
        </w:rPr>
        <w:t>(</w:t>
      </w:r>
      <w:r w:rsidR="000B5CC5" w:rsidRPr="00CE23AE">
        <w:rPr>
          <w:szCs w:val="20"/>
          <w:lang w:val="en-US"/>
        </w:rPr>
        <w:t>c) Suspensi</w:t>
      </w:r>
      <w:r w:rsidR="001E177A" w:rsidRPr="00CE23AE">
        <w:rPr>
          <w:szCs w:val="20"/>
          <w:lang w:val="en-US"/>
        </w:rPr>
        <w:t xml:space="preserve">on from functions </w:t>
      </w:r>
      <w:r w:rsidRPr="00CE23AE">
        <w:rPr>
          <w:szCs w:val="20"/>
          <w:lang w:val="en-US"/>
        </w:rPr>
        <w:t>for</w:t>
      </w:r>
      <w:r w:rsidR="001E177A" w:rsidRPr="00CE23AE">
        <w:rPr>
          <w:szCs w:val="20"/>
          <w:lang w:val="en-US"/>
        </w:rPr>
        <w:t xml:space="preserve"> ten to thirty days.</w:t>
      </w:r>
      <w:r w:rsidR="000B5CC5" w:rsidRPr="00CE23AE">
        <w:rPr>
          <w:szCs w:val="20"/>
          <w:lang w:val="en-US"/>
        </w:rPr>
        <w:t>”</w:t>
      </w:r>
      <w:r w:rsidR="000B5CC5" w:rsidRPr="00CE23AE">
        <w:rPr>
          <w:rStyle w:val="Refdenotaalpie"/>
          <w:lang w:val="en-US"/>
        </w:rPr>
        <w:footnoteReference w:id="66"/>
      </w:r>
    </w:p>
    <w:p w14:paraId="0D6E17D7" w14:textId="77777777" w:rsidR="00F63BE2" w:rsidRPr="00CE23AE" w:rsidRDefault="00F63BE2" w:rsidP="00F63BE2">
      <w:pPr>
        <w:widowControl/>
        <w:tabs>
          <w:tab w:val="left" w:pos="567"/>
        </w:tabs>
        <w:suppressAutoHyphens/>
        <w:adjustRightInd/>
        <w:spacing w:line="240" w:lineRule="auto"/>
        <w:textAlignment w:val="auto"/>
        <w:rPr>
          <w:szCs w:val="20"/>
          <w:lang w:val="en-US"/>
        </w:rPr>
      </w:pPr>
    </w:p>
    <w:p w14:paraId="713462BA" w14:textId="7DC2C437" w:rsidR="000B5CC5" w:rsidRPr="00CE23AE" w:rsidRDefault="00501E56" w:rsidP="00A90F55">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Meanwhile</w:t>
      </w:r>
      <w:r w:rsidR="000B5CC5" w:rsidRPr="00CE23AE">
        <w:rPr>
          <w:szCs w:val="20"/>
          <w:lang w:val="en-US"/>
        </w:rPr>
        <w:t xml:space="preserve"> </w:t>
      </w:r>
      <w:r w:rsidRPr="00CE23AE">
        <w:rPr>
          <w:szCs w:val="20"/>
          <w:lang w:val="en-US"/>
        </w:rPr>
        <w:t>Title</w:t>
      </w:r>
      <w:r w:rsidR="00B26E7E" w:rsidRPr="00CE23AE">
        <w:rPr>
          <w:szCs w:val="20"/>
          <w:lang w:val="en-US"/>
        </w:rPr>
        <w:t xml:space="preserve"> XI </w:t>
      </w:r>
      <w:r w:rsidRPr="00CE23AE">
        <w:rPr>
          <w:szCs w:val="20"/>
          <w:lang w:val="en-US"/>
        </w:rPr>
        <w:t xml:space="preserve">of these </w:t>
      </w:r>
      <w:r w:rsidR="00A055CE" w:rsidRPr="00CE23AE">
        <w:rPr>
          <w:szCs w:val="20"/>
          <w:lang w:val="en-US"/>
        </w:rPr>
        <w:t>r</w:t>
      </w:r>
      <w:r w:rsidRPr="00CE23AE">
        <w:rPr>
          <w:szCs w:val="20"/>
          <w:lang w:val="en-US"/>
        </w:rPr>
        <w:t>egulations also established in its “General Provisions” that:</w:t>
      </w:r>
      <w:bookmarkEnd w:id="212"/>
    </w:p>
    <w:p w14:paraId="2B9130F2" w14:textId="77777777" w:rsidR="00501E56" w:rsidRPr="00CE23AE" w:rsidRDefault="00501E56" w:rsidP="00501E56">
      <w:pPr>
        <w:widowControl/>
        <w:tabs>
          <w:tab w:val="left" w:pos="567"/>
        </w:tabs>
        <w:suppressAutoHyphens/>
        <w:adjustRightInd/>
        <w:spacing w:line="240" w:lineRule="auto"/>
        <w:textAlignment w:val="auto"/>
        <w:rPr>
          <w:szCs w:val="20"/>
          <w:lang w:val="en-US"/>
        </w:rPr>
      </w:pPr>
    </w:p>
    <w:p w14:paraId="523EE829" w14:textId="676B63AC" w:rsidR="00AF631C" w:rsidRPr="00CE23AE" w:rsidRDefault="00C561DF" w:rsidP="00501E56">
      <w:pPr>
        <w:autoSpaceDE w:val="0"/>
        <w:autoSpaceDN w:val="0"/>
        <w:ind w:left="567" w:right="720"/>
        <w:rPr>
          <w:rFonts w:cs="Helvetica"/>
          <w:sz w:val="18"/>
          <w:szCs w:val="18"/>
          <w:lang w:val="en-US"/>
        </w:rPr>
      </w:pPr>
      <w:r w:rsidRPr="00CE23AE">
        <w:rPr>
          <w:b/>
          <w:sz w:val="18"/>
          <w:szCs w:val="18"/>
          <w:lang w:val="en-US"/>
        </w:rPr>
        <w:t>Article</w:t>
      </w:r>
      <w:r w:rsidR="000B5CC5" w:rsidRPr="00CE23AE">
        <w:rPr>
          <w:rFonts w:cs="Helvetica"/>
          <w:b/>
          <w:bCs/>
          <w:sz w:val="18"/>
          <w:szCs w:val="18"/>
          <w:lang w:val="en-US"/>
        </w:rPr>
        <w:t xml:space="preserve"> 117</w:t>
      </w:r>
      <w:r w:rsidR="000B5CC5" w:rsidRPr="00CE23AE">
        <w:rPr>
          <w:rFonts w:cs="Helvetica"/>
          <w:sz w:val="18"/>
          <w:szCs w:val="18"/>
          <w:lang w:val="en-US"/>
        </w:rPr>
        <w:t xml:space="preserve">. </w:t>
      </w:r>
      <w:r w:rsidR="00501E56" w:rsidRPr="00CE23AE">
        <w:rPr>
          <w:rFonts w:cs="Helvetica"/>
          <w:sz w:val="18"/>
          <w:szCs w:val="18"/>
          <w:lang w:val="en-US"/>
        </w:rPr>
        <w:t>The members</w:t>
      </w:r>
      <w:r w:rsidR="0005476C" w:rsidRPr="00CE23AE">
        <w:rPr>
          <w:rFonts w:cs="Helvetica"/>
          <w:sz w:val="18"/>
          <w:szCs w:val="18"/>
          <w:lang w:val="en-US"/>
        </w:rPr>
        <w:t xml:space="preserve"> of the </w:t>
      </w:r>
      <w:r w:rsidR="009C5D46" w:rsidRPr="00CE23AE">
        <w:rPr>
          <w:rFonts w:cs="Helvetica"/>
          <w:sz w:val="18"/>
          <w:szCs w:val="18"/>
          <w:lang w:val="en-US"/>
        </w:rPr>
        <w:t>Armed Forces</w:t>
      </w:r>
      <w:r w:rsidR="000B5CC5" w:rsidRPr="00CE23AE">
        <w:rPr>
          <w:rFonts w:cs="Helvetica"/>
          <w:sz w:val="18"/>
          <w:szCs w:val="18"/>
          <w:lang w:val="en-US"/>
        </w:rPr>
        <w:t xml:space="preserve"> </w:t>
      </w:r>
      <w:r w:rsidR="00501E56" w:rsidRPr="00CE23AE">
        <w:rPr>
          <w:rFonts w:cs="Helvetica"/>
          <w:sz w:val="18"/>
          <w:szCs w:val="18"/>
          <w:lang w:val="en-US"/>
        </w:rPr>
        <w:t xml:space="preserve">who are surprised committing </w:t>
      </w:r>
      <w:r w:rsidR="004D62D0" w:rsidRPr="00CE23AE">
        <w:rPr>
          <w:rFonts w:cs="Helvetica"/>
          <w:sz w:val="18"/>
          <w:szCs w:val="18"/>
          <w:lang w:val="en-US"/>
        </w:rPr>
        <w:t xml:space="preserve">acts of </w:t>
      </w:r>
      <w:r w:rsidR="00501E56" w:rsidRPr="00CE23AE">
        <w:rPr>
          <w:rFonts w:cs="Helvetica"/>
          <w:sz w:val="18"/>
          <w:szCs w:val="18"/>
          <w:lang w:val="en-US"/>
        </w:rPr>
        <w:t>homosexual</w:t>
      </w:r>
      <w:r w:rsidR="004D62D0" w:rsidRPr="00CE23AE">
        <w:rPr>
          <w:rFonts w:cs="Helvetica"/>
          <w:sz w:val="18"/>
          <w:szCs w:val="18"/>
          <w:lang w:val="en-US"/>
        </w:rPr>
        <w:t>ity</w:t>
      </w:r>
      <w:r w:rsidR="00501E56" w:rsidRPr="00CE23AE">
        <w:rPr>
          <w:rFonts w:cs="Helvetica"/>
          <w:sz w:val="18"/>
          <w:szCs w:val="18"/>
          <w:lang w:val="en-US"/>
        </w:rPr>
        <w:t xml:space="preserve"> or acts related to the possession, unlawful use, trafficking or sale of drugs or narcotics within or outside the service, shall be subject to the provisions of article 87(i) of the Law on Armed Forces Personnel [which establishes that the soldier will be discharged ‘for the good of the service, due either to </w:t>
      </w:r>
      <w:r w:rsidR="004D62D0" w:rsidRPr="00CE23AE">
        <w:rPr>
          <w:rFonts w:cs="Helvetica"/>
          <w:sz w:val="18"/>
          <w:szCs w:val="18"/>
          <w:lang w:val="en-US"/>
        </w:rPr>
        <w:t>his</w:t>
      </w:r>
      <w:r w:rsidR="00501E56" w:rsidRPr="00CE23AE">
        <w:rPr>
          <w:rFonts w:cs="Helvetica"/>
          <w:sz w:val="18"/>
          <w:szCs w:val="18"/>
          <w:lang w:val="en-US"/>
        </w:rPr>
        <w:t xml:space="preserve"> </w:t>
      </w:r>
      <w:r w:rsidR="0068143D" w:rsidRPr="00CE23AE">
        <w:rPr>
          <w:rFonts w:cs="Helvetica"/>
          <w:sz w:val="18"/>
          <w:szCs w:val="18"/>
          <w:lang w:val="en-US"/>
        </w:rPr>
        <w:t>mis</w:t>
      </w:r>
      <w:r w:rsidR="00501E56" w:rsidRPr="00CE23AE">
        <w:rPr>
          <w:rFonts w:cs="Helvetica"/>
          <w:sz w:val="18"/>
          <w:szCs w:val="18"/>
          <w:lang w:val="en-US"/>
        </w:rPr>
        <w:t>conduct or professional incompetence</w:t>
      </w:r>
      <w:r w:rsidR="000B5CC5" w:rsidRPr="00CE23AE">
        <w:rPr>
          <w:rStyle w:val="Refdenotaalpie"/>
          <w:rFonts w:cs="Helvetica"/>
          <w:sz w:val="18"/>
          <w:szCs w:val="18"/>
          <w:lang w:val="en-US"/>
        </w:rPr>
        <w:footnoteReference w:id="67"/>
      </w:r>
      <w:r w:rsidR="000B5CC5" w:rsidRPr="00CE23AE">
        <w:rPr>
          <w:rFonts w:cs="Helvetica"/>
          <w:sz w:val="18"/>
          <w:szCs w:val="18"/>
          <w:lang w:val="en-US"/>
        </w:rPr>
        <w:t>],</w:t>
      </w:r>
      <w:r w:rsidR="00501E56" w:rsidRPr="00CE23AE">
        <w:rPr>
          <w:rFonts w:cs="Helvetica"/>
          <w:sz w:val="18"/>
          <w:szCs w:val="18"/>
          <w:lang w:val="en-US"/>
        </w:rPr>
        <w:t xml:space="preserve"> without prejudice to </w:t>
      </w:r>
      <w:r w:rsidR="00501E56" w:rsidRPr="00CE23AE">
        <w:rPr>
          <w:rFonts w:cs="Helvetica"/>
          <w:sz w:val="18"/>
          <w:szCs w:val="18"/>
          <w:lang w:val="en-US"/>
        </w:rPr>
        <w:lastRenderedPageBreak/>
        <w:t>being brought before an ordinary judge for trial in accordance with the relevant law</w:t>
      </w:r>
      <w:r w:rsidR="000B5CC5" w:rsidRPr="00CE23AE">
        <w:rPr>
          <w:rFonts w:cs="Helvetica"/>
          <w:sz w:val="18"/>
          <w:szCs w:val="18"/>
          <w:lang w:val="en-US"/>
        </w:rPr>
        <w:t>. […]</w:t>
      </w:r>
      <w:r w:rsidR="00AF631C" w:rsidRPr="00CE23AE">
        <w:rPr>
          <w:rFonts w:cs="Helvetica"/>
          <w:sz w:val="18"/>
          <w:szCs w:val="18"/>
          <w:lang w:val="en-US"/>
        </w:rPr>
        <w:t xml:space="preserve"> </w:t>
      </w:r>
    </w:p>
    <w:p w14:paraId="3B34765C" w14:textId="77777777" w:rsidR="00F22AD0" w:rsidRPr="00CE23AE" w:rsidRDefault="00F22AD0" w:rsidP="00AF631C">
      <w:pPr>
        <w:autoSpaceDE w:val="0"/>
        <w:autoSpaceDN w:val="0"/>
        <w:ind w:left="567" w:right="720"/>
        <w:rPr>
          <w:rFonts w:cs="Helvetica"/>
          <w:sz w:val="18"/>
          <w:szCs w:val="18"/>
          <w:lang w:val="en-US"/>
        </w:rPr>
      </w:pPr>
    </w:p>
    <w:p w14:paraId="783E2DF2" w14:textId="26650F28" w:rsidR="000B5CC5" w:rsidRPr="00CE23AE" w:rsidRDefault="00501E56" w:rsidP="00AF631C">
      <w:pPr>
        <w:autoSpaceDE w:val="0"/>
        <w:autoSpaceDN w:val="0"/>
        <w:ind w:left="567" w:right="720"/>
        <w:rPr>
          <w:rFonts w:cs="Helvetica"/>
          <w:sz w:val="18"/>
          <w:szCs w:val="18"/>
          <w:lang w:val="en-US"/>
        </w:rPr>
      </w:pPr>
      <w:r w:rsidRPr="00CE23AE">
        <w:rPr>
          <w:rFonts w:cs="Helvetica"/>
          <w:sz w:val="18"/>
          <w:szCs w:val="18"/>
          <w:lang w:val="en-US"/>
        </w:rPr>
        <w:t>If the degree of participation in the said acts of the member of the Armed Forces has not been fully proved, the competen</w:t>
      </w:r>
      <w:r w:rsidR="004D62D0" w:rsidRPr="00CE23AE">
        <w:rPr>
          <w:rFonts w:cs="Helvetica"/>
          <w:sz w:val="18"/>
          <w:szCs w:val="18"/>
          <w:lang w:val="en-US"/>
        </w:rPr>
        <w:t>t</w:t>
      </w:r>
      <w:r w:rsidRPr="00CE23AE">
        <w:rPr>
          <w:rFonts w:cs="Helvetica"/>
          <w:sz w:val="18"/>
          <w:szCs w:val="18"/>
          <w:lang w:val="en-US"/>
        </w:rPr>
        <w:t xml:space="preserve"> authorities shall order the processing of a</w:t>
      </w:r>
      <w:r w:rsidR="004D62D0" w:rsidRPr="00CE23AE">
        <w:rPr>
          <w:rFonts w:cs="Helvetica"/>
          <w:sz w:val="18"/>
          <w:szCs w:val="18"/>
          <w:lang w:val="en-US"/>
        </w:rPr>
        <w:t xml:space="preserve"> </w:t>
      </w:r>
      <w:r w:rsidR="00A06577" w:rsidRPr="00CE23AE">
        <w:rPr>
          <w:rFonts w:cs="Helvetica"/>
          <w:sz w:val="18"/>
          <w:szCs w:val="18"/>
          <w:lang w:val="en-US"/>
        </w:rPr>
        <w:t>summary inquiry</w:t>
      </w:r>
      <w:r w:rsidR="00404433" w:rsidRPr="00CE23AE">
        <w:rPr>
          <w:rFonts w:cs="Helvetica"/>
          <w:sz w:val="18"/>
          <w:szCs w:val="18"/>
          <w:lang w:val="en-US"/>
        </w:rPr>
        <w:t>.</w:t>
      </w:r>
      <w:r w:rsidR="000B5CC5" w:rsidRPr="00CE23AE">
        <w:rPr>
          <w:rStyle w:val="Refdenotaalpie"/>
          <w:sz w:val="18"/>
          <w:szCs w:val="18"/>
          <w:lang w:val="en-US"/>
        </w:rPr>
        <w:footnoteReference w:id="68"/>
      </w:r>
      <w:r w:rsidR="000B5CC5" w:rsidRPr="00CE23AE">
        <w:rPr>
          <w:rFonts w:cs="Helvetica"/>
          <w:sz w:val="18"/>
          <w:szCs w:val="18"/>
          <w:lang w:val="en-US"/>
        </w:rPr>
        <w:t xml:space="preserve"> </w:t>
      </w:r>
    </w:p>
    <w:p w14:paraId="040D8E18" w14:textId="77777777" w:rsidR="00F61206" w:rsidRPr="00CE23AE" w:rsidRDefault="00F61206" w:rsidP="00C51E3C">
      <w:pPr>
        <w:pStyle w:val="Prrafodelista"/>
        <w:widowControl/>
        <w:tabs>
          <w:tab w:val="left" w:pos="709"/>
        </w:tabs>
        <w:suppressAutoHyphens/>
        <w:adjustRightInd/>
        <w:spacing w:line="240" w:lineRule="auto"/>
        <w:ind w:left="0"/>
        <w:contextualSpacing/>
        <w:textAlignment w:val="auto"/>
        <w:rPr>
          <w:szCs w:val="20"/>
          <w:lang w:val="en-US"/>
        </w:rPr>
      </w:pPr>
    </w:p>
    <w:p w14:paraId="1710DB01" w14:textId="60EE8A19" w:rsidR="00C51E3C" w:rsidRPr="00CE23AE" w:rsidRDefault="00A06577" w:rsidP="009F36A1">
      <w:pPr>
        <w:pStyle w:val="Ttulo2"/>
        <w:numPr>
          <w:ilvl w:val="0"/>
          <w:numId w:val="2"/>
        </w:numPr>
        <w:rPr>
          <w:lang w:val="en-US"/>
        </w:rPr>
      </w:pPr>
      <w:bookmarkStart w:id="213" w:name="_Toc46388365"/>
      <w:r w:rsidRPr="00CE23AE">
        <w:rPr>
          <w:lang w:val="en-US"/>
        </w:rPr>
        <w:t>Summary inquiry</w:t>
      </w:r>
      <w:r w:rsidR="004D62D0" w:rsidRPr="00CE23AE">
        <w:rPr>
          <w:lang w:val="en-US"/>
        </w:rPr>
        <w:t xml:space="preserve"> d</w:t>
      </w:r>
      <w:r w:rsidR="00404433" w:rsidRPr="00CE23AE">
        <w:rPr>
          <w:lang w:val="en-US"/>
        </w:rPr>
        <w:t>isciplinary procedure</w:t>
      </w:r>
      <w:bookmarkEnd w:id="213"/>
    </w:p>
    <w:p w14:paraId="7CAE763F" w14:textId="77777777" w:rsidR="009A62E6" w:rsidRPr="00CE23AE" w:rsidRDefault="009A62E6" w:rsidP="009A62E6">
      <w:pPr>
        <w:pStyle w:val="PrrafodeSentencia"/>
        <w:numPr>
          <w:ilvl w:val="0"/>
          <w:numId w:val="0"/>
        </w:numPr>
        <w:rPr>
          <w:lang w:val="en-US"/>
        </w:rPr>
      </w:pPr>
      <w:bookmarkStart w:id="214" w:name="_Ref447296128"/>
    </w:p>
    <w:p w14:paraId="4BFB5AA1" w14:textId="15DC6B6C" w:rsidR="0054620E" w:rsidRPr="00CE23AE" w:rsidRDefault="00237306" w:rsidP="0054620E">
      <w:pPr>
        <w:pStyle w:val="Ttulo3"/>
        <w:rPr>
          <w:lang w:val="en-US"/>
        </w:rPr>
      </w:pPr>
      <w:bookmarkStart w:id="215" w:name="_Toc370134027"/>
      <w:bookmarkStart w:id="216" w:name="_Toc453874327"/>
      <w:bookmarkStart w:id="217" w:name="_Toc454891488"/>
      <w:bookmarkStart w:id="218" w:name="_Toc457840592"/>
      <w:bookmarkStart w:id="219" w:name="_Toc460398533"/>
      <w:bookmarkStart w:id="220" w:name="_Toc464474979"/>
      <w:bookmarkStart w:id="221" w:name="_Toc46388366"/>
      <w:r w:rsidRPr="00CE23AE">
        <w:rPr>
          <w:lang w:val="en-US"/>
        </w:rPr>
        <w:t>C</w:t>
      </w:r>
      <w:r w:rsidR="0054620E" w:rsidRPr="00CE23AE">
        <w:rPr>
          <w:lang w:val="en-US"/>
        </w:rPr>
        <w:t xml:space="preserve">.1 </w:t>
      </w:r>
      <w:bookmarkEnd w:id="215"/>
      <w:r w:rsidR="00404433" w:rsidRPr="00CE23AE">
        <w:rPr>
          <w:lang w:val="en-US"/>
        </w:rPr>
        <w:t xml:space="preserve">The </w:t>
      </w:r>
      <w:r w:rsidR="00A06577" w:rsidRPr="00CE23AE">
        <w:rPr>
          <w:lang w:val="en-US"/>
        </w:rPr>
        <w:t>summary inquiry</w:t>
      </w:r>
      <w:r w:rsidR="00404433" w:rsidRPr="00CE23AE">
        <w:rPr>
          <w:lang w:val="en-US"/>
        </w:rPr>
        <w:t xml:space="preserve"> procedure</w:t>
      </w:r>
      <w:r w:rsidR="00C561DF" w:rsidRPr="00CE23AE">
        <w:rPr>
          <w:lang w:val="en-US"/>
        </w:rPr>
        <w:t xml:space="preserve"> and </w:t>
      </w:r>
      <w:r w:rsidR="00501E56" w:rsidRPr="00CE23AE">
        <w:rPr>
          <w:lang w:val="en-US"/>
        </w:rPr>
        <w:t>the organs that intervene in its processing</w:t>
      </w:r>
      <w:bookmarkEnd w:id="216"/>
      <w:bookmarkEnd w:id="217"/>
      <w:bookmarkEnd w:id="218"/>
      <w:bookmarkEnd w:id="219"/>
      <w:bookmarkEnd w:id="220"/>
      <w:bookmarkEnd w:id="221"/>
    </w:p>
    <w:p w14:paraId="04D0A331" w14:textId="77777777" w:rsidR="0054620E" w:rsidRPr="00CE23AE" w:rsidRDefault="0054620E" w:rsidP="00093EE4">
      <w:pPr>
        <w:rPr>
          <w:lang w:val="en-US"/>
        </w:rPr>
      </w:pPr>
      <w:r w:rsidRPr="00CE23AE">
        <w:rPr>
          <w:lang w:val="en-US"/>
        </w:rPr>
        <w:t xml:space="preserve"> </w:t>
      </w:r>
    </w:p>
    <w:p w14:paraId="5A3E3435" w14:textId="15DB7413" w:rsidR="00C33874" w:rsidRPr="00CE23AE" w:rsidRDefault="00A06577" w:rsidP="00501E56">
      <w:pPr>
        <w:widowControl/>
        <w:numPr>
          <w:ilvl w:val="0"/>
          <w:numId w:val="6"/>
        </w:numPr>
        <w:tabs>
          <w:tab w:val="left" w:pos="567"/>
        </w:tabs>
        <w:suppressAutoHyphens/>
        <w:adjustRightInd/>
        <w:spacing w:line="240" w:lineRule="auto"/>
        <w:textAlignment w:val="auto"/>
        <w:rPr>
          <w:szCs w:val="20"/>
          <w:lang w:val="en-US"/>
        </w:rPr>
      </w:pPr>
      <w:bookmarkStart w:id="222" w:name="_Ref454892399"/>
      <w:r w:rsidRPr="00CE23AE">
        <w:rPr>
          <w:szCs w:val="20"/>
          <w:lang w:val="en-US"/>
        </w:rPr>
        <w:t>In keeping with</w:t>
      </w:r>
      <w:r w:rsidR="00501E56" w:rsidRPr="00CE23AE">
        <w:rPr>
          <w:szCs w:val="20"/>
          <w:lang w:val="en-US"/>
        </w:rPr>
        <w:t xml:space="preserve"> the above-mentioned Military Discipline Regulations, offenses</w:t>
      </w:r>
      <w:r w:rsidR="00EA0AA6" w:rsidRPr="00CE23AE">
        <w:rPr>
          <w:szCs w:val="20"/>
          <w:lang w:val="en-US"/>
        </w:rPr>
        <w:t xml:space="preserve"> with criminal intent</w:t>
      </w:r>
      <w:r w:rsidR="00501E56" w:rsidRPr="00CE23AE">
        <w:rPr>
          <w:szCs w:val="20"/>
          <w:lang w:val="en-US"/>
        </w:rPr>
        <w:t xml:space="preserve"> were sanctioned by Disciplinary Board</w:t>
      </w:r>
      <w:r w:rsidRPr="00CE23AE">
        <w:rPr>
          <w:szCs w:val="20"/>
          <w:lang w:val="en-US"/>
        </w:rPr>
        <w:t>s</w:t>
      </w:r>
      <w:r w:rsidR="00501E56" w:rsidRPr="00CE23AE">
        <w:rPr>
          <w:szCs w:val="20"/>
          <w:lang w:val="en-US"/>
        </w:rPr>
        <w:t xml:space="preserve"> or by </w:t>
      </w:r>
      <w:r w:rsidRPr="00CE23AE">
        <w:rPr>
          <w:szCs w:val="20"/>
          <w:lang w:val="en-US"/>
        </w:rPr>
        <w:t>summary inquiries</w:t>
      </w:r>
      <w:r w:rsidR="00501E56" w:rsidRPr="00CE23AE">
        <w:rPr>
          <w:szCs w:val="20"/>
          <w:lang w:val="en-US"/>
        </w:rPr>
        <w:t xml:space="preserve">. These </w:t>
      </w:r>
      <w:r w:rsidRPr="00CE23AE">
        <w:rPr>
          <w:szCs w:val="20"/>
          <w:lang w:val="en-US"/>
        </w:rPr>
        <w:t>r</w:t>
      </w:r>
      <w:r w:rsidR="00501E56" w:rsidRPr="00CE23AE">
        <w:rPr>
          <w:szCs w:val="20"/>
          <w:lang w:val="en-US"/>
        </w:rPr>
        <w:t>egulations also established that when an officer became aware of the perpetration of an offense</w:t>
      </w:r>
      <w:r w:rsidR="00EA0AA6" w:rsidRPr="00CE23AE">
        <w:rPr>
          <w:szCs w:val="20"/>
          <w:lang w:val="en-US"/>
        </w:rPr>
        <w:t xml:space="preserve"> with criminal intent</w:t>
      </w:r>
      <w:r w:rsidR="00501E56" w:rsidRPr="00CE23AE">
        <w:rPr>
          <w:szCs w:val="20"/>
          <w:lang w:val="en-US"/>
        </w:rPr>
        <w:t xml:space="preserve">, he should take his report to the Commander of the unit to which the offender belonged, so that the </w:t>
      </w:r>
      <w:r w:rsidRPr="00CE23AE">
        <w:rPr>
          <w:szCs w:val="20"/>
          <w:lang w:val="en-US"/>
        </w:rPr>
        <w:t>Commande</w:t>
      </w:r>
      <w:r w:rsidR="00501E56" w:rsidRPr="00CE23AE">
        <w:rPr>
          <w:szCs w:val="20"/>
          <w:lang w:val="en-US"/>
        </w:rPr>
        <w:t>r could order the immediate creation of a Disciplinary Board. However, “based on the nature of the offense, th</w:t>
      </w:r>
      <w:r w:rsidRPr="00CE23AE">
        <w:rPr>
          <w:szCs w:val="20"/>
          <w:lang w:val="en-US"/>
        </w:rPr>
        <w:t>e</w:t>
      </w:r>
      <w:r w:rsidR="00501E56" w:rsidRPr="00CE23AE">
        <w:rPr>
          <w:szCs w:val="20"/>
          <w:lang w:val="en-US"/>
        </w:rPr>
        <w:t xml:space="preserve"> Commander could request, through the respective channels, that the investigating </w:t>
      </w:r>
      <w:r w:rsidR="00DE5BDA" w:rsidRPr="00CE23AE">
        <w:rPr>
          <w:szCs w:val="20"/>
          <w:lang w:val="en-US"/>
        </w:rPr>
        <w:t xml:space="preserve">judge of the jurisdictional region </w:t>
      </w:r>
      <w:r w:rsidRPr="00CE23AE">
        <w:rPr>
          <w:szCs w:val="20"/>
          <w:lang w:val="en-US"/>
        </w:rPr>
        <w:t>open</w:t>
      </w:r>
      <w:r w:rsidR="00DE5BDA" w:rsidRPr="00CE23AE">
        <w:rPr>
          <w:szCs w:val="20"/>
          <w:lang w:val="en-US"/>
        </w:rPr>
        <w:t xml:space="preserve"> the corresponding </w:t>
      </w:r>
      <w:r w:rsidRPr="00CE23AE">
        <w:rPr>
          <w:szCs w:val="20"/>
          <w:lang w:val="en-US"/>
        </w:rPr>
        <w:t>summary inquiry</w:t>
      </w:r>
      <w:r w:rsidR="00DE5BDA" w:rsidRPr="00CE23AE">
        <w:rPr>
          <w:bCs/>
          <w:szCs w:val="20"/>
          <w:lang w:val="en-US"/>
        </w:rPr>
        <w:t>.</w:t>
      </w:r>
      <w:r w:rsidR="00C33874" w:rsidRPr="00CE23AE">
        <w:rPr>
          <w:bCs/>
          <w:szCs w:val="20"/>
          <w:lang w:val="en-US"/>
        </w:rPr>
        <w:t>”</w:t>
      </w:r>
      <w:r w:rsidR="00C33874" w:rsidRPr="00CE23AE">
        <w:rPr>
          <w:rStyle w:val="Refdenotaalpie"/>
          <w:bCs/>
          <w:szCs w:val="20"/>
          <w:lang w:val="en-US"/>
        </w:rPr>
        <w:footnoteReference w:id="69"/>
      </w:r>
      <w:r w:rsidR="00DE5BDA" w:rsidRPr="00CE23AE">
        <w:rPr>
          <w:bCs/>
          <w:szCs w:val="20"/>
          <w:lang w:val="en-US"/>
        </w:rPr>
        <w:t xml:space="preserve"> </w:t>
      </w:r>
      <w:r w:rsidR="00DE5BDA" w:rsidRPr="00CE23AE">
        <w:rPr>
          <w:szCs w:val="20"/>
          <w:lang w:val="en-US"/>
        </w:rPr>
        <w:t>The</w:t>
      </w:r>
      <w:r w:rsidR="00C33874" w:rsidRPr="00CE23AE">
        <w:rPr>
          <w:szCs w:val="20"/>
          <w:lang w:val="en-US"/>
        </w:rPr>
        <w:t xml:space="preserve"> </w:t>
      </w:r>
      <w:r w:rsidRPr="00CE23AE">
        <w:rPr>
          <w:szCs w:val="20"/>
          <w:lang w:val="en-US"/>
        </w:rPr>
        <w:t>summary inquiry</w:t>
      </w:r>
      <w:r w:rsidR="00404433" w:rsidRPr="00CE23AE">
        <w:rPr>
          <w:szCs w:val="20"/>
          <w:lang w:val="en-US"/>
        </w:rPr>
        <w:t xml:space="preserve"> </w:t>
      </w:r>
      <w:r w:rsidR="00DE5BDA" w:rsidRPr="00CE23AE">
        <w:rPr>
          <w:szCs w:val="20"/>
          <w:lang w:val="en-US"/>
        </w:rPr>
        <w:t>is an administrative procedure regulated by</w:t>
      </w:r>
      <w:r w:rsidR="00C33874" w:rsidRPr="00CE23AE">
        <w:rPr>
          <w:szCs w:val="20"/>
          <w:lang w:val="en-US"/>
        </w:rPr>
        <w:t xml:space="preserve"> </w:t>
      </w:r>
      <w:r w:rsidR="00C561DF" w:rsidRPr="00CE23AE">
        <w:rPr>
          <w:szCs w:val="20"/>
          <w:lang w:val="en-US"/>
        </w:rPr>
        <w:t xml:space="preserve">the </w:t>
      </w:r>
      <w:r w:rsidR="009C5D46" w:rsidRPr="00CE23AE">
        <w:rPr>
          <w:szCs w:val="20"/>
          <w:lang w:val="en-US"/>
        </w:rPr>
        <w:t xml:space="preserve">Regulations for Processing </w:t>
      </w:r>
      <w:r w:rsidRPr="00CE23AE">
        <w:rPr>
          <w:szCs w:val="20"/>
          <w:lang w:val="en-US"/>
        </w:rPr>
        <w:t>Summary Inquiries</w:t>
      </w:r>
      <w:r w:rsidR="00404433" w:rsidRPr="00CE23AE">
        <w:rPr>
          <w:szCs w:val="20"/>
          <w:lang w:val="en-US"/>
        </w:rPr>
        <w:t xml:space="preserve"> </w:t>
      </w:r>
      <w:r w:rsidR="00DE5BDA" w:rsidRPr="00CE23AE">
        <w:rPr>
          <w:szCs w:val="20"/>
          <w:lang w:val="en-US"/>
        </w:rPr>
        <w:t>i</w:t>
      </w:r>
      <w:r w:rsidR="00C33874" w:rsidRPr="00CE23AE">
        <w:rPr>
          <w:szCs w:val="20"/>
          <w:lang w:val="en-US"/>
        </w:rPr>
        <w:t xml:space="preserve">n </w:t>
      </w:r>
      <w:r w:rsidR="009C5D46" w:rsidRPr="00CE23AE">
        <w:rPr>
          <w:szCs w:val="20"/>
          <w:lang w:val="en-US"/>
        </w:rPr>
        <w:t>the Armed Forces</w:t>
      </w:r>
      <w:r w:rsidR="00DE5BDA" w:rsidRPr="00CE23AE">
        <w:rPr>
          <w:szCs w:val="20"/>
          <w:lang w:val="en-US"/>
        </w:rPr>
        <w:t>.</w:t>
      </w:r>
      <w:r w:rsidR="00C33874" w:rsidRPr="00CE23AE">
        <w:rPr>
          <w:rStyle w:val="Refdenotaalpie"/>
          <w:lang w:val="en-US"/>
        </w:rPr>
        <w:footnoteReference w:id="70"/>
      </w:r>
      <w:r w:rsidR="00C33874" w:rsidRPr="00CE23AE">
        <w:rPr>
          <w:szCs w:val="20"/>
          <w:lang w:val="en-US"/>
        </w:rPr>
        <w:t xml:space="preserve"> </w:t>
      </w:r>
      <w:r w:rsidR="00C561DF" w:rsidRPr="00CE23AE">
        <w:rPr>
          <w:szCs w:val="20"/>
          <w:lang w:val="en-US"/>
        </w:rPr>
        <w:t>Article</w:t>
      </w:r>
      <w:r w:rsidR="00C33874" w:rsidRPr="00CE23AE">
        <w:rPr>
          <w:szCs w:val="20"/>
          <w:lang w:val="en-US"/>
        </w:rPr>
        <w:t xml:space="preserve"> 2 </w:t>
      </w:r>
      <w:r w:rsidR="00DE5BDA" w:rsidRPr="00CE23AE">
        <w:rPr>
          <w:szCs w:val="20"/>
          <w:lang w:val="en-US"/>
        </w:rPr>
        <w:t>of these Regulations indicates that</w:t>
      </w:r>
      <w:r w:rsidR="00C33874" w:rsidRPr="00CE23AE">
        <w:rPr>
          <w:szCs w:val="20"/>
          <w:lang w:val="en-US"/>
        </w:rPr>
        <w:t>:</w:t>
      </w:r>
      <w:bookmarkEnd w:id="222"/>
      <w:r w:rsidR="00C33874" w:rsidRPr="00CE23AE">
        <w:rPr>
          <w:szCs w:val="20"/>
          <w:lang w:val="en-US"/>
        </w:rPr>
        <w:t xml:space="preserve"> </w:t>
      </w:r>
    </w:p>
    <w:p w14:paraId="1F65B683" w14:textId="77777777" w:rsidR="00C33874" w:rsidRPr="00CE23AE" w:rsidRDefault="00C33874" w:rsidP="00C33874">
      <w:pPr>
        <w:rPr>
          <w:szCs w:val="20"/>
          <w:lang w:val="en-US"/>
        </w:rPr>
      </w:pPr>
    </w:p>
    <w:p w14:paraId="1C179097" w14:textId="3CE80A66" w:rsidR="00C33874" w:rsidRPr="00CE23AE" w:rsidRDefault="00C33874" w:rsidP="00DE5BDA">
      <w:pPr>
        <w:ind w:left="567" w:right="720"/>
        <w:rPr>
          <w:sz w:val="18"/>
          <w:szCs w:val="18"/>
          <w:lang w:val="en-US"/>
        </w:rPr>
      </w:pPr>
      <w:r w:rsidRPr="00CE23AE">
        <w:rPr>
          <w:b/>
          <w:bCs/>
          <w:sz w:val="18"/>
          <w:szCs w:val="18"/>
          <w:lang w:val="en-US"/>
        </w:rPr>
        <w:t>Art. 2.</w:t>
      </w:r>
      <w:r w:rsidR="00DE5BDA" w:rsidRPr="00CE23AE">
        <w:rPr>
          <w:b/>
          <w:bCs/>
          <w:sz w:val="18"/>
          <w:szCs w:val="18"/>
          <w:lang w:val="en-US"/>
        </w:rPr>
        <w:t xml:space="preserve"> </w:t>
      </w:r>
      <w:r w:rsidRPr="00CE23AE">
        <w:rPr>
          <w:b/>
          <w:bCs/>
          <w:sz w:val="18"/>
          <w:szCs w:val="18"/>
          <w:lang w:val="en-US"/>
        </w:rPr>
        <w:t>P</w:t>
      </w:r>
      <w:r w:rsidR="00DE5BDA" w:rsidRPr="00CE23AE">
        <w:rPr>
          <w:b/>
          <w:bCs/>
          <w:sz w:val="18"/>
          <w:szCs w:val="18"/>
          <w:lang w:val="en-US"/>
        </w:rPr>
        <w:t>urpose of the</w:t>
      </w:r>
      <w:r w:rsidR="00404433" w:rsidRPr="00CE23AE">
        <w:rPr>
          <w:b/>
          <w:bCs/>
          <w:sz w:val="18"/>
          <w:szCs w:val="18"/>
          <w:lang w:val="en-US"/>
        </w:rPr>
        <w:t xml:space="preserve"> </w:t>
      </w:r>
      <w:r w:rsidR="004D62D0" w:rsidRPr="00CE23AE">
        <w:rPr>
          <w:b/>
          <w:bCs/>
          <w:sz w:val="18"/>
          <w:szCs w:val="18"/>
          <w:lang w:val="en-US"/>
        </w:rPr>
        <w:t xml:space="preserve">summary </w:t>
      </w:r>
      <w:r w:rsidR="00A06577" w:rsidRPr="00CE23AE">
        <w:rPr>
          <w:b/>
          <w:bCs/>
          <w:sz w:val="18"/>
          <w:szCs w:val="18"/>
          <w:lang w:val="en-US"/>
        </w:rPr>
        <w:t>inquiry</w:t>
      </w:r>
      <w:r w:rsidRPr="00CE23AE">
        <w:rPr>
          <w:b/>
          <w:bCs/>
          <w:sz w:val="18"/>
          <w:szCs w:val="18"/>
          <w:lang w:val="en-US"/>
        </w:rPr>
        <w:t xml:space="preserve">. </w:t>
      </w:r>
      <w:r w:rsidR="00404433" w:rsidRPr="00CE23AE">
        <w:rPr>
          <w:sz w:val="18"/>
          <w:szCs w:val="18"/>
          <w:lang w:val="en-US"/>
        </w:rPr>
        <w:t xml:space="preserve">The </w:t>
      </w:r>
      <w:r w:rsidR="00A06577" w:rsidRPr="00CE23AE">
        <w:rPr>
          <w:rFonts w:eastAsiaTheme="minorHAnsi" w:cs="TimesNewRomanPSMT"/>
          <w:sz w:val="18"/>
          <w:szCs w:val="18"/>
          <w:lang w:val="en-US" w:eastAsia="en-US"/>
        </w:rPr>
        <w:t>summary inquiry</w:t>
      </w:r>
      <w:r w:rsidRPr="00CE23AE">
        <w:rPr>
          <w:sz w:val="18"/>
          <w:szCs w:val="18"/>
          <w:lang w:val="en-US"/>
        </w:rPr>
        <w:t xml:space="preserve"> </w:t>
      </w:r>
      <w:r w:rsidR="00DE5BDA" w:rsidRPr="00CE23AE">
        <w:rPr>
          <w:sz w:val="18"/>
          <w:szCs w:val="18"/>
          <w:lang w:val="en-US"/>
        </w:rPr>
        <w:t xml:space="preserve">is an administrative procedure to establish the truth about an act and to determine its legal consequences, to establish </w:t>
      </w:r>
      <w:r w:rsidR="002268A2" w:rsidRPr="00CE23AE">
        <w:rPr>
          <w:sz w:val="18"/>
          <w:szCs w:val="18"/>
          <w:lang w:val="en-US"/>
        </w:rPr>
        <w:t xml:space="preserve">either </w:t>
      </w:r>
      <w:r w:rsidR="00DE5BDA" w:rsidRPr="00CE23AE">
        <w:rPr>
          <w:sz w:val="18"/>
          <w:szCs w:val="18"/>
          <w:lang w:val="en-US"/>
        </w:rPr>
        <w:t xml:space="preserve">the circumstances and responsibilities of an incident, loss or </w:t>
      </w:r>
      <w:r w:rsidR="00EA0AA6" w:rsidRPr="00CE23AE">
        <w:rPr>
          <w:sz w:val="18"/>
          <w:szCs w:val="18"/>
          <w:lang w:val="en-US"/>
        </w:rPr>
        <w:t>disposal</w:t>
      </w:r>
      <w:r w:rsidR="00DE5BDA" w:rsidRPr="00CE23AE">
        <w:rPr>
          <w:sz w:val="18"/>
          <w:szCs w:val="18"/>
          <w:lang w:val="en-US"/>
        </w:rPr>
        <w:t xml:space="preserve"> of State property, disciplinary or professional conduct of Armed Forces personnel or, in general, to justify facts that </w:t>
      </w:r>
      <w:r w:rsidR="002268A2" w:rsidRPr="00CE23AE">
        <w:rPr>
          <w:sz w:val="18"/>
          <w:szCs w:val="18"/>
          <w:lang w:val="en-US"/>
        </w:rPr>
        <w:t>affect</w:t>
      </w:r>
      <w:r w:rsidR="00DE5BDA" w:rsidRPr="00CE23AE">
        <w:rPr>
          <w:sz w:val="18"/>
          <w:szCs w:val="18"/>
          <w:lang w:val="en-US"/>
        </w:rPr>
        <w:t xml:space="preserve"> the Armed Forces. The </w:t>
      </w:r>
      <w:r w:rsidR="002268A2" w:rsidRPr="00CE23AE">
        <w:rPr>
          <w:sz w:val="18"/>
          <w:szCs w:val="18"/>
          <w:lang w:val="en-US"/>
        </w:rPr>
        <w:t>facts shall be substantiated using</w:t>
      </w:r>
      <w:r w:rsidR="00DE5BDA" w:rsidRPr="00CE23AE">
        <w:rPr>
          <w:sz w:val="18"/>
          <w:szCs w:val="18"/>
          <w:lang w:val="en-US"/>
        </w:rPr>
        <w:t xml:space="preserve"> the evidentiary measures established by law.”</w:t>
      </w:r>
      <w:r w:rsidRPr="00CE23AE">
        <w:rPr>
          <w:rStyle w:val="Refdenotaalpie"/>
          <w:sz w:val="18"/>
          <w:szCs w:val="18"/>
          <w:lang w:val="en-US"/>
        </w:rPr>
        <w:footnoteReference w:id="71"/>
      </w:r>
    </w:p>
    <w:p w14:paraId="4F12B1E5" w14:textId="77777777" w:rsidR="00C33874" w:rsidRPr="00CE23AE" w:rsidRDefault="00C33874" w:rsidP="00C33874">
      <w:pPr>
        <w:ind w:left="720" w:right="720"/>
        <w:rPr>
          <w:sz w:val="16"/>
          <w:szCs w:val="16"/>
          <w:lang w:val="en-US"/>
        </w:rPr>
      </w:pPr>
    </w:p>
    <w:p w14:paraId="1B3F6B25" w14:textId="553859ED" w:rsidR="00C33874" w:rsidRPr="00CE23AE" w:rsidRDefault="008306CA" w:rsidP="00C33874">
      <w:pPr>
        <w:pStyle w:val="PrrafodeSentencia"/>
        <w:rPr>
          <w:lang w:val="en-US"/>
        </w:rPr>
      </w:pPr>
      <w:bookmarkStart w:id="223" w:name="_Ref451447531"/>
      <w:r w:rsidRPr="00CE23AE">
        <w:rPr>
          <w:lang w:val="en-US"/>
        </w:rPr>
        <w:t>According to the</w:t>
      </w:r>
      <w:r w:rsidR="00C33874" w:rsidRPr="00CE23AE">
        <w:rPr>
          <w:lang w:val="en-US"/>
        </w:rPr>
        <w:t xml:space="preserve"> </w:t>
      </w:r>
      <w:r w:rsidRPr="00CE23AE">
        <w:rPr>
          <w:lang w:val="en-US"/>
        </w:rPr>
        <w:t xml:space="preserve">Organic Law of the </w:t>
      </w:r>
      <w:r w:rsidR="009C630C" w:rsidRPr="00CE23AE">
        <w:rPr>
          <w:lang w:val="en-US"/>
        </w:rPr>
        <w:t>Armed Forces Justice Service</w:t>
      </w:r>
      <w:r w:rsidR="00C33874" w:rsidRPr="00CE23AE">
        <w:rPr>
          <w:lang w:val="en-US"/>
        </w:rPr>
        <w:t xml:space="preserve">, </w:t>
      </w:r>
      <w:r w:rsidRPr="00CE23AE">
        <w:rPr>
          <w:lang w:val="en-US"/>
        </w:rPr>
        <w:t xml:space="preserve">the </w:t>
      </w:r>
      <w:r w:rsidR="002268A2" w:rsidRPr="00CE23AE">
        <w:rPr>
          <w:lang w:val="en-US"/>
        </w:rPr>
        <w:t xml:space="preserve">military investigating judges </w:t>
      </w:r>
      <w:r w:rsidRPr="00CE23AE">
        <w:rPr>
          <w:lang w:val="en-US"/>
        </w:rPr>
        <w:t xml:space="preserve">are responsible for processing the </w:t>
      </w:r>
      <w:r w:rsidR="002268A2" w:rsidRPr="00CE23AE">
        <w:rPr>
          <w:lang w:val="en-US"/>
        </w:rPr>
        <w:t>summary</w:t>
      </w:r>
      <w:r w:rsidR="00EA0AA6" w:rsidRPr="00CE23AE">
        <w:rPr>
          <w:lang w:val="en-US"/>
        </w:rPr>
        <w:t xml:space="preserve"> inquiries</w:t>
      </w:r>
      <w:r w:rsidR="00C33874" w:rsidRPr="00CE23AE">
        <w:rPr>
          <w:lang w:val="en-US"/>
        </w:rPr>
        <w:t xml:space="preserve"> </w:t>
      </w:r>
      <w:r w:rsidRPr="00CE23AE">
        <w:rPr>
          <w:lang w:val="en-US"/>
        </w:rPr>
        <w:t>entrusted to them by the Commander of the Zone corresponding to their jurisdiction.</w:t>
      </w:r>
      <w:r w:rsidR="00C33874" w:rsidRPr="00CE23AE">
        <w:rPr>
          <w:rStyle w:val="Refdenotaalpie"/>
          <w:lang w:val="en-US"/>
        </w:rPr>
        <w:footnoteReference w:id="72"/>
      </w:r>
      <w:r w:rsidRPr="00CE23AE">
        <w:rPr>
          <w:lang w:val="en-US"/>
        </w:rPr>
        <w:t xml:space="preserve"> However, “</w:t>
      </w:r>
      <w:r w:rsidR="002268A2" w:rsidRPr="00CE23AE">
        <w:rPr>
          <w:lang w:val="en-US"/>
        </w:rPr>
        <w:t>under</w:t>
      </w:r>
      <w:r w:rsidRPr="00CE23AE">
        <w:rPr>
          <w:lang w:val="en-US"/>
        </w:rPr>
        <w:t xml:space="preserve"> the chain of command, the administrative </w:t>
      </w:r>
      <w:r w:rsidR="00EA0AA6" w:rsidRPr="00CE23AE">
        <w:rPr>
          <w:lang w:val="en-US"/>
        </w:rPr>
        <w:t>decision-maker</w:t>
      </w:r>
      <w:r w:rsidR="002268A2" w:rsidRPr="00CE23AE">
        <w:rPr>
          <w:lang w:val="en-US"/>
        </w:rPr>
        <w:t xml:space="preserve"> is </w:t>
      </w:r>
      <w:r w:rsidRPr="00CE23AE">
        <w:rPr>
          <w:lang w:val="en-US"/>
        </w:rPr>
        <w:t xml:space="preserve">the </w:t>
      </w:r>
      <w:r w:rsidR="002268A2" w:rsidRPr="00CE23AE">
        <w:rPr>
          <w:lang w:val="en-US"/>
        </w:rPr>
        <w:t xml:space="preserve">Zone or Brigade </w:t>
      </w:r>
      <w:r w:rsidRPr="00CE23AE">
        <w:rPr>
          <w:lang w:val="en-US"/>
        </w:rPr>
        <w:t>Commander</w:t>
      </w:r>
      <w:r w:rsidR="002268A2" w:rsidRPr="00CE23AE">
        <w:rPr>
          <w:lang w:val="en-US"/>
        </w:rPr>
        <w:t>s</w:t>
      </w:r>
      <w:r w:rsidRPr="00CE23AE">
        <w:rPr>
          <w:lang w:val="en-US"/>
        </w:rPr>
        <w:t xml:space="preserve"> of the respective jurisdiction,</w:t>
      </w:r>
      <w:r w:rsidR="00C33874" w:rsidRPr="00CE23AE">
        <w:rPr>
          <w:lang w:val="en-US"/>
        </w:rPr>
        <w:t>”</w:t>
      </w:r>
      <w:r w:rsidR="00C33874" w:rsidRPr="00CE23AE">
        <w:rPr>
          <w:rStyle w:val="Refdenotaalpie"/>
          <w:lang w:val="en-US"/>
        </w:rPr>
        <w:footnoteReference w:id="73"/>
      </w:r>
      <w:bookmarkEnd w:id="223"/>
      <w:r w:rsidRPr="00CE23AE">
        <w:rPr>
          <w:lang w:val="en-US"/>
        </w:rPr>
        <w:t xml:space="preserve"> who will be known as “judges</w:t>
      </w:r>
      <w:r w:rsidR="002268A2" w:rsidRPr="00CE23AE">
        <w:rPr>
          <w:lang w:val="en-US"/>
        </w:rPr>
        <w:t xml:space="preserve"> of law”</w:t>
      </w:r>
      <w:r w:rsidRPr="00CE23AE">
        <w:rPr>
          <w:lang w:val="en-US"/>
        </w:rPr>
        <w:t xml:space="preserve"> in the context of the proceeding.</w:t>
      </w:r>
    </w:p>
    <w:p w14:paraId="6AFE32D2" w14:textId="77777777" w:rsidR="00C33874" w:rsidRPr="00CE23AE" w:rsidRDefault="00C33874" w:rsidP="00C33874">
      <w:pPr>
        <w:pStyle w:val="PrrafodeSentencia"/>
        <w:numPr>
          <w:ilvl w:val="0"/>
          <w:numId w:val="0"/>
        </w:numPr>
        <w:rPr>
          <w:lang w:val="en-US"/>
        </w:rPr>
      </w:pPr>
    </w:p>
    <w:p w14:paraId="34F08DF6" w14:textId="29E4D6BC" w:rsidR="00C33874" w:rsidRPr="00CE23AE" w:rsidRDefault="00960707" w:rsidP="00960707">
      <w:pPr>
        <w:pStyle w:val="PrrafodeSentencia"/>
        <w:rPr>
          <w:lang w:val="en-US"/>
        </w:rPr>
      </w:pPr>
      <w:bookmarkStart w:id="224" w:name="_Ref454892482"/>
      <w:r w:rsidRPr="00CE23AE">
        <w:rPr>
          <w:lang w:val="en-US"/>
        </w:rPr>
        <w:lastRenderedPageBreak/>
        <w:t>The</w:t>
      </w:r>
      <w:r w:rsidR="00C33874" w:rsidRPr="00CE23AE">
        <w:rPr>
          <w:lang w:val="en-US"/>
        </w:rPr>
        <w:t xml:space="preserve"> </w:t>
      </w:r>
      <w:r w:rsidR="00A06577" w:rsidRPr="00CE23AE">
        <w:rPr>
          <w:lang w:val="en-US"/>
        </w:rPr>
        <w:t>summary inquiry</w:t>
      </w:r>
      <w:r w:rsidR="00C33874" w:rsidRPr="00CE23AE">
        <w:rPr>
          <w:lang w:val="en-US"/>
        </w:rPr>
        <w:t xml:space="preserve"> </w:t>
      </w:r>
      <w:r w:rsidRPr="00CE23AE">
        <w:rPr>
          <w:lang w:val="en-US"/>
        </w:rPr>
        <w:t xml:space="preserve">procedure commences with an initial order, which can be preceded by, </w:t>
      </w:r>
      <w:r w:rsidRPr="00CE23AE">
        <w:rPr>
          <w:i/>
          <w:iCs/>
          <w:lang w:val="en-US"/>
        </w:rPr>
        <w:t>inter alia</w:t>
      </w:r>
      <w:r w:rsidRPr="00CE23AE">
        <w:rPr>
          <w:lang w:val="en-US"/>
        </w:rPr>
        <w:t xml:space="preserve">, a </w:t>
      </w:r>
      <w:r w:rsidR="008B76F3" w:rsidRPr="00CE23AE">
        <w:rPr>
          <w:lang w:val="en-US"/>
        </w:rPr>
        <w:t>memorandum</w:t>
      </w:r>
      <w:r w:rsidR="00C33874" w:rsidRPr="00CE23AE">
        <w:rPr>
          <w:lang w:val="en-US"/>
        </w:rPr>
        <w:t xml:space="preserve"> </w:t>
      </w:r>
      <w:r w:rsidRPr="00CE23AE">
        <w:rPr>
          <w:lang w:val="en-US"/>
        </w:rPr>
        <w:t>from a superior military authority requesting the opening of the investigation.</w:t>
      </w:r>
      <w:r w:rsidR="00C33874" w:rsidRPr="00CE23AE">
        <w:rPr>
          <w:rStyle w:val="Refdenotaalpie"/>
          <w:lang w:val="en-US"/>
        </w:rPr>
        <w:footnoteReference w:id="74"/>
      </w:r>
      <w:r w:rsidRPr="00CE23AE">
        <w:rPr>
          <w:lang w:val="en-US"/>
        </w:rPr>
        <w:t xml:space="preserve"> There are three stages to the procedure: </w:t>
      </w:r>
      <w:r w:rsidR="00C33874" w:rsidRPr="00CE23AE">
        <w:rPr>
          <w:lang w:val="en-US"/>
        </w:rPr>
        <w:t>(i) investigati</w:t>
      </w:r>
      <w:r w:rsidRPr="00CE23AE">
        <w:rPr>
          <w:lang w:val="en-US"/>
        </w:rPr>
        <w:t>on</w:t>
      </w:r>
      <w:r w:rsidR="00C33874" w:rsidRPr="00CE23AE">
        <w:rPr>
          <w:lang w:val="en-US"/>
        </w:rPr>
        <w:t>, (ii) intermedia</w:t>
      </w:r>
      <w:r w:rsidRPr="00CE23AE">
        <w:rPr>
          <w:lang w:val="en-US"/>
        </w:rPr>
        <w:t>ry,</w:t>
      </w:r>
      <w:r w:rsidR="00C561DF" w:rsidRPr="00CE23AE">
        <w:rPr>
          <w:lang w:val="en-US"/>
        </w:rPr>
        <w:t xml:space="preserve"> and </w:t>
      </w:r>
      <w:r w:rsidR="00C33874" w:rsidRPr="00CE23AE">
        <w:rPr>
          <w:lang w:val="en-US"/>
        </w:rPr>
        <w:t xml:space="preserve">(iii) </w:t>
      </w:r>
      <w:r w:rsidRPr="00CE23AE">
        <w:rPr>
          <w:lang w:val="en-US"/>
        </w:rPr>
        <w:t>decision.</w:t>
      </w:r>
      <w:r w:rsidR="00C33874" w:rsidRPr="00CE23AE">
        <w:rPr>
          <w:rStyle w:val="Refdenotaalpie"/>
          <w:lang w:val="en-US"/>
        </w:rPr>
        <w:footnoteReference w:id="75"/>
      </w:r>
      <w:r w:rsidRPr="00CE23AE">
        <w:rPr>
          <w:lang w:val="en-US"/>
        </w:rPr>
        <w:t xml:space="preserve"> The purpose of the investigation stage is to </w:t>
      </w:r>
      <w:r w:rsidR="00B82B7B" w:rsidRPr="00CE23AE">
        <w:rPr>
          <w:lang w:val="en-US"/>
        </w:rPr>
        <w:t>take</w:t>
      </w:r>
      <w:r w:rsidRPr="00CE23AE">
        <w:rPr>
          <w:lang w:val="en-US"/>
        </w:rPr>
        <w:t xml:space="preserve"> “the </w:t>
      </w:r>
      <w:r w:rsidR="00B82B7B" w:rsidRPr="00CE23AE">
        <w:rPr>
          <w:lang w:val="en-US"/>
        </w:rPr>
        <w:t xml:space="preserve">necessary </w:t>
      </w:r>
      <w:r w:rsidRPr="00CE23AE">
        <w:rPr>
          <w:lang w:val="en-US"/>
        </w:rPr>
        <w:t xml:space="preserve">procedural actions to prove the material fact of the </w:t>
      </w:r>
      <w:r w:rsidR="00A06577" w:rsidRPr="00CE23AE">
        <w:rPr>
          <w:lang w:val="en-US"/>
        </w:rPr>
        <w:t>summary inquiry</w:t>
      </w:r>
      <w:r w:rsidR="00EA0AA6" w:rsidRPr="00CE23AE">
        <w:rPr>
          <w:lang w:val="en-US"/>
        </w:rPr>
        <w:t xml:space="preserve"> </w:t>
      </w:r>
      <w:r w:rsidRPr="00CE23AE">
        <w:rPr>
          <w:lang w:val="en-US"/>
        </w:rPr>
        <w:t>and also […] to establish the circumstances and the disciplinary, economic or administrative responsibilities.</w:t>
      </w:r>
      <w:r w:rsidR="00C33874" w:rsidRPr="00CE23AE">
        <w:rPr>
          <w:lang w:val="en-US"/>
        </w:rPr>
        <w:t>”</w:t>
      </w:r>
      <w:r w:rsidR="00C33874" w:rsidRPr="00CE23AE">
        <w:rPr>
          <w:rStyle w:val="Refdenotaalpie"/>
          <w:lang w:val="en-US"/>
        </w:rPr>
        <w:footnoteReference w:id="76"/>
      </w:r>
      <w:r w:rsidRPr="00CE23AE">
        <w:rPr>
          <w:lang w:val="en-US"/>
        </w:rPr>
        <w:t xml:space="preserve"> The investigation stage concludes when the evidence has been gathered, and when the investigating judge declares the file closed and orders the prosecutor to issue an opinion.</w:t>
      </w:r>
      <w:r w:rsidR="00C33874" w:rsidRPr="00CE23AE">
        <w:rPr>
          <w:rStyle w:val="Refdenotaalpie"/>
          <w:lang w:val="en-US"/>
        </w:rPr>
        <w:footnoteReference w:id="77"/>
      </w:r>
      <w:bookmarkEnd w:id="224"/>
      <w:r w:rsidR="00C33874" w:rsidRPr="00CE23AE">
        <w:rPr>
          <w:lang w:val="en-US"/>
        </w:rPr>
        <w:t xml:space="preserve"> </w:t>
      </w:r>
    </w:p>
    <w:p w14:paraId="0B82F0F6" w14:textId="77777777" w:rsidR="00C33874" w:rsidRPr="00CE23AE" w:rsidRDefault="00C33874" w:rsidP="00C33874">
      <w:pPr>
        <w:pStyle w:val="PrrafodeSentencia"/>
        <w:numPr>
          <w:ilvl w:val="0"/>
          <w:numId w:val="0"/>
        </w:numPr>
        <w:rPr>
          <w:lang w:val="en-US"/>
        </w:rPr>
      </w:pPr>
    </w:p>
    <w:p w14:paraId="3962B1A2" w14:textId="13644899" w:rsidR="00C33874" w:rsidRPr="00CE23AE" w:rsidRDefault="00960707" w:rsidP="00960707">
      <w:pPr>
        <w:pStyle w:val="PrrafodeSentencia"/>
        <w:rPr>
          <w:lang w:val="en-US"/>
        </w:rPr>
      </w:pPr>
      <w:r w:rsidRPr="00CE23AE">
        <w:rPr>
          <w:lang w:val="en-US"/>
        </w:rPr>
        <w:t xml:space="preserve">At the intermediary stage, the prosecutor issues his opinion, in which he should resume all the actions taken in the case file, describe the competence and </w:t>
      </w:r>
      <w:r w:rsidR="00B82B7B" w:rsidRPr="00CE23AE">
        <w:rPr>
          <w:lang w:val="en-US"/>
        </w:rPr>
        <w:t xml:space="preserve">the </w:t>
      </w:r>
      <w:r w:rsidRPr="00CE23AE">
        <w:rPr>
          <w:lang w:val="en-US"/>
        </w:rPr>
        <w:t>validity of the actions taken by the military judges, analyze the proven facts and the norms that were applicable, and specify the consequences and recommendations, among which he must state “clearly whether charges should be brought and the reasons for this.</w:t>
      </w:r>
      <w:r w:rsidR="00C33874" w:rsidRPr="00CE23AE">
        <w:rPr>
          <w:lang w:val="en-US"/>
        </w:rPr>
        <w:t>”</w:t>
      </w:r>
      <w:r w:rsidR="00C33874" w:rsidRPr="00CE23AE">
        <w:rPr>
          <w:rStyle w:val="Refdenotaalpie"/>
          <w:lang w:val="en-US"/>
        </w:rPr>
        <w:footnoteReference w:id="78"/>
      </w:r>
      <w:r w:rsidRPr="00CE23AE">
        <w:rPr>
          <w:lang w:val="en-US"/>
        </w:rPr>
        <w:t xml:space="preserve"> When the opinion has been issued, the investigating judge will prepare a draft decision and will refer to proceedings to the Zone Commander in order to continue the process. This ends the intermediary stage and the decision stage begins.</w:t>
      </w:r>
      <w:r w:rsidR="00C33874" w:rsidRPr="00CE23AE">
        <w:rPr>
          <w:rStyle w:val="Refdenotaalpie"/>
          <w:lang w:val="en-US"/>
        </w:rPr>
        <w:footnoteReference w:id="79"/>
      </w:r>
      <w:r w:rsidR="00C33874" w:rsidRPr="00CE23AE">
        <w:rPr>
          <w:lang w:val="en-US"/>
        </w:rPr>
        <w:t xml:space="preserve"> </w:t>
      </w:r>
    </w:p>
    <w:p w14:paraId="1A456A65" w14:textId="77777777" w:rsidR="00C33874" w:rsidRPr="00CE23AE" w:rsidRDefault="00C33874" w:rsidP="00C33874">
      <w:pPr>
        <w:pStyle w:val="PrrafodeSentencia"/>
        <w:numPr>
          <w:ilvl w:val="0"/>
          <w:numId w:val="0"/>
        </w:numPr>
        <w:rPr>
          <w:lang w:val="en-US"/>
        </w:rPr>
      </w:pPr>
    </w:p>
    <w:p w14:paraId="740F76A9" w14:textId="3B70F941" w:rsidR="00C33874" w:rsidRPr="00CE23AE" w:rsidRDefault="006E519D" w:rsidP="006E519D">
      <w:pPr>
        <w:pStyle w:val="PrrafodeSentencia"/>
        <w:rPr>
          <w:lang w:val="en-US"/>
        </w:rPr>
      </w:pPr>
      <w:bookmarkStart w:id="225" w:name="_Ref454892534"/>
      <w:r w:rsidRPr="00CE23AE">
        <w:rPr>
          <w:lang w:val="en-US"/>
        </w:rPr>
        <w:t>At the decision stage, the Zone Commander, acting as</w:t>
      </w:r>
      <w:r w:rsidR="00B51865" w:rsidRPr="00CE23AE">
        <w:rPr>
          <w:lang w:val="en-US"/>
        </w:rPr>
        <w:t xml:space="preserve"> “</w:t>
      </w:r>
      <w:r w:rsidR="00A055CE" w:rsidRPr="00CE23AE">
        <w:rPr>
          <w:lang w:val="en-US"/>
        </w:rPr>
        <w:t>Judge of Law</w:t>
      </w:r>
      <w:r w:rsidR="00B51865" w:rsidRPr="00CE23AE">
        <w:rPr>
          <w:lang w:val="en-US"/>
        </w:rPr>
        <w:t>”</w:t>
      </w:r>
      <w:r w:rsidRPr="00CE23AE">
        <w:rPr>
          <w:lang w:val="en-US"/>
        </w:rPr>
        <w:t xml:space="preserve"> assumes the hearing of the proceeding. The </w:t>
      </w:r>
      <w:r w:rsidR="00522A39" w:rsidRPr="00CE23AE">
        <w:rPr>
          <w:lang w:val="en-US"/>
        </w:rPr>
        <w:t>Zone</w:t>
      </w:r>
      <w:r w:rsidRPr="00CE23AE">
        <w:rPr>
          <w:lang w:val="en-US"/>
        </w:rPr>
        <w:t xml:space="preserve"> Commander is not bound by the draft decision prepared by the military investigating judge, but it appears </w:t>
      </w:r>
      <w:r w:rsidR="00B82B7B" w:rsidRPr="00CE23AE">
        <w:rPr>
          <w:lang w:val="en-US"/>
        </w:rPr>
        <w:t>i</w:t>
      </w:r>
      <w:r w:rsidRPr="00CE23AE">
        <w:rPr>
          <w:lang w:val="en-US"/>
        </w:rPr>
        <w:t>n the case file and, if appropriate, the Commander must explain the reasons why he diverged from the draft.</w:t>
      </w:r>
      <w:r w:rsidR="00C33874" w:rsidRPr="00CE23AE">
        <w:rPr>
          <w:rStyle w:val="Refdenotaalpie"/>
          <w:lang w:val="en-US"/>
        </w:rPr>
        <w:footnoteReference w:id="80"/>
      </w:r>
      <w:r w:rsidR="00C33874" w:rsidRPr="00CE23AE">
        <w:rPr>
          <w:lang w:val="en-US"/>
        </w:rPr>
        <w:t xml:space="preserve"> </w:t>
      </w:r>
      <w:r w:rsidRPr="00CE23AE">
        <w:rPr>
          <w:lang w:val="en-US"/>
        </w:rPr>
        <w:t>The decision</w:t>
      </w:r>
      <w:r w:rsidR="008B76F3" w:rsidRPr="00CE23AE">
        <w:rPr>
          <w:lang w:val="en-US"/>
        </w:rPr>
        <w:t xml:space="preserve"> of the</w:t>
      </w:r>
      <w:r w:rsidRPr="00CE23AE">
        <w:rPr>
          <w:lang w:val="en-US"/>
        </w:rPr>
        <w:t xml:space="preserve"> Zone</w:t>
      </w:r>
      <w:r w:rsidR="008B76F3" w:rsidRPr="00CE23AE">
        <w:rPr>
          <w:lang w:val="en-US"/>
        </w:rPr>
        <w:t xml:space="preserve"> Commander</w:t>
      </w:r>
      <w:r w:rsidR="00C33874" w:rsidRPr="00CE23AE">
        <w:rPr>
          <w:lang w:val="en-US"/>
        </w:rPr>
        <w:t xml:space="preserve"> “</w:t>
      </w:r>
      <w:r w:rsidRPr="00CE23AE">
        <w:rPr>
          <w:lang w:val="en-US"/>
        </w:rPr>
        <w:t xml:space="preserve">must be reasoned and will conclude by establishing how the facts that were investigated occurred and the context; the ruling on whether the </w:t>
      </w:r>
      <w:r w:rsidR="00B82B7B" w:rsidRPr="00CE23AE">
        <w:rPr>
          <w:lang w:val="en-US"/>
        </w:rPr>
        <w:t>individuals involved should be</w:t>
      </w:r>
      <w:r w:rsidRPr="00CE23AE">
        <w:rPr>
          <w:lang w:val="en-US"/>
        </w:rPr>
        <w:t xml:space="preserve"> discharged, whether responsibilities are involved, the legal and regulatory provisions on which </w:t>
      </w:r>
      <w:r w:rsidR="00B82B7B" w:rsidRPr="00CE23AE">
        <w:rPr>
          <w:lang w:val="en-US"/>
        </w:rPr>
        <w:t>these are</w:t>
      </w:r>
      <w:r w:rsidRPr="00CE23AE">
        <w:rPr>
          <w:lang w:val="en-US"/>
        </w:rPr>
        <w:t xml:space="preserve"> founded and, in general, the de</w:t>
      </w:r>
      <w:r w:rsidR="00B82B7B" w:rsidRPr="00CE23AE">
        <w:rPr>
          <w:lang w:val="en-US"/>
        </w:rPr>
        <w:t xml:space="preserve">cision </w:t>
      </w:r>
      <w:r w:rsidRPr="00CE23AE">
        <w:rPr>
          <w:lang w:val="en-US"/>
        </w:rPr>
        <w:t>required in the interests of justice, according to the subject</w:t>
      </w:r>
      <w:r w:rsidR="00B82B7B" w:rsidRPr="00CE23AE">
        <w:rPr>
          <w:lang w:val="en-US"/>
        </w:rPr>
        <w:t>-matter</w:t>
      </w:r>
      <w:r w:rsidRPr="00CE23AE">
        <w:rPr>
          <w:lang w:val="en-US"/>
        </w:rPr>
        <w:t xml:space="preserve"> of the investigation.</w:t>
      </w:r>
      <w:r w:rsidR="00C33874" w:rsidRPr="00CE23AE">
        <w:rPr>
          <w:lang w:val="en-US"/>
        </w:rPr>
        <w:t>”</w:t>
      </w:r>
      <w:r w:rsidR="00C33874" w:rsidRPr="00CE23AE">
        <w:rPr>
          <w:rStyle w:val="Refdenotaalpie"/>
          <w:lang w:val="en-US"/>
        </w:rPr>
        <w:footnoteReference w:id="81"/>
      </w:r>
      <w:r w:rsidR="00C33874" w:rsidRPr="00CE23AE">
        <w:rPr>
          <w:lang w:val="en-US"/>
        </w:rPr>
        <w:t xml:space="preserve"> </w:t>
      </w:r>
      <w:r w:rsidRPr="00CE23AE">
        <w:rPr>
          <w:lang w:val="en-US"/>
        </w:rPr>
        <w:t>The decisi</w:t>
      </w:r>
      <w:r w:rsidR="005E4CE5" w:rsidRPr="00CE23AE">
        <w:rPr>
          <w:lang w:val="en-US"/>
        </w:rPr>
        <w:t>o</w:t>
      </w:r>
      <w:r w:rsidRPr="00CE23AE">
        <w:rPr>
          <w:lang w:val="en-US"/>
        </w:rPr>
        <w:t>n</w:t>
      </w:r>
      <w:r w:rsidR="00B82B7B" w:rsidRPr="00CE23AE">
        <w:rPr>
          <w:lang w:val="en-US"/>
        </w:rPr>
        <w:t>s</w:t>
      </w:r>
      <w:r w:rsidRPr="00CE23AE">
        <w:rPr>
          <w:lang w:val="en-US"/>
        </w:rPr>
        <w:t xml:space="preserve"> issued by the Zone Commanders that contain</w:t>
      </w:r>
      <w:r w:rsidR="00B82B7B" w:rsidRPr="00CE23AE">
        <w:rPr>
          <w:lang w:val="en-US"/>
        </w:rPr>
        <w:t xml:space="preserve"> recommendations to</w:t>
      </w:r>
      <w:r w:rsidRPr="00CE23AE">
        <w:rPr>
          <w:lang w:val="en-US"/>
        </w:rPr>
        <w:t xml:space="preserve"> discharge</w:t>
      </w:r>
      <w:r w:rsidR="005E4CE5" w:rsidRPr="00CE23AE">
        <w:rPr>
          <w:lang w:val="en-US"/>
        </w:rPr>
        <w:t>,</w:t>
      </w:r>
      <w:r w:rsidR="00B82B7B" w:rsidRPr="00CE23AE">
        <w:rPr>
          <w:lang w:val="en-US"/>
        </w:rPr>
        <w:t xml:space="preserve"> place on paid leave</w:t>
      </w:r>
      <w:r w:rsidR="005E4CE5" w:rsidRPr="00CE23AE">
        <w:rPr>
          <w:lang w:val="en-US"/>
        </w:rPr>
        <w:t>, or dismiss</w:t>
      </w:r>
      <w:r w:rsidR="00B82B7B" w:rsidRPr="00CE23AE">
        <w:rPr>
          <w:lang w:val="en-US"/>
        </w:rPr>
        <w:t xml:space="preserve"> the individuals involved</w:t>
      </w:r>
      <w:r w:rsidRPr="00CE23AE">
        <w:rPr>
          <w:lang w:val="en-US"/>
        </w:rPr>
        <w:t>, must be examined by the respective Board and may be appealed.</w:t>
      </w:r>
      <w:r w:rsidR="00C33874" w:rsidRPr="00CE23AE">
        <w:rPr>
          <w:rStyle w:val="Refdenotaalpie"/>
          <w:lang w:val="en-US"/>
        </w:rPr>
        <w:footnoteReference w:id="82"/>
      </w:r>
      <w:bookmarkEnd w:id="225"/>
      <w:r w:rsidR="00C33874" w:rsidRPr="00CE23AE">
        <w:rPr>
          <w:lang w:val="en-US"/>
        </w:rPr>
        <w:t xml:space="preserve"> </w:t>
      </w:r>
    </w:p>
    <w:p w14:paraId="104826A9" w14:textId="77777777" w:rsidR="00C33874" w:rsidRPr="00CE23AE" w:rsidRDefault="00C33874" w:rsidP="00C33874">
      <w:pPr>
        <w:pStyle w:val="PrrafodeSentencia"/>
        <w:numPr>
          <w:ilvl w:val="0"/>
          <w:numId w:val="0"/>
        </w:numPr>
        <w:rPr>
          <w:lang w:val="en-US"/>
        </w:rPr>
      </w:pPr>
    </w:p>
    <w:p w14:paraId="15F4BECF" w14:textId="3851D008" w:rsidR="00B12C8D" w:rsidRPr="00CE23AE" w:rsidRDefault="00847B25" w:rsidP="00C33874">
      <w:pPr>
        <w:pStyle w:val="PrrafodeSentencia"/>
        <w:rPr>
          <w:lang w:val="en-US"/>
        </w:rPr>
      </w:pPr>
      <w:bookmarkStart w:id="226" w:name="_Ref453869567"/>
      <w:r w:rsidRPr="00CE23AE">
        <w:rPr>
          <w:lang w:val="en-US"/>
        </w:rPr>
        <w:t>According to</w:t>
      </w:r>
      <w:r w:rsidR="00C33874" w:rsidRPr="00CE23AE">
        <w:rPr>
          <w:lang w:val="en-US"/>
        </w:rPr>
        <w:t xml:space="preserve"> </w:t>
      </w:r>
      <w:r w:rsidR="00C561DF" w:rsidRPr="00CE23AE">
        <w:rPr>
          <w:lang w:val="en-US"/>
        </w:rPr>
        <w:t>Articles</w:t>
      </w:r>
      <w:r w:rsidR="00C33874" w:rsidRPr="00CE23AE">
        <w:rPr>
          <w:lang w:val="en-US"/>
        </w:rPr>
        <w:t xml:space="preserve"> 76</w:t>
      </w:r>
      <w:r w:rsidRPr="00CE23AE">
        <w:rPr>
          <w:lang w:val="en-US"/>
        </w:rPr>
        <w:t>(</w:t>
      </w:r>
      <w:r w:rsidR="00C33874" w:rsidRPr="00CE23AE">
        <w:rPr>
          <w:lang w:val="en-US"/>
        </w:rPr>
        <w:t>i</w:t>
      </w:r>
      <w:r w:rsidRPr="00CE23AE">
        <w:rPr>
          <w:lang w:val="en-US"/>
        </w:rPr>
        <w:t>)</w:t>
      </w:r>
      <w:r w:rsidR="00C561DF" w:rsidRPr="00CE23AE">
        <w:rPr>
          <w:lang w:val="en-US"/>
        </w:rPr>
        <w:t xml:space="preserve"> and </w:t>
      </w:r>
      <w:r w:rsidR="00C33874" w:rsidRPr="00CE23AE">
        <w:rPr>
          <w:lang w:val="en-US"/>
        </w:rPr>
        <w:t>87</w:t>
      </w:r>
      <w:r w:rsidRPr="00CE23AE">
        <w:rPr>
          <w:lang w:val="en-US"/>
        </w:rPr>
        <w:t>(</w:t>
      </w:r>
      <w:r w:rsidR="00C33874" w:rsidRPr="00CE23AE">
        <w:rPr>
          <w:lang w:val="en-US"/>
        </w:rPr>
        <w:t>i</w:t>
      </w:r>
      <w:r w:rsidRPr="00CE23AE">
        <w:rPr>
          <w:lang w:val="en-US"/>
        </w:rPr>
        <w:t>)</w:t>
      </w:r>
      <w:r w:rsidR="008B76F3" w:rsidRPr="00CE23AE">
        <w:rPr>
          <w:lang w:val="en-US"/>
        </w:rPr>
        <w:t xml:space="preserve"> of the Law on Armed Forces Personnel</w:t>
      </w:r>
      <w:r w:rsidRPr="00CE23AE">
        <w:rPr>
          <w:lang w:val="en-US"/>
        </w:rPr>
        <w:t>, a soldier can be placed</w:t>
      </w:r>
      <w:r w:rsidR="00C33874" w:rsidRPr="00CE23AE">
        <w:rPr>
          <w:lang w:val="en-US"/>
        </w:rPr>
        <w:t xml:space="preserve"> </w:t>
      </w:r>
      <w:r w:rsidR="00B82B7B" w:rsidRPr="00CE23AE">
        <w:rPr>
          <w:lang w:val="en-US"/>
        </w:rPr>
        <w:t xml:space="preserve">on paid leave </w:t>
      </w:r>
      <w:r w:rsidR="00EA0AA6" w:rsidRPr="00CE23AE">
        <w:rPr>
          <w:lang w:val="en-US"/>
        </w:rPr>
        <w:t>or discharged</w:t>
      </w:r>
      <w:r w:rsidR="00C33874" w:rsidRPr="00CE23AE">
        <w:rPr>
          <w:rStyle w:val="Refdenotaalpie"/>
          <w:lang w:val="en-US"/>
        </w:rPr>
        <w:footnoteReference w:id="83"/>
      </w:r>
      <w:r w:rsidR="00C33874" w:rsidRPr="00CE23AE">
        <w:rPr>
          <w:lang w:val="en-US"/>
        </w:rPr>
        <w:t xml:space="preserve"> </w:t>
      </w:r>
      <w:r w:rsidRPr="00CE23AE">
        <w:rPr>
          <w:lang w:val="en-US"/>
        </w:rPr>
        <w:t xml:space="preserve">for misconduct. This misconduct must be determined as such </w:t>
      </w:r>
      <w:r w:rsidRPr="00CE23AE">
        <w:rPr>
          <w:lang w:val="en-US"/>
        </w:rPr>
        <w:lastRenderedPageBreak/>
        <w:t>by the respective Board.</w:t>
      </w:r>
      <w:r w:rsidR="00C33874" w:rsidRPr="00CE23AE">
        <w:rPr>
          <w:rStyle w:val="Refdenotaalpie"/>
          <w:lang w:val="en-US"/>
        </w:rPr>
        <w:footnoteReference w:id="84"/>
      </w:r>
      <w:r w:rsidRPr="00CE23AE">
        <w:rPr>
          <w:lang w:val="en-US"/>
        </w:rPr>
        <w:t xml:space="preserve"> Therefore, when the Zone</w:t>
      </w:r>
      <w:r w:rsidR="00C33874" w:rsidRPr="00CE23AE">
        <w:rPr>
          <w:lang w:val="en-US"/>
        </w:rPr>
        <w:t xml:space="preserve"> </w:t>
      </w:r>
      <w:r w:rsidR="008B76F3" w:rsidRPr="00CE23AE">
        <w:rPr>
          <w:lang w:val="en-US"/>
        </w:rPr>
        <w:t>Commander</w:t>
      </w:r>
      <w:r w:rsidR="00C33874" w:rsidRPr="00CE23AE">
        <w:rPr>
          <w:lang w:val="en-US"/>
        </w:rPr>
        <w:t xml:space="preserve"> </w:t>
      </w:r>
      <w:r w:rsidRPr="00CE23AE">
        <w:rPr>
          <w:lang w:val="en-US"/>
        </w:rPr>
        <w:t>decides to request the</w:t>
      </w:r>
      <w:r w:rsidR="00EA0AA6" w:rsidRPr="00CE23AE">
        <w:rPr>
          <w:lang w:val="en-US"/>
        </w:rPr>
        <w:t xml:space="preserve"> discharge or</w:t>
      </w:r>
      <w:r w:rsidRPr="00CE23AE">
        <w:rPr>
          <w:lang w:val="en-US"/>
        </w:rPr>
        <w:t xml:space="preserve"> </w:t>
      </w:r>
      <w:r w:rsidR="00B82B7B" w:rsidRPr="00CE23AE">
        <w:rPr>
          <w:lang w:val="en-US"/>
        </w:rPr>
        <w:t>placing on paid leave</w:t>
      </w:r>
      <w:r w:rsidR="00C33874" w:rsidRPr="00CE23AE">
        <w:rPr>
          <w:lang w:val="en-US"/>
        </w:rPr>
        <w:t xml:space="preserve"> </w:t>
      </w:r>
      <w:r w:rsidRPr="00CE23AE">
        <w:rPr>
          <w:lang w:val="en-US"/>
        </w:rPr>
        <w:t>of a lieutenant,</w:t>
      </w:r>
      <w:r w:rsidR="00C33874" w:rsidRPr="00CE23AE">
        <w:rPr>
          <w:rStyle w:val="Refdenotaalpie"/>
          <w:lang w:val="en-US"/>
        </w:rPr>
        <w:footnoteReference w:id="85"/>
      </w:r>
      <w:r w:rsidRPr="00CE23AE">
        <w:rPr>
          <w:lang w:val="en-US"/>
        </w:rPr>
        <w:t xml:space="preserve"> as in the case </w:t>
      </w:r>
      <w:r w:rsidR="00000AE1" w:rsidRPr="00CE23AE">
        <w:rPr>
          <w:lang w:val="en-US"/>
        </w:rPr>
        <w:t>of Mr.</w:t>
      </w:r>
      <w:r w:rsidR="00F5102B" w:rsidRPr="00CE23AE">
        <w:rPr>
          <w:lang w:val="en-US"/>
        </w:rPr>
        <w:t xml:space="preserve"> Flor</w:t>
      </w:r>
      <w:r w:rsidR="00C33874" w:rsidRPr="00CE23AE">
        <w:rPr>
          <w:lang w:val="en-US"/>
        </w:rPr>
        <w:t xml:space="preserve"> Freire (</w:t>
      </w:r>
      <w:r w:rsidR="00C33874" w:rsidRPr="00CE23AE">
        <w:rPr>
          <w:i/>
          <w:lang w:val="en-US"/>
        </w:rPr>
        <w:t>infra</w:t>
      </w:r>
      <w:r w:rsidR="00C33874" w:rsidRPr="00CE23AE">
        <w:rPr>
          <w:lang w:val="en-US"/>
        </w:rPr>
        <w:t xml:space="preserve"> </w:t>
      </w:r>
      <w:r w:rsidR="005C743F" w:rsidRPr="00CE23AE">
        <w:rPr>
          <w:lang w:val="en-US"/>
        </w:rPr>
        <w:t>para.</w:t>
      </w:r>
      <w:r w:rsidR="00C33874" w:rsidRPr="00CE23AE">
        <w:rPr>
          <w:lang w:val="en-US"/>
        </w:rPr>
        <w:t xml:space="preserve"> </w:t>
      </w:r>
      <w:r w:rsidR="00C33874" w:rsidRPr="00CE23AE">
        <w:rPr>
          <w:lang w:val="en-US"/>
        </w:rPr>
        <w:fldChar w:fldCharType="begin"/>
      </w:r>
      <w:r w:rsidR="00C33874" w:rsidRPr="00CE23AE">
        <w:rPr>
          <w:lang w:val="en-US"/>
        </w:rPr>
        <w:instrText xml:space="preserve"> REF _Ref453869088 \r \h </w:instrText>
      </w:r>
      <w:r w:rsidR="00647CB2" w:rsidRPr="00CE23AE">
        <w:rPr>
          <w:lang w:val="en-US"/>
        </w:rPr>
        <w:instrText xml:space="preserve"> \* MERGEFORMAT </w:instrText>
      </w:r>
      <w:r w:rsidR="00C33874" w:rsidRPr="00CE23AE">
        <w:rPr>
          <w:lang w:val="en-US"/>
        </w:rPr>
      </w:r>
      <w:r w:rsidR="00C33874" w:rsidRPr="00CE23AE">
        <w:rPr>
          <w:lang w:val="en-US"/>
        </w:rPr>
        <w:fldChar w:fldCharType="separate"/>
      </w:r>
      <w:r w:rsidR="00BC2953" w:rsidRPr="00CE23AE">
        <w:rPr>
          <w:lang w:val="en-US"/>
        </w:rPr>
        <w:t>77</w:t>
      </w:r>
      <w:r w:rsidR="00C33874" w:rsidRPr="00CE23AE">
        <w:rPr>
          <w:lang w:val="en-US"/>
        </w:rPr>
        <w:fldChar w:fldCharType="end"/>
      </w:r>
      <w:r w:rsidR="00C33874" w:rsidRPr="00CE23AE">
        <w:rPr>
          <w:lang w:val="en-US"/>
        </w:rPr>
        <w:t xml:space="preserve">), </w:t>
      </w:r>
      <w:r w:rsidRPr="00CE23AE">
        <w:rPr>
          <w:lang w:val="en-US"/>
        </w:rPr>
        <w:t>the procedure goes to the Junior Officers Board to determine the misconduct</w:t>
      </w:r>
      <w:r w:rsidR="00C33874" w:rsidRPr="00CE23AE">
        <w:rPr>
          <w:lang w:val="en-US"/>
        </w:rPr>
        <w:t xml:space="preserve">. </w:t>
      </w:r>
      <w:r w:rsidRPr="00CE23AE">
        <w:rPr>
          <w:lang w:val="en-US"/>
        </w:rPr>
        <w:t xml:space="preserve">The decision may be subject to review by the same Junior Officers Board and then appealed before </w:t>
      </w:r>
      <w:r w:rsidR="008B76F3" w:rsidRPr="00CE23AE">
        <w:rPr>
          <w:lang w:val="en-US"/>
        </w:rPr>
        <w:t xml:space="preserve">the </w:t>
      </w:r>
      <w:r w:rsidRPr="00CE23AE">
        <w:rPr>
          <w:lang w:val="en-US"/>
        </w:rPr>
        <w:t>Senior Officers Board</w:t>
      </w:r>
      <w:r w:rsidR="00C33874" w:rsidRPr="00CE23AE">
        <w:rPr>
          <w:lang w:val="en-US"/>
        </w:rPr>
        <w:t xml:space="preserve">, </w:t>
      </w:r>
      <w:r w:rsidRPr="00CE23AE">
        <w:rPr>
          <w:lang w:val="en-US"/>
        </w:rPr>
        <w:t xml:space="preserve">and </w:t>
      </w:r>
      <w:r w:rsidR="00B82B7B" w:rsidRPr="00CE23AE">
        <w:rPr>
          <w:lang w:val="en-US"/>
        </w:rPr>
        <w:t xml:space="preserve">its </w:t>
      </w:r>
      <w:r w:rsidRPr="00CE23AE">
        <w:rPr>
          <w:lang w:val="en-US"/>
        </w:rPr>
        <w:t xml:space="preserve">decision ends the disciplinary procedure by which a junior officer is separated from </w:t>
      </w:r>
      <w:r w:rsidR="0005476C" w:rsidRPr="00CE23AE">
        <w:rPr>
          <w:lang w:val="en-US"/>
        </w:rPr>
        <w:t xml:space="preserve">the </w:t>
      </w:r>
      <w:r w:rsidR="009C5D46" w:rsidRPr="00CE23AE">
        <w:rPr>
          <w:lang w:val="en-US"/>
        </w:rPr>
        <w:t>Armed Forces</w:t>
      </w:r>
      <w:r w:rsidRPr="00CE23AE">
        <w:rPr>
          <w:lang w:val="en-US"/>
        </w:rPr>
        <w:t>.</w:t>
      </w:r>
      <w:r w:rsidR="00C33874" w:rsidRPr="00CE23AE">
        <w:rPr>
          <w:rStyle w:val="Refdenotaalpie"/>
          <w:lang w:val="en-US"/>
        </w:rPr>
        <w:footnoteReference w:id="86"/>
      </w:r>
      <w:bookmarkEnd w:id="226"/>
    </w:p>
    <w:p w14:paraId="6948D680" w14:textId="77777777" w:rsidR="00E3476A" w:rsidRPr="00CE23AE" w:rsidRDefault="00E3476A" w:rsidP="009A62E6">
      <w:pPr>
        <w:pStyle w:val="PrrafodeSentencia"/>
        <w:numPr>
          <w:ilvl w:val="0"/>
          <w:numId w:val="0"/>
        </w:numPr>
        <w:rPr>
          <w:lang w:val="en-US"/>
        </w:rPr>
      </w:pPr>
    </w:p>
    <w:p w14:paraId="2A59DB65" w14:textId="1FF10017" w:rsidR="0054620E" w:rsidRPr="00CE23AE" w:rsidRDefault="00237306" w:rsidP="0054620E">
      <w:pPr>
        <w:pStyle w:val="Ttulo3"/>
        <w:rPr>
          <w:lang w:val="en-US"/>
        </w:rPr>
      </w:pPr>
      <w:bookmarkStart w:id="227" w:name="_Toc453874328"/>
      <w:bookmarkStart w:id="228" w:name="_Toc454891489"/>
      <w:bookmarkStart w:id="229" w:name="_Toc457840593"/>
      <w:bookmarkStart w:id="230" w:name="_Toc460398534"/>
      <w:bookmarkStart w:id="231" w:name="_Toc464474980"/>
      <w:bookmarkStart w:id="232" w:name="_Toc46388367"/>
      <w:r w:rsidRPr="00CE23AE">
        <w:rPr>
          <w:lang w:val="en-US"/>
        </w:rPr>
        <w:t>C</w:t>
      </w:r>
      <w:r w:rsidR="0054620E" w:rsidRPr="00CE23AE">
        <w:rPr>
          <w:lang w:val="en-US"/>
        </w:rPr>
        <w:t>.</w:t>
      </w:r>
      <w:r w:rsidR="004A57CC" w:rsidRPr="00CE23AE">
        <w:rPr>
          <w:lang w:val="en-US"/>
        </w:rPr>
        <w:t>2</w:t>
      </w:r>
      <w:r w:rsidR="0054620E" w:rsidRPr="00CE23AE">
        <w:rPr>
          <w:lang w:val="en-US"/>
        </w:rPr>
        <w:t xml:space="preserve"> </w:t>
      </w:r>
      <w:r w:rsidR="005B1C91" w:rsidRPr="00CE23AE">
        <w:rPr>
          <w:lang w:val="en-US"/>
        </w:rPr>
        <w:t>Initiation of the proceedings against</w:t>
      </w:r>
      <w:r w:rsidR="004A57CC" w:rsidRPr="00CE23AE">
        <w:rPr>
          <w:lang w:val="en-US"/>
        </w:rPr>
        <w:t xml:space="preserve"> </w:t>
      </w:r>
      <w:r w:rsidR="00F5102B" w:rsidRPr="00CE23AE">
        <w:rPr>
          <w:lang w:val="en-US"/>
        </w:rPr>
        <w:t>Mr. Flor</w:t>
      </w:r>
      <w:r w:rsidR="004A57CC" w:rsidRPr="00CE23AE">
        <w:rPr>
          <w:lang w:val="en-US"/>
        </w:rPr>
        <w:t xml:space="preserve"> Freire</w:t>
      </w:r>
      <w:bookmarkEnd w:id="227"/>
      <w:bookmarkEnd w:id="228"/>
      <w:bookmarkEnd w:id="229"/>
      <w:bookmarkEnd w:id="230"/>
      <w:bookmarkEnd w:id="231"/>
      <w:bookmarkEnd w:id="232"/>
      <w:r w:rsidR="004A57CC" w:rsidRPr="00CE23AE">
        <w:rPr>
          <w:lang w:val="en-US"/>
        </w:rPr>
        <w:t xml:space="preserve"> </w:t>
      </w:r>
    </w:p>
    <w:p w14:paraId="544284F0" w14:textId="77777777" w:rsidR="00A45D64" w:rsidRPr="00CE23AE" w:rsidRDefault="00A45D64" w:rsidP="00A45D64">
      <w:pPr>
        <w:pStyle w:val="PrrafodeSentencia"/>
        <w:numPr>
          <w:ilvl w:val="0"/>
          <w:numId w:val="0"/>
        </w:numPr>
        <w:rPr>
          <w:lang w:val="en-US"/>
        </w:rPr>
      </w:pPr>
    </w:p>
    <w:p w14:paraId="0B3B96C8" w14:textId="483B8418" w:rsidR="00D45F95" w:rsidRPr="00CE23AE" w:rsidRDefault="005B1C91" w:rsidP="00D45F95">
      <w:pPr>
        <w:widowControl/>
        <w:numPr>
          <w:ilvl w:val="0"/>
          <w:numId w:val="6"/>
        </w:numPr>
        <w:tabs>
          <w:tab w:val="left" w:pos="567"/>
        </w:tabs>
        <w:suppressAutoHyphens/>
        <w:autoSpaceDE w:val="0"/>
        <w:autoSpaceDN w:val="0"/>
        <w:adjustRightInd/>
        <w:spacing w:line="240" w:lineRule="auto"/>
        <w:textAlignment w:val="auto"/>
        <w:rPr>
          <w:rFonts w:eastAsiaTheme="minorHAnsi" w:cs="TimesNewRomanPSMT"/>
          <w:szCs w:val="20"/>
          <w:lang w:val="en-US" w:eastAsia="en-US"/>
        </w:rPr>
      </w:pPr>
      <w:bookmarkStart w:id="233" w:name="_Ref454892669"/>
      <w:bookmarkEnd w:id="214"/>
      <w:r w:rsidRPr="00CE23AE">
        <w:rPr>
          <w:szCs w:val="20"/>
          <w:lang w:val="en-US"/>
        </w:rPr>
        <w:t xml:space="preserve">The day after the events of </w:t>
      </w:r>
      <w:r w:rsidR="00CB4410" w:rsidRPr="00CE23AE">
        <w:rPr>
          <w:szCs w:val="20"/>
          <w:lang w:val="en-US"/>
        </w:rPr>
        <w:t>November 19,</w:t>
      </w:r>
      <w:r w:rsidR="00DD3135" w:rsidRPr="00CE23AE">
        <w:rPr>
          <w:szCs w:val="20"/>
          <w:lang w:val="en-US"/>
        </w:rPr>
        <w:t xml:space="preserve"> 2000 (</w:t>
      </w:r>
      <w:r w:rsidR="00DD3135" w:rsidRPr="00CE23AE">
        <w:rPr>
          <w:i/>
          <w:szCs w:val="20"/>
          <w:lang w:val="en-US"/>
        </w:rPr>
        <w:t>supra</w:t>
      </w:r>
      <w:r w:rsidR="00DD3135" w:rsidRPr="00CE23AE">
        <w:rPr>
          <w:szCs w:val="20"/>
          <w:lang w:val="en-US"/>
        </w:rPr>
        <w:t xml:space="preserve"> </w:t>
      </w:r>
      <w:r w:rsidR="005C743F" w:rsidRPr="00CE23AE">
        <w:rPr>
          <w:szCs w:val="20"/>
          <w:lang w:val="en-US"/>
        </w:rPr>
        <w:t>paras.</w:t>
      </w:r>
      <w:r w:rsidR="00DD3135" w:rsidRPr="00CE23AE">
        <w:rPr>
          <w:szCs w:val="20"/>
          <w:lang w:val="en-US"/>
        </w:rPr>
        <w:t xml:space="preserve"> </w:t>
      </w:r>
      <w:r w:rsidR="00DD3135" w:rsidRPr="00CE23AE">
        <w:rPr>
          <w:szCs w:val="20"/>
          <w:lang w:val="en-US"/>
        </w:rPr>
        <w:fldChar w:fldCharType="begin"/>
      </w:r>
      <w:r w:rsidR="00DD3135" w:rsidRPr="00CE23AE">
        <w:rPr>
          <w:szCs w:val="20"/>
          <w:lang w:val="en-US"/>
        </w:rPr>
        <w:instrText xml:space="preserve"> REF _Ref454892777 \r \h </w:instrText>
      </w:r>
      <w:r w:rsidR="005874A5" w:rsidRPr="00CE23AE">
        <w:rPr>
          <w:szCs w:val="20"/>
          <w:lang w:val="en-US"/>
        </w:rPr>
        <w:instrText xml:space="preserve"> \* MERGEFORMAT </w:instrText>
      </w:r>
      <w:r w:rsidR="00DD3135" w:rsidRPr="00CE23AE">
        <w:rPr>
          <w:szCs w:val="20"/>
          <w:lang w:val="en-US"/>
        </w:rPr>
      </w:r>
      <w:r w:rsidR="00DD3135" w:rsidRPr="00CE23AE">
        <w:rPr>
          <w:szCs w:val="20"/>
          <w:lang w:val="en-US"/>
        </w:rPr>
        <w:fldChar w:fldCharType="separate"/>
      </w:r>
      <w:r w:rsidR="00BC2953" w:rsidRPr="00CE23AE">
        <w:rPr>
          <w:szCs w:val="20"/>
          <w:lang w:val="en-US"/>
        </w:rPr>
        <w:t>56</w:t>
      </w:r>
      <w:r w:rsidR="00DD3135" w:rsidRPr="00CE23AE">
        <w:rPr>
          <w:szCs w:val="20"/>
          <w:lang w:val="en-US"/>
        </w:rPr>
        <w:fldChar w:fldCharType="end"/>
      </w:r>
      <w:r w:rsidR="00C561DF" w:rsidRPr="00CE23AE">
        <w:rPr>
          <w:szCs w:val="20"/>
          <w:lang w:val="en-US"/>
        </w:rPr>
        <w:t xml:space="preserve"> and </w:t>
      </w:r>
      <w:r w:rsidR="00DD3135" w:rsidRPr="00CE23AE">
        <w:rPr>
          <w:szCs w:val="20"/>
          <w:lang w:val="en-US"/>
        </w:rPr>
        <w:fldChar w:fldCharType="begin"/>
      </w:r>
      <w:r w:rsidR="00DD3135" w:rsidRPr="00CE23AE">
        <w:rPr>
          <w:szCs w:val="20"/>
          <w:lang w:val="en-US"/>
        </w:rPr>
        <w:instrText xml:space="preserve"> REF _Ref464555426 \r \h </w:instrText>
      </w:r>
      <w:r w:rsidR="005874A5" w:rsidRPr="00CE23AE">
        <w:rPr>
          <w:szCs w:val="20"/>
          <w:lang w:val="en-US"/>
        </w:rPr>
        <w:instrText xml:space="preserve"> \* MERGEFORMAT </w:instrText>
      </w:r>
      <w:r w:rsidR="00DD3135" w:rsidRPr="00CE23AE">
        <w:rPr>
          <w:szCs w:val="20"/>
          <w:lang w:val="en-US"/>
        </w:rPr>
      </w:r>
      <w:r w:rsidR="00DD3135" w:rsidRPr="00CE23AE">
        <w:rPr>
          <w:szCs w:val="20"/>
          <w:lang w:val="en-US"/>
        </w:rPr>
        <w:fldChar w:fldCharType="separate"/>
      </w:r>
      <w:r w:rsidR="00BC2953" w:rsidRPr="00CE23AE">
        <w:rPr>
          <w:szCs w:val="20"/>
          <w:lang w:val="en-US"/>
        </w:rPr>
        <w:t>57</w:t>
      </w:r>
      <w:r w:rsidR="00DD3135" w:rsidRPr="00CE23AE">
        <w:rPr>
          <w:szCs w:val="20"/>
          <w:lang w:val="en-US"/>
        </w:rPr>
        <w:fldChar w:fldCharType="end"/>
      </w:r>
      <w:r w:rsidR="00DD3135" w:rsidRPr="00CE23AE">
        <w:rPr>
          <w:szCs w:val="20"/>
          <w:lang w:val="en-US"/>
        </w:rPr>
        <w:t xml:space="preserve">), </w:t>
      </w:r>
      <w:r w:rsidR="008B76F3" w:rsidRPr="00CE23AE">
        <w:rPr>
          <w:szCs w:val="20"/>
          <w:lang w:val="en-US"/>
        </w:rPr>
        <w:t xml:space="preserve">the Commander of the </w:t>
      </w:r>
      <w:r w:rsidR="0078516C" w:rsidRPr="00CE23AE">
        <w:rPr>
          <w:szCs w:val="20"/>
          <w:lang w:val="en-US"/>
        </w:rPr>
        <w:t>Fourth Military Zone</w:t>
      </w:r>
      <w:r w:rsidR="00D45F95" w:rsidRPr="00CE23AE">
        <w:rPr>
          <w:szCs w:val="20"/>
          <w:lang w:val="en-US"/>
        </w:rPr>
        <w:t xml:space="preserve"> </w:t>
      </w:r>
      <w:r w:rsidRPr="00CE23AE">
        <w:rPr>
          <w:szCs w:val="20"/>
          <w:lang w:val="en-US"/>
        </w:rPr>
        <w:t>asked</w:t>
      </w:r>
      <w:r w:rsidR="00D45F95" w:rsidRPr="00CE23AE">
        <w:rPr>
          <w:szCs w:val="20"/>
          <w:lang w:val="en-US"/>
        </w:rPr>
        <w:t xml:space="preserve"> </w:t>
      </w:r>
      <w:r w:rsidR="008B76F3" w:rsidRPr="00CE23AE">
        <w:rPr>
          <w:szCs w:val="20"/>
          <w:lang w:val="en-US"/>
        </w:rPr>
        <w:t>Mr.</w:t>
      </w:r>
      <w:r w:rsidR="00D45F95" w:rsidRPr="00CE23AE">
        <w:rPr>
          <w:szCs w:val="20"/>
          <w:lang w:val="en-US"/>
        </w:rPr>
        <w:t xml:space="preserve"> Flor Freire </w:t>
      </w:r>
      <w:r w:rsidRPr="00CE23AE">
        <w:rPr>
          <w:szCs w:val="20"/>
          <w:lang w:val="en-US"/>
        </w:rPr>
        <w:t xml:space="preserve">to </w:t>
      </w:r>
      <w:r w:rsidR="005874A5" w:rsidRPr="00CE23AE">
        <w:rPr>
          <w:szCs w:val="20"/>
          <w:lang w:val="en-US"/>
        </w:rPr>
        <w:t>surrender</w:t>
      </w:r>
      <w:r w:rsidRPr="00CE23AE">
        <w:rPr>
          <w:szCs w:val="20"/>
          <w:lang w:val="en-US"/>
        </w:rPr>
        <w:t xml:space="preserve"> his functions and responsibilities in </w:t>
      </w:r>
      <w:r w:rsidR="008B76F3" w:rsidRPr="00CE23AE">
        <w:rPr>
          <w:szCs w:val="20"/>
          <w:lang w:val="en-US"/>
        </w:rPr>
        <w:t xml:space="preserve">the </w:t>
      </w:r>
      <w:r w:rsidR="00CB4410" w:rsidRPr="00CE23AE">
        <w:rPr>
          <w:szCs w:val="20"/>
          <w:lang w:val="en-US"/>
        </w:rPr>
        <w:t>Ecuadorian Ground Forces</w:t>
      </w:r>
      <w:r w:rsidRPr="00CE23AE">
        <w:rPr>
          <w:szCs w:val="20"/>
          <w:lang w:val="en-US"/>
        </w:rPr>
        <w:t>.</w:t>
      </w:r>
      <w:r w:rsidR="00D45F95" w:rsidRPr="00CE23AE">
        <w:rPr>
          <w:rStyle w:val="Refdenotaalpie"/>
          <w:lang w:val="en-US"/>
        </w:rPr>
        <w:footnoteReference w:id="87"/>
      </w:r>
      <w:bookmarkEnd w:id="233"/>
      <w:r w:rsidR="00D45F95" w:rsidRPr="00CE23AE">
        <w:rPr>
          <w:szCs w:val="20"/>
          <w:lang w:val="en-US"/>
        </w:rPr>
        <w:t xml:space="preserve"> </w:t>
      </w:r>
    </w:p>
    <w:p w14:paraId="081439B9" w14:textId="77777777" w:rsidR="00D45F95" w:rsidRPr="00CE23AE" w:rsidRDefault="00D45F95" w:rsidP="00D45F95">
      <w:pPr>
        <w:widowControl/>
        <w:tabs>
          <w:tab w:val="left" w:pos="567"/>
        </w:tabs>
        <w:suppressAutoHyphens/>
        <w:autoSpaceDE w:val="0"/>
        <w:autoSpaceDN w:val="0"/>
        <w:adjustRightInd/>
        <w:spacing w:line="240" w:lineRule="auto"/>
        <w:textAlignment w:val="auto"/>
        <w:rPr>
          <w:rFonts w:eastAsiaTheme="minorHAnsi" w:cs="TimesNewRomanPSMT"/>
          <w:szCs w:val="20"/>
          <w:lang w:val="en-US" w:eastAsia="en-US"/>
        </w:rPr>
      </w:pPr>
    </w:p>
    <w:p w14:paraId="0AF71121" w14:textId="5EF07CD7" w:rsidR="00D45F95" w:rsidRPr="00CE23AE" w:rsidRDefault="005B1C91" w:rsidP="00D45F95">
      <w:pPr>
        <w:widowControl/>
        <w:numPr>
          <w:ilvl w:val="0"/>
          <w:numId w:val="6"/>
        </w:numPr>
        <w:tabs>
          <w:tab w:val="left" w:pos="567"/>
        </w:tabs>
        <w:suppressAutoHyphens/>
        <w:autoSpaceDE w:val="0"/>
        <w:autoSpaceDN w:val="0"/>
        <w:adjustRightInd/>
        <w:spacing w:line="240" w:lineRule="auto"/>
        <w:textAlignment w:val="auto"/>
        <w:rPr>
          <w:rFonts w:eastAsiaTheme="minorHAnsi" w:cs="TimesNewRomanPSMT"/>
          <w:szCs w:val="20"/>
          <w:lang w:val="en-US" w:eastAsia="en-US"/>
        </w:rPr>
      </w:pPr>
      <w:bookmarkStart w:id="234" w:name="_Ref454892719"/>
      <w:r w:rsidRPr="00CE23AE">
        <w:rPr>
          <w:szCs w:val="20"/>
          <w:lang w:val="en-US"/>
        </w:rPr>
        <w:t>On November 22,</w:t>
      </w:r>
      <w:r w:rsidR="00D45F95" w:rsidRPr="00CE23AE">
        <w:rPr>
          <w:szCs w:val="20"/>
          <w:lang w:val="en-US"/>
        </w:rPr>
        <w:t xml:space="preserve"> </w:t>
      </w:r>
      <w:r w:rsidR="00F5102B" w:rsidRPr="00CE23AE">
        <w:rPr>
          <w:szCs w:val="20"/>
          <w:lang w:val="en-US"/>
        </w:rPr>
        <w:t>Mr. Flor</w:t>
      </w:r>
      <w:r w:rsidR="00D45F95" w:rsidRPr="00CE23AE">
        <w:rPr>
          <w:szCs w:val="20"/>
          <w:lang w:val="en-US"/>
        </w:rPr>
        <w:t xml:space="preserve"> Freire </w:t>
      </w:r>
      <w:r w:rsidRPr="00CE23AE">
        <w:rPr>
          <w:szCs w:val="20"/>
          <w:lang w:val="en-US"/>
        </w:rPr>
        <w:t xml:space="preserve">was brought before the </w:t>
      </w:r>
      <w:r w:rsidR="009C5D46" w:rsidRPr="00CE23AE">
        <w:rPr>
          <w:szCs w:val="20"/>
          <w:lang w:val="en-US"/>
        </w:rPr>
        <w:t>First Criminal Court</w:t>
      </w:r>
      <w:r w:rsidR="008B76F3" w:rsidRPr="00CE23AE">
        <w:rPr>
          <w:szCs w:val="20"/>
          <w:lang w:val="en-US"/>
        </w:rPr>
        <w:t xml:space="preserve"> of the </w:t>
      </w:r>
      <w:r w:rsidR="0078516C" w:rsidRPr="00CE23AE">
        <w:rPr>
          <w:szCs w:val="20"/>
          <w:lang w:val="en-US"/>
        </w:rPr>
        <w:t>Fourth Military Zone</w:t>
      </w:r>
      <w:r w:rsidR="00D45F95" w:rsidRPr="00CE23AE">
        <w:rPr>
          <w:szCs w:val="20"/>
          <w:lang w:val="en-US"/>
        </w:rPr>
        <w:t>, Amazonas</w:t>
      </w:r>
      <w:r w:rsidRPr="00CE23AE">
        <w:rPr>
          <w:szCs w:val="20"/>
          <w:lang w:val="en-US"/>
        </w:rPr>
        <w:t xml:space="preserve"> Division</w:t>
      </w:r>
      <w:r w:rsidR="00D45F95" w:rsidRPr="00CE23AE">
        <w:rPr>
          <w:szCs w:val="20"/>
          <w:lang w:val="en-US"/>
        </w:rPr>
        <w:t>, (</w:t>
      </w:r>
      <w:r w:rsidR="00C561DF" w:rsidRPr="00CE23AE">
        <w:rPr>
          <w:szCs w:val="20"/>
          <w:lang w:val="en-US"/>
        </w:rPr>
        <w:t>hereinafter</w:t>
      </w:r>
      <w:r w:rsidR="00D45F95" w:rsidRPr="00CE23AE">
        <w:rPr>
          <w:szCs w:val="20"/>
          <w:lang w:val="en-US"/>
        </w:rPr>
        <w:t xml:space="preserve"> “</w:t>
      </w:r>
      <w:r w:rsidRPr="00CE23AE">
        <w:rPr>
          <w:szCs w:val="20"/>
          <w:lang w:val="en-US"/>
        </w:rPr>
        <w:t>the First Criminal Court</w:t>
      </w:r>
      <w:r w:rsidR="00D45F95" w:rsidRPr="00CE23AE">
        <w:rPr>
          <w:szCs w:val="20"/>
          <w:lang w:val="en-US"/>
        </w:rPr>
        <w:t>”)</w:t>
      </w:r>
      <w:r w:rsidRPr="00CE23AE">
        <w:rPr>
          <w:szCs w:val="20"/>
          <w:lang w:val="en-US"/>
        </w:rPr>
        <w:t>,</w:t>
      </w:r>
      <w:r w:rsidR="00D45F95" w:rsidRPr="00CE23AE">
        <w:rPr>
          <w:rStyle w:val="Refdenotaalpie"/>
          <w:lang w:val="en-US"/>
        </w:rPr>
        <w:footnoteReference w:id="88"/>
      </w:r>
      <w:r w:rsidR="00D45F95" w:rsidRPr="00CE23AE">
        <w:rPr>
          <w:szCs w:val="20"/>
          <w:lang w:val="en-US"/>
        </w:rPr>
        <w:t xml:space="preserve"> </w:t>
      </w:r>
      <w:r w:rsidR="00847B25" w:rsidRPr="00CE23AE">
        <w:rPr>
          <w:szCs w:val="20"/>
          <w:lang w:val="en-US"/>
        </w:rPr>
        <w:t xml:space="preserve">which acted as an investigating judge </w:t>
      </w:r>
      <w:r w:rsidR="00D45F95" w:rsidRPr="00CE23AE">
        <w:rPr>
          <w:szCs w:val="20"/>
          <w:lang w:val="en-US"/>
        </w:rPr>
        <w:t>(</w:t>
      </w:r>
      <w:r w:rsidR="00D45F95" w:rsidRPr="00CE23AE">
        <w:rPr>
          <w:i/>
          <w:szCs w:val="20"/>
          <w:lang w:val="en-US"/>
        </w:rPr>
        <w:t>supra</w:t>
      </w:r>
      <w:r w:rsidR="00D45F95" w:rsidRPr="00CE23AE">
        <w:rPr>
          <w:szCs w:val="20"/>
          <w:lang w:val="en-US"/>
        </w:rPr>
        <w:t xml:space="preserve"> </w:t>
      </w:r>
      <w:r w:rsidR="005C743F" w:rsidRPr="00CE23AE">
        <w:rPr>
          <w:szCs w:val="20"/>
          <w:lang w:val="en-US"/>
        </w:rPr>
        <w:t>para.</w:t>
      </w:r>
      <w:r w:rsidR="00D45F95" w:rsidRPr="00CE23AE">
        <w:rPr>
          <w:szCs w:val="20"/>
          <w:lang w:val="en-US"/>
        </w:rPr>
        <w:t xml:space="preserve"> </w:t>
      </w:r>
      <w:r w:rsidR="00D45F95" w:rsidRPr="00CE23AE">
        <w:rPr>
          <w:szCs w:val="20"/>
          <w:lang w:val="en-US"/>
        </w:rPr>
        <w:fldChar w:fldCharType="begin"/>
      </w:r>
      <w:r w:rsidR="00D45F95" w:rsidRPr="00CE23AE">
        <w:rPr>
          <w:szCs w:val="20"/>
          <w:lang w:val="en-US"/>
        </w:rPr>
        <w:instrText xml:space="preserve"> REF _Ref451447531 \r \h  \* MERGEFORMAT </w:instrText>
      </w:r>
      <w:r w:rsidR="00D45F95" w:rsidRPr="00CE23AE">
        <w:rPr>
          <w:szCs w:val="20"/>
          <w:lang w:val="en-US"/>
        </w:rPr>
      </w:r>
      <w:r w:rsidR="00D45F95" w:rsidRPr="00CE23AE">
        <w:rPr>
          <w:szCs w:val="20"/>
          <w:lang w:val="en-US"/>
        </w:rPr>
        <w:fldChar w:fldCharType="separate"/>
      </w:r>
      <w:r w:rsidR="00BC2953" w:rsidRPr="00CE23AE">
        <w:rPr>
          <w:szCs w:val="20"/>
          <w:lang w:val="en-US"/>
        </w:rPr>
        <w:t>63</w:t>
      </w:r>
      <w:r w:rsidR="00D45F95" w:rsidRPr="00CE23AE">
        <w:rPr>
          <w:szCs w:val="20"/>
          <w:lang w:val="en-US"/>
        </w:rPr>
        <w:fldChar w:fldCharType="end"/>
      </w:r>
      <w:r w:rsidR="00D45F95" w:rsidRPr="00CE23AE">
        <w:rPr>
          <w:szCs w:val="20"/>
          <w:lang w:val="en-US"/>
        </w:rPr>
        <w:t xml:space="preserve">). </w:t>
      </w:r>
      <w:r w:rsidR="00847B25" w:rsidRPr="00CE23AE">
        <w:rPr>
          <w:szCs w:val="20"/>
          <w:lang w:val="en-US"/>
        </w:rPr>
        <w:t xml:space="preserve">That same day, the court issued the initial order in the proceedings and began the </w:t>
      </w:r>
      <w:r w:rsidR="00A06577" w:rsidRPr="00CE23AE">
        <w:rPr>
          <w:szCs w:val="20"/>
          <w:lang w:val="en-US"/>
        </w:rPr>
        <w:t>summary inquiry</w:t>
      </w:r>
      <w:r w:rsidR="00EA0AA6" w:rsidRPr="00CE23AE">
        <w:rPr>
          <w:szCs w:val="20"/>
          <w:lang w:val="en-US"/>
        </w:rPr>
        <w:t xml:space="preserve"> </w:t>
      </w:r>
      <w:r w:rsidR="00847B25" w:rsidRPr="00CE23AE">
        <w:rPr>
          <w:szCs w:val="20"/>
          <w:lang w:val="en-US"/>
        </w:rPr>
        <w:t>procedure.</w:t>
      </w:r>
      <w:r w:rsidR="00D45F95" w:rsidRPr="00CE23AE">
        <w:rPr>
          <w:rStyle w:val="Refdenotaalpie"/>
          <w:lang w:val="en-US"/>
        </w:rPr>
        <w:footnoteReference w:id="89"/>
      </w:r>
      <w:r w:rsidR="00D45F95" w:rsidRPr="00CE23AE">
        <w:rPr>
          <w:szCs w:val="20"/>
          <w:lang w:val="en-US"/>
        </w:rPr>
        <w:t xml:space="preserve"> </w:t>
      </w:r>
      <w:r w:rsidR="00F5102B" w:rsidRPr="00CE23AE">
        <w:rPr>
          <w:szCs w:val="20"/>
          <w:lang w:val="en-US"/>
        </w:rPr>
        <w:t>Mr. Flor</w:t>
      </w:r>
      <w:r w:rsidR="00D45F95" w:rsidRPr="00CE23AE">
        <w:rPr>
          <w:szCs w:val="20"/>
          <w:lang w:val="en-US"/>
        </w:rPr>
        <w:t xml:space="preserve"> Freire </w:t>
      </w:r>
      <w:r w:rsidR="00847B25" w:rsidRPr="00CE23AE">
        <w:rPr>
          <w:szCs w:val="20"/>
          <w:lang w:val="en-US"/>
        </w:rPr>
        <w:t>asked for several procedures to be conducted,</w:t>
      </w:r>
      <w:r w:rsidR="00D45F95" w:rsidRPr="00CE23AE">
        <w:rPr>
          <w:rStyle w:val="Refdenotaalpie"/>
          <w:lang w:val="en-US"/>
        </w:rPr>
        <w:footnoteReference w:id="90"/>
      </w:r>
      <w:r w:rsidR="00C561DF" w:rsidRPr="00CE23AE">
        <w:rPr>
          <w:szCs w:val="20"/>
          <w:lang w:val="en-US"/>
        </w:rPr>
        <w:t xml:space="preserve"> and </w:t>
      </w:r>
      <w:r w:rsidR="00847B25" w:rsidRPr="00CE23AE">
        <w:rPr>
          <w:szCs w:val="20"/>
          <w:lang w:val="en-US"/>
        </w:rPr>
        <w:t>the court responded to him the same day.</w:t>
      </w:r>
      <w:r w:rsidR="00D45F95" w:rsidRPr="00CE23AE">
        <w:rPr>
          <w:rStyle w:val="Refdenotaalpie"/>
          <w:lang w:val="en-US"/>
        </w:rPr>
        <w:footnoteReference w:id="91"/>
      </w:r>
      <w:r w:rsidR="0075022B" w:rsidRPr="00CE23AE">
        <w:rPr>
          <w:szCs w:val="20"/>
          <w:lang w:val="en-US"/>
        </w:rPr>
        <w:t xml:space="preserve"> Among the procedures ordered</w:t>
      </w:r>
      <w:r w:rsidR="00D45F95" w:rsidRPr="00CE23AE">
        <w:rPr>
          <w:szCs w:val="20"/>
          <w:lang w:val="en-US"/>
        </w:rPr>
        <w:t xml:space="preserve">, </w:t>
      </w:r>
      <w:r w:rsidR="009C5D46" w:rsidRPr="00CE23AE">
        <w:rPr>
          <w:rFonts w:eastAsia="Calibri"/>
          <w:szCs w:val="20"/>
          <w:lang w:val="en-US" w:eastAsia="en-US"/>
        </w:rPr>
        <w:t>the First Criminal Court</w:t>
      </w:r>
      <w:r w:rsidR="00D45F95" w:rsidRPr="00CE23AE">
        <w:rPr>
          <w:rFonts w:eastAsia="Calibri"/>
          <w:szCs w:val="20"/>
          <w:lang w:val="en-US" w:eastAsia="en-US"/>
        </w:rPr>
        <w:t xml:space="preserve"> </w:t>
      </w:r>
      <w:r w:rsidR="0075022B" w:rsidRPr="00CE23AE">
        <w:rPr>
          <w:rFonts w:eastAsia="Calibri"/>
          <w:szCs w:val="20"/>
          <w:lang w:val="en-US" w:eastAsia="en-US"/>
        </w:rPr>
        <w:t xml:space="preserve">summoned </w:t>
      </w:r>
      <w:r w:rsidR="008B76F3" w:rsidRPr="00CE23AE">
        <w:rPr>
          <w:rFonts w:eastAsia="Calibri"/>
          <w:szCs w:val="20"/>
          <w:lang w:val="en-US" w:eastAsia="en-US"/>
        </w:rPr>
        <w:t>Mr.</w:t>
      </w:r>
      <w:r w:rsidR="00D45F95" w:rsidRPr="00CE23AE">
        <w:rPr>
          <w:rFonts w:eastAsia="Calibri"/>
          <w:szCs w:val="20"/>
          <w:lang w:val="en-US" w:eastAsia="en-US"/>
        </w:rPr>
        <w:t xml:space="preserve"> Flor Freire </w:t>
      </w:r>
      <w:r w:rsidR="0075022B" w:rsidRPr="00CE23AE">
        <w:rPr>
          <w:rFonts w:eastAsia="Calibri"/>
          <w:szCs w:val="20"/>
          <w:lang w:val="en-US" w:eastAsia="en-US"/>
        </w:rPr>
        <w:t>to make an unsworn statement,</w:t>
      </w:r>
      <w:r w:rsidR="00D45F95" w:rsidRPr="00CE23AE">
        <w:rPr>
          <w:rStyle w:val="Refdenotaalpie"/>
          <w:rFonts w:eastAsia="Calibri"/>
          <w:szCs w:val="20"/>
          <w:lang w:val="en-US" w:eastAsia="en-US"/>
        </w:rPr>
        <w:footnoteReference w:id="92"/>
      </w:r>
      <w:r w:rsidR="00D45F95" w:rsidRPr="00CE23AE">
        <w:rPr>
          <w:rFonts w:eastAsia="Calibri"/>
          <w:szCs w:val="20"/>
          <w:lang w:val="en-US" w:eastAsia="en-US"/>
        </w:rPr>
        <w:t xml:space="preserve"> </w:t>
      </w:r>
      <w:r w:rsidR="0075022B" w:rsidRPr="00CE23AE">
        <w:rPr>
          <w:rFonts w:eastAsia="Calibri"/>
          <w:szCs w:val="20"/>
          <w:lang w:val="en-US" w:eastAsia="en-US"/>
        </w:rPr>
        <w:t xml:space="preserve">which he did </w:t>
      </w:r>
      <w:r w:rsidR="006A3A73" w:rsidRPr="00CE23AE">
        <w:rPr>
          <w:rFonts w:eastAsia="Calibri"/>
          <w:szCs w:val="20"/>
          <w:lang w:val="en-US" w:eastAsia="en-US"/>
        </w:rPr>
        <w:t>on</w:t>
      </w:r>
      <w:r w:rsidR="0075022B" w:rsidRPr="00CE23AE">
        <w:rPr>
          <w:rFonts w:eastAsia="Calibri"/>
          <w:szCs w:val="20"/>
          <w:lang w:val="en-US" w:eastAsia="en-US"/>
        </w:rPr>
        <w:t xml:space="preserve"> November</w:t>
      </w:r>
      <w:r w:rsidR="00D45F95" w:rsidRPr="00CE23AE">
        <w:rPr>
          <w:rFonts w:eastAsia="Calibri"/>
          <w:szCs w:val="20"/>
          <w:lang w:val="en-US" w:eastAsia="en-US"/>
        </w:rPr>
        <w:t xml:space="preserve"> 24</w:t>
      </w:r>
      <w:r w:rsidR="0075022B" w:rsidRPr="00CE23AE">
        <w:rPr>
          <w:rFonts w:eastAsia="Calibri"/>
          <w:szCs w:val="20"/>
          <w:lang w:val="en-US" w:eastAsia="en-US"/>
        </w:rPr>
        <w:t xml:space="preserve">, </w:t>
      </w:r>
      <w:r w:rsidR="00D45F95" w:rsidRPr="00CE23AE">
        <w:rPr>
          <w:rFonts w:eastAsia="Calibri"/>
          <w:szCs w:val="20"/>
          <w:lang w:val="en-US" w:eastAsia="en-US"/>
        </w:rPr>
        <w:t>2000</w:t>
      </w:r>
      <w:r w:rsidR="0075022B" w:rsidRPr="00CE23AE">
        <w:rPr>
          <w:rFonts w:eastAsia="Calibri"/>
          <w:szCs w:val="20"/>
          <w:lang w:val="en-US" w:eastAsia="en-US"/>
        </w:rPr>
        <w:t>.</w:t>
      </w:r>
      <w:r w:rsidR="00D45F95" w:rsidRPr="00CE23AE">
        <w:rPr>
          <w:rStyle w:val="Refdenotaalpie"/>
          <w:rFonts w:eastAsia="Calibri"/>
          <w:szCs w:val="20"/>
          <w:lang w:val="en-US" w:eastAsia="en-US"/>
        </w:rPr>
        <w:footnoteReference w:id="93"/>
      </w:r>
      <w:r w:rsidR="0075022B" w:rsidRPr="00CE23AE">
        <w:rPr>
          <w:rFonts w:eastAsia="Calibri"/>
          <w:szCs w:val="20"/>
          <w:lang w:val="en-US" w:eastAsia="en-US"/>
        </w:rPr>
        <w:t xml:space="preserve"> On that occasion, </w:t>
      </w:r>
      <w:r w:rsidR="00F5102B" w:rsidRPr="00CE23AE">
        <w:rPr>
          <w:rFonts w:eastAsia="Calibri"/>
          <w:szCs w:val="20"/>
          <w:lang w:val="en-US" w:eastAsia="en-US"/>
        </w:rPr>
        <w:t>Mr. Flor</w:t>
      </w:r>
      <w:r w:rsidR="00D45F95" w:rsidRPr="00CE23AE">
        <w:rPr>
          <w:rFonts w:eastAsia="Calibri"/>
          <w:szCs w:val="20"/>
          <w:lang w:val="en-US" w:eastAsia="en-US"/>
        </w:rPr>
        <w:t xml:space="preserve"> Freire </w:t>
      </w:r>
      <w:r w:rsidR="0075022B" w:rsidRPr="00CE23AE">
        <w:rPr>
          <w:rFonts w:eastAsia="Calibri"/>
          <w:szCs w:val="20"/>
          <w:lang w:val="en-US" w:eastAsia="en-US"/>
        </w:rPr>
        <w:t xml:space="preserve">indicated that the statements of the officers </w:t>
      </w:r>
      <w:r w:rsidR="0075022B" w:rsidRPr="00CE23AE">
        <w:rPr>
          <w:rFonts w:eastAsia="Calibri"/>
          <w:szCs w:val="20"/>
          <w:lang w:val="en-US" w:eastAsia="en-US"/>
        </w:rPr>
        <w:lastRenderedPageBreak/>
        <w:t>who reported him for “acts</w:t>
      </w:r>
      <w:r w:rsidR="006A3A73" w:rsidRPr="00CE23AE">
        <w:rPr>
          <w:rFonts w:eastAsia="Calibri"/>
          <w:szCs w:val="20"/>
          <w:lang w:val="en-US" w:eastAsia="en-US"/>
        </w:rPr>
        <w:t xml:space="preserve"> of homosexuality</w:t>
      </w:r>
      <w:r w:rsidR="0075022B" w:rsidRPr="00CE23AE">
        <w:rPr>
          <w:rFonts w:eastAsia="Calibri"/>
          <w:szCs w:val="20"/>
          <w:lang w:val="en-US" w:eastAsia="en-US"/>
        </w:rPr>
        <w:t xml:space="preserve">” were “totally false” and ratified his version of what </w:t>
      </w:r>
      <w:r w:rsidR="006A3A73" w:rsidRPr="00CE23AE">
        <w:rPr>
          <w:rFonts w:eastAsia="Calibri"/>
          <w:szCs w:val="20"/>
          <w:lang w:val="en-US" w:eastAsia="en-US"/>
        </w:rPr>
        <w:t xml:space="preserve">had </w:t>
      </w:r>
      <w:r w:rsidR="0075022B" w:rsidRPr="00CE23AE">
        <w:rPr>
          <w:rFonts w:eastAsia="Calibri"/>
          <w:szCs w:val="20"/>
          <w:lang w:val="en-US" w:eastAsia="en-US"/>
        </w:rPr>
        <w:t>happened</w:t>
      </w:r>
      <w:r w:rsidR="00D45F95" w:rsidRPr="00CE23AE">
        <w:rPr>
          <w:rStyle w:val="Refdenotaalpie"/>
          <w:rFonts w:eastAsia="Calibri"/>
          <w:szCs w:val="20"/>
          <w:lang w:val="en-US" w:eastAsia="en-US"/>
        </w:rPr>
        <w:footnoteReference w:id="94"/>
      </w:r>
      <w:r w:rsidR="00D45F95" w:rsidRPr="00CE23AE">
        <w:rPr>
          <w:rFonts w:eastAsia="Calibri"/>
          <w:szCs w:val="20"/>
          <w:lang w:val="en-US" w:eastAsia="en-US"/>
        </w:rPr>
        <w:t xml:space="preserve"> (</w:t>
      </w:r>
      <w:r w:rsidR="00D45F95" w:rsidRPr="00CE23AE">
        <w:rPr>
          <w:rFonts w:eastAsia="Calibri"/>
          <w:i/>
          <w:szCs w:val="20"/>
          <w:lang w:val="en-US" w:eastAsia="en-US"/>
        </w:rPr>
        <w:t>supra</w:t>
      </w:r>
      <w:r w:rsidR="00D45F95" w:rsidRPr="00CE23AE">
        <w:rPr>
          <w:rFonts w:eastAsia="Calibri"/>
          <w:szCs w:val="20"/>
          <w:lang w:val="en-US" w:eastAsia="en-US"/>
        </w:rPr>
        <w:t xml:space="preserve"> </w:t>
      </w:r>
      <w:r w:rsidR="005C743F" w:rsidRPr="00CE23AE">
        <w:rPr>
          <w:rFonts w:eastAsia="Calibri"/>
          <w:szCs w:val="20"/>
          <w:lang w:val="en-US" w:eastAsia="en-US"/>
        </w:rPr>
        <w:t>para.</w:t>
      </w:r>
      <w:r w:rsidR="00D45F95" w:rsidRPr="00CE23AE">
        <w:rPr>
          <w:rFonts w:eastAsia="Calibri"/>
          <w:szCs w:val="20"/>
          <w:lang w:val="en-US" w:eastAsia="en-US"/>
        </w:rPr>
        <w:t xml:space="preserve"> </w:t>
      </w:r>
      <w:r w:rsidR="00D45F95" w:rsidRPr="00CE23AE">
        <w:rPr>
          <w:rFonts w:eastAsia="Calibri"/>
          <w:szCs w:val="20"/>
          <w:lang w:val="en-US" w:eastAsia="en-US"/>
        </w:rPr>
        <w:fldChar w:fldCharType="begin"/>
      </w:r>
      <w:r w:rsidR="00D45F95" w:rsidRPr="00CE23AE">
        <w:rPr>
          <w:rFonts w:eastAsia="Calibri"/>
          <w:szCs w:val="20"/>
          <w:lang w:val="en-US" w:eastAsia="en-US"/>
        </w:rPr>
        <w:instrText xml:space="preserve"> REF _Ref451422535 \r \h  \* MERGEFORMAT </w:instrText>
      </w:r>
      <w:r w:rsidR="00D45F95" w:rsidRPr="00CE23AE">
        <w:rPr>
          <w:rFonts w:eastAsia="Calibri"/>
          <w:szCs w:val="20"/>
          <w:lang w:val="en-US" w:eastAsia="en-US"/>
        </w:rPr>
      </w:r>
      <w:r w:rsidR="00D45F95" w:rsidRPr="00CE23AE">
        <w:rPr>
          <w:rFonts w:eastAsia="Calibri"/>
          <w:szCs w:val="20"/>
          <w:lang w:val="en-US" w:eastAsia="en-US"/>
        </w:rPr>
        <w:fldChar w:fldCharType="separate"/>
      </w:r>
      <w:r w:rsidR="00BC2953" w:rsidRPr="00CE23AE">
        <w:rPr>
          <w:rFonts w:eastAsia="Calibri"/>
          <w:szCs w:val="20"/>
          <w:lang w:val="en-US" w:eastAsia="en-US"/>
        </w:rPr>
        <w:t>56</w:t>
      </w:r>
      <w:r w:rsidR="00D45F95" w:rsidRPr="00CE23AE">
        <w:rPr>
          <w:rFonts w:eastAsia="Calibri"/>
          <w:szCs w:val="20"/>
          <w:lang w:val="en-US" w:eastAsia="en-US"/>
        </w:rPr>
        <w:fldChar w:fldCharType="end"/>
      </w:r>
      <w:r w:rsidR="00D45F95" w:rsidRPr="00CE23AE">
        <w:rPr>
          <w:rFonts w:eastAsia="Calibri"/>
          <w:szCs w:val="20"/>
          <w:lang w:val="en-US" w:eastAsia="en-US"/>
        </w:rPr>
        <w:t>).</w:t>
      </w:r>
      <w:bookmarkEnd w:id="234"/>
      <w:r w:rsidR="00D45F95" w:rsidRPr="00CE23AE">
        <w:rPr>
          <w:rFonts w:eastAsia="Calibri"/>
          <w:szCs w:val="20"/>
          <w:lang w:val="en-US" w:eastAsia="en-US"/>
        </w:rPr>
        <w:t xml:space="preserve"> </w:t>
      </w:r>
    </w:p>
    <w:p w14:paraId="4358C4D4" w14:textId="77777777" w:rsidR="00D45F95" w:rsidRPr="00CE23AE" w:rsidRDefault="00D45F95" w:rsidP="00D45F95">
      <w:pPr>
        <w:rPr>
          <w:rFonts w:eastAsia="Calibri"/>
          <w:szCs w:val="20"/>
          <w:lang w:val="en-US" w:eastAsia="en-US"/>
        </w:rPr>
      </w:pPr>
    </w:p>
    <w:p w14:paraId="3F83C871" w14:textId="3856C2E8" w:rsidR="00D45F95" w:rsidRPr="00CE23AE" w:rsidRDefault="0075022B" w:rsidP="00D45F95">
      <w:pPr>
        <w:widowControl/>
        <w:numPr>
          <w:ilvl w:val="0"/>
          <w:numId w:val="6"/>
        </w:numPr>
        <w:tabs>
          <w:tab w:val="left" w:pos="567"/>
        </w:tabs>
        <w:suppressAutoHyphens/>
        <w:adjustRightInd/>
        <w:spacing w:line="240" w:lineRule="auto"/>
        <w:textAlignment w:val="auto"/>
        <w:rPr>
          <w:szCs w:val="20"/>
          <w:lang w:val="en-US"/>
        </w:rPr>
      </w:pPr>
      <w:bookmarkStart w:id="235" w:name="_Ref451461614"/>
      <w:r w:rsidRPr="00CE23AE">
        <w:rPr>
          <w:szCs w:val="20"/>
          <w:lang w:val="en-US"/>
        </w:rPr>
        <w:t>On December 13,</w:t>
      </w:r>
      <w:r w:rsidR="00D45F95" w:rsidRPr="00CE23AE">
        <w:rPr>
          <w:szCs w:val="20"/>
          <w:lang w:val="en-US"/>
        </w:rPr>
        <w:t xml:space="preserve"> 200</w:t>
      </w:r>
      <w:r w:rsidRPr="00CE23AE">
        <w:rPr>
          <w:szCs w:val="20"/>
          <w:lang w:val="en-US"/>
        </w:rPr>
        <w:t>0,</w:t>
      </w:r>
      <w:r w:rsidR="00D45F95" w:rsidRPr="00CE23AE">
        <w:rPr>
          <w:szCs w:val="20"/>
          <w:lang w:val="en-US"/>
        </w:rPr>
        <w:t xml:space="preserve"> </w:t>
      </w:r>
      <w:r w:rsidR="008B76F3" w:rsidRPr="00CE23AE">
        <w:rPr>
          <w:szCs w:val="20"/>
          <w:lang w:val="en-US"/>
        </w:rPr>
        <w:t xml:space="preserve">the Commander of the </w:t>
      </w:r>
      <w:r w:rsidR="0078516C" w:rsidRPr="00CE23AE">
        <w:rPr>
          <w:szCs w:val="20"/>
          <w:lang w:val="en-US"/>
        </w:rPr>
        <w:t>Fourth Military Zone</w:t>
      </w:r>
      <w:r w:rsidRPr="00CE23AE">
        <w:rPr>
          <w:szCs w:val="20"/>
          <w:lang w:val="en-US"/>
        </w:rPr>
        <w:t xml:space="preserve"> required Mr. Flor Freire to “surrender his responsibilities and to present himself at the </w:t>
      </w:r>
      <w:r w:rsidR="00D45F95" w:rsidRPr="00CE23AE">
        <w:rPr>
          <w:szCs w:val="20"/>
          <w:lang w:val="en-US"/>
        </w:rPr>
        <w:t xml:space="preserve">HD-IV </w:t>
      </w:r>
      <w:r w:rsidRPr="00CE23AE">
        <w:rPr>
          <w:szCs w:val="20"/>
          <w:lang w:val="en-US"/>
        </w:rPr>
        <w:t>to provide his services,” and also to surrender “</w:t>
      </w:r>
      <w:r w:rsidR="00C71D48" w:rsidRPr="00CE23AE">
        <w:rPr>
          <w:szCs w:val="20"/>
          <w:lang w:val="en-US"/>
        </w:rPr>
        <w:t>the</w:t>
      </w:r>
      <w:r w:rsidRPr="00CE23AE">
        <w:rPr>
          <w:szCs w:val="20"/>
          <w:lang w:val="en-US"/>
        </w:rPr>
        <w:t xml:space="preserve"> room […] in the residence for unmarried officers” that he occupied.</w:t>
      </w:r>
      <w:r w:rsidR="00D45F95" w:rsidRPr="00CE23AE">
        <w:rPr>
          <w:rStyle w:val="Refdenotaalpie"/>
          <w:lang w:val="en-US"/>
        </w:rPr>
        <w:footnoteReference w:id="95"/>
      </w:r>
      <w:bookmarkEnd w:id="235"/>
    </w:p>
    <w:p w14:paraId="3DAD5F35" w14:textId="77777777" w:rsidR="00D45F95" w:rsidRPr="00CE23AE" w:rsidRDefault="00D45F95" w:rsidP="00D45F95">
      <w:pPr>
        <w:rPr>
          <w:szCs w:val="20"/>
          <w:lang w:val="en-US"/>
        </w:rPr>
      </w:pPr>
    </w:p>
    <w:p w14:paraId="0B112655" w14:textId="602AAC27" w:rsidR="00C51E3C" w:rsidRPr="00CE23AE" w:rsidRDefault="0075022B" w:rsidP="0075022B">
      <w:pPr>
        <w:widowControl/>
        <w:numPr>
          <w:ilvl w:val="0"/>
          <w:numId w:val="6"/>
        </w:numPr>
        <w:tabs>
          <w:tab w:val="left" w:pos="567"/>
        </w:tabs>
        <w:suppressAutoHyphens/>
        <w:adjustRightInd/>
        <w:spacing w:line="240" w:lineRule="auto"/>
        <w:textAlignment w:val="auto"/>
        <w:rPr>
          <w:szCs w:val="20"/>
          <w:lang w:val="en-US"/>
        </w:rPr>
      </w:pPr>
      <w:bookmarkStart w:id="236" w:name="_Ref454892830"/>
      <w:r w:rsidRPr="00CE23AE">
        <w:rPr>
          <w:szCs w:val="20"/>
          <w:lang w:val="en-US"/>
        </w:rPr>
        <w:t>On December 21,</w:t>
      </w:r>
      <w:r w:rsidR="00D45F95" w:rsidRPr="00CE23AE">
        <w:rPr>
          <w:szCs w:val="20"/>
          <w:lang w:val="en-US"/>
        </w:rPr>
        <w:t xml:space="preserve"> 2000, </w:t>
      </w:r>
      <w:r w:rsidRPr="00CE23AE">
        <w:rPr>
          <w:szCs w:val="20"/>
          <w:lang w:val="en-US"/>
        </w:rPr>
        <w:t>after</w:t>
      </w:r>
      <w:r w:rsidR="00D45F95" w:rsidRPr="00CE23AE">
        <w:rPr>
          <w:szCs w:val="20"/>
          <w:lang w:val="en-US"/>
        </w:rPr>
        <w:t xml:space="preserve"> “</w:t>
      </w:r>
      <w:r w:rsidRPr="00CE23AE">
        <w:rPr>
          <w:szCs w:val="20"/>
          <w:lang w:val="en-US"/>
        </w:rPr>
        <w:t xml:space="preserve">the essential procedural actions to clarify the facts had been </w:t>
      </w:r>
      <w:r w:rsidR="00911D66" w:rsidRPr="00CE23AE">
        <w:rPr>
          <w:szCs w:val="20"/>
          <w:lang w:val="en-US"/>
        </w:rPr>
        <w:t>executed</w:t>
      </w:r>
      <w:r w:rsidRPr="00CE23AE">
        <w:rPr>
          <w:szCs w:val="20"/>
          <w:lang w:val="en-US"/>
        </w:rPr>
        <w:t xml:space="preserve">,” </w:t>
      </w:r>
      <w:r w:rsidR="009C5D46" w:rsidRPr="00CE23AE">
        <w:rPr>
          <w:szCs w:val="20"/>
          <w:lang w:val="en-US"/>
        </w:rPr>
        <w:t>the First Criminal Court</w:t>
      </w:r>
      <w:r w:rsidR="00D45F95" w:rsidRPr="00CE23AE">
        <w:rPr>
          <w:szCs w:val="20"/>
          <w:lang w:val="en-US"/>
        </w:rPr>
        <w:t xml:space="preserve"> declar</w:t>
      </w:r>
      <w:r w:rsidRPr="00CE23AE">
        <w:rPr>
          <w:szCs w:val="20"/>
          <w:lang w:val="en-US"/>
        </w:rPr>
        <w:t>ed that the investigation had concluded and referred the case file to the Prosecutor of the Zone for him to issue his opinion.</w:t>
      </w:r>
      <w:r w:rsidR="00D45F95" w:rsidRPr="00CE23AE">
        <w:rPr>
          <w:rStyle w:val="Refdenotaalpie"/>
          <w:rFonts w:eastAsia="Calibri"/>
          <w:szCs w:val="20"/>
          <w:lang w:val="en-US" w:eastAsia="en-US"/>
        </w:rPr>
        <w:footnoteReference w:id="96"/>
      </w:r>
      <w:r w:rsidRPr="00CE23AE">
        <w:rPr>
          <w:szCs w:val="20"/>
          <w:lang w:val="en-US"/>
        </w:rPr>
        <w:t xml:space="preserve"> On December 28,</w:t>
      </w:r>
      <w:r w:rsidR="00D45F95" w:rsidRPr="00CE23AE">
        <w:rPr>
          <w:szCs w:val="20"/>
          <w:lang w:val="en-US"/>
        </w:rPr>
        <w:t xml:space="preserve"> 2000</w:t>
      </w:r>
      <w:r w:rsidRPr="00CE23AE">
        <w:rPr>
          <w:szCs w:val="20"/>
          <w:lang w:val="en-US"/>
        </w:rPr>
        <w:t xml:space="preserve">, the Prosecutor of the Zone issued his opinion, in which he indicated that “based on the evidence in the file, [the] Public  Prosecution Service consider[ed] that Lt. Homero Flor was liable </w:t>
      </w:r>
      <w:r w:rsidR="00904A8E" w:rsidRPr="00CE23AE">
        <w:rPr>
          <w:szCs w:val="20"/>
          <w:lang w:val="en-US"/>
        </w:rPr>
        <w:t xml:space="preserve">to </w:t>
      </w:r>
      <w:r w:rsidRPr="00CE23AE">
        <w:rPr>
          <w:szCs w:val="20"/>
          <w:lang w:val="en-US"/>
        </w:rPr>
        <w:t xml:space="preserve">disciplinary </w:t>
      </w:r>
      <w:r w:rsidR="00904A8E" w:rsidRPr="00CE23AE">
        <w:rPr>
          <w:szCs w:val="20"/>
          <w:lang w:val="en-US"/>
        </w:rPr>
        <w:t>action […] and should be sanctioned pursuant to the provisions of article 117 of the Military Discipline Regulations.”</w:t>
      </w:r>
      <w:r w:rsidR="00904A8E" w:rsidRPr="00CE23AE">
        <w:rPr>
          <w:rStyle w:val="Refdenotaalpie"/>
          <w:rFonts w:eastAsia="Calibri"/>
          <w:szCs w:val="20"/>
          <w:lang w:val="en-US" w:eastAsia="en-US"/>
        </w:rPr>
        <w:footnoteReference w:id="97"/>
      </w:r>
      <w:r w:rsidR="00904A8E" w:rsidRPr="00CE23AE">
        <w:rPr>
          <w:szCs w:val="20"/>
          <w:lang w:val="en-US"/>
        </w:rPr>
        <w:t xml:space="preserve"> Following this, the First Criminal Court, accepted this opinion and prepared a draft decision proposing that the Mr. Flor Freire be held liable to disciplinary action and that he should be brought before the court, prior to</w:t>
      </w:r>
      <w:r w:rsidR="00911D66" w:rsidRPr="00CE23AE">
        <w:rPr>
          <w:szCs w:val="20"/>
          <w:lang w:val="en-US"/>
        </w:rPr>
        <w:t xml:space="preserve"> his</w:t>
      </w:r>
      <w:r w:rsidR="00904A8E" w:rsidRPr="00CE23AE">
        <w:rPr>
          <w:szCs w:val="20"/>
          <w:lang w:val="en-US"/>
        </w:rPr>
        <w:t xml:space="preserve"> </w:t>
      </w:r>
      <w:r w:rsidR="00522A39" w:rsidRPr="00CE23AE">
        <w:rPr>
          <w:szCs w:val="20"/>
          <w:lang w:val="en-US"/>
        </w:rPr>
        <w:t>discharge</w:t>
      </w:r>
      <w:r w:rsidR="00904A8E" w:rsidRPr="00CE23AE">
        <w:rPr>
          <w:szCs w:val="20"/>
          <w:lang w:val="en-US"/>
        </w:rPr>
        <w:t>, based on article 117 of the Military Discipline Regulations.</w:t>
      </w:r>
      <w:r w:rsidR="00D45F95" w:rsidRPr="00CE23AE">
        <w:rPr>
          <w:rStyle w:val="Refdenotaalpie"/>
          <w:szCs w:val="20"/>
          <w:lang w:val="en-US"/>
        </w:rPr>
        <w:footnoteReference w:id="98"/>
      </w:r>
      <w:r w:rsidR="00904A8E" w:rsidRPr="00CE23AE">
        <w:rPr>
          <w:szCs w:val="20"/>
          <w:lang w:val="en-US"/>
        </w:rPr>
        <w:t xml:space="preserve"> Subsequently, the matter was referred to the</w:t>
      </w:r>
      <w:r w:rsidR="00D45F95" w:rsidRPr="00CE23AE">
        <w:rPr>
          <w:szCs w:val="20"/>
          <w:lang w:val="en-US"/>
        </w:rPr>
        <w:t xml:space="preserve"> </w:t>
      </w:r>
      <w:r w:rsidR="009C5D46" w:rsidRPr="00CE23AE">
        <w:rPr>
          <w:szCs w:val="20"/>
          <w:lang w:val="en-US"/>
        </w:rPr>
        <w:t xml:space="preserve">Commander </w:t>
      </w:r>
      <w:r w:rsidR="008B76F3" w:rsidRPr="00CE23AE">
        <w:rPr>
          <w:szCs w:val="20"/>
          <w:lang w:val="en-US"/>
        </w:rPr>
        <w:t xml:space="preserve">of the </w:t>
      </w:r>
      <w:r w:rsidR="0078516C" w:rsidRPr="00CE23AE">
        <w:rPr>
          <w:szCs w:val="20"/>
          <w:lang w:val="en-US"/>
        </w:rPr>
        <w:t>Fourth Military Zone</w:t>
      </w:r>
      <w:r w:rsidR="00904A8E" w:rsidRPr="00CE23AE">
        <w:rPr>
          <w:szCs w:val="20"/>
          <w:lang w:val="en-US"/>
        </w:rPr>
        <w:t>,</w:t>
      </w:r>
      <w:r w:rsidR="00D45F95" w:rsidRPr="00CE23AE">
        <w:rPr>
          <w:rStyle w:val="Refdenotaalpie"/>
          <w:lang w:val="en-US"/>
        </w:rPr>
        <w:footnoteReference w:id="99"/>
      </w:r>
      <w:r w:rsidR="00904A8E" w:rsidRPr="00CE23AE">
        <w:rPr>
          <w:szCs w:val="20"/>
          <w:lang w:val="en-US"/>
        </w:rPr>
        <w:t xml:space="preserve"> whose duty it was to acts a </w:t>
      </w:r>
      <w:r w:rsidR="00A055CE" w:rsidRPr="00CE23AE">
        <w:rPr>
          <w:szCs w:val="20"/>
          <w:lang w:val="en-US"/>
        </w:rPr>
        <w:t>Court of Law</w:t>
      </w:r>
      <w:bookmarkEnd w:id="236"/>
      <w:r w:rsidR="00904A8E" w:rsidRPr="00CE23AE">
        <w:rPr>
          <w:szCs w:val="20"/>
          <w:lang w:val="en-US"/>
        </w:rPr>
        <w:t>.</w:t>
      </w:r>
    </w:p>
    <w:p w14:paraId="2BF846C0" w14:textId="77777777" w:rsidR="00C51E3C" w:rsidRPr="00CE23AE" w:rsidRDefault="00C51E3C" w:rsidP="00910741">
      <w:pPr>
        <w:spacing w:line="240" w:lineRule="auto"/>
        <w:rPr>
          <w:szCs w:val="20"/>
          <w:lang w:val="en-US"/>
        </w:rPr>
      </w:pPr>
    </w:p>
    <w:p w14:paraId="6EBEEC3E" w14:textId="11AD285D" w:rsidR="00C51E3C" w:rsidRPr="00CE23AE" w:rsidRDefault="00237306" w:rsidP="00910741">
      <w:pPr>
        <w:pStyle w:val="Ttulo3"/>
        <w:rPr>
          <w:lang w:val="en-US"/>
        </w:rPr>
      </w:pPr>
      <w:bookmarkStart w:id="237" w:name="_Toc453874329"/>
      <w:bookmarkStart w:id="238" w:name="_Toc454891490"/>
      <w:bookmarkStart w:id="239" w:name="_Toc457840594"/>
      <w:bookmarkStart w:id="240" w:name="_Toc460398535"/>
      <w:bookmarkStart w:id="241" w:name="_Toc464474981"/>
      <w:bookmarkStart w:id="242" w:name="_Toc46388368"/>
      <w:r w:rsidRPr="00CE23AE">
        <w:rPr>
          <w:lang w:val="en-US"/>
        </w:rPr>
        <w:t>C</w:t>
      </w:r>
      <w:r w:rsidR="0054620E" w:rsidRPr="00CE23AE">
        <w:rPr>
          <w:lang w:val="en-US"/>
        </w:rPr>
        <w:t>.</w:t>
      </w:r>
      <w:r w:rsidRPr="00CE23AE">
        <w:rPr>
          <w:lang w:val="en-US"/>
        </w:rPr>
        <w:t>3</w:t>
      </w:r>
      <w:r w:rsidR="0054620E" w:rsidRPr="00CE23AE">
        <w:rPr>
          <w:lang w:val="en-US"/>
        </w:rPr>
        <w:t xml:space="preserve"> </w:t>
      </w:r>
      <w:r w:rsidR="0013582A" w:rsidRPr="00CE23AE">
        <w:rPr>
          <w:lang w:val="en-US"/>
        </w:rPr>
        <w:t>Decision of the Court of Law</w:t>
      </w:r>
      <w:r w:rsidR="00904A8E" w:rsidRPr="00CE23AE">
        <w:rPr>
          <w:lang w:val="en-US"/>
        </w:rPr>
        <w:t xml:space="preserve"> </w:t>
      </w:r>
      <w:r w:rsidR="008B76F3" w:rsidRPr="00CE23AE">
        <w:rPr>
          <w:lang w:val="en-US"/>
        </w:rPr>
        <w:t>of</w:t>
      </w:r>
      <w:r w:rsidR="00C51E3C" w:rsidRPr="00CE23AE">
        <w:rPr>
          <w:lang w:val="en-US"/>
        </w:rPr>
        <w:t xml:space="preserve"> </w:t>
      </w:r>
      <w:r w:rsidR="0078516C" w:rsidRPr="00CE23AE">
        <w:rPr>
          <w:lang w:val="en-US"/>
        </w:rPr>
        <w:t>the Fourth Military Zone</w:t>
      </w:r>
      <w:bookmarkEnd w:id="237"/>
      <w:bookmarkEnd w:id="238"/>
      <w:bookmarkEnd w:id="239"/>
      <w:bookmarkEnd w:id="240"/>
      <w:bookmarkEnd w:id="241"/>
      <w:bookmarkEnd w:id="242"/>
      <w:r w:rsidR="00C51E3C" w:rsidRPr="00CE23AE">
        <w:rPr>
          <w:lang w:val="en-US"/>
        </w:rPr>
        <w:t xml:space="preserve"> </w:t>
      </w:r>
    </w:p>
    <w:p w14:paraId="2D7A0514" w14:textId="77777777" w:rsidR="00310B10" w:rsidRPr="00CE23AE" w:rsidRDefault="00310B10" w:rsidP="00910741">
      <w:pPr>
        <w:spacing w:line="240" w:lineRule="auto"/>
        <w:rPr>
          <w:lang w:val="en-US" w:eastAsia="es-MX"/>
        </w:rPr>
      </w:pPr>
    </w:p>
    <w:p w14:paraId="7F395E0A" w14:textId="048656CA" w:rsidR="00F0135F" w:rsidRPr="00CE23AE" w:rsidRDefault="008B76F3" w:rsidP="00F0135F">
      <w:pPr>
        <w:widowControl/>
        <w:numPr>
          <w:ilvl w:val="0"/>
          <w:numId w:val="6"/>
        </w:numPr>
        <w:tabs>
          <w:tab w:val="left" w:pos="567"/>
        </w:tabs>
        <w:suppressAutoHyphens/>
        <w:adjustRightInd/>
        <w:spacing w:line="240" w:lineRule="auto"/>
        <w:textAlignment w:val="auto"/>
        <w:rPr>
          <w:szCs w:val="20"/>
          <w:lang w:val="en-US"/>
        </w:rPr>
      </w:pPr>
      <w:bookmarkStart w:id="243" w:name="_Ref447296429"/>
      <w:r w:rsidRPr="00CE23AE">
        <w:rPr>
          <w:rFonts w:eastAsia="Calibri"/>
          <w:szCs w:val="20"/>
          <w:lang w:val="en-US" w:eastAsia="en-US"/>
        </w:rPr>
        <w:t>On January 17,</w:t>
      </w:r>
      <w:r w:rsidR="008F6BC3" w:rsidRPr="00CE23AE">
        <w:rPr>
          <w:szCs w:val="20"/>
          <w:lang w:val="en-US"/>
        </w:rPr>
        <w:t xml:space="preserve"> 2001</w:t>
      </w:r>
      <w:r w:rsidRPr="00CE23AE">
        <w:rPr>
          <w:szCs w:val="20"/>
          <w:lang w:val="en-US"/>
        </w:rPr>
        <w:t>,</w:t>
      </w:r>
      <w:r w:rsidR="00F0135F" w:rsidRPr="00CE23AE">
        <w:rPr>
          <w:szCs w:val="20"/>
          <w:lang w:val="en-US"/>
        </w:rPr>
        <w:t xml:space="preserve"> </w:t>
      </w:r>
      <w:r w:rsidRPr="00CE23AE">
        <w:rPr>
          <w:szCs w:val="20"/>
          <w:lang w:val="en-US"/>
        </w:rPr>
        <w:t xml:space="preserve">the Commander of the </w:t>
      </w:r>
      <w:r w:rsidR="0078516C" w:rsidRPr="00CE23AE">
        <w:rPr>
          <w:szCs w:val="20"/>
          <w:lang w:val="en-US"/>
        </w:rPr>
        <w:t>Fourth Military Zone</w:t>
      </w:r>
      <w:r w:rsidR="00B51865" w:rsidRPr="00CE23AE">
        <w:rPr>
          <w:szCs w:val="20"/>
          <w:lang w:val="en-US"/>
        </w:rPr>
        <w:t xml:space="preserve">, </w:t>
      </w:r>
      <w:r w:rsidR="0076357F" w:rsidRPr="00CE23AE">
        <w:rPr>
          <w:szCs w:val="20"/>
          <w:lang w:val="en-US"/>
        </w:rPr>
        <w:t>in his capacity as</w:t>
      </w:r>
      <w:r w:rsidR="00B51865" w:rsidRPr="00CE23AE">
        <w:rPr>
          <w:szCs w:val="20"/>
          <w:lang w:val="en-US"/>
        </w:rPr>
        <w:t xml:space="preserve"> “</w:t>
      </w:r>
      <w:r w:rsidR="00A055CE" w:rsidRPr="00CE23AE">
        <w:rPr>
          <w:szCs w:val="20"/>
          <w:lang w:val="en-US"/>
        </w:rPr>
        <w:t>Judge of Law</w:t>
      </w:r>
      <w:r w:rsidR="00B51865" w:rsidRPr="00CE23AE">
        <w:rPr>
          <w:szCs w:val="20"/>
          <w:lang w:val="en-US"/>
        </w:rPr>
        <w:t xml:space="preserve">” </w:t>
      </w:r>
      <w:r w:rsidR="0076357F" w:rsidRPr="00CE23AE">
        <w:rPr>
          <w:szCs w:val="20"/>
          <w:lang w:val="en-US"/>
        </w:rPr>
        <w:t xml:space="preserve">in the </w:t>
      </w:r>
      <w:r w:rsidR="00A06577" w:rsidRPr="00CE23AE">
        <w:rPr>
          <w:szCs w:val="20"/>
          <w:lang w:val="en-US"/>
        </w:rPr>
        <w:t>summary inquiry</w:t>
      </w:r>
      <w:r w:rsidR="006536FF" w:rsidRPr="00CE23AE">
        <w:rPr>
          <w:szCs w:val="20"/>
          <w:lang w:val="en-US"/>
        </w:rPr>
        <w:t xml:space="preserve"> </w:t>
      </w:r>
      <w:r w:rsidR="0076357F" w:rsidRPr="00CE23AE">
        <w:rPr>
          <w:szCs w:val="20"/>
          <w:lang w:val="en-US"/>
        </w:rPr>
        <w:t>procedure</w:t>
      </w:r>
      <w:r w:rsidR="006536FF" w:rsidRPr="00CE23AE">
        <w:rPr>
          <w:szCs w:val="20"/>
          <w:lang w:val="en-US"/>
        </w:rPr>
        <w:t xml:space="preserve">, </w:t>
      </w:r>
      <w:r w:rsidR="0076357F" w:rsidRPr="00CE23AE">
        <w:rPr>
          <w:szCs w:val="20"/>
          <w:lang w:val="en-US"/>
        </w:rPr>
        <w:t xml:space="preserve">decided to accept the opinion of the Military Public Prosecutor and the draft decision prepared by </w:t>
      </w:r>
      <w:r w:rsidR="009C5D46" w:rsidRPr="00CE23AE">
        <w:rPr>
          <w:szCs w:val="20"/>
          <w:lang w:val="en-US"/>
        </w:rPr>
        <w:t>the First Criminal Court</w:t>
      </w:r>
      <w:r w:rsidR="00C561DF" w:rsidRPr="00CE23AE">
        <w:rPr>
          <w:szCs w:val="20"/>
          <w:lang w:val="en-US"/>
        </w:rPr>
        <w:t xml:space="preserve"> and </w:t>
      </w:r>
      <w:r w:rsidR="00911D66" w:rsidRPr="00CE23AE">
        <w:rPr>
          <w:szCs w:val="20"/>
          <w:lang w:val="en-US"/>
        </w:rPr>
        <w:t>ruled</w:t>
      </w:r>
      <w:r w:rsidR="0076357F" w:rsidRPr="00CE23AE">
        <w:rPr>
          <w:szCs w:val="20"/>
          <w:lang w:val="en-US"/>
        </w:rPr>
        <w:t xml:space="preserve"> that</w:t>
      </w:r>
      <w:r w:rsidR="00F0135F" w:rsidRPr="00CE23AE">
        <w:rPr>
          <w:szCs w:val="20"/>
          <w:lang w:val="en-US"/>
        </w:rPr>
        <w:t xml:space="preserve"> </w:t>
      </w:r>
      <w:r w:rsidR="00A77108" w:rsidRPr="00CE23AE">
        <w:rPr>
          <w:szCs w:val="20"/>
          <w:lang w:val="en-US"/>
        </w:rPr>
        <w:t>Lieutenant</w:t>
      </w:r>
      <w:r w:rsidR="00F0135F" w:rsidRPr="00CE23AE">
        <w:rPr>
          <w:szCs w:val="20"/>
          <w:lang w:val="en-US"/>
        </w:rPr>
        <w:t xml:space="preserve"> Homero Flor </w:t>
      </w:r>
      <w:r w:rsidR="00BD16E3" w:rsidRPr="00CE23AE">
        <w:rPr>
          <w:szCs w:val="20"/>
          <w:lang w:val="en-US"/>
        </w:rPr>
        <w:t>Freire</w:t>
      </w:r>
      <w:r w:rsidR="00C561DF" w:rsidRPr="00CE23AE">
        <w:rPr>
          <w:szCs w:val="20"/>
          <w:lang w:val="en-US"/>
        </w:rPr>
        <w:t xml:space="preserve"> and </w:t>
      </w:r>
      <w:r w:rsidR="0076357F" w:rsidRPr="00CE23AE">
        <w:rPr>
          <w:szCs w:val="20"/>
          <w:lang w:val="en-US"/>
        </w:rPr>
        <w:t>another soldier “were “liable to disciplinary action.”</w:t>
      </w:r>
      <w:r w:rsidR="00F0135F" w:rsidRPr="00CE23AE">
        <w:rPr>
          <w:rStyle w:val="Refdenotaalpie"/>
          <w:lang w:val="en-US"/>
        </w:rPr>
        <w:footnoteReference w:id="100"/>
      </w:r>
      <w:bookmarkEnd w:id="243"/>
    </w:p>
    <w:p w14:paraId="56D99919" w14:textId="77777777" w:rsidR="00F0135F" w:rsidRPr="00CE23AE" w:rsidRDefault="00F0135F" w:rsidP="00F0135F">
      <w:pPr>
        <w:rPr>
          <w:szCs w:val="20"/>
          <w:lang w:val="en-US"/>
        </w:rPr>
      </w:pPr>
    </w:p>
    <w:p w14:paraId="74D32A79" w14:textId="4F8CDEB2" w:rsidR="00F0135F" w:rsidRPr="00CE23AE" w:rsidRDefault="0076357F" w:rsidP="0076357F">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The decisi</w:t>
      </w:r>
      <w:r w:rsidR="0068143D" w:rsidRPr="00CE23AE">
        <w:rPr>
          <w:szCs w:val="20"/>
          <w:lang w:val="en-US"/>
        </w:rPr>
        <w:t>o</w:t>
      </w:r>
      <w:r w:rsidRPr="00CE23AE">
        <w:rPr>
          <w:szCs w:val="20"/>
          <w:lang w:val="en-US"/>
        </w:rPr>
        <w:t>n described the evidence obtained during the processing of the proceedings, which included: (</w:t>
      </w:r>
      <w:r w:rsidR="00F0135F" w:rsidRPr="00CE23AE">
        <w:rPr>
          <w:szCs w:val="20"/>
          <w:lang w:val="en-US"/>
        </w:rPr>
        <w:t>i)</w:t>
      </w:r>
      <w:r w:rsidR="00911D66" w:rsidRPr="00CE23AE">
        <w:rPr>
          <w:szCs w:val="20"/>
          <w:lang w:val="en-US"/>
        </w:rPr>
        <w:t xml:space="preserve"> the</w:t>
      </w:r>
      <w:r w:rsidR="00F0135F" w:rsidRPr="00CE23AE">
        <w:rPr>
          <w:szCs w:val="20"/>
          <w:lang w:val="en-US"/>
        </w:rPr>
        <w:t xml:space="preserve"> testimon</w:t>
      </w:r>
      <w:r w:rsidRPr="00CE23AE">
        <w:rPr>
          <w:szCs w:val="20"/>
          <w:lang w:val="en-US"/>
        </w:rPr>
        <w:t xml:space="preserve">y </w:t>
      </w:r>
      <w:r w:rsidR="00911D66" w:rsidRPr="00CE23AE">
        <w:rPr>
          <w:szCs w:val="20"/>
          <w:lang w:val="en-US"/>
        </w:rPr>
        <w:t>of</w:t>
      </w:r>
      <w:r w:rsidRPr="00CE23AE">
        <w:rPr>
          <w:szCs w:val="20"/>
          <w:lang w:val="en-US"/>
        </w:rPr>
        <w:t xml:space="preserve"> several military officers </w:t>
      </w:r>
      <w:r w:rsidR="00911D66" w:rsidRPr="00CE23AE">
        <w:rPr>
          <w:szCs w:val="20"/>
          <w:lang w:val="en-US"/>
        </w:rPr>
        <w:t>on</w:t>
      </w:r>
      <w:r w:rsidRPr="00CE23AE">
        <w:rPr>
          <w:szCs w:val="20"/>
          <w:lang w:val="en-US"/>
        </w:rPr>
        <w:t xml:space="preserve"> what they had observed in the room in which </w:t>
      </w:r>
      <w:r w:rsidR="00A77108" w:rsidRPr="00CE23AE">
        <w:rPr>
          <w:szCs w:val="20"/>
          <w:lang w:val="en-US"/>
        </w:rPr>
        <w:t>Lieutenant</w:t>
      </w:r>
      <w:r w:rsidR="00F0135F" w:rsidRPr="00CE23AE">
        <w:rPr>
          <w:szCs w:val="20"/>
          <w:lang w:val="en-US"/>
        </w:rPr>
        <w:t xml:space="preserve"> Homero Flor Freire</w:t>
      </w:r>
      <w:r w:rsidR="00C561DF" w:rsidRPr="00CE23AE">
        <w:rPr>
          <w:szCs w:val="20"/>
          <w:lang w:val="en-US"/>
        </w:rPr>
        <w:t xml:space="preserve"> and </w:t>
      </w:r>
      <w:r w:rsidRPr="00CE23AE">
        <w:rPr>
          <w:szCs w:val="20"/>
          <w:lang w:val="en-US"/>
        </w:rPr>
        <w:t>another soldier were on</w:t>
      </w:r>
      <w:r w:rsidR="00F0135F" w:rsidRPr="00CE23AE">
        <w:rPr>
          <w:szCs w:val="20"/>
          <w:lang w:val="en-US"/>
        </w:rPr>
        <w:t xml:space="preserve"> </w:t>
      </w:r>
      <w:r w:rsidR="00CB4410" w:rsidRPr="00CE23AE">
        <w:rPr>
          <w:szCs w:val="20"/>
          <w:lang w:val="en-US"/>
        </w:rPr>
        <w:t>November 19,</w:t>
      </w:r>
      <w:r w:rsidR="00F0135F" w:rsidRPr="00CE23AE">
        <w:rPr>
          <w:szCs w:val="20"/>
          <w:lang w:val="en-US"/>
        </w:rPr>
        <w:t xml:space="preserve"> 2000; </w:t>
      </w:r>
      <w:r w:rsidRPr="00CE23AE">
        <w:rPr>
          <w:szCs w:val="20"/>
          <w:lang w:val="en-US"/>
        </w:rPr>
        <w:t>(</w:t>
      </w:r>
      <w:r w:rsidR="00F0135F" w:rsidRPr="00CE23AE">
        <w:rPr>
          <w:szCs w:val="20"/>
          <w:lang w:val="en-US"/>
        </w:rPr>
        <w:t xml:space="preserve">ii) </w:t>
      </w:r>
      <w:r w:rsidR="00911D66" w:rsidRPr="00CE23AE">
        <w:rPr>
          <w:szCs w:val="20"/>
          <w:lang w:val="en-US"/>
        </w:rPr>
        <w:t xml:space="preserve">the </w:t>
      </w:r>
      <w:r w:rsidRPr="00CE23AE">
        <w:rPr>
          <w:szCs w:val="20"/>
          <w:lang w:val="en-US"/>
        </w:rPr>
        <w:t>u</w:t>
      </w:r>
      <w:r w:rsidR="008B76F3" w:rsidRPr="00CE23AE">
        <w:rPr>
          <w:szCs w:val="20"/>
          <w:lang w:val="en-US"/>
        </w:rPr>
        <w:t>nsworn statement</w:t>
      </w:r>
      <w:r w:rsidR="00F0135F" w:rsidRPr="00CE23AE">
        <w:rPr>
          <w:szCs w:val="20"/>
          <w:lang w:val="en-US"/>
        </w:rPr>
        <w:t xml:space="preserve"> </w:t>
      </w:r>
      <w:r w:rsidR="00000AE1" w:rsidRPr="00CE23AE">
        <w:rPr>
          <w:szCs w:val="20"/>
          <w:lang w:val="en-US"/>
        </w:rPr>
        <w:t>of Mr.</w:t>
      </w:r>
      <w:r w:rsidR="00F5102B" w:rsidRPr="00CE23AE">
        <w:rPr>
          <w:szCs w:val="20"/>
          <w:lang w:val="en-US"/>
        </w:rPr>
        <w:t xml:space="preserve"> Flor</w:t>
      </w:r>
      <w:r w:rsidR="00F0135F" w:rsidRPr="00CE23AE">
        <w:rPr>
          <w:szCs w:val="20"/>
          <w:lang w:val="en-US"/>
        </w:rPr>
        <w:t xml:space="preserve"> Freire, </w:t>
      </w:r>
      <w:r w:rsidRPr="00CE23AE">
        <w:rPr>
          <w:szCs w:val="20"/>
          <w:lang w:val="en-US"/>
        </w:rPr>
        <w:t>in which he gave his versions of the events and referred to the actions of the officers who came to his room to verify what had taken place; (iii)</w:t>
      </w:r>
      <w:r w:rsidR="00F0135F" w:rsidRPr="00CE23AE">
        <w:rPr>
          <w:szCs w:val="20"/>
          <w:lang w:val="en-US"/>
        </w:rPr>
        <w:t xml:space="preserve"> </w:t>
      </w:r>
      <w:r w:rsidR="00911D66" w:rsidRPr="00CE23AE">
        <w:rPr>
          <w:szCs w:val="20"/>
          <w:lang w:val="en-US"/>
        </w:rPr>
        <w:t xml:space="preserve">the </w:t>
      </w:r>
      <w:r w:rsidRPr="00CE23AE">
        <w:rPr>
          <w:szCs w:val="20"/>
          <w:lang w:val="en-US"/>
        </w:rPr>
        <w:t>u</w:t>
      </w:r>
      <w:r w:rsidR="008B76F3" w:rsidRPr="00CE23AE">
        <w:rPr>
          <w:szCs w:val="20"/>
          <w:lang w:val="en-US"/>
        </w:rPr>
        <w:t>nsworn statement</w:t>
      </w:r>
      <w:r w:rsidR="00F0135F" w:rsidRPr="00CE23AE">
        <w:rPr>
          <w:szCs w:val="20"/>
          <w:lang w:val="en-US"/>
        </w:rPr>
        <w:t xml:space="preserve"> </w:t>
      </w:r>
      <w:r w:rsidRPr="00CE23AE">
        <w:rPr>
          <w:szCs w:val="20"/>
          <w:lang w:val="en-US"/>
        </w:rPr>
        <w:t xml:space="preserve">of the other soldier involved in the events with his version of what happened, and (iv) the documentary and material evidence </w:t>
      </w:r>
      <w:r w:rsidR="00911D66" w:rsidRPr="00CE23AE">
        <w:rPr>
          <w:szCs w:val="20"/>
          <w:lang w:val="en-US"/>
        </w:rPr>
        <w:t>obtained</w:t>
      </w:r>
      <w:r w:rsidRPr="00CE23AE">
        <w:rPr>
          <w:szCs w:val="20"/>
          <w:lang w:val="en-US"/>
        </w:rPr>
        <w:t xml:space="preserve"> during the investigation conducted during the proce</w:t>
      </w:r>
      <w:r w:rsidR="00911D66" w:rsidRPr="00CE23AE">
        <w:rPr>
          <w:szCs w:val="20"/>
          <w:lang w:val="en-US"/>
        </w:rPr>
        <w:t>edings</w:t>
      </w:r>
      <w:r w:rsidRPr="00CE23AE">
        <w:rPr>
          <w:szCs w:val="20"/>
          <w:lang w:val="en-US"/>
        </w:rPr>
        <w:t xml:space="preserve">. Regarding the evidence </w:t>
      </w:r>
      <w:r w:rsidR="00911D66" w:rsidRPr="00CE23AE">
        <w:rPr>
          <w:szCs w:val="20"/>
          <w:lang w:val="en-US"/>
        </w:rPr>
        <w:t>obtained</w:t>
      </w:r>
      <w:r w:rsidRPr="00CE23AE">
        <w:rPr>
          <w:szCs w:val="20"/>
          <w:lang w:val="en-US"/>
        </w:rPr>
        <w:t xml:space="preserve"> during the investigation stage, the decision referred, </w:t>
      </w:r>
      <w:r w:rsidRPr="00CE23AE">
        <w:rPr>
          <w:i/>
          <w:iCs/>
          <w:szCs w:val="20"/>
          <w:lang w:val="en-US"/>
        </w:rPr>
        <w:t>inter alia</w:t>
      </w:r>
      <w:r w:rsidRPr="00CE23AE">
        <w:rPr>
          <w:szCs w:val="20"/>
          <w:lang w:val="en-US"/>
        </w:rPr>
        <w:t>, to: (i) a report of the Psychology Department of the 17-BS “PASTAZA” with the psychological profile of the other soldier</w:t>
      </w:r>
      <w:r w:rsidR="0093620F" w:rsidRPr="00CE23AE">
        <w:rPr>
          <w:szCs w:val="20"/>
          <w:lang w:val="en-US"/>
        </w:rPr>
        <w:t xml:space="preserve">, </w:t>
      </w:r>
      <w:r w:rsidR="00911D66" w:rsidRPr="00CE23AE">
        <w:rPr>
          <w:szCs w:val="20"/>
          <w:lang w:val="en-US"/>
        </w:rPr>
        <w:t>and</w:t>
      </w:r>
      <w:r w:rsidR="0093620F" w:rsidRPr="00CE23AE">
        <w:rPr>
          <w:szCs w:val="20"/>
          <w:lang w:val="en-US"/>
        </w:rPr>
        <w:t xml:space="preserve"> indicat</w:t>
      </w:r>
      <w:r w:rsidR="00911D66" w:rsidRPr="00CE23AE">
        <w:rPr>
          <w:szCs w:val="20"/>
          <w:lang w:val="en-US"/>
        </w:rPr>
        <w:t>ing</w:t>
      </w:r>
      <w:r w:rsidR="0093620F" w:rsidRPr="00CE23AE">
        <w:rPr>
          <w:szCs w:val="20"/>
          <w:lang w:val="en-US"/>
        </w:rPr>
        <w:t xml:space="preserve"> that it had not been possible to conduct the psychological examination of Lieutenant Homero Flor Freire because he had not come to the Department; (ii) certificates attesting to the “good conduct and honorability” of Lieutenant Homero Flor Freire and of the other soldier, as well as their resumés; (iii) the report on the judicial examination of the scene of the events, and (iv) a communication </w:t>
      </w:r>
      <w:r w:rsidR="008B76F3" w:rsidRPr="00CE23AE">
        <w:rPr>
          <w:szCs w:val="20"/>
          <w:lang w:val="en-US"/>
        </w:rPr>
        <w:t>of the Commander</w:t>
      </w:r>
      <w:r w:rsidR="00F0135F" w:rsidRPr="00CE23AE">
        <w:rPr>
          <w:szCs w:val="20"/>
          <w:lang w:val="en-US"/>
        </w:rPr>
        <w:t xml:space="preserve"> </w:t>
      </w:r>
      <w:r w:rsidR="0093620F" w:rsidRPr="00CE23AE">
        <w:rPr>
          <w:szCs w:val="20"/>
          <w:lang w:val="en-US"/>
        </w:rPr>
        <w:t xml:space="preserve">of the Military </w:t>
      </w:r>
      <w:r w:rsidR="0093620F" w:rsidRPr="00CE23AE">
        <w:rPr>
          <w:szCs w:val="20"/>
          <w:lang w:val="en-US"/>
        </w:rPr>
        <w:lastRenderedPageBreak/>
        <w:t xml:space="preserve">Police </w:t>
      </w:r>
      <w:r w:rsidR="009C5D46" w:rsidRPr="00CE23AE">
        <w:rPr>
          <w:szCs w:val="20"/>
          <w:lang w:val="en-US"/>
        </w:rPr>
        <w:t>of the Fourth Zone</w:t>
      </w:r>
      <w:r w:rsidR="00F0135F" w:rsidRPr="00CE23AE">
        <w:rPr>
          <w:szCs w:val="20"/>
          <w:lang w:val="en-US"/>
        </w:rPr>
        <w:t xml:space="preserve"> </w:t>
      </w:r>
      <w:r w:rsidR="0093620F" w:rsidRPr="00CE23AE">
        <w:rPr>
          <w:szCs w:val="20"/>
          <w:lang w:val="en-US"/>
        </w:rPr>
        <w:t>indicating that</w:t>
      </w:r>
      <w:r w:rsidR="00F0135F" w:rsidRPr="00CE23AE">
        <w:rPr>
          <w:szCs w:val="20"/>
          <w:lang w:val="en-US"/>
        </w:rPr>
        <w:t xml:space="preserve"> “</w:t>
      </w:r>
      <w:r w:rsidR="0093620F" w:rsidRPr="00CE23AE">
        <w:rPr>
          <w:szCs w:val="20"/>
          <w:lang w:val="en-US"/>
        </w:rPr>
        <w:t>there had never been any problem in [Mr. Flor Freire’s] technical and professional work, and he had conducted himself appropriately.</w:t>
      </w:r>
      <w:r w:rsidR="00F0135F" w:rsidRPr="00CE23AE">
        <w:rPr>
          <w:szCs w:val="20"/>
          <w:lang w:val="en-US"/>
        </w:rPr>
        <w:t>”</w:t>
      </w:r>
      <w:r w:rsidR="00F0135F" w:rsidRPr="00CE23AE">
        <w:rPr>
          <w:rStyle w:val="Refdenotaalpie"/>
          <w:lang w:val="en-US"/>
        </w:rPr>
        <w:footnoteReference w:id="101"/>
      </w:r>
    </w:p>
    <w:p w14:paraId="64114E5A" w14:textId="77777777" w:rsidR="00F0135F" w:rsidRPr="00CE23AE" w:rsidRDefault="00F0135F" w:rsidP="00F0135F">
      <w:pPr>
        <w:rPr>
          <w:szCs w:val="20"/>
          <w:lang w:val="en-US"/>
        </w:rPr>
      </w:pPr>
    </w:p>
    <w:p w14:paraId="06F7D034" w14:textId="5D6FBF89" w:rsidR="00F0135F" w:rsidRPr="00CE23AE" w:rsidRDefault="0093620F" w:rsidP="00F0135F">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On the basis of this evidence,</w:t>
      </w:r>
      <w:r w:rsidR="00F0135F" w:rsidRPr="00CE23AE">
        <w:rPr>
          <w:szCs w:val="20"/>
          <w:lang w:val="en-US"/>
        </w:rPr>
        <w:t xml:space="preserve"> </w:t>
      </w:r>
      <w:r w:rsidR="00911D66" w:rsidRPr="00CE23AE">
        <w:rPr>
          <w:szCs w:val="20"/>
          <w:lang w:val="en-US"/>
        </w:rPr>
        <w:t>on</w:t>
      </w:r>
      <w:r w:rsidR="0078516C" w:rsidRPr="00CE23AE">
        <w:rPr>
          <w:szCs w:val="20"/>
          <w:lang w:val="en-US"/>
        </w:rPr>
        <w:t xml:space="preserve"> </w:t>
      </w:r>
      <w:r w:rsidRPr="00CE23AE">
        <w:rPr>
          <w:szCs w:val="20"/>
          <w:lang w:val="en-US"/>
        </w:rPr>
        <w:t>January 17,</w:t>
      </w:r>
      <w:r w:rsidR="00F0135F" w:rsidRPr="00CE23AE">
        <w:rPr>
          <w:szCs w:val="20"/>
          <w:lang w:val="en-US"/>
        </w:rPr>
        <w:t xml:space="preserve"> 2001</w:t>
      </w:r>
      <w:r w:rsidRPr="00CE23AE">
        <w:rPr>
          <w:szCs w:val="20"/>
          <w:lang w:val="en-US"/>
        </w:rPr>
        <w:t xml:space="preserve">, </w:t>
      </w:r>
      <w:r w:rsidR="0068143D" w:rsidRPr="00CE23AE">
        <w:rPr>
          <w:szCs w:val="20"/>
          <w:lang w:val="en-US"/>
        </w:rPr>
        <w:t xml:space="preserve">the </w:t>
      </w:r>
      <w:r w:rsidR="00A055CE" w:rsidRPr="00CE23AE">
        <w:rPr>
          <w:szCs w:val="20"/>
          <w:lang w:val="en-US"/>
        </w:rPr>
        <w:t>Court of Law</w:t>
      </w:r>
      <w:r w:rsidRPr="00CE23AE">
        <w:rPr>
          <w:szCs w:val="20"/>
          <w:lang w:val="en-US"/>
        </w:rPr>
        <w:t xml:space="preserve"> found that it had been established that</w:t>
      </w:r>
      <w:r w:rsidR="00F0135F" w:rsidRPr="00CE23AE">
        <w:rPr>
          <w:szCs w:val="20"/>
          <w:lang w:val="en-US"/>
        </w:rPr>
        <w:t xml:space="preserve">, </w:t>
      </w:r>
      <w:r w:rsidRPr="00CE23AE">
        <w:rPr>
          <w:szCs w:val="20"/>
          <w:lang w:val="en-US"/>
        </w:rPr>
        <w:t>in the early morning hours</w:t>
      </w:r>
      <w:r w:rsidR="0068143D" w:rsidRPr="00CE23AE">
        <w:rPr>
          <w:szCs w:val="20"/>
          <w:lang w:val="en-US"/>
        </w:rPr>
        <w:t xml:space="preserve"> of November 19, 2000</w:t>
      </w:r>
      <w:r w:rsidR="00F0135F" w:rsidRPr="00CE23AE">
        <w:rPr>
          <w:szCs w:val="20"/>
          <w:lang w:val="en-US"/>
        </w:rPr>
        <w:t xml:space="preserve">, </w:t>
      </w:r>
      <w:r w:rsidR="00F5102B" w:rsidRPr="00CE23AE">
        <w:rPr>
          <w:szCs w:val="20"/>
          <w:lang w:val="en-US"/>
        </w:rPr>
        <w:t>Mr. Flor</w:t>
      </w:r>
      <w:r w:rsidR="00F0135F" w:rsidRPr="00CE23AE">
        <w:rPr>
          <w:szCs w:val="20"/>
          <w:lang w:val="en-US"/>
        </w:rPr>
        <w:t xml:space="preserve"> Freire</w:t>
      </w:r>
      <w:r w:rsidR="00C561DF" w:rsidRPr="00CE23AE">
        <w:rPr>
          <w:szCs w:val="20"/>
          <w:lang w:val="en-US"/>
        </w:rPr>
        <w:t xml:space="preserve"> and </w:t>
      </w:r>
      <w:r w:rsidR="0068143D" w:rsidRPr="00CE23AE">
        <w:rPr>
          <w:szCs w:val="20"/>
          <w:lang w:val="en-US"/>
        </w:rPr>
        <w:t>the other soldier entered the former’s bedroom located in the Unmarried Officers</w:t>
      </w:r>
      <w:r w:rsidR="00911D66" w:rsidRPr="00CE23AE">
        <w:rPr>
          <w:szCs w:val="20"/>
          <w:lang w:val="en-US"/>
        </w:rPr>
        <w:t xml:space="preserve"> Residence</w:t>
      </w:r>
      <w:r w:rsidR="0068143D" w:rsidRPr="00CE23AE">
        <w:rPr>
          <w:szCs w:val="20"/>
          <w:lang w:val="en-US"/>
        </w:rPr>
        <w:t xml:space="preserve"> of the Amazonas Military Base, and that they were seen having sexual relations inside this room.</w:t>
      </w:r>
      <w:r w:rsidR="00F0135F" w:rsidRPr="00CE23AE">
        <w:rPr>
          <w:rStyle w:val="Refdenotaalpie"/>
          <w:szCs w:val="20"/>
          <w:lang w:val="en-US"/>
        </w:rPr>
        <w:footnoteReference w:id="102"/>
      </w:r>
      <w:r w:rsidR="00F0135F" w:rsidRPr="00CE23AE">
        <w:rPr>
          <w:szCs w:val="20"/>
          <w:lang w:val="en-US"/>
        </w:rPr>
        <w:t xml:space="preserve"> </w:t>
      </w:r>
    </w:p>
    <w:p w14:paraId="6BFB17E1" w14:textId="77777777" w:rsidR="00F0135F" w:rsidRPr="00CE23AE" w:rsidRDefault="00F0135F" w:rsidP="00F0135F">
      <w:pPr>
        <w:pStyle w:val="Prrafodelista"/>
        <w:rPr>
          <w:szCs w:val="20"/>
          <w:lang w:val="en-US"/>
        </w:rPr>
      </w:pPr>
    </w:p>
    <w:p w14:paraId="1AD00D66" w14:textId="6A8356FD" w:rsidR="00F0135F" w:rsidRPr="00CE23AE" w:rsidRDefault="00F41C68" w:rsidP="00F0135F">
      <w:pPr>
        <w:widowControl/>
        <w:numPr>
          <w:ilvl w:val="0"/>
          <w:numId w:val="6"/>
        </w:numPr>
        <w:tabs>
          <w:tab w:val="left" w:pos="567"/>
        </w:tabs>
        <w:suppressAutoHyphens/>
        <w:adjustRightInd/>
        <w:spacing w:line="240" w:lineRule="auto"/>
        <w:textAlignment w:val="auto"/>
        <w:rPr>
          <w:szCs w:val="20"/>
          <w:lang w:val="en-US"/>
        </w:rPr>
      </w:pPr>
      <w:bookmarkStart w:id="244" w:name="_Ref453869545"/>
      <w:r w:rsidRPr="00CE23AE">
        <w:rPr>
          <w:szCs w:val="20"/>
          <w:lang w:val="en-US"/>
        </w:rPr>
        <w:t xml:space="preserve">The </w:t>
      </w:r>
      <w:r w:rsidR="00911D66" w:rsidRPr="00CE23AE">
        <w:rPr>
          <w:szCs w:val="20"/>
          <w:lang w:val="en-US"/>
        </w:rPr>
        <w:t>c</w:t>
      </w:r>
      <w:r w:rsidRPr="00CE23AE">
        <w:rPr>
          <w:szCs w:val="20"/>
          <w:lang w:val="en-US"/>
        </w:rPr>
        <w:t>ourt then determined that, having “investigated the acts</w:t>
      </w:r>
      <w:r w:rsidR="00911D66" w:rsidRPr="00CE23AE">
        <w:rPr>
          <w:szCs w:val="20"/>
          <w:lang w:val="en-US"/>
        </w:rPr>
        <w:t xml:space="preserve"> of homosexuality</w:t>
      </w:r>
      <w:r w:rsidRPr="00CE23AE">
        <w:rPr>
          <w:szCs w:val="20"/>
          <w:lang w:val="en-US"/>
        </w:rPr>
        <w:t xml:space="preserve"> committed,” their perpetration was proved by the testimonial evidence provided</w:t>
      </w:r>
      <w:r w:rsidR="00911D66" w:rsidRPr="00CE23AE">
        <w:rPr>
          <w:szCs w:val="20"/>
          <w:lang w:val="en-US"/>
        </w:rPr>
        <w:t>;</w:t>
      </w:r>
      <w:r w:rsidR="00F0135F" w:rsidRPr="00CE23AE">
        <w:rPr>
          <w:rStyle w:val="Refdenotaalpie"/>
          <w:lang w:val="en-US"/>
        </w:rPr>
        <w:footnoteReference w:id="103"/>
      </w:r>
      <w:r w:rsidR="00F0135F" w:rsidRPr="00CE23AE">
        <w:rPr>
          <w:szCs w:val="20"/>
          <w:lang w:val="en-US"/>
        </w:rPr>
        <w:t xml:space="preserve"> </w:t>
      </w:r>
      <w:r w:rsidR="00911D66" w:rsidRPr="00CE23AE">
        <w:rPr>
          <w:szCs w:val="20"/>
          <w:lang w:val="en-US"/>
        </w:rPr>
        <w:t>therefore,</w:t>
      </w:r>
      <w:r w:rsidR="00F0135F" w:rsidRPr="00CE23AE">
        <w:rPr>
          <w:szCs w:val="20"/>
          <w:lang w:val="en-US"/>
        </w:rPr>
        <w:t xml:space="preserve"> </w:t>
      </w:r>
      <w:r w:rsidR="00F5102B" w:rsidRPr="00CE23AE">
        <w:rPr>
          <w:szCs w:val="20"/>
          <w:lang w:val="en-US"/>
        </w:rPr>
        <w:t>Mr. Flor</w:t>
      </w:r>
      <w:r w:rsidR="00F0135F" w:rsidRPr="00CE23AE">
        <w:rPr>
          <w:szCs w:val="20"/>
          <w:lang w:val="en-US"/>
        </w:rPr>
        <w:t xml:space="preserve"> Freire ha</w:t>
      </w:r>
      <w:r w:rsidRPr="00CE23AE">
        <w:rPr>
          <w:szCs w:val="20"/>
          <w:lang w:val="en-US"/>
        </w:rPr>
        <w:t>d committed the offense established in a</w:t>
      </w:r>
      <w:r w:rsidR="00C561DF" w:rsidRPr="00CE23AE">
        <w:rPr>
          <w:szCs w:val="20"/>
          <w:lang w:val="en-US"/>
        </w:rPr>
        <w:t>rticle</w:t>
      </w:r>
      <w:r w:rsidR="00F0135F" w:rsidRPr="00CE23AE">
        <w:rPr>
          <w:szCs w:val="20"/>
          <w:lang w:val="en-US"/>
        </w:rPr>
        <w:t xml:space="preserve"> 117</w:t>
      </w:r>
      <w:r w:rsidR="00C561DF" w:rsidRPr="00CE23AE">
        <w:rPr>
          <w:szCs w:val="20"/>
          <w:lang w:val="en-US"/>
        </w:rPr>
        <w:t xml:space="preserve"> of the </w:t>
      </w:r>
      <w:r w:rsidR="009C5D46" w:rsidRPr="00CE23AE">
        <w:rPr>
          <w:szCs w:val="20"/>
          <w:lang w:val="en-US"/>
        </w:rPr>
        <w:t>Military Discipline Regulations</w:t>
      </w:r>
      <w:r w:rsidR="00F0135F" w:rsidRPr="00CE23AE">
        <w:rPr>
          <w:szCs w:val="20"/>
          <w:lang w:val="en-US"/>
        </w:rPr>
        <w:t xml:space="preserve"> (</w:t>
      </w:r>
      <w:r w:rsidR="00F0135F" w:rsidRPr="00CE23AE">
        <w:rPr>
          <w:i/>
          <w:szCs w:val="20"/>
          <w:lang w:val="en-US"/>
        </w:rPr>
        <w:t>supra</w:t>
      </w:r>
      <w:r w:rsidR="00F0135F" w:rsidRPr="00CE23AE">
        <w:rPr>
          <w:szCs w:val="20"/>
          <w:lang w:val="en-US"/>
        </w:rPr>
        <w:t xml:space="preserve"> </w:t>
      </w:r>
      <w:r w:rsidR="005C743F" w:rsidRPr="00CE23AE">
        <w:rPr>
          <w:szCs w:val="20"/>
          <w:lang w:val="en-US"/>
        </w:rPr>
        <w:t>para.</w:t>
      </w:r>
      <w:r w:rsidR="00F0135F" w:rsidRPr="00CE23AE">
        <w:rPr>
          <w:b/>
          <w:szCs w:val="20"/>
          <w:lang w:val="en-US"/>
        </w:rPr>
        <w:t xml:space="preserve"> </w:t>
      </w:r>
      <w:r w:rsidR="00F0135F" w:rsidRPr="00CE23AE">
        <w:rPr>
          <w:szCs w:val="20"/>
          <w:lang w:val="en-US"/>
        </w:rPr>
        <w:fldChar w:fldCharType="begin"/>
      </w:r>
      <w:r w:rsidR="00F0135F" w:rsidRPr="00CE23AE">
        <w:rPr>
          <w:szCs w:val="20"/>
          <w:lang w:val="en-US"/>
        </w:rPr>
        <w:instrText xml:space="preserve"> REF _Ref451448477 \r \h  \* MERGEFORMAT </w:instrText>
      </w:r>
      <w:r w:rsidR="00F0135F" w:rsidRPr="00CE23AE">
        <w:rPr>
          <w:szCs w:val="20"/>
          <w:lang w:val="en-US"/>
        </w:rPr>
      </w:r>
      <w:r w:rsidR="00F0135F" w:rsidRPr="00CE23AE">
        <w:rPr>
          <w:szCs w:val="20"/>
          <w:lang w:val="en-US"/>
        </w:rPr>
        <w:fldChar w:fldCharType="separate"/>
      </w:r>
      <w:r w:rsidR="00BC2953" w:rsidRPr="00CE23AE">
        <w:rPr>
          <w:szCs w:val="20"/>
          <w:lang w:val="en-US"/>
        </w:rPr>
        <w:t>60</w:t>
      </w:r>
      <w:r w:rsidR="00F0135F" w:rsidRPr="00CE23AE">
        <w:rPr>
          <w:szCs w:val="20"/>
          <w:lang w:val="en-US"/>
        </w:rPr>
        <w:fldChar w:fldCharType="end"/>
      </w:r>
      <w:r w:rsidR="00F0135F" w:rsidRPr="00CE23AE">
        <w:rPr>
          <w:szCs w:val="20"/>
          <w:lang w:val="en-US"/>
        </w:rPr>
        <w:t xml:space="preserve">). </w:t>
      </w:r>
      <w:r w:rsidRPr="00CE23AE">
        <w:rPr>
          <w:szCs w:val="20"/>
          <w:lang w:val="en-US"/>
        </w:rPr>
        <w:t xml:space="preserve">The </w:t>
      </w:r>
      <w:r w:rsidR="00911D66" w:rsidRPr="00CE23AE">
        <w:rPr>
          <w:szCs w:val="20"/>
          <w:lang w:val="en-US"/>
        </w:rPr>
        <w:t>c</w:t>
      </w:r>
      <w:r w:rsidRPr="00CE23AE">
        <w:rPr>
          <w:szCs w:val="20"/>
          <w:lang w:val="en-US"/>
        </w:rPr>
        <w:t xml:space="preserve">ourt affirmed that this article was not incompatible with the Ecuadorian </w:t>
      </w:r>
      <w:r w:rsidR="00555204" w:rsidRPr="00CE23AE">
        <w:rPr>
          <w:szCs w:val="20"/>
          <w:lang w:val="en-US"/>
        </w:rPr>
        <w:t>Constitution</w:t>
      </w:r>
      <w:r w:rsidRPr="00CE23AE">
        <w:rPr>
          <w:szCs w:val="20"/>
          <w:lang w:val="en-US"/>
        </w:rPr>
        <w:t xml:space="preserve"> owing to the </w:t>
      </w:r>
      <w:r w:rsidR="00F0135F" w:rsidRPr="00CE23AE">
        <w:rPr>
          <w:szCs w:val="20"/>
          <w:lang w:val="en-US"/>
        </w:rPr>
        <w:t>“</w:t>
      </w:r>
      <w:r w:rsidRPr="00CE23AE">
        <w:rPr>
          <w:szCs w:val="20"/>
          <w:lang w:val="en-US"/>
        </w:rPr>
        <w:t>special nature</w:t>
      </w:r>
      <w:r w:rsidR="00F0135F" w:rsidRPr="00CE23AE">
        <w:rPr>
          <w:szCs w:val="20"/>
          <w:lang w:val="en-US"/>
        </w:rPr>
        <w:t xml:space="preserve">” </w:t>
      </w:r>
      <w:r w:rsidRPr="00CE23AE">
        <w:rPr>
          <w:szCs w:val="20"/>
          <w:lang w:val="en-US"/>
        </w:rPr>
        <w:t>of military law</w:t>
      </w:r>
      <w:r w:rsidR="00C561DF" w:rsidRPr="00CE23AE">
        <w:rPr>
          <w:szCs w:val="20"/>
          <w:lang w:val="en-US"/>
        </w:rPr>
        <w:t xml:space="preserve"> and </w:t>
      </w:r>
      <w:r w:rsidRPr="00CE23AE">
        <w:rPr>
          <w:szCs w:val="20"/>
          <w:lang w:val="en-US"/>
        </w:rPr>
        <w:t>indicated that</w:t>
      </w:r>
      <w:r w:rsidR="00F0135F" w:rsidRPr="00CE23AE">
        <w:rPr>
          <w:szCs w:val="20"/>
          <w:lang w:val="en-US"/>
        </w:rPr>
        <w:t>:</w:t>
      </w:r>
      <w:bookmarkEnd w:id="244"/>
    </w:p>
    <w:p w14:paraId="3A9EC2DE" w14:textId="77777777" w:rsidR="00F0135F" w:rsidRPr="00CE23AE" w:rsidRDefault="00F0135F" w:rsidP="00F0135F">
      <w:pPr>
        <w:rPr>
          <w:szCs w:val="20"/>
          <w:lang w:val="en-US"/>
        </w:rPr>
      </w:pPr>
    </w:p>
    <w:p w14:paraId="77A69D0E" w14:textId="1ED14498" w:rsidR="00F0135F" w:rsidRPr="00CE23AE" w:rsidRDefault="00F41C68" w:rsidP="00C07EED">
      <w:pPr>
        <w:ind w:left="567" w:right="720" w:firstLine="11"/>
        <w:rPr>
          <w:sz w:val="18"/>
          <w:szCs w:val="18"/>
          <w:lang w:val="en-US"/>
        </w:rPr>
      </w:pPr>
      <w:r w:rsidRPr="00CE23AE">
        <w:rPr>
          <w:sz w:val="18"/>
          <w:szCs w:val="18"/>
          <w:lang w:val="en-US"/>
        </w:rPr>
        <w:t>Article 23.25 of t</w:t>
      </w:r>
      <w:r w:rsidR="00555204" w:rsidRPr="00CE23AE">
        <w:rPr>
          <w:sz w:val="18"/>
          <w:szCs w:val="18"/>
          <w:lang w:val="en-US"/>
        </w:rPr>
        <w:t>he Constitution</w:t>
      </w:r>
      <w:r w:rsidRPr="00CE23AE">
        <w:rPr>
          <w:sz w:val="18"/>
          <w:szCs w:val="18"/>
          <w:lang w:val="en-US"/>
        </w:rPr>
        <w:t xml:space="preserve"> of</w:t>
      </w:r>
      <w:r w:rsidR="00F0135F" w:rsidRPr="00CE23AE">
        <w:rPr>
          <w:sz w:val="18"/>
          <w:szCs w:val="18"/>
          <w:lang w:val="en-US"/>
        </w:rPr>
        <w:t xml:space="preserve"> Ecuador</w:t>
      </w:r>
      <w:r w:rsidRPr="00CE23AE">
        <w:rPr>
          <w:sz w:val="18"/>
          <w:szCs w:val="18"/>
          <w:lang w:val="en-US"/>
        </w:rPr>
        <w:t xml:space="preserve">, which refers to the civil rights of citizens, guarantees a person’s ‘right to take free and responsible decisions about his/her sexual life.’  However, art. 117 of the Military Discipline Regulations </w:t>
      </w:r>
      <w:r w:rsidR="00C07EED" w:rsidRPr="00CE23AE">
        <w:rPr>
          <w:sz w:val="18"/>
          <w:szCs w:val="18"/>
          <w:lang w:val="en-US"/>
        </w:rPr>
        <w:t>is</w:t>
      </w:r>
      <w:r w:rsidRPr="00CE23AE">
        <w:rPr>
          <w:sz w:val="18"/>
          <w:szCs w:val="18"/>
          <w:lang w:val="en-US"/>
        </w:rPr>
        <w:t xml:space="preserve"> in force in the Armed Forces […] </w:t>
      </w:r>
      <w:r w:rsidR="00C07EED" w:rsidRPr="00CE23AE">
        <w:rPr>
          <w:sz w:val="18"/>
          <w:szCs w:val="18"/>
          <w:lang w:val="en-US"/>
        </w:rPr>
        <w:t xml:space="preserve">and it </w:t>
      </w:r>
      <w:r w:rsidRPr="00CE23AE">
        <w:rPr>
          <w:sz w:val="18"/>
          <w:szCs w:val="18"/>
          <w:lang w:val="en-US"/>
        </w:rPr>
        <w:t>sanction</w:t>
      </w:r>
      <w:r w:rsidR="00C07EED" w:rsidRPr="00CE23AE">
        <w:rPr>
          <w:sz w:val="18"/>
          <w:szCs w:val="18"/>
          <w:lang w:val="en-US"/>
        </w:rPr>
        <w:t>s</w:t>
      </w:r>
      <w:r w:rsidRPr="00CE23AE">
        <w:rPr>
          <w:sz w:val="18"/>
          <w:szCs w:val="18"/>
          <w:lang w:val="en-US"/>
        </w:rPr>
        <w:t xml:space="preserve"> </w:t>
      </w:r>
      <w:r w:rsidR="00201DC4" w:rsidRPr="00CE23AE">
        <w:rPr>
          <w:sz w:val="18"/>
          <w:szCs w:val="18"/>
          <w:lang w:val="en-US"/>
        </w:rPr>
        <w:t xml:space="preserve">acts of </w:t>
      </w:r>
      <w:r w:rsidRPr="00CE23AE">
        <w:rPr>
          <w:sz w:val="18"/>
          <w:szCs w:val="18"/>
          <w:lang w:val="en-US"/>
        </w:rPr>
        <w:t>homosexual</w:t>
      </w:r>
      <w:r w:rsidR="00201DC4" w:rsidRPr="00CE23AE">
        <w:rPr>
          <w:sz w:val="18"/>
          <w:szCs w:val="18"/>
          <w:lang w:val="en-US"/>
        </w:rPr>
        <w:t>ity</w:t>
      </w:r>
      <w:r w:rsidRPr="00CE23AE">
        <w:rPr>
          <w:sz w:val="18"/>
          <w:szCs w:val="18"/>
          <w:lang w:val="en-US"/>
        </w:rPr>
        <w:t xml:space="preserve">, </w:t>
      </w:r>
      <w:r w:rsidR="00C07EED" w:rsidRPr="00CE23AE">
        <w:rPr>
          <w:sz w:val="18"/>
          <w:szCs w:val="18"/>
          <w:lang w:val="en-US"/>
        </w:rPr>
        <w:t xml:space="preserve">owing </w:t>
      </w:r>
      <w:r w:rsidRPr="00CE23AE">
        <w:rPr>
          <w:sz w:val="18"/>
          <w:szCs w:val="18"/>
          <w:lang w:val="en-US"/>
        </w:rPr>
        <w:t>precisely to the special nature of military law, to</w:t>
      </w:r>
      <w:r w:rsidR="00C07EED" w:rsidRPr="00CE23AE">
        <w:rPr>
          <w:sz w:val="18"/>
          <w:szCs w:val="18"/>
          <w:lang w:val="en-US"/>
        </w:rPr>
        <w:t xml:space="preserve"> the</w:t>
      </w:r>
      <w:r w:rsidRPr="00CE23AE">
        <w:rPr>
          <w:sz w:val="18"/>
          <w:szCs w:val="18"/>
          <w:lang w:val="en-US"/>
        </w:rPr>
        <w:t xml:space="preserve"> philosophy and constitutional mission</w:t>
      </w:r>
      <w:r w:rsidR="00C07EED" w:rsidRPr="00CE23AE">
        <w:rPr>
          <w:sz w:val="18"/>
          <w:szCs w:val="18"/>
          <w:lang w:val="en-US"/>
        </w:rPr>
        <w:t xml:space="preserve"> [of the Armed Forces]</w:t>
      </w:r>
      <w:r w:rsidRPr="00CE23AE">
        <w:rPr>
          <w:sz w:val="18"/>
          <w:szCs w:val="18"/>
          <w:lang w:val="en-US"/>
        </w:rPr>
        <w:t xml:space="preserve"> </w:t>
      </w:r>
      <w:r w:rsidR="00C07EED" w:rsidRPr="00CE23AE">
        <w:rPr>
          <w:sz w:val="18"/>
          <w:szCs w:val="18"/>
          <w:lang w:val="en-US"/>
        </w:rPr>
        <w:t xml:space="preserve">because, </w:t>
      </w:r>
      <w:r w:rsidRPr="00CE23AE">
        <w:rPr>
          <w:sz w:val="18"/>
          <w:szCs w:val="18"/>
          <w:lang w:val="en-US"/>
        </w:rPr>
        <w:t xml:space="preserve">in </w:t>
      </w:r>
      <w:r w:rsidR="00C07EED" w:rsidRPr="00CE23AE">
        <w:rPr>
          <w:sz w:val="18"/>
          <w:szCs w:val="18"/>
          <w:lang w:val="en-US"/>
        </w:rPr>
        <w:t>their</w:t>
      </w:r>
      <w:r w:rsidRPr="00CE23AE">
        <w:rPr>
          <w:sz w:val="18"/>
          <w:szCs w:val="18"/>
          <w:lang w:val="en-US"/>
        </w:rPr>
        <w:t xml:space="preserve"> institutions and units</w:t>
      </w:r>
      <w:r w:rsidR="00C07EED" w:rsidRPr="00CE23AE">
        <w:rPr>
          <w:sz w:val="18"/>
          <w:szCs w:val="18"/>
          <w:lang w:val="en-US"/>
        </w:rPr>
        <w:t>, they cultivate and uphold</w:t>
      </w:r>
      <w:r w:rsidRPr="00CE23AE">
        <w:rPr>
          <w:sz w:val="18"/>
          <w:szCs w:val="18"/>
          <w:lang w:val="en-US"/>
        </w:rPr>
        <w:t xml:space="preserve"> values such as honor, dignity, discipline, loyalty, civility, [promoting] respect for patriotic symbols and the Ecuadorian nationality; </w:t>
      </w:r>
      <w:r w:rsidR="00201DC4" w:rsidRPr="00CE23AE">
        <w:rPr>
          <w:sz w:val="18"/>
          <w:szCs w:val="18"/>
          <w:lang w:val="en-US"/>
        </w:rPr>
        <w:t>owing to</w:t>
      </w:r>
      <w:r w:rsidRPr="00CE23AE">
        <w:rPr>
          <w:sz w:val="18"/>
          <w:szCs w:val="18"/>
          <w:lang w:val="en-US"/>
        </w:rPr>
        <w:t xml:space="preserve"> the values of an ethical and moral nature that </w:t>
      </w:r>
      <w:r w:rsidR="00C07EED" w:rsidRPr="00CE23AE">
        <w:rPr>
          <w:sz w:val="18"/>
          <w:szCs w:val="18"/>
          <w:lang w:val="en-US"/>
        </w:rPr>
        <w:t>they</w:t>
      </w:r>
      <w:r w:rsidRPr="00CE23AE">
        <w:rPr>
          <w:sz w:val="18"/>
          <w:szCs w:val="18"/>
          <w:lang w:val="en-US"/>
        </w:rPr>
        <w:t xml:space="preserve"> practice and that are the fundamental pillars of the firm and unwavering </w:t>
      </w:r>
      <w:r w:rsidR="00201DC4" w:rsidRPr="00CE23AE">
        <w:rPr>
          <w:sz w:val="18"/>
          <w:szCs w:val="18"/>
          <w:lang w:val="en-US"/>
        </w:rPr>
        <w:t>character</w:t>
      </w:r>
      <w:r w:rsidRPr="00CE23AE">
        <w:rPr>
          <w:sz w:val="18"/>
          <w:szCs w:val="18"/>
          <w:lang w:val="en-US"/>
        </w:rPr>
        <w:t xml:space="preserve"> of </w:t>
      </w:r>
      <w:r w:rsidR="00C07EED" w:rsidRPr="00CE23AE">
        <w:rPr>
          <w:sz w:val="18"/>
          <w:szCs w:val="18"/>
          <w:lang w:val="en-US"/>
        </w:rPr>
        <w:t>their</w:t>
      </w:r>
      <w:r w:rsidRPr="00CE23AE">
        <w:rPr>
          <w:sz w:val="18"/>
          <w:szCs w:val="18"/>
          <w:lang w:val="en-US"/>
        </w:rPr>
        <w:t xml:space="preserve"> members</w:t>
      </w:r>
      <w:r w:rsidR="00201DC4" w:rsidRPr="00CE23AE">
        <w:rPr>
          <w:sz w:val="18"/>
          <w:szCs w:val="18"/>
          <w:lang w:val="en-US"/>
        </w:rPr>
        <w:t>,</w:t>
      </w:r>
      <w:r w:rsidR="00C07EED" w:rsidRPr="00CE23AE">
        <w:rPr>
          <w:sz w:val="18"/>
          <w:szCs w:val="18"/>
          <w:lang w:val="en-US"/>
        </w:rPr>
        <w:t xml:space="preserve"> </w:t>
      </w:r>
      <w:r w:rsidR="00201DC4" w:rsidRPr="00CE23AE">
        <w:rPr>
          <w:sz w:val="18"/>
          <w:szCs w:val="18"/>
          <w:lang w:val="en-US"/>
        </w:rPr>
        <w:t>which</w:t>
      </w:r>
      <w:r w:rsidR="00C07EED" w:rsidRPr="00CE23AE">
        <w:rPr>
          <w:sz w:val="18"/>
          <w:szCs w:val="18"/>
          <w:lang w:val="en-US"/>
        </w:rPr>
        <w:t xml:space="preserve"> </w:t>
      </w:r>
      <w:r w:rsidRPr="00CE23AE">
        <w:rPr>
          <w:sz w:val="18"/>
          <w:szCs w:val="18"/>
          <w:lang w:val="en-US"/>
        </w:rPr>
        <w:t>are essential elements of the integral training of the soldier, all of which is not compatible with the conduct and behavior adopted by the individuals under investigation</w:t>
      </w:r>
      <w:r w:rsidR="00C07EED" w:rsidRPr="00CE23AE">
        <w:rPr>
          <w:sz w:val="18"/>
          <w:szCs w:val="18"/>
          <w:lang w:val="en-US"/>
        </w:rPr>
        <w:t xml:space="preserve"> because the</w:t>
      </w:r>
      <w:r w:rsidR="00D56E29" w:rsidRPr="00CE23AE">
        <w:rPr>
          <w:sz w:val="18"/>
          <w:szCs w:val="18"/>
          <w:lang w:val="en-US"/>
        </w:rPr>
        <w:t>se</w:t>
      </w:r>
      <w:r w:rsidR="00C07EED" w:rsidRPr="00CE23AE">
        <w:rPr>
          <w:sz w:val="18"/>
          <w:szCs w:val="18"/>
          <w:lang w:val="en-US"/>
        </w:rPr>
        <w:t xml:space="preserve"> are contrary to the </w:t>
      </w:r>
      <w:r w:rsidR="00201DC4" w:rsidRPr="00CE23AE">
        <w:rPr>
          <w:sz w:val="18"/>
          <w:szCs w:val="18"/>
          <w:lang w:val="en-US"/>
        </w:rPr>
        <w:t>compulsory</w:t>
      </w:r>
      <w:r w:rsidR="00C07EED" w:rsidRPr="00CE23AE">
        <w:rPr>
          <w:sz w:val="18"/>
          <w:szCs w:val="18"/>
          <w:lang w:val="en-US"/>
        </w:rPr>
        <w:t xml:space="preserve"> principles and standards of conduct </w:t>
      </w:r>
      <w:r w:rsidR="00D56E29" w:rsidRPr="00CE23AE">
        <w:rPr>
          <w:sz w:val="18"/>
          <w:szCs w:val="18"/>
          <w:lang w:val="en-US"/>
        </w:rPr>
        <w:t>in force</w:t>
      </w:r>
      <w:r w:rsidR="00C07EED" w:rsidRPr="00CE23AE">
        <w:rPr>
          <w:sz w:val="18"/>
          <w:szCs w:val="18"/>
          <w:lang w:val="en-US"/>
        </w:rPr>
        <w:t xml:space="preserve"> for all members of the Armed Forces, an institution that prides itself on being the moral reserve of society, and being composed of men who are upright, capable, responsible and possessing impeccable moral authority that allows them to guide and lead their subordinates in operations [and] activities inherent in the military career.</w:t>
      </w:r>
      <w:r w:rsidR="00F0135F" w:rsidRPr="00CE23AE">
        <w:rPr>
          <w:rStyle w:val="Refdenotaalpie"/>
          <w:sz w:val="18"/>
          <w:szCs w:val="18"/>
          <w:lang w:val="en-US"/>
        </w:rPr>
        <w:footnoteReference w:id="104"/>
      </w:r>
      <w:r w:rsidR="00F0135F" w:rsidRPr="00CE23AE">
        <w:rPr>
          <w:sz w:val="18"/>
          <w:szCs w:val="18"/>
          <w:lang w:val="en-US"/>
        </w:rPr>
        <w:t xml:space="preserve"> </w:t>
      </w:r>
    </w:p>
    <w:p w14:paraId="4DE41D31" w14:textId="77777777" w:rsidR="00F0135F" w:rsidRPr="00CE23AE" w:rsidRDefault="00F0135F" w:rsidP="00F0135F">
      <w:pPr>
        <w:rPr>
          <w:szCs w:val="20"/>
          <w:lang w:val="en-US"/>
        </w:rPr>
      </w:pPr>
    </w:p>
    <w:p w14:paraId="4340CB6D" w14:textId="3AEFDEFC" w:rsidR="00F0135F" w:rsidRPr="00CE23AE" w:rsidRDefault="00D56E29" w:rsidP="00F0135F">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On this basis, the Court concluded that:</w:t>
      </w:r>
    </w:p>
    <w:p w14:paraId="27C8DA48" w14:textId="77777777" w:rsidR="00F0135F" w:rsidRPr="00CE23AE" w:rsidRDefault="00F0135F" w:rsidP="00F0135F">
      <w:pPr>
        <w:rPr>
          <w:szCs w:val="20"/>
          <w:lang w:val="en-US"/>
        </w:rPr>
      </w:pPr>
    </w:p>
    <w:p w14:paraId="5F6AD325" w14:textId="6A893F5C" w:rsidR="00F0135F" w:rsidRPr="00CE23AE" w:rsidRDefault="00201DC4" w:rsidP="006A3A73">
      <w:pPr>
        <w:tabs>
          <w:tab w:val="left" w:pos="1800"/>
        </w:tabs>
        <w:ind w:left="567" w:right="720"/>
        <w:rPr>
          <w:sz w:val="18"/>
          <w:szCs w:val="18"/>
          <w:lang w:val="en-US"/>
        </w:rPr>
      </w:pPr>
      <w:r w:rsidRPr="00CE23AE">
        <w:rPr>
          <w:sz w:val="18"/>
          <w:szCs w:val="18"/>
          <w:lang w:val="en-US"/>
        </w:rPr>
        <w:t>In</w:t>
      </w:r>
      <w:r w:rsidR="00045008" w:rsidRPr="00CE23AE">
        <w:rPr>
          <w:sz w:val="18"/>
          <w:szCs w:val="18"/>
          <w:lang w:val="en-US"/>
        </w:rPr>
        <w:t xml:space="preserve"> th</w:t>
      </w:r>
      <w:r w:rsidRPr="00CE23AE">
        <w:rPr>
          <w:sz w:val="18"/>
          <w:szCs w:val="18"/>
          <w:lang w:val="en-US"/>
        </w:rPr>
        <w:t>ese</w:t>
      </w:r>
      <w:r w:rsidR="00045008" w:rsidRPr="00CE23AE">
        <w:rPr>
          <w:sz w:val="18"/>
          <w:szCs w:val="18"/>
          <w:lang w:val="en-US"/>
        </w:rPr>
        <w:t xml:space="preserve"> proce</w:t>
      </w:r>
      <w:r w:rsidRPr="00CE23AE">
        <w:rPr>
          <w:sz w:val="18"/>
          <w:szCs w:val="18"/>
          <w:lang w:val="en-US"/>
        </w:rPr>
        <w:t>edings</w:t>
      </w:r>
      <w:r w:rsidR="00045008" w:rsidRPr="00CE23AE">
        <w:rPr>
          <w:sz w:val="18"/>
          <w:szCs w:val="18"/>
          <w:lang w:val="en-US"/>
        </w:rPr>
        <w:t xml:space="preserve">, it has been proved, by testimonial evidence and in light of sound judicial discretion, that </w:t>
      </w:r>
      <w:r w:rsidRPr="00CE23AE">
        <w:rPr>
          <w:sz w:val="18"/>
          <w:szCs w:val="18"/>
          <w:lang w:val="en-US"/>
        </w:rPr>
        <w:t xml:space="preserve">acts of </w:t>
      </w:r>
      <w:r w:rsidR="00045008" w:rsidRPr="00CE23AE">
        <w:rPr>
          <w:sz w:val="18"/>
          <w:szCs w:val="18"/>
          <w:lang w:val="en-US"/>
        </w:rPr>
        <w:t>homosexual</w:t>
      </w:r>
      <w:r w:rsidRPr="00CE23AE">
        <w:rPr>
          <w:sz w:val="18"/>
          <w:szCs w:val="18"/>
          <w:lang w:val="en-US"/>
        </w:rPr>
        <w:t>ity</w:t>
      </w:r>
      <w:r w:rsidR="00045008" w:rsidRPr="00CE23AE">
        <w:rPr>
          <w:sz w:val="18"/>
          <w:szCs w:val="18"/>
          <w:lang w:val="en-US"/>
        </w:rPr>
        <w:t xml:space="preserve"> were committed</w:t>
      </w:r>
      <w:r w:rsidRPr="00CE23AE">
        <w:rPr>
          <w:sz w:val="18"/>
          <w:szCs w:val="18"/>
          <w:lang w:val="en-US"/>
        </w:rPr>
        <w:t>;</w:t>
      </w:r>
      <w:r w:rsidR="00045008" w:rsidRPr="00CE23AE">
        <w:rPr>
          <w:sz w:val="18"/>
          <w:szCs w:val="18"/>
          <w:lang w:val="en-US"/>
        </w:rPr>
        <w:t xml:space="preserve"> that is the practice of oral sex between [Lieutenant] Homero Fabián Flor Freire and the [other soldier], soldiers on active duty, on military premises, </w:t>
      </w:r>
      <w:r w:rsidRPr="00CE23AE">
        <w:rPr>
          <w:sz w:val="18"/>
          <w:szCs w:val="18"/>
          <w:lang w:val="en-US"/>
        </w:rPr>
        <w:t>and this</w:t>
      </w:r>
      <w:r w:rsidR="00045008" w:rsidRPr="00CE23AE">
        <w:rPr>
          <w:sz w:val="18"/>
          <w:szCs w:val="18"/>
          <w:lang w:val="en-US"/>
        </w:rPr>
        <w:t xml:space="preserve"> has caused subjective offense to the Armed Forces as such, and has affected its image and prestige, </w:t>
      </w:r>
      <w:r w:rsidRPr="00CE23AE">
        <w:rPr>
          <w:sz w:val="18"/>
          <w:szCs w:val="18"/>
          <w:lang w:val="en-US"/>
        </w:rPr>
        <w:t xml:space="preserve">and </w:t>
      </w:r>
      <w:r w:rsidR="00045008" w:rsidRPr="00CE23AE">
        <w:rPr>
          <w:sz w:val="18"/>
          <w:szCs w:val="18"/>
          <w:lang w:val="en-US"/>
        </w:rPr>
        <w:t xml:space="preserve">has caused a scandal and given a bad example </w:t>
      </w:r>
      <w:r w:rsidRPr="00CE23AE">
        <w:rPr>
          <w:sz w:val="18"/>
          <w:szCs w:val="18"/>
          <w:lang w:val="en-US"/>
        </w:rPr>
        <w:t>for</w:t>
      </w:r>
      <w:r w:rsidR="00045008" w:rsidRPr="00CE23AE">
        <w:rPr>
          <w:sz w:val="18"/>
          <w:szCs w:val="18"/>
          <w:lang w:val="en-US"/>
        </w:rPr>
        <w:t xml:space="preserve"> both the military forces and the civilian population.</w:t>
      </w:r>
      <w:r w:rsidR="00F0135F" w:rsidRPr="00CE23AE">
        <w:rPr>
          <w:rStyle w:val="Refdenotaalpie"/>
          <w:sz w:val="18"/>
          <w:szCs w:val="18"/>
          <w:lang w:val="en-US"/>
        </w:rPr>
        <w:footnoteReference w:id="105"/>
      </w:r>
    </w:p>
    <w:p w14:paraId="20332E3A" w14:textId="77777777" w:rsidR="00F0135F" w:rsidRPr="00CE23AE" w:rsidRDefault="00F0135F" w:rsidP="00F0135F">
      <w:pPr>
        <w:rPr>
          <w:szCs w:val="20"/>
          <w:lang w:val="en-US"/>
        </w:rPr>
      </w:pPr>
    </w:p>
    <w:p w14:paraId="66811D3E" w14:textId="62D27408" w:rsidR="00F0135F" w:rsidRPr="00CE23AE" w:rsidRDefault="00045008" w:rsidP="00045008">
      <w:pPr>
        <w:pStyle w:val="PrrafodeSentencia"/>
        <w:rPr>
          <w:lang w:val="en-US"/>
        </w:rPr>
      </w:pPr>
      <w:bookmarkStart w:id="245" w:name="_Ref453869088"/>
      <w:r w:rsidRPr="00CE23AE">
        <w:rPr>
          <w:lang w:val="en-US"/>
        </w:rPr>
        <w:t xml:space="preserve">Consequently, that </w:t>
      </w:r>
      <w:r w:rsidR="0013582A" w:rsidRPr="00CE23AE">
        <w:rPr>
          <w:lang w:val="en-US"/>
        </w:rPr>
        <w:t>c</w:t>
      </w:r>
      <w:r w:rsidRPr="00CE23AE">
        <w:rPr>
          <w:lang w:val="en-US"/>
        </w:rPr>
        <w:t xml:space="preserve">ourt decided that, </w:t>
      </w:r>
      <w:r w:rsidR="0013582A" w:rsidRPr="00CE23AE">
        <w:rPr>
          <w:lang w:val="en-US"/>
        </w:rPr>
        <w:t>as</w:t>
      </w:r>
      <w:r w:rsidR="00C347F4" w:rsidRPr="00CE23AE">
        <w:rPr>
          <w:lang w:val="en-US"/>
        </w:rPr>
        <w:t xml:space="preserve"> both the Junior Officers Board and the Senior Officers Board had defined </w:t>
      </w:r>
      <w:r w:rsidRPr="00CE23AE">
        <w:rPr>
          <w:lang w:val="en-US"/>
        </w:rPr>
        <w:t>their acts as “misconduct</w:t>
      </w:r>
      <w:r w:rsidR="00C347F4" w:rsidRPr="00CE23AE">
        <w:rPr>
          <w:lang w:val="en-US"/>
        </w:rPr>
        <w:t>,</w:t>
      </w:r>
      <w:r w:rsidRPr="00CE23AE">
        <w:rPr>
          <w:lang w:val="en-US"/>
        </w:rPr>
        <w:t xml:space="preserve">” </w:t>
      </w:r>
      <w:r w:rsidR="00A77108" w:rsidRPr="00CE23AE">
        <w:rPr>
          <w:rFonts w:eastAsia="Times New Roman"/>
          <w:lang w:val="en-US" w:eastAsia="es-CR"/>
        </w:rPr>
        <w:t>Lieutenant</w:t>
      </w:r>
      <w:r w:rsidR="00F0135F" w:rsidRPr="00CE23AE">
        <w:rPr>
          <w:rFonts w:eastAsia="Times New Roman"/>
          <w:lang w:val="en-US" w:eastAsia="es-CR"/>
        </w:rPr>
        <w:t xml:space="preserve"> Flor Freire</w:t>
      </w:r>
      <w:r w:rsidR="00C561DF" w:rsidRPr="00CE23AE">
        <w:rPr>
          <w:rFonts w:eastAsia="Times New Roman"/>
          <w:lang w:val="en-US" w:eastAsia="es-CR"/>
        </w:rPr>
        <w:t xml:space="preserve"> and </w:t>
      </w:r>
      <w:r w:rsidRPr="00CE23AE">
        <w:rPr>
          <w:rFonts w:eastAsia="Times New Roman"/>
          <w:lang w:val="en-US" w:eastAsia="es-CR"/>
        </w:rPr>
        <w:t xml:space="preserve">the other soldier should “be sanctioned in keeping with the provisions of </w:t>
      </w:r>
      <w:r w:rsidRPr="00CE23AE">
        <w:rPr>
          <w:lang w:val="en-US"/>
        </w:rPr>
        <w:t>a</w:t>
      </w:r>
      <w:r w:rsidR="00C561DF" w:rsidRPr="00CE23AE">
        <w:rPr>
          <w:lang w:val="en-US"/>
        </w:rPr>
        <w:t>rticle</w:t>
      </w:r>
      <w:r w:rsidR="00F0135F" w:rsidRPr="00CE23AE">
        <w:rPr>
          <w:lang w:val="en-US"/>
        </w:rPr>
        <w:t xml:space="preserve"> 117</w:t>
      </w:r>
      <w:r w:rsidR="00C561DF" w:rsidRPr="00CE23AE">
        <w:rPr>
          <w:lang w:val="en-US"/>
        </w:rPr>
        <w:t xml:space="preserve"> of the </w:t>
      </w:r>
      <w:r w:rsidR="009C5D46" w:rsidRPr="00CE23AE">
        <w:rPr>
          <w:lang w:val="en-US"/>
        </w:rPr>
        <w:t>Military Discipline Regulations</w:t>
      </w:r>
      <w:r w:rsidRPr="00CE23AE">
        <w:rPr>
          <w:lang w:val="en-US"/>
        </w:rPr>
        <w:t xml:space="preserve">; that is, the [soldier] should be </w:t>
      </w:r>
      <w:r w:rsidR="006536FF" w:rsidRPr="00CE23AE">
        <w:rPr>
          <w:lang w:val="en-US"/>
        </w:rPr>
        <w:t>discharged</w:t>
      </w:r>
      <w:r w:rsidR="00F0135F" w:rsidRPr="00CE23AE">
        <w:rPr>
          <w:lang w:val="en-US"/>
        </w:rPr>
        <w:t xml:space="preserve"> </w:t>
      </w:r>
      <w:r w:rsidRPr="00CE23AE">
        <w:rPr>
          <w:lang w:val="en-US"/>
        </w:rPr>
        <w:t xml:space="preserve">and Lieutenant Flor Homero should be </w:t>
      </w:r>
      <w:r w:rsidR="00522A39" w:rsidRPr="00CE23AE">
        <w:rPr>
          <w:lang w:val="en-US"/>
        </w:rPr>
        <w:t xml:space="preserve">placed on paid leave </w:t>
      </w:r>
      <w:r w:rsidRPr="00CE23AE">
        <w:rPr>
          <w:lang w:val="en-US"/>
        </w:rPr>
        <w:t>due to misconduct,” pursuant to the provisions of</w:t>
      </w:r>
      <w:r w:rsidR="00F0135F" w:rsidRPr="00CE23AE">
        <w:rPr>
          <w:lang w:val="en-US"/>
        </w:rPr>
        <w:t xml:space="preserve"> </w:t>
      </w:r>
      <w:r w:rsidR="00C561DF" w:rsidRPr="00CE23AE">
        <w:rPr>
          <w:lang w:val="en-US"/>
        </w:rPr>
        <w:t>Articles</w:t>
      </w:r>
      <w:r w:rsidR="00F0135F" w:rsidRPr="00CE23AE">
        <w:rPr>
          <w:lang w:val="en-US"/>
        </w:rPr>
        <w:t xml:space="preserve"> </w:t>
      </w:r>
      <w:r w:rsidR="0086630B" w:rsidRPr="00CE23AE">
        <w:rPr>
          <w:lang w:val="en-US"/>
        </w:rPr>
        <w:t>76</w:t>
      </w:r>
      <w:r w:rsidRPr="00CE23AE">
        <w:rPr>
          <w:lang w:val="en-US"/>
        </w:rPr>
        <w:t>(</w:t>
      </w:r>
      <w:r w:rsidR="0086630B" w:rsidRPr="00CE23AE">
        <w:rPr>
          <w:lang w:val="en-US"/>
        </w:rPr>
        <w:t>i</w:t>
      </w:r>
      <w:r w:rsidRPr="00CE23AE">
        <w:rPr>
          <w:lang w:val="en-US"/>
        </w:rPr>
        <w:t>)</w:t>
      </w:r>
      <w:r w:rsidR="00C561DF" w:rsidRPr="00CE23AE">
        <w:rPr>
          <w:lang w:val="en-US"/>
        </w:rPr>
        <w:t xml:space="preserve"> and </w:t>
      </w:r>
      <w:r w:rsidR="00F0135F" w:rsidRPr="00CE23AE">
        <w:rPr>
          <w:lang w:val="en-US"/>
        </w:rPr>
        <w:t>87</w:t>
      </w:r>
      <w:r w:rsidRPr="00CE23AE">
        <w:rPr>
          <w:lang w:val="en-US"/>
        </w:rPr>
        <w:t>(</w:t>
      </w:r>
      <w:r w:rsidR="00F0135F" w:rsidRPr="00CE23AE">
        <w:rPr>
          <w:lang w:val="en-US"/>
        </w:rPr>
        <w:t>i</w:t>
      </w:r>
      <w:r w:rsidRPr="00CE23AE">
        <w:rPr>
          <w:lang w:val="en-US"/>
        </w:rPr>
        <w:t>)</w:t>
      </w:r>
      <w:r w:rsidR="008B76F3" w:rsidRPr="00CE23AE">
        <w:rPr>
          <w:lang w:val="en-US"/>
        </w:rPr>
        <w:t xml:space="preserve"> of the Law on Armed Forces Personnel</w:t>
      </w:r>
      <w:r w:rsidRPr="00CE23AE">
        <w:rPr>
          <w:lang w:val="en-US"/>
        </w:rPr>
        <w:t>.</w:t>
      </w:r>
      <w:r w:rsidR="00F0135F" w:rsidRPr="00CE23AE">
        <w:rPr>
          <w:rStyle w:val="Refdenotaalpie"/>
          <w:lang w:val="en-US"/>
        </w:rPr>
        <w:footnoteReference w:id="106"/>
      </w:r>
      <w:bookmarkEnd w:id="245"/>
    </w:p>
    <w:p w14:paraId="024BB9E1" w14:textId="77777777" w:rsidR="00F0135F" w:rsidRPr="00CE23AE" w:rsidRDefault="00F0135F" w:rsidP="00F0135F">
      <w:pPr>
        <w:rPr>
          <w:szCs w:val="20"/>
          <w:lang w:val="en-US"/>
        </w:rPr>
      </w:pPr>
    </w:p>
    <w:p w14:paraId="26F35D88" w14:textId="669D879A" w:rsidR="00C51E3C" w:rsidRPr="00CE23AE" w:rsidRDefault="00045008" w:rsidP="00F0135F">
      <w:pPr>
        <w:widowControl/>
        <w:numPr>
          <w:ilvl w:val="0"/>
          <w:numId w:val="6"/>
        </w:numPr>
        <w:tabs>
          <w:tab w:val="left" w:pos="567"/>
        </w:tabs>
        <w:suppressAutoHyphens/>
        <w:adjustRightInd/>
        <w:spacing w:line="240" w:lineRule="auto"/>
        <w:textAlignment w:val="auto"/>
        <w:rPr>
          <w:szCs w:val="20"/>
          <w:lang w:val="en-US"/>
        </w:rPr>
      </w:pPr>
      <w:bookmarkStart w:id="246" w:name="_Ref451461242"/>
      <w:bookmarkStart w:id="247" w:name="_Ref464555796"/>
      <w:r w:rsidRPr="00CE23AE">
        <w:rPr>
          <w:szCs w:val="20"/>
          <w:lang w:val="en-US"/>
        </w:rPr>
        <w:t>On January 18,</w:t>
      </w:r>
      <w:r w:rsidR="00F0135F" w:rsidRPr="00CE23AE">
        <w:rPr>
          <w:szCs w:val="20"/>
          <w:lang w:val="en-US"/>
        </w:rPr>
        <w:t xml:space="preserve"> 2001</w:t>
      </w:r>
      <w:r w:rsidRPr="00CE23AE">
        <w:rPr>
          <w:szCs w:val="20"/>
          <w:lang w:val="en-US"/>
        </w:rPr>
        <w:t>,</w:t>
      </w:r>
      <w:r w:rsidR="00F0135F" w:rsidRPr="00CE23AE">
        <w:rPr>
          <w:szCs w:val="20"/>
          <w:lang w:val="en-US"/>
        </w:rPr>
        <w:t xml:space="preserve"> </w:t>
      </w:r>
      <w:r w:rsidR="00F5102B" w:rsidRPr="00CE23AE">
        <w:rPr>
          <w:szCs w:val="20"/>
          <w:lang w:val="en-US"/>
        </w:rPr>
        <w:t>Mr. Flor</w:t>
      </w:r>
      <w:r w:rsidR="00F0135F" w:rsidRPr="00CE23AE">
        <w:rPr>
          <w:szCs w:val="20"/>
          <w:lang w:val="en-US"/>
        </w:rPr>
        <w:t xml:space="preserve"> Freire </w:t>
      </w:r>
      <w:r w:rsidRPr="00CE23AE">
        <w:rPr>
          <w:szCs w:val="20"/>
          <w:lang w:val="en-US"/>
        </w:rPr>
        <w:t>filed an</w:t>
      </w:r>
      <w:r w:rsidR="00F0135F" w:rsidRPr="00CE23AE">
        <w:rPr>
          <w:szCs w:val="20"/>
          <w:lang w:val="en-US"/>
        </w:rPr>
        <w:t xml:space="preserve"> </w:t>
      </w:r>
      <w:r w:rsidRPr="00CE23AE">
        <w:rPr>
          <w:szCs w:val="20"/>
          <w:lang w:val="en-US"/>
        </w:rPr>
        <w:t>a</w:t>
      </w:r>
      <w:r w:rsidR="0078516C" w:rsidRPr="00CE23AE">
        <w:rPr>
          <w:szCs w:val="20"/>
          <w:lang w:val="en-US"/>
        </w:rPr>
        <w:t>ppeal against</w:t>
      </w:r>
      <w:r w:rsidR="00F0135F" w:rsidRPr="00CE23AE">
        <w:rPr>
          <w:szCs w:val="20"/>
          <w:lang w:val="en-US"/>
        </w:rPr>
        <w:t xml:space="preserve"> </w:t>
      </w:r>
      <w:r w:rsidR="0078516C" w:rsidRPr="00CE23AE">
        <w:rPr>
          <w:szCs w:val="20"/>
          <w:lang w:val="en-US"/>
        </w:rPr>
        <w:t xml:space="preserve">the </w:t>
      </w:r>
      <w:r w:rsidR="0013582A" w:rsidRPr="00CE23AE">
        <w:rPr>
          <w:szCs w:val="20"/>
          <w:lang w:val="en-US"/>
        </w:rPr>
        <w:t xml:space="preserve">decision </w:t>
      </w:r>
      <w:r w:rsidRPr="00CE23AE">
        <w:rPr>
          <w:szCs w:val="20"/>
          <w:lang w:val="en-US"/>
        </w:rPr>
        <w:t xml:space="preserve">of the </w:t>
      </w:r>
      <w:r w:rsidR="00A055CE" w:rsidRPr="00CE23AE">
        <w:rPr>
          <w:szCs w:val="20"/>
          <w:lang w:val="en-US"/>
        </w:rPr>
        <w:t>Court of Law</w:t>
      </w:r>
      <w:r w:rsidRPr="00CE23AE">
        <w:rPr>
          <w:szCs w:val="20"/>
          <w:lang w:val="en-US"/>
        </w:rPr>
        <w:t xml:space="preserve"> </w:t>
      </w:r>
      <w:r w:rsidR="008B76F3" w:rsidRPr="00CE23AE">
        <w:rPr>
          <w:szCs w:val="20"/>
          <w:lang w:val="en-US"/>
        </w:rPr>
        <w:t xml:space="preserve">of the </w:t>
      </w:r>
      <w:r w:rsidR="0078516C" w:rsidRPr="00CE23AE">
        <w:rPr>
          <w:szCs w:val="20"/>
          <w:lang w:val="en-US"/>
        </w:rPr>
        <w:t>Fourth Military Zone</w:t>
      </w:r>
      <w:r w:rsidRPr="00CE23AE">
        <w:rPr>
          <w:szCs w:val="20"/>
          <w:lang w:val="en-US"/>
        </w:rPr>
        <w:t>.</w:t>
      </w:r>
      <w:r w:rsidR="00F0135F" w:rsidRPr="00CE23AE">
        <w:rPr>
          <w:rStyle w:val="Refdenotaalpie"/>
          <w:lang w:val="en-US"/>
        </w:rPr>
        <w:footnoteReference w:id="107"/>
      </w:r>
      <w:r w:rsidR="00F0135F" w:rsidRPr="00CE23AE">
        <w:rPr>
          <w:szCs w:val="20"/>
          <w:lang w:val="en-US"/>
        </w:rPr>
        <w:t xml:space="preserve"> </w:t>
      </w:r>
      <w:r w:rsidRPr="00CE23AE">
        <w:rPr>
          <w:szCs w:val="20"/>
          <w:lang w:val="en-US"/>
        </w:rPr>
        <w:t xml:space="preserve">On January 19, the Court admitted the </w:t>
      </w:r>
      <w:r w:rsidR="00C347F4" w:rsidRPr="00CE23AE">
        <w:rPr>
          <w:szCs w:val="20"/>
          <w:lang w:val="en-US"/>
        </w:rPr>
        <w:t xml:space="preserve">appeal and referred the case file to the </w:t>
      </w:r>
      <w:r w:rsidR="00555204" w:rsidRPr="00CE23AE">
        <w:rPr>
          <w:szCs w:val="20"/>
          <w:lang w:val="en-US"/>
        </w:rPr>
        <w:t>General Command</w:t>
      </w:r>
      <w:r w:rsidR="008B76F3" w:rsidRPr="00CE23AE">
        <w:rPr>
          <w:szCs w:val="20"/>
          <w:lang w:val="en-US"/>
        </w:rPr>
        <w:t xml:space="preserve"> of the Ground Forces</w:t>
      </w:r>
      <w:r w:rsidR="00C347F4" w:rsidRPr="00CE23AE">
        <w:rPr>
          <w:szCs w:val="20"/>
          <w:lang w:val="en-US"/>
        </w:rPr>
        <w:t>,</w:t>
      </w:r>
      <w:r w:rsidR="00F0135F" w:rsidRPr="00CE23AE">
        <w:rPr>
          <w:rStyle w:val="Refdenotaalpie"/>
          <w:lang w:val="en-US"/>
        </w:rPr>
        <w:footnoteReference w:id="108"/>
      </w:r>
      <w:r w:rsidR="00C347F4" w:rsidRPr="00CE23AE">
        <w:rPr>
          <w:szCs w:val="20"/>
          <w:lang w:val="en-US"/>
        </w:rPr>
        <w:t xml:space="preserve"> for a decision by</w:t>
      </w:r>
      <w:bookmarkEnd w:id="246"/>
      <w:r w:rsidR="008B76F3" w:rsidRPr="00CE23AE">
        <w:rPr>
          <w:szCs w:val="20"/>
          <w:lang w:val="en-US"/>
        </w:rPr>
        <w:t xml:space="preserve"> the </w:t>
      </w:r>
      <w:r w:rsidR="00C347F4" w:rsidRPr="00CE23AE">
        <w:rPr>
          <w:szCs w:val="20"/>
          <w:lang w:val="en-US"/>
        </w:rPr>
        <w:t>Junior Officers Board</w:t>
      </w:r>
      <w:r w:rsidR="00F0135F" w:rsidRPr="00CE23AE">
        <w:rPr>
          <w:rStyle w:val="Refdenotaalpie"/>
          <w:szCs w:val="20"/>
          <w:lang w:val="en-US"/>
        </w:rPr>
        <w:footnoteReference w:id="109"/>
      </w:r>
      <w:r w:rsidR="00F0135F" w:rsidRPr="00CE23AE">
        <w:rPr>
          <w:szCs w:val="20"/>
          <w:lang w:val="en-US"/>
        </w:rPr>
        <w:t>.</w:t>
      </w:r>
      <w:bookmarkEnd w:id="247"/>
    </w:p>
    <w:p w14:paraId="6157FCAD" w14:textId="77777777" w:rsidR="00C51E3C" w:rsidRPr="00CE23AE" w:rsidRDefault="00C51E3C" w:rsidP="00C51E3C">
      <w:pPr>
        <w:rPr>
          <w:szCs w:val="20"/>
          <w:lang w:val="en-US"/>
        </w:rPr>
      </w:pPr>
    </w:p>
    <w:p w14:paraId="078563A0" w14:textId="212A86F0" w:rsidR="00C51E3C" w:rsidRPr="00CE23AE" w:rsidRDefault="00237306" w:rsidP="0054620E">
      <w:pPr>
        <w:pStyle w:val="Ttulo3"/>
        <w:rPr>
          <w:lang w:val="en-US"/>
        </w:rPr>
      </w:pPr>
      <w:bookmarkStart w:id="248" w:name="_Toc453874330"/>
      <w:bookmarkStart w:id="249" w:name="_Toc454891491"/>
      <w:bookmarkStart w:id="250" w:name="_Toc457840595"/>
      <w:bookmarkStart w:id="251" w:name="_Toc460398536"/>
      <w:bookmarkStart w:id="252" w:name="_Toc464474982"/>
      <w:bookmarkStart w:id="253" w:name="_Toc46388369"/>
      <w:r w:rsidRPr="00CE23AE">
        <w:rPr>
          <w:lang w:val="en-US"/>
        </w:rPr>
        <w:t>C</w:t>
      </w:r>
      <w:r w:rsidR="0054620E" w:rsidRPr="00CE23AE">
        <w:rPr>
          <w:lang w:val="en-US"/>
        </w:rPr>
        <w:t>.</w:t>
      </w:r>
      <w:r w:rsidRPr="00CE23AE">
        <w:rPr>
          <w:lang w:val="en-US"/>
        </w:rPr>
        <w:t>4</w:t>
      </w:r>
      <w:r w:rsidR="0054620E" w:rsidRPr="00CE23AE">
        <w:rPr>
          <w:lang w:val="en-US"/>
        </w:rPr>
        <w:t xml:space="preserve"> </w:t>
      </w:r>
      <w:r w:rsidR="008B76F3" w:rsidRPr="00CE23AE">
        <w:rPr>
          <w:lang w:val="en-US"/>
        </w:rPr>
        <w:t xml:space="preserve">Decisions of the Junior and </w:t>
      </w:r>
      <w:r w:rsidR="00847B25" w:rsidRPr="00CE23AE">
        <w:rPr>
          <w:lang w:val="en-US"/>
        </w:rPr>
        <w:t>Senior Officers Board</w:t>
      </w:r>
      <w:r w:rsidR="008B76F3" w:rsidRPr="00CE23AE">
        <w:rPr>
          <w:lang w:val="en-US"/>
        </w:rPr>
        <w:t>s</w:t>
      </w:r>
      <w:bookmarkEnd w:id="248"/>
      <w:bookmarkEnd w:id="249"/>
      <w:bookmarkEnd w:id="250"/>
      <w:bookmarkEnd w:id="251"/>
      <w:bookmarkEnd w:id="252"/>
      <w:bookmarkEnd w:id="253"/>
      <w:r w:rsidR="00C51E3C" w:rsidRPr="00CE23AE">
        <w:rPr>
          <w:lang w:val="en-US"/>
        </w:rPr>
        <w:t xml:space="preserve"> </w:t>
      </w:r>
    </w:p>
    <w:p w14:paraId="234B9E62" w14:textId="77777777" w:rsidR="000A46CE" w:rsidRPr="00CE23AE" w:rsidRDefault="000A46CE" w:rsidP="000A46CE">
      <w:pPr>
        <w:rPr>
          <w:lang w:val="en-US" w:eastAsia="es-MX"/>
        </w:rPr>
      </w:pPr>
    </w:p>
    <w:p w14:paraId="1C1A444B" w14:textId="75D45A6B" w:rsidR="003270AC" w:rsidRPr="00CE23AE" w:rsidRDefault="008B76F3" w:rsidP="00C347F4">
      <w:pPr>
        <w:widowControl/>
        <w:numPr>
          <w:ilvl w:val="0"/>
          <w:numId w:val="6"/>
        </w:numPr>
        <w:tabs>
          <w:tab w:val="left" w:pos="567"/>
        </w:tabs>
        <w:suppressAutoHyphens/>
        <w:adjustRightInd/>
        <w:spacing w:line="240" w:lineRule="auto"/>
        <w:textAlignment w:val="auto"/>
        <w:rPr>
          <w:szCs w:val="20"/>
          <w:lang w:val="en-US"/>
        </w:rPr>
      </w:pPr>
      <w:bookmarkStart w:id="254" w:name="_Ref447297666"/>
      <w:r w:rsidRPr="00CE23AE">
        <w:rPr>
          <w:szCs w:val="20"/>
          <w:lang w:val="en-US"/>
        </w:rPr>
        <w:t>On May 3,</w:t>
      </w:r>
      <w:r w:rsidR="003270AC" w:rsidRPr="00CE23AE">
        <w:rPr>
          <w:szCs w:val="20"/>
          <w:lang w:val="en-US"/>
        </w:rPr>
        <w:t xml:space="preserve"> 2001</w:t>
      </w:r>
      <w:r w:rsidR="00C347F4" w:rsidRPr="00CE23AE">
        <w:rPr>
          <w:szCs w:val="20"/>
          <w:lang w:val="en-US"/>
        </w:rPr>
        <w:t>,</w:t>
      </w:r>
      <w:r w:rsidR="003270AC" w:rsidRPr="00CE23AE">
        <w:rPr>
          <w:szCs w:val="20"/>
          <w:lang w:val="en-US"/>
        </w:rPr>
        <w:t xml:space="preserve"> </w:t>
      </w:r>
      <w:r w:rsidRPr="00CE23AE">
        <w:rPr>
          <w:szCs w:val="20"/>
          <w:lang w:val="en-US"/>
        </w:rPr>
        <w:t xml:space="preserve">the </w:t>
      </w:r>
      <w:r w:rsidR="00C347F4" w:rsidRPr="00CE23AE">
        <w:rPr>
          <w:szCs w:val="20"/>
          <w:lang w:val="en-US"/>
        </w:rPr>
        <w:t>Junior Officers Board</w:t>
      </w:r>
      <w:r w:rsidR="003270AC" w:rsidRPr="00CE23AE">
        <w:rPr>
          <w:szCs w:val="20"/>
          <w:lang w:val="en-US"/>
        </w:rPr>
        <w:t xml:space="preserve"> </w:t>
      </w:r>
      <w:r w:rsidR="00C347F4" w:rsidRPr="00CE23AE">
        <w:rPr>
          <w:szCs w:val="20"/>
          <w:lang w:val="en-US"/>
        </w:rPr>
        <w:t>decided that it</w:t>
      </w:r>
      <w:r w:rsidR="003270AC" w:rsidRPr="00CE23AE">
        <w:rPr>
          <w:szCs w:val="20"/>
          <w:lang w:val="en-US"/>
        </w:rPr>
        <w:t xml:space="preserve"> “</w:t>
      </w:r>
      <w:r w:rsidR="00C347F4" w:rsidRPr="00CE23AE">
        <w:rPr>
          <w:szCs w:val="20"/>
          <w:lang w:val="en-US"/>
        </w:rPr>
        <w:t xml:space="preserve">lack[ed] legal grounds that [would] allow it to rule to the contrary,” and therefore “accepted the request of the </w:t>
      </w:r>
      <w:r w:rsidR="00A055CE" w:rsidRPr="00CE23AE">
        <w:rPr>
          <w:szCs w:val="20"/>
          <w:lang w:val="en-US"/>
        </w:rPr>
        <w:t>Court of Law</w:t>
      </w:r>
      <w:r w:rsidRPr="00CE23AE">
        <w:rPr>
          <w:szCs w:val="20"/>
          <w:lang w:val="en-US"/>
        </w:rPr>
        <w:t xml:space="preserve"> of the </w:t>
      </w:r>
      <w:r w:rsidR="0078516C" w:rsidRPr="00CE23AE">
        <w:rPr>
          <w:szCs w:val="20"/>
          <w:lang w:val="en-US"/>
        </w:rPr>
        <w:t>Fourth Military Zone</w:t>
      </w:r>
      <w:r w:rsidR="003270AC" w:rsidRPr="00CE23AE">
        <w:rPr>
          <w:szCs w:val="20"/>
          <w:lang w:val="en-US"/>
        </w:rPr>
        <w:t>”</w:t>
      </w:r>
      <w:r w:rsidR="00C561DF" w:rsidRPr="00CE23AE">
        <w:rPr>
          <w:szCs w:val="20"/>
          <w:lang w:val="en-US"/>
        </w:rPr>
        <w:t xml:space="preserve"> and </w:t>
      </w:r>
      <w:r w:rsidR="00C347F4" w:rsidRPr="00CE23AE">
        <w:rPr>
          <w:szCs w:val="20"/>
          <w:lang w:val="en-US"/>
        </w:rPr>
        <w:t>established that</w:t>
      </w:r>
      <w:r w:rsidR="003270AC" w:rsidRPr="00CE23AE">
        <w:rPr>
          <w:szCs w:val="20"/>
          <w:lang w:val="en-US"/>
        </w:rPr>
        <w:t xml:space="preserve"> </w:t>
      </w:r>
      <w:r w:rsidR="00F5102B" w:rsidRPr="00CE23AE">
        <w:rPr>
          <w:szCs w:val="20"/>
          <w:lang w:val="en-US"/>
        </w:rPr>
        <w:t>Mr. Flor</w:t>
      </w:r>
      <w:r w:rsidR="003270AC" w:rsidRPr="00CE23AE">
        <w:rPr>
          <w:szCs w:val="20"/>
          <w:lang w:val="en-US"/>
        </w:rPr>
        <w:t xml:space="preserve"> Freire </w:t>
      </w:r>
      <w:r w:rsidR="00C347F4" w:rsidRPr="00CE23AE">
        <w:rPr>
          <w:szCs w:val="20"/>
          <w:lang w:val="en-US"/>
        </w:rPr>
        <w:t>should be</w:t>
      </w:r>
      <w:r w:rsidR="003270AC" w:rsidRPr="00CE23AE">
        <w:rPr>
          <w:szCs w:val="20"/>
          <w:lang w:val="en-US"/>
        </w:rPr>
        <w:t xml:space="preserve"> “</w:t>
      </w:r>
      <w:r w:rsidR="00C347F4" w:rsidRPr="00CE23AE">
        <w:rPr>
          <w:szCs w:val="20"/>
          <w:lang w:val="en-US"/>
        </w:rPr>
        <w:t xml:space="preserve">placed </w:t>
      </w:r>
      <w:r w:rsidR="00522A39" w:rsidRPr="00CE23AE">
        <w:rPr>
          <w:szCs w:val="20"/>
          <w:lang w:val="en-US"/>
        </w:rPr>
        <w:t>on paid leave</w:t>
      </w:r>
      <w:r w:rsidR="003270AC" w:rsidRPr="00CE23AE">
        <w:rPr>
          <w:szCs w:val="20"/>
          <w:lang w:val="en-US"/>
        </w:rPr>
        <w:t xml:space="preserve"> </w:t>
      </w:r>
      <w:r w:rsidR="00C347F4" w:rsidRPr="00CE23AE">
        <w:rPr>
          <w:szCs w:val="20"/>
          <w:lang w:val="en-US"/>
        </w:rPr>
        <w:t xml:space="preserve">before being </w:t>
      </w:r>
      <w:r w:rsidR="006536FF" w:rsidRPr="00CE23AE">
        <w:rPr>
          <w:szCs w:val="20"/>
          <w:lang w:val="en-US"/>
        </w:rPr>
        <w:t>discharged</w:t>
      </w:r>
      <w:r w:rsidR="003270AC" w:rsidRPr="00CE23AE">
        <w:rPr>
          <w:szCs w:val="20"/>
          <w:lang w:val="en-US"/>
        </w:rPr>
        <w:t xml:space="preserve"> </w:t>
      </w:r>
      <w:r w:rsidR="00C347F4" w:rsidRPr="00CE23AE">
        <w:rPr>
          <w:szCs w:val="20"/>
          <w:lang w:val="en-US"/>
        </w:rPr>
        <w:t>from active service with</w:t>
      </w:r>
      <w:r w:rsidRPr="00CE23AE">
        <w:rPr>
          <w:szCs w:val="20"/>
          <w:lang w:val="en-US"/>
        </w:rPr>
        <w:t xml:space="preserve"> the Ground Forces</w:t>
      </w:r>
      <w:r w:rsidR="00C347F4" w:rsidRPr="00CE23AE">
        <w:rPr>
          <w:szCs w:val="20"/>
          <w:lang w:val="en-US"/>
        </w:rPr>
        <w:t>,</w:t>
      </w:r>
      <w:r w:rsidR="003270AC" w:rsidRPr="00CE23AE">
        <w:rPr>
          <w:szCs w:val="20"/>
          <w:lang w:val="en-US"/>
        </w:rPr>
        <w:t>”</w:t>
      </w:r>
      <w:r w:rsidR="00C347F4" w:rsidRPr="00CE23AE">
        <w:rPr>
          <w:szCs w:val="20"/>
          <w:lang w:val="en-US"/>
        </w:rPr>
        <w:t xml:space="preserve"> as </w:t>
      </w:r>
      <w:r w:rsidR="0013582A" w:rsidRPr="00CE23AE">
        <w:rPr>
          <w:szCs w:val="20"/>
          <w:lang w:val="en-US"/>
        </w:rPr>
        <w:t>stipulated</w:t>
      </w:r>
      <w:r w:rsidR="00C347F4" w:rsidRPr="00CE23AE">
        <w:rPr>
          <w:szCs w:val="20"/>
          <w:lang w:val="en-US"/>
        </w:rPr>
        <w:t xml:space="preserve"> in the </w:t>
      </w:r>
      <w:r w:rsidRPr="00CE23AE">
        <w:rPr>
          <w:szCs w:val="20"/>
          <w:lang w:val="en-US"/>
        </w:rPr>
        <w:t>Law on Armed Forces Personnel</w:t>
      </w:r>
      <w:r w:rsidR="00C347F4" w:rsidRPr="00CE23AE">
        <w:rPr>
          <w:szCs w:val="20"/>
          <w:lang w:val="en-US"/>
        </w:rPr>
        <w:t>.</w:t>
      </w:r>
      <w:r w:rsidR="003270AC" w:rsidRPr="00CE23AE">
        <w:rPr>
          <w:rStyle w:val="Refdenotaalpie"/>
          <w:lang w:val="en-US"/>
        </w:rPr>
        <w:footnoteReference w:id="110"/>
      </w:r>
      <w:r w:rsidR="003270AC" w:rsidRPr="00CE23AE">
        <w:rPr>
          <w:szCs w:val="20"/>
          <w:lang w:val="en-US"/>
        </w:rPr>
        <w:t xml:space="preserve"> </w:t>
      </w:r>
      <w:r w:rsidR="00C347F4" w:rsidRPr="00CE23AE">
        <w:rPr>
          <w:szCs w:val="20"/>
          <w:lang w:val="en-US"/>
        </w:rPr>
        <w:t xml:space="preserve">This decision was notified to </w:t>
      </w:r>
      <w:r w:rsidRPr="00CE23AE">
        <w:rPr>
          <w:szCs w:val="20"/>
          <w:lang w:val="en-US"/>
        </w:rPr>
        <w:t>Mr.</w:t>
      </w:r>
      <w:r w:rsidR="003270AC" w:rsidRPr="00CE23AE">
        <w:rPr>
          <w:szCs w:val="20"/>
          <w:lang w:val="en-US"/>
        </w:rPr>
        <w:t xml:space="preserve"> Flor Freire </w:t>
      </w:r>
      <w:r w:rsidR="00C347F4" w:rsidRPr="00CE23AE">
        <w:rPr>
          <w:szCs w:val="20"/>
          <w:lang w:val="en-US"/>
        </w:rPr>
        <w:t>o</w:t>
      </w:r>
      <w:r w:rsidRPr="00CE23AE">
        <w:rPr>
          <w:szCs w:val="20"/>
          <w:lang w:val="en-US"/>
        </w:rPr>
        <w:t>n May 7,</w:t>
      </w:r>
      <w:r w:rsidR="003270AC" w:rsidRPr="00CE23AE">
        <w:rPr>
          <w:szCs w:val="20"/>
          <w:lang w:val="en-US"/>
        </w:rPr>
        <w:t xml:space="preserve"> 2001</w:t>
      </w:r>
      <w:r w:rsidR="00C347F4" w:rsidRPr="00CE23AE">
        <w:rPr>
          <w:szCs w:val="20"/>
          <w:lang w:val="en-US"/>
        </w:rPr>
        <w:t>.</w:t>
      </w:r>
      <w:r w:rsidR="003270AC" w:rsidRPr="00CE23AE">
        <w:rPr>
          <w:rStyle w:val="Refdenotaalpie"/>
          <w:lang w:val="en-US"/>
        </w:rPr>
        <w:footnoteReference w:id="111"/>
      </w:r>
      <w:bookmarkEnd w:id="254"/>
      <w:r w:rsidR="003270AC" w:rsidRPr="00CE23AE">
        <w:rPr>
          <w:szCs w:val="20"/>
          <w:lang w:val="en-US"/>
        </w:rPr>
        <w:t xml:space="preserve"> </w:t>
      </w:r>
    </w:p>
    <w:p w14:paraId="36BAA0E7" w14:textId="77777777" w:rsidR="003270AC" w:rsidRPr="00CE23AE" w:rsidRDefault="003270AC" w:rsidP="003270AC">
      <w:pPr>
        <w:rPr>
          <w:szCs w:val="20"/>
          <w:lang w:val="en-US"/>
        </w:rPr>
      </w:pPr>
    </w:p>
    <w:p w14:paraId="30BB857A" w14:textId="74AD3A44" w:rsidR="003270AC" w:rsidRPr="00CE23AE" w:rsidRDefault="008B76F3" w:rsidP="00F72E4B">
      <w:pPr>
        <w:widowControl/>
        <w:numPr>
          <w:ilvl w:val="0"/>
          <w:numId w:val="6"/>
        </w:numPr>
        <w:tabs>
          <w:tab w:val="left" w:pos="567"/>
        </w:tabs>
        <w:suppressAutoHyphens/>
        <w:adjustRightInd/>
        <w:spacing w:line="240" w:lineRule="auto"/>
        <w:textAlignment w:val="auto"/>
        <w:rPr>
          <w:color w:val="FF6600"/>
          <w:szCs w:val="20"/>
          <w:lang w:val="en-US"/>
        </w:rPr>
      </w:pPr>
      <w:bookmarkStart w:id="255" w:name="_Ref447263303"/>
      <w:r w:rsidRPr="00CE23AE">
        <w:rPr>
          <w:szCs w:val="20"/>
          <w:lang w:val="en-US"/>
        </w:rPr>
        <w:t>On May 8,</w:t>
      </w:r>
      <w:r w:rsidR="003270AC" w:rsidRPr="00CE23AE">
        <w:rPr>
          <w:szCs w:val="20"/>
          <w:lang w:val="en-US"/>
        </w:rPr>
        <w:t xml:space="preserve"> 2001, </w:t>
      </w:r>
      <w:r w:rsidR="00F5102B" w:rsidRPr="00CE23AE">
        <w:rPr>
          <w:szCs w:val="20"/>
          <w:lang w:val="en-US"/>
        </w:rPr>
        <w:t>Mr. Flor</w:t>
      </w:r>
      <w:r w:rsidR="003270AC" w:rsidRPr="00CE23AE">
        <w:rPr>
          <w:szCs w:val="20"/>
          <w:lang w:val="en-US"/>
        </w:rPr>
        <w:t xml:space="preserve"> Freire </w:t>
      </w:r>
      <w:r w:rsidR="00C347F4" w:rsidRPr="00CE23AE">
        <w:rPr>
          <w:szCs w:val="20"/>
          <w:lang w:val="en-US"/>
        </w:rPr>
        <w:t>submitted a request to</w:t>
      </w:r>
      <w:r w:rsidR="003270AC" w:rsidRPr="00CE23AE">
        <w:rPr>
          <w:szCs w:val="20"/>
          <w:lang w:val="en-US"/>
        </w:rPr>
        <w:t xml:space="preserve"> </w:t>
      </w:r>
      <w:r w:rsidRPr="00CE23AE">
        <w:rPr>
          <w:szCs w:val="20"/>
          <w:lang w:val="en-US"/>
        </w:rPr>
        <w:t>the Commander of the Ground Forces</w:t>
      </w:r>
      <w:r w:rsidR="00C347F4" w:rsidRPr="00CE23AE">
        <w:rPr>
          <w:szCs w:val="20"/>
          <w:lang w:val="en-US"/>
        </w:rPr>
        <w:t xml:space="preserve"> that he “declare the nullity of all the actions of the Officers Board [and] also, review and revoke [his] decision.</w:t>
      </w:r>
      <w:r w:rsidR="003270AC" w:rsidRPr="00CE23AE">
        <w:rPr>
          <w:szCs w:val="20"/>
          <w:lang w:val="en-US"/>
        </w:rPr>
        <w:t>”</w:t>
      </w:r>
      <w:r w:rsidR="003270AC" w:rsidRPr="00CE23AE">
        <w:rPr>
          <w:rStyle w:val="Refdenotaalpie"/>
          <w:lang w:val="en-US"/>
        </w:rPr>
        <w:footnoteReference w:id="112"/>
      </w:r>
      <w:r w:rsidR="00C347F4" w:rsidRPr="00CE23AE">
        <w:rPr>
          <w:szCs w:val="20"/>
          <w:lang w:val="en-US"/>
        </w:rPr>
        <w:t xml:space="preserve"> In his request, he indicated that, after receiving the notification</w:t>
      </w:r>
      <w:r w:rsidR="003270AC" w:rsidRPr="00CE23AE">
        <w:rPr>
          <w:szCs w:val="20"/>
          <w:lang w:val="en-US"/>
        </w:rPr>
        <w:t xml:space="preserve"> </w:t>
      </w:r>
      <w:r w:rsidRPr="00CE23AE">
        <w:rPr>
          <w:szCs w:val="20"/>
          <w:lang w:val="en-US"/>
        </w:rPr>
        <w:t>of May 7,</w:t>
      </w:r>
      <w:r w:rsidR="003270AC" w:rsidRPr="00CE23AE">
        <w:rPr>
          <w:szCs w:val="20"/>
          <w:lang w:val="en-US"/>
        </w:rPr>
        <w:t xml:space="preserve"> 2001, </w:t>
      </w:r>
      <w:r w:rsidR="00C347F4" w:rsidRPr="00CE23AE">
        <w:rPr>
          <w:szCs w:val="20"/>
          <w:lang w:val="en-US"/>
        </w:rPr>
        <w:t xml:space="preserve">his defense counsel had approached the Ministry of National Defense requesting a review of the case file of the </w:t>
      </w:r>
      <w:r w:rsidR="00A06577" w:rsidRPr="00CE23AE">
        <w:rPr>
          <w:szCs w:val="20"/>
          <w:lang w:val="en-US"/>
        </w:rPr>
        <w:t>summary inquiry</w:t>
      </w:r>
      <w:r w:rsidR="00C561DF" w:rsidRPr="00CE23AE">
        <w:rPr>
          <w:szCs w:val="20"/>
          <w:lang w:val="en-US"/>
        </w:rPr>
        <w:t xml:space="preserve"> and </w:t>
      </w:r>
      <w:r w:rsidR="002F3D1E" w:rsidRPr="00CE23AE">
        <w:rPr>
          <w:szCs w:val="20"/>
          <w:lang w:val="en-US"/>
        </w:rPr>
        <w:t>discovered that it did not contain his brief</w:t>
      </w:r>
      <w:r w:rsidR="003270AC" w:rsidRPr="00CE23AE">
        <w:rPr>
          <w:szCs w:val="20"/>
          <w:lang w:val="en-US"/>
        </w:rPr>
        <w:t xml:space="preserve"> </w:t>
      </w:r>
      <w:r w:rsidRPr="00CE23AE">
        <w:rPr>
          <w:szCs w:val="20"/>
          <w:lang w:val="en-US"/>
        </w:rPr>
        <w:t>of January 25,</w:t>
      </w:r>
      <w:r w:rsidR="003270AC" w:rsidRPr="00CE23AE">
        <w:rPr>
          <w:szCs w:val="20"/>
          <w:lang w:val="en-US"/>
        </w:rPr>
        <w:t xml:space="preserve"> 2001</w:t>
      </w:r>
      <w:r w:rsidR="002F3D1E" w:rsidRPr="00CE23AE">
        <w:rPr>
          <w:szCs w:val="20"/>
          <w:lang w:val="en-US"/>
        </w:rPr>
        <w:t xml:space="preserve">, addressed to that authority, in which he had requested </w:t>
      </w:r>
      <w:r w:rsidR="00F72E4B" w:rsidRPr="00CE23AE">
        <w:rPr>
          <w:szCs w:val="20"/>
          <w:lang w:val="en-US"/>
        </w:rPr>
        <w:t>that procedures be conducted to clarify the events investigated in the said proce</w:t>
      </w:r>
      <w:r w:rsidR="00FE5010" w:rsidRPr="00CE23AE">
        <w:rPr>
          <w:szCs w:val="20"/>
          <w:lang w:val="en-US"/>
        </w:rPr>
        <w:t>eding</w:t>
      </w:r>
      <w:r w:rsidR="00F72E4B" w:rsidRPr="00CE23AE">
        <w:rPr>
          <w:szCs w:val="20"/>
          <w:lang w:val="en-US"/>
        </w:rPr>
        <w:t xml:space="preserve">. He affirmed that, consequently, he had been unable to exercise his right of defense before </w:t>
      </w:r>
      <w:r w:rsidRPr="00CE23AE">
        <w:rPr>
          <w:szCs w:val="20"/>
          <w:lang w:val="en-US"/>
        </w:rPr>
        <w:t xml:space="preserve">the </w:t>
      </w:r>
      <w:r w:rsidR="00C347F4" w:rsidRPr="00CE23AE">
        <w:rPr>
          <w:szCs w:val="20"/>
          <w:lang w:val="en-US"/>
        </w:rPr>
        <w:t>Junior Officers Board</w:t>
      </w:r>
      <w:r w:rsidR="003270AC" w:rsidRPr="00CE23AE">
        <w:rPr>
          <w:szCs w:val="20"/>
          <w:lang w:val="en-US"/>
        </w:rPr>
        <w:t xml:space="preserve">. </w:t>
      </w:r>
      <w:r w:rsidR="00F72E4B" w:rsidRPr="00CE23AE">
        <w:rPr>
          <w:szCs w:val="20"/>
          <w:lang w:val="en-US"/>
        </w:rPr>
        <w:t xml:space="preserve">He also asked that an investigation be opened into the reported irregularity and that </w:t>
      </w:r>
      <w:r w:rsidRPr="00CE23AE">
        <w:rPr>
          <w:szCs w:val="20"/>
          <w:lang w:val="en-US"/>
        </w:rPr>
        <w:t>the Commander of the Ground Forces</w:t>
      </w:r>
      <w:r w:rsidR="003270AC" w:rsidRPr="00CE23AE">
        <w:rPr>
          <w:szCs w:val="20"/>
          <w:lang w:val="en-US"/>
        </w:rPr>
        <w:t xml:space="preserve"> </w:t>
      </w:r>
      <w:r w:rsidR="00F72E4B" w:rsidRPr="00CE23AE">
        <w:rPr>
          <w:szCs w:val="20"/>
          <w:lang w:val="en-US"/>
        </w:rPr>
        <w:t>grant his defense counsel a personal interview</w:t>
      </w:r>
      <w:r w:rsidR="00FE5010" w:rsidRPr="00CE23AE">
        <w:rPr>
          <w:szCs w:val="20"/>
          <w:lang w:val="en-US"/>
        </w:rPr>
        <w:t xml:space="preserve"> so that his counsel could</w:t>
      </w:r>
      <w:r w:rsidR="00F72E4B" w:rsidRPr="00CE23AE">
        <w:rPr>
          <w:szCs w:val="20"/>
          <w:lang w:val="en-US"/>
        </w:rPr>
        <w:t xml:space="preserve"> explain to </w:t>
      </w:r>
      <w:r w:rsidR="00FE5010" w:rsidRPr="00CE23AE">
        <w:rPr>
          <w:szCs w:val="20"/>
          <w:lang w:val="en-US"/>
        </w:rPr>
        <w:t>the Commander</w:t>
      </w:r>
      <w:r w:rsidR="00F72E4B" w:rsidRPr="00CE23AE">
        <w:rPr>
          <w:szCs w:val="20"/>
          <w:lang w:val="en-US"/>
        </w:rPr>
        <w:t xml:space="preserve"> the supposed violations of the law of which he was a victim.</w:t>
      </w:r>
      <w:r w:rsidR="003270AC" w:rsidRPr="00CE23AE">
        <w:rPr>
          <w:rStyle w:val="Refdenotaalpie"/>
          <w:lang w:val="en-US"/>
        </w:rPr>
        <w:footnoteReference w:id="113"/>
      </w:r>
      <w:bookmarkEnd w:id="255"/>
      <w:r w:rsidR="003270AC" w:rsidRPr="00CE23AE">
        <w:rPr>
          <w:szCs w:val="20"/>
          <w:lang w:val="en-US"/>
        </w:rPr>
        <w:t xml:space="preserve"> </w:t>
      </w:r>
    </w:p>
    <w:p w14:paraId="24FC5EB5" w14:textId="7E243FEC" w:rsidR="003270AC" w:rsidRPr="00CE23AE" w:rsidRDefault="003270AC" w:rsidP="003270AC">
      <w:pPr>
        <w:rPr>
          <w:szCs w:val="20"/>
          <w:lang w:val="en-US"/>
        </w:rPr>
      </w:pPr>
    </w:p>
    <w:p w14:paraId="00CA00E0" w14:textId="4417B929" w:rsidR="003270AC" w:rsidRPr="00CE23AE" w:rsidRDefault="008B76F3" w:rsidP="00F72E4B">
      <w:pPr>
        <w:widowControl/>
        <w:numPr>
          <w:ilvl w:val="0"/>
          <w:numId w:val="6"/>
        </w:numPr>
        <w:tabs>
          <w:tab w:val="left" w:pos="567"/>
        </w:tabs>
        <w:suppressAutoHyphens/>
        <w:adjustRightInd/>
        <w:spacing w:line="240" w:lineRule="auto"/>
        <w:textAlignment w:val="auto"/>
        <w:rPr>
          <w:szCs w:val="20"/>
          <w:lang w:val="en-US"/>
        </w:rPr>
      </w:pPr>
      <w:bookmarkStart w:id="256" w:name="_Ref464557294"/>
      <w:r w:rsidRPr="00CE23AE">
        <w:rPr>
          <w:szCs w:val="20"/>
          <w:lang w:val="en-US"/>
        </w:rPr>
        <w:t xml:space="preserve">The </w:t>
      </w:r>
      <w:r w:rsidR="00C347F4" w:rsidRPr="00CE23AE">
        <w:rPr>
          <w:szCs w:val="20"/>
          <w:lang w:val="en-US"/>
        </w:rPr>
        <w:t>Junior Officers Board</w:t>
      </w:r>
      <w:r w:rsidR="003270AC" w:rsidRPr="00CE23AE">
        <w:rPr>
          <w:szCs w:val="20"/>
          <w:lang w:val="en-US"/>
        </w:rPr>
        <w:t xml:space="preserve"> </w:t>
      </w:r>
      <w:r w:rsidR="00F72E4B" w:rsidRPr="00CE23AE">
        <w:rPr>
          <w:szCs w:val="20"/>
          <w:lang w:val="en-US"/>
        </w:rPr>
        <w:t xml:space="preserve">refused the request to review it decision in a session </w:t>
      </w:r>
      <w:r w:rsidRPr="00CE23AE">
        <w:rPr>
          <w:szCs w:val="20"/>
          <w:lang w:val="en-US"/>
        </w:rPr>
        <w:t>of June 4,</w:t>
      </w:r>
      <w:r w:rsidR="003270AC" w:rsidRPr="00CE23AE">
        <w:rPr>
          <w:szCs w:val="20"/>
          <w:lang w:val="en-US"/>
        </w:rPr>
        <w:t xml:space="preserve"> 2001, </w:t>
      </w:r>
      <w:r w:rsidR="00F72E4B" w:rsidRPr="00CE23AE">
        <w:rPr>
          <w:szCs w:val="20"/>
          <w:lang w:val="en-US"/>
        </w:rPr>
        <w:t>because</w:t>
      </w:r>
      <w:r w:rsidR="003270AC" w:rsidRPr="00CE23AE">
        <w:rPr>
          <w:szCs w:val="20"/>
          <w:lang w:val="en-US"/>
        </w:rPr>
        <w:t xml:space="preserve"> “</w:t>
      </w:r>
      <w:r w:rsidR="00F72E4B" w:rsidRPr="00CE23AE">
        <w:rPr>
          <w:szCs w:val="20"/>
          <w:lang w:val="en-US"/>
        </w:rPr>
        <w:t>the legal and factual grounds underpinning [the decision subject to review] had not varied.</w:t>
      </w:r>
      <w:r w:rsidR="003270AC" w:rsidRPr="00CE23AE">
        <w:rPr>
          <w:szCs w:val="20"/>
          <w:lang w:val="en-US"/>
        </w:rPr>
        <w:t>”</w:t>
      </w:r>
      <w:r w:rsidR="003270AC" w:rsidRPr="00CE23AE">
        <w:rPr>
          <w:rStyle w:val="Refdenotaalpie"/>
          <w:lang w:val="en-US"/>
        </w:rPr>
        <w:footnoteReference w:id="114"/>
      </w:r>
      <w:r w:rsidR="00F72E4B" w:rsidRPr="00CE23AE">
        <w:rPr>
          <w:szCs w:val="20"/>
          <w:lang w:val="en-US"/>
        </w:rPr>
        <w:t xml:space="preserve"> </w:t>
      </w:r>
      <w:r w:rsidR="00F5102B" w:rsidRPr="00CE23AE">
        <w:rPr>
          <w:szCs w:val="20"/>
          <w:lang w:val="en-US"/>
        </w:rPr>
        <w:t>Mr. Flor</w:t>
      </w:r>
      <w:r w:rsidR="003270AC" w:rsidRPr="00CE23AE">
        <w:rPr>
          <w:szCs w:val="20"/>
          <w:lang w:val="en-US"/>
        </w:rPr>
        <w:t xml:space="preserve"> Freire </w:t>
      </w:r>
      <w:r w:rsidR="00F72E4B" w:rsidRPr="00CE23AE">
        <w:rPr>
          <w:szCs w:val="20"/>
          <w:lang w:val="en-US"/>
        </w:rPr>
        <w:t>filed an appeal with</w:t>
      </w:r>
      <w:r w:rsidR="003270AC" w:rsidRPr="00CE23AE">
        <w:rPr>
          <w:szCs w:val="20"/>
          <w:lang w:val="en-US"/>
        </w:rPr>
        <w:t xml:space="preserve"> </w:t>
      </w:r>
      <w:r w:rsidRPr="00CE23AE">
        <w:rPr>
          <w:szCs w:val="20"/>
          <w:lang w:val="en-US"/>
        </w:rPr>
        <w:t xml:space="preserve">the </w:t>
      </w:r>
      <w:r w:rsidR="00847B25" w:rsidRPr="00CE23AE">
        <w:rPr>
          <w:szCs w:val="20"/>
          <w:lang w:val="en-US"/>
        </w:rPr>
        <w:t>Senior Officers Board</w:t>
      </w:r>
      <w:r w:rsidR="00F72E4B" w:rsidRPr="00CE23AE">
        <w:rPr>
          <w:szCs w:val="20"/>
          <w:lang w:val="en-US"/>
        </w:rPr>
        <w:t>.</w:t>
      </w:r>
      <w:r w:rsidR="003270AC" w:rsidRPr="00CE23AE">
        <w:rPr>
          <w:rStyle w:val="Refdenotaalpie"/>
          <w:lang w:val="en-US"/>
        </w:rPr>
        <w:footnoteReference w:id="115"/>
      </w:r>
      <w:bookmarkEnd w:id="256"/>
      <w:r w:rsidR="003270AC" w:rsidRPr="00CE23AE">
        <w:rPr>
          <w:szCs w:val="20"/>
          <w:lang w:val="en-US"/>
        </w:rPr>
        <w:t xml:space="preserve"> </w:t>
      </w:r>
    </w:p>
    <w:p w14:paraId="609050EA" w14:textId="77777777" w:rsidR="003270AC" w:rsidRPr="00CE23AE" w:rsidRDefault="003270AC" w:rsidP="003270AC">
      <w:pPr>
        <w:rPr>
          <w:szCs w:val="20"/>
          <w:lang w:val="en-US"/>
        </w:rPr>
      </w:pPr>
    </w:p>
    <w:p w14:paraId="296DDD84" w14:textId="7B62245A" w:rsidR="00C51E3C" w:rsidRPr="00CE23AE" w:rsidRDefault="008B76F3" w:rsidP="003270AC">
      <w:pPr>
        <w:widowControl/>
        <w:numPr>
          <w:ilvl w:val="0"/>
          <w:numId w:val="6"/>
        </w:numPr>
        <w:tabs>
          <w:tab w:val="left" w:pos="567"/>
        </w:tabs>
        <w:suppressAutoHyphens/>
        <w:adjustRightInd/>
        <w:spacing w:line="240" w:lineRule="auto"/>
        <w:textAlignment w:val="auto"/>
        <w:rPr>
          <w:szCs w:val="20"/>
          <w:lang w:val="en-US"/>
        </w:rPr>
      </w:pPr>
      <w:bookmarkStart w:id="257" w:name="_Ref453869467"/>
      <w:r w:rsidRPr="00CE23AE">
        <w:rPr>
          <w:szCs w:val="20"/>
          <w:lang w:val="en-US"/>
        </w:rPr>
        <w:t>On July 17,</w:t>
      </w:r>
      <w:r w:rsidR="003270AC" w:rsidRPr="00CE23AE">
        <w:rPr>
          <w:szCs w:val="20"/>
          <w:lang w:val="en-US"/>
        </w:rPr>
        <w:t xml:space="preserve"> 2001</w:t>
      </w:r>
      <w:r w:rsidR="00F72E4B" w:rsidRPr="00CE23AE">
        <w:rPr>
          <w:szCs w:val="20"/>
          <w:lang w:val="en-US"/>
        </w:rPr>
        <w:t>,</w:t>
      </w:r>
      <w:r w:rsidR="003270AC" w:rsidRPr="00CE23AE">
        <w:rPr>
          <w:szCs w:val="20"/>
          <w:lang w:val="en-US"/>
        </w:rPr>
        <w:t xml:space="preserve"> </w:t>
      </w:r>
      <w:r w:rsidRPr="00CE23AE">
        <w:rPr>
          <w:szCs w:val="20"/>
          <w:lang w:val="en-US"/>
        </w:rPr>
        <w:t xml:space="preserve">the </w:t>
      </w:r>
      <w:r w:rsidR="00847B25" w:rsidRPr="00CE23AE">
        <w:rPr>
          <w:szCs w:val="20"/>
          <w:lang w:val="en-US"/>
        </w:rPr>
        <w:t>Senior Officers Board</w:t>
      </w:r>
      <w:r w:rsidR="003270AC" w:rsidRPr="00CE23AE">
        <w:rPr>
          <w:szCs w:val="20"/>
          <w:lang w:val="en-US"/>
        </w:rPr>
        <w:t xml:space="preserve"> rec</w:t>
      </w:r>
      <w:r w:rsidR="00F72E4B" w:rsidRPr="00CE23AE">
        <w:rPr>
          <w:szCs w:val="20"/>
          <w:lang w:val="en-US"/>
        </w:rPr>
        <w:t>eived</w:t>
      </w:r>
      <w:r w:rsidR="003270AC" w:rsidRPr="00CE23AE">
        <w:rPr>
          <w:szCs w:val="20"/>
          <w:lang w:val="en-US"/>
        </w:rPr>
        <w:t xml:space="preserve"> </w:t>
      </w:r>
      <w:r w:rsidRPr="00CE23AE">
        <w:rPr>
          <w:szCs w:val="20"/>
          <w:lang w:val="en-US"/>
        </w:rPr>
        <w:t>Mr.</w:t>
      </w:r>
      <w:r w:rsidR="003270AC" w:rsidRPr="00CE23AE">
        <w:rPr>
          <w:szCs w:val="20"/>
          <w:lang w:val="en-US"/>
        </w:rPr>
        <w:t xml:space="preserve"> Flor Freire </w:t>
      </w:r>
      <w:r w:rsidR="00F72E4B" w:rsidRPr="00CE23AE">
        <w:rPr>
          <w:szCs w:val="20"/>
          <w:lang w:val="en-US"/>
        </w:rPr>
        <w:t>at an</w:t>
      </w:r>
      <w:r w:rsidR="003270AC" w:rsidRPr="00CE23AE">
        <w:rPr>
          <w:szCs w:val="20"/>
          <w:lang w:val="en-US"/>
        </w:rPr>
        <w:t xml:space="preserve"> “</w:t>
      </w:r>
      <w:r w:rsidR="00F72E4B" w:rsidRPr="00CE23AE">
        <w:rPr>
          <w:szCs w:val="20"/>
          <w:lang w:val="en-US"/>
        </w:rPr>
        <w:t>open meeting,” so that he could present his request.</w:t>
      </w:r>
      <w:r w:rsidR="003270AC" w:rsidRPr="00CE23AE">
        <w:rPr>
          <w:rStyle w:val="Refdenotaalpie"/>
          <w:szCs w:val="20"/>
          <w:lang w:val="en-US"/>
        </w:rPr>
        <w:footnoteReference w:id="116"/>
      </w:r>
      <w:r w:rsidR="003270AC" w:rsidRPr="00CE23AE">
        <w:rPr>
          <w:szCs w:val="20"/>
          <w:lang w:val="en-US"/>
        </w:rPr>
        <w:t xml:space="preserve"> </w:t>
      </w:r>
      <w:bookmarkStart w:id="258" w:name="_Ref447297694"/>
      <w:r w:rsidRPr="00CE23AE">
        <w:rPr>
          <w:szCs w:val="20"/>
          <w:lang w:val="en-US"/>
        </w:rPr>
        <w:t>On July 18,</w:t>
      </w:r>
      <w:r w:rsidR="003270AC" w:rsidRPr="00CE23AE">
        <w:rPr>
          <w:szCs w:val="20"/>
          <w:lang w:val="en-US"/>
        </w:rPr>
        <w:t xml:space="preserve"> 2001</w:t>
      </w:r>
      <w:r w:rsidR="00F72E4B" w:rsidRPr="00CE23AE">
        <w:rPr>
          <w:szCs w:val="20"/>
          <w:lang w:val="en-US"/>
        </w:rPr>
        <w:t>,</w:t>
      </w:r>
      <w:r w:rsidR="003270AC" w:rsidRPr="00CE23AE">
        <w:rPr>
          <w:szCs w:val="20"/>
          <w:lang w:val="en-US"/>
        </w:rPr>
        <w:t xml:space="preserve"> </w:t>
      </w:r>
      <w:r w:rsidRPr="00CE23AE">
        <w:rPr>
          <w:szCs w:val="20"/>
          <w:lang w:val="en-US"/>
        </w:rPr>
        <w:t xml:space="preserve">the </w:t>
      </w:r>
      <w:r w:rsidR="00847B25" w:rsidRPr="00CE23AE">
        <w:rPr>
          <w:szCs w:val="20"/>
          <w:lang w:val="en-US"/>
        </w:rPr>
        <w:t>Senior Officers Board</w:t>
      </w:r>
      <w:r w:rsidR="003270AC" w:rsidRPr="00CE23AE">
        <w:rPr>
          <w:szCs w:val="20"/>
          <w:lang w:val="en-US"/>
        </w:rPr>
        <w:t xml:space="preserve"> </w:t>
      </w:r>
      <w:r w:rsidR="008346D8" w:rsidRPr="00CE23AE">
        <w:rPr>
          <w:szCs w:val="20"/>
          <w:lang w:val="en-US"/>
        </w:rPr>
        <w:t>decided to reject the appeal filed, “owing to lack of legal arguments that would allow it to rule to the contrary” and confirmed all aspects of the decision adopted by</w:t>
      </w:r>
      <w:r w:rsidR="003270AC" w:rsidRPr="00CE23AE">
        <w:rPr>
          <w:szCs w:val="20"/>
          <w:lang w:val="en-US"/>
        </w:rPr>
        <w:t xml:space="preserve"> </w:t>
      </w:r>
      <w:r w:rsidRPr="00CE23AE">
        <w:rPr>
          <w:szCs w:val="20"/>
          <w:lang w:val="en-US"/>
        </w:rPr>
        <w:t xml:space="preserve">the </w:t>
      </w:r>
      <w:r w:rsidR="00C347F4" w:rsidRPr="00CE23AE">
        <w:rPr>
          <w:szCs w:val="20"/>
          <w:lang w:val="en-US"/>
        </w:rPr>
        <w:t>Junior Officers Board</w:t>
      </w:r>
      <w:r w:rsidR="008346D8" w:rsidRPr="00CE23AE">
        <w:rPr>
          <w:szCs w:val="20"/>
          <w:lang w:val="en-US"/>
        </w:rPr>
        <w:t>.</w:t>
      </w:r>
      <w:r w:rsidR="003270AC" w:rsidRPr="00CE23AE">
        <w:rPr>
          <w:rStyle w:val="Refdenotaalpie"/>
          <w:lang w:val="en-US"/>
        </w:rPr>
        <w:footnoteReference w:id="117"/>
      </w:r>
      <w:bookmarkEnd w:id="257"/>
      <w:r w:rsidR="003270AC" w:rsidRPr="00CE23AE">
        <w:rPr>
          <w:szCs w:val="20"/>
          <w:lang w:val="en-US"/>
        </w:rPr>
        <w:t xml:space="preserve"> </w:t>
      </w:r>
      <w:bookmarkEnd w:id="258"/>
    </w:p>
    <w:p w14:paraId="76D7DFA0" w14:textId="77777777" w:rsidR="00C51E3C" w:rsidRPr="00CE23AE" w:rsidRDefault="00C51E3C" w:rsidP="00FF74FC">
      <w:pPr>
        <w:spacing w:line="240" w:lineRule="auto"/>
        <w:rPr>
          <w:szCs w:val="20"/>
          <w:lang w:val="en-US"/>
        </w:rPr>
      </w:pPr>
    </w:p>
    <w:p w14:paraId="52AAF2B0" w14:textId="50DADABD" w:rsidR="00C51E3C" w:rsidRPr="00CE23AE" w:rsidRDefault="00C92ACA" w:rsidP="009F36A1">
      <w:pPr>
        <w:pStyle w:val="Ttulo2"/>
        <w:numPr>
          <w:ilvl w:val="0"/>
          <w:numId w:val="2"/>
        </w:numPr>
        <w:rPr>
          <w:lang w:val="en-US"/>
        </w:rPr>
      </w:pPr>
      <w:bookmarkStart w:id="259" w:name="_Toc46388370"/>
      <w:r w:rsidRPr="00CE23AE">
        <w:rPr>
          <w:lang w:val="en-US"/>
        </w:rPr>
        <w:t>Constitutional amparo proceeding</w:t>
      </w:r>
      <w:bookmarkEnd w:id="259"/>
    </w:p>
    <w:p w14:paraId="032D23A1" w14:textId="77777777" w:rsidR="00341495" w:rsidRPr="00CE23AE" w:rsidRDefault="00341495" w:rsidP="004570C1">
      <w:pPr>
        <w:spacing w:line="240" w:lineRule="auto"/>
        <w:jc w:val="center"/>
        <w:rPr>
          <w:lang w:val="en-US" w:eastAsia="es-MX"/>
        </w:rPr>
      </w:pPr>
    </w:p>
    <w:p w14:paraId="75BC9B38" w14:textId="2CDE46E9" w:rsidR="00341495" w:rsidRPr="00CE23AE" w:rsidRDefault="00341495" w:rsidP="00FF74FC">
      <w:pPr>
        <w:pStyle w:val="Ttulo3"/>
        <w:rPr>
          <w:lang w:val="en-US"/>
        </w:rPr>
      </w:pPr>
      <w:bookmarkStart w:id="260" w:name="_Toc453874332"/>
      <w:bookmarkStart w:id="261" w:name="_Toc454891493"/>
      <w:bookmarkStart w:id="262" w:name="_Toc457840597"/>
      <w:bookmarkStart w:id="263" w:name="_Toc460398537"/>
      <w:bookmarkStart w:id="264" w:name="_Toc464474984"/>
      <w:bookmarkStart w:id="265" w:name="_Toc46388371"/>
      <w:r w:rsidRPr="00CE23AE">
        <w:rPr>
          <w:lang w:val="en-US"/>
        </w:rPr>
        <w:t xml:space="preserve">D.1 </w:t>
      </w:r>
      <w:r w:rsidR="000366A6" w:rsidRPr="00CE23AE">
        <w:rPr>
          <w:lang w:val="en-US"/>
        </w:rPr>
        <w:t xml:space="preserve">Application for </w:t>
      </w:r>
      <w:r w:rsidR="00C92ACA" w:rsidRPr="00CE23AE">
        <w:rPr>
          <w:lang w:val="en-US"/>
        </w:rPr>
        <w:t>constitutional amparo</w:t>
      </w:r>
      <w:r w:rsidR="000366A6" w:rsidRPr="00CE23AE">
        <w:rPr>
          <w:lang w:val="en-US"/>
        </w:rPr>
        <w:t xml:space="preserve"> and hearing</w:t>
      </w:r>
      <w:bookmarkEnd w:id="260"/>
      <w:bookmarkEnd w:id="261"/>
      <w:bookmarkEnd w:id="262"/>
      <w:bookmarkEnd w:id="263"/>
      <w:bookmarkEnd w:id="264"/>
      <w:bookmarkEnd w:id="265"/>
    </w:p>
    <w:p w14:paraId="5F9BBB57" w14:textId="77777777" w:rsidR="000A46CE" w:rsidRPr="00CE23AE" w:rsidRDefault="000A46CE" w:rsidP="00FF74FC">
      <w:pPr>
        <w:spacing w:line="240" w:lineRule="auto"/>
        <w:rPr>
          <w:lang w:val="en-US" w:eastAsia="es-MX"/>
        </w:rPr>
      </w:pPr>
    </w:p>
    <w:p w14:paraId="374B35AB" w14:textId="7C9A58F0" w:rsidR="001940B0" w:rsidRPr="00CE23AE" w:rsidRDefault="00C92ACA" w:rsidP="001940B0">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In parallel, f</w:t>
      </w:r>
      <w:r w:rsidR="000366A6" w:rsidRPr="00CE23AE">
        <w:rPr>
          <w:szCs w:val="20"/>
          <w:lang w:val="en-US"/>
        </w:rPr>
        <w:t xml:space="preserve">ollowing the decision of the </w:t>
      </w:r>
      <w:r w:rsidR="00A055CE" w:rsidRPr="00CE23AE">
        <w:rPr>
          <w:szCs w:val="20"/>
          <w:lang w:val="en-US"/>
        </w:rPr>
        <w:t>Court of Law</w:t>
      </w:r>
      <w:r w:rsidR="001940B0" w:rsidRPr="00CE23AE">
        <w:rPr>
          <w:szCs w:val="20"/>
          <w:lang w:val="en-US"/>
        </w:rPr>
        <w:t xml:space="preserve"> </w:t>
      </w:r>
      <w:r w:rsidR="000366A6" w:rsidRPr="00CE23AE">
        <w:rPr>
          <w:szCs w:val="20"/>
          <w:lang w:val="en-US"/>
        </w:rPr>
        <w:t>on January 17,</w:t>
      </w:r>
      <w:r w:rsidR="001940B0" w:rsidRPr="00CE23AE">
        <w:rPr>
          <w:szCs w:val="20"/>
          <w:lang w:val="en-US"/>
        </w:rPr>
        <w:t xml:space="preserve"> 2001 (</w:t>
      </w:r>
      <w:r w:rsidR="001940B0" w:rsidRPr="00CE23AE">
        <w:rPr>
          <w:i/>
          <w:szCs w:val="20"/>
          <w:lang w:val="en-US"/>
        </w:rPr>
        <w:t>supra</w:t>
      </w:r>
      <w:r w:rsidR="001940B0" w:rsidRPr="00CE23AE">
        <w:rPr>
          <w:szCs w:val="20"/>
          <w:lang w:val="en-US"/>
        </w:rPr>
        <w:t xml:space="preserve"> </w:t>
      </w:r>
      <w:r w:rsidR="005C743F" w:rsidRPr="00CE23AE">
        <w:rPr>
          <w:szCs w:val="20"/>
          <w:lang w:val="en-US"/>
        </w:rPr>
        <w:t>paras.</w:t>
      </w:r>
      <w:r w:rsidR="001940B0" w:rsidRPr="00CE23AE">
        <w:rPr>
          <w:szCs w:val="20"/>
          <w:lang w:val="en-US"/>
        </w:rPr>
        <w:t xml:space="preserve"> </w:t>
      </w:r>
      <w:r w:rsidR="001940B0" w:rsidRPr="00CE23AE">
        <w:rPr>
          <w:szCs w:val="20"/>
          <w:lang w:val="en-US"/>
        </w:rPr>
        <w:fldChar w:fldCharType="begin"/>
      </w:r>
      <w:r w:rsidR="001940B0" w:rsidRPr="00CE23AE">
        <w:rPr>
          <w:szCs w:val="20"/>
          <w:lang w:val="en-US"/>
        </w:rPr>
        <w:instrText xml:space="preserve"> REF _Ref447296429 \r \h </w:instrText>
      </w:r>
      <w:r w:rsidR="00CE23AE">
        <w:rPr>
          <w:szCs w:val="20"/>
          <w:lang w:val="en-US"/>
        </w:rPr>
        <w:instrText xml:space="preserve"> \* MERGEFORMAT </w:instrText>
      </w:r>
      <w:r w:rsidR="001940B0" w:rsidRPr="00CE23AE">
        <w:rPr>
          <w:szCs w:val="20"/>
          <w:lang w:val="en-US"/>
        </w:rPr>
      </w:r>
      <w:r w:rsidR="001940B0" w:rsidRPr="00CE23AE">
        <w:rPr>
          <w:szCs w:val="20"/>
          <w:lang w:val="en-US"/>
        </w:rPr>
        <w:fldChar w:fldCharType="separate"/>
      </w:r>
      <w:r w:rsidR="00BC2953" w:rsidRPr="00CE23AE">
        <w:rPr>
          <w:szCs w:val="20"/>
          <w:lang w:val="en-US"/>
        </w:rPr>
        <w:t>72</w:t>
      </w:r>
      <w:r w:rsidR="001940B0" w:rsidRPr="00CE23AE">
        <w:rPr>
          <w:szCs w:val="20"/>
          <w:lang w:val="en-US"/>
        </w:rPr>
        <w:fldChar w:fldCharType="end"/>
      </w:r>
      <w:r w:rsidR="001940B0" w:rsidRPr="00CE23AE">
        <w:rPr>
          <w:szCs w:val="20"/>
          <w:lang w:val="en-US"/>
        </w:rPr>
        <w:t xml:space="preserve"> </w:t>
      </w:r>
      <w:r w:rsidR="000366A6" w:rsidRPr="00CE23AE">
        <w:rPr>
          <w:szCs w:val="20"/>
          <w:lang w:val="en-US"/>
        </w:rPr>
        <w:t>to</w:t>
      </w:r>
      <w:r w:rsidR="00914CAD" w:rsidRPr="00CE23AE">
        <w:rPr>
          <w:szCs w:val="20"/>
          <w:lang w:val="en-US"/>
        </w:rPr>
        <w:t xml:space="preserve"> </w:t>
      </w:r>
      <w:r w:rsidR="00BD16E3" w:rsidRPr="00CE23AE">
        <w:rPr>
          <w:szCs w:val="20"/>
          <w:lang w:val="en-US"/>
        </w:rPr>
        <w:fldChar w:fldCharType="begin"/>
      </w:r>
      <w:r w:rsidR="00BD16E3" w:rsidRPr="00CE23AE">
        <w:rPr>
          <w:szCs w:val="20"/>
          <w:lang w:val="en-US"/>
        </w:rPr>
        <w:instrText xml:space="preserve"> REF _Ref453869088 \r \h </w:instrText>
      </w:r>
      <w:r w:rsidR="00CE23AE">
        <w:rPr>
          <w:szCs w:val="20"/>
          <w:lang w:val="en-US"/>
        </w:rPr>
        <w:instrText xml:space="preserve"> \* MERGEFORMAT </w:instrText>
      </w:r>
      <w:r w:rsidR="00BD16E3" w:rsidRPr="00CE23AE">
        <w:rPr>
          <w:szCs w:val="20"/>
          <w:lang w:val="en-US"/>
        </w:rPr>
      </w:r>
      <w:r w:rsidR="00BD16E3" w:rsidRPr="00CE23AE">
        <w:rPr>
          <w:szCs w:val="20"/>
          <w:lang w:val="en-US"/>
        </w:rPr>
        <w:fldChar w:fldCharType="separate"/>
      </w:r>
      <w:r w:rsidR="00BC2953" w:rsidRPr="00CE23AE">
        <w:rPr>
          <w:szCs w:val="20"/>
          <w:lang w:val="en-US"/>
        </w:rPr>
        <w:t>77</w:t>
      </w:r>
      <w:r w:rsidR="00BD16E3" w:rsidRPr="00CE23AE">
        <w:rPr>
          <w:szCs w:val="20"/>
          <w:lang w:val="en-US"/>
        </w:rPr>
        <w:fldChar w:fldCharType="end"/>
      </w:r>
      <w:r w:rsidR="001940B0" w:rsidRPr="00CE23AE">
        <w:rPr>
          <w:szCs w:val="20"/>
          <w:lang w:val="en-US"/>
        </w:rPr>
        <w:t xml:space="preserve">), </w:t>
      </w:r>
      <w:r w:rsidR="00F5102B" w:rsidRPr="00CE23AE">
        <w:rPr>
          <w:szCs w:val="20"/>
          <w:lang w:val="en-US"/>
        </w:rPr>
        <w:t>Mr. Flor</w:t>
      </w:r>
      <w:r w:rsidR="001940B0" w:rsidRPr="00CE23AE">
        <w:rPr>
          <w:szCs w:val="20"/>
          <w:lang w:val="en-US"/>
        </w:rPr>
        <w:t xml:space="preserve"> Freire </w:t>
      </w:r>
      <w:r w:rsidR="000366A6" w:rsidRPr="00CE23AE">
        <w:rPr>
          <w:szCs w:val="20"/>
          <w:lang w:val="en-US"/>
        </w:rPr>
        <w:t>filed an</w:t>
      </w:r>
      <w:r w:rsidR="001940B0" w:rsidRPr="00CE23AE">
        <w:rPr>
          <w:szCs w:val="20"/>
          <w:lang w:val="en-US"/>
        </w:rPr>
        <w:t xml:space="preserve"> </w:t>
      </w:r>
      <w:r w:rsidR="00F5102B" w:rsidRPr="00CE23AE">
        <w:rPr>
          <w:szCs w:val="20"/>
          <w:lang w:val="en-US"/>
        </w:rPr>
        <w:t xml:space="preserve">application for </w:t>
      </w:r>
      <w:r w:rsidRPr="00CE23AE">
        <w:rPr>
          <w:szCs w:val="20"/>
          <w:lang w:val="en-US"/>
        </w:rPr>
        <w:t>constitutional amparo</w:t>
      </w:r>
      <w:r w:rsidR="001940B0" w:rsidRPr="00CE23AE">
        <w:rPr>
          <w:szCs w:val="20"/>
          <w:lang w:val="en-US"/>
        </w:rPr>
        <w:t xml:space="preserve"> </w:t>
      </w:r>
      <w:r w:rsidR="00F5102B" w:rsidRPr="00CE23AE">
        <w:rPr>
          <w:szCs w:val="20"/>
          <w:lang w:val="en-US"/>
        </w:rPr>
        <w:t>on January 23,</w:t>
      </w:r>
      <w:r w:rsidR="001940B0" w:rsidRPr="00CE23AE">
        <w:rPr>
          <w:szCs w:val="20"/>
          <w:lang w:val="en-US"/>
        </w:rPr>
        <w:t xml:space="preserve"> 2001</w:t>
      </w:r>
      <w:r w:rsidR="000366A6" w:rsidRPr="00CE23AE">
        <w:rPr>
          <w:szCs w:val="20"/>
          <w:lang w:val="en-US"/>
        </w:rPr>
        <w:t>.</w:t>
      </w:r>
      <w:r w:rsidR="001940B0" w:rsidRPr="00CE23AE">
        <w:rPr>
          <w:rStyle w:val="Refdenotaalpie"/>
          <w:lang w:val="en-US"/>
        </w:rPr>
        <w:footnoteReference w:id="118"/>
      </w:r>
      <w:r w:rsidR="001940B0" w:rsidRPr="00CE23AE">
        <w:rPr>
          <w:szCs w:val="20"/>
          <w:lang w:val="en-US"/>
        </w:rPr>
        <w:t xml:space="preserve"> </w:t>
      </w:r>
    </w:p>
    <w:p w14:paraId="5B56B56A" w14:textId="77777777" w:rsidR="001940B0" w:rsidRPr="00CE23AE" w:rsidRDefault="001940B0" w:rsidP="001940B0">
      <w:pPr>
        <w:spacing w:line="240" w:lineRule="auto"/>
        <w:rPr>
          <w:szCs w:val="20"/>
          <w:lang w:val="en-US"/>
        </w:rPr>
      </w:pPr>
    </w:p>
    <w:p w14:paraId="287A8A9C" w14:textId="4852E1D4" w:rsidR="001940B0" w:rsidRPr="00CE23AE" w:rsidRDefault="000366A6" w:rsidP="001940B0">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 xml:space="preserve">The application was filed against </w:t>
      </w:r>
      <w:r w:rsidR="00C561DF" w:rsidRPr="00CE23AE">
        <w:rPr>
          <w:szCs w:val="20"/>
          <w:lang w:val="en-US"/>
        </w:rPr>
        <w:t xml:space="preserve">the </w:t>
      </w:r>
      <w:r w:rsidR="004002FB" w:rsidRPr="00CE23AE">
        <w:rPr>
          <w:szCs w:val="20"/>
          <w:lang w:val="en-US"/>
        </w:rPr>
        <w:t>President of</w:t>
      </w:r>
      <w:r w:rsidR="001940B0" w:rsidRPr="00CE23AE">
        <w:rPr>
          <w:szCs w:val="20"/>
          <w:lang w:val="en-US"/>
        </w:rPr>
        <w:t xml:space="preserve"> </w:t>
      </w:r>
      <w:r w:rsidRPr="00CE23AE">
        <w:rPr>
          <w:szCs w:val="20"/>
          <w:lang w:val="en-US"/>
        </w:rPr>
        <w:t>the Republic</w:t>
      </w:r>
      <w:r w:rsidR="001940B0" w:rsidRPr="00CE23AE">
        <w:rPr>
          <w:szCs w:val="20"/>
          <w:lang w:val="en-US"/>
        </w:rPr>
        <w:t xml:space="preserve">, </w:t>
      </w:r>
      <w:r w:rsidRPr="00CE23AE">
        <w:rPr>
          <w:szCs w:val="20"/>
          <w:lang w:val="en-US"/>
        </w:rPr>
        <w:t xml:space="preserve">in his capacity as Commander in Chief </w:t>
      </w:r>
      <w:r w:rsidR="0005476C" w:rsidRPr="00CE23AE">
        <w:rPr>
          <w:szCs w:val="20"/>
          <w:lang w:val="en-US"/>
        </w:rPr>
        <w:t xml:space="preserve">of the </w:t>
      </w:r>
      <w:r w:rsidR="009C5D46" w:rsidRPr="00CE23AE">
        <w:rPr>
          <w:szCs w:val="20"/>
          <w:lang w:val="en-US"/>
        </w:rPr>
        <w:t>Armed Forces</w:t>
      </w:r>
      <w:r w:rsidR="001940B0" w:rsidRPr="00CE23AE">
        <w:rPr>
          <w:szCs w:val="20"/>
          <w:lang w:val="en-US"/>
        </w:rPr>
        <w:t xml:space="preserve"> </w:t>
      </w:r>
      <w:r w:rsidRPr="00CE23AE">
        <w:rPr>
          <w:szCs w:val="20"/>
          <w:lang w:val="en-US"/>
        </w:rPr>
        <w:t>of</w:t>
      </w:r>
      <w:r w:rsidR="001940B0" w:rsidRPr="00CE23AE">
        <w:rPr>
          <w:szCs w:val="20"/>
          <w:lang w:val="en-US"/>
        </w:rPr>
        <w:t xml:space="preserve"> Ecuador, </w:t>
      </w:r>
      <w:r w:rsidR="00C92ACA" w:rsidRPr="00CE23AE">
        <w:rPr>
          <w:szCs w:val="20"/>
          <w:lang w:val="en-US"/>
        </w:rPr>
        <w:t xml:space="preserve">the </w:t>
      </w:r>
      <w:r w:rsidRPr="00CE23AE">
        <w:rPr>
          <w:szCs w:val="20"/>
          <w:lang w:val="en-US"/>
        </w:rPr>
        <w:t>Minister of National Defense</w:t>
      </w:r>
      <w:r w:rsidR="001940B0" w:rsidRPr="00CE23AE">
        <w:rPr>
          <w:szCs w:val="20"/>
          <w:lang w:val="en-US"/>
        </w:rPr>
        <w:t xml:space="preserve">, </w:t>
      </w:r>
      <w:r w:rsidRPr="00CE23AE">
        <w:rPr>
          <w:szCs w:val="20"/>
          <w:lang w:val="en-US"/>
        </w:rPr>
        <w:t>the</w:t>
      </w:r>
      <w:r w:rsidR="001940B0" w:rsidRPr="00CE23AE">
        <w:rPr>
          <w:szCs w:val="20"/>
          <w:lang w:val="en-US"/>
        </w:rPr>
        <w:t xml:space="preserve"> </w:t>
      </w:r>
      <w:r w:rsidRPr="00CE23AE">
        <w:rPr>
          <w:szCs w:val="20"/>
          <w:lang w:val="en-US"/>
        </w:rPr>
        <w:t>Commander General</w:t>
      </w:r>
      <w:r w:rsidR="009C5D46" w:rsidRPr="00CE23AE">
        <w:rPr>
          <w:szCs w:val="20"/>
          <w:lang w:val="en-US"/>
        </w:rPr>
        <w:t xml:space="preserve"> </w:t>
      </w:r>
      <w:r w:rsidR="008B76F3" w:rsidRPr="00CE23AE">
        <w:rPr>
          <w:szCs w:val="20"/>
          <w:lang w:val="en-US"/>
        </w:rPr>
        <w:t xml:space="preserve">of the </w:t>
      </w:r>
      <w:r w:rsidRPr="00CE23AE">
        <w:rPr>
          <w:szCs w:val="20"/>
          <w:lang w:val="en-US"/>
        </w:rPr>
        <w:t xml:space="preserve">Army’s </w:t>
      </w:r>
      <w:r w:rsidR="008B76F3" w:rsidRPr="00CE23AE">
        <w:rPr>
          <w:szCs w:val="20"/>
          <w:lang w:val="en-US"/>
        </w:rPr>
        <w:t>Ground Forces</w:t>
      </w:r>
      <w:r w:rsidR="001940B0" w:rsidRPr="00CE23AE">
        <w:rPr>
          <w:szCs w:val="20"/>
          <w:lang w:val="en-US"/>
        </w:rPr>
        <w:t xml:space="preserve"> </w:t>
      </w:r>
      <w:r w:rsidR="00C561DF" w:rsidRPr="00CE23AE">
        <w:rPr>
          <w:szCs w:val="20"/>
          <w:lang w:val="en-US"/>
        </w:rPr>
        <w:t>and</w:t>
      </w:r>
      <w:r w:rsidRPr="00CE23AE">
        <w:rPr>
          <w:szCs w:val="20"/>
          <w:lang w:val="en-US"/>
        </w:rPr>
        <w:t xml:space="preserve"> the Attorney General.</w:t>
      </w:r>
      <w:r w:rsidR="001940B0" w:rsidRPr="00CE23AE">
        <w:rPr>
          <w:rStyle w:val="Refdenotaalpie"/>
          <w:szCs w:val="20"/>
          <w:lang w:val="en-US"/>
        </w:rPr>
        <w:footnoteReference w:id="119"/>
      </w:r>
      <w:r w:rsidRPr="00CE23AE">
        <w:rPr>
          <w:szCs w:val="20"/>
          <w:lang w:val="en-US"/>
        </w:rPr>
        <w:t xml:space="preserve"> </w:t>
      </w:r>
      <w:r w:rsidR="00000AE1" w:rsidRPr="00CE23AE">
        <w:rPr>
          <w:szCs w:val="20"/>
          <w:lang w:val="en-US"/>
        </w:rPr>
        <w:t>Mr.</w:t>
      </w:r>
      <w:r w:rsidR="00F5102B" w:rsidRPr="00CE23AE">
        <w:rPr>
          <w:szCs w:val="20"/>
          <w:lang w:val="en-US"/>
        </w:rPr>
        <w:t xml:space="preserve"> Flor</w:t>
      </w:r>
      <w:r w:rsidR="001940B0" w:rsidRPr="00CE23AE">
        <w:rPr>
          <w:szCs w:val="20"/>
          <w:lang w:val="en-US"/>
        </w:rPr>
        <w:t xml:space="preserve"> Freire</w:t>
      </w:r>
      <w:r w:rsidRPr="00CE23AE">
        <w:rPr>
          <w:szCs w:val="20"/>
          <w:lang w:val="en-US"/>
        </w:rPr>
        <w:t xml:space="preserve">’s representative also requested the suspension of the </w:t>
      </w:r>
      <w:r w:rsidR="00A06577" w:rsidRPr="00CE23AE">
        <w:rPr>
          <w:szCs w:val="20"/>
          <w:lang w:val="en-US"/>
        </w:rPr>
        <w:t>summary inquiry</w:t>
      </w:r>
      <w:r w:rsidRPr="00CE23AE">
        <w:rPr>
          <w:szCs w:val="20"/>
          <w:lang w:val="en-US"/>
        </w:rPr>
        <w:t xml:space="preserve"> procedure which, at that time, was being examined by</w:t>
      </w:r>
      <w:r w:rsidR="008B76F3" w:rsidRPr="00CE23AE">
        <w:rPr>
          <w:szCs w:val="20"/>
          <w:lang w:val="en-US"/>
        </w:rPr>
        <w:t xml:space="preserve"> the Commander of the Ground Forces</w:t>
      </w:r>
      <w:r w:rsidR="00BD16E3" w:rsidRPr="00CE23AE">
        <w:rPr>
          <w:szCs w:val="20"/>
          <w:lang w:val="en-US"/>
        </w:rPr>
        <w:t xml:space="preserve"> (</w:t>
      </w:r>
      <w:r w:rsidR="00BD16E3" w:rsidRPr="00CE23AE">
        <w:rPr>
          <w:i/>
          <w:szCs w:val="20"/>
          <w:lang w:val="en-US"/>
        </w:rPr>
        <w:t>supra</w:t>
      </w:r>
      <w:r w:rsidR="00BD16E3" w:rsidRPr="00CE23AE">
        <w:rPr>
          <w:szCs w:val="20"/>
          <w:lang w:val="en-US"/>
        </w:rPr>
        <w:t xml:space="preserve"> </w:t>
      </w:r>
      <w:r w:rsidR="005C743F" w:rsidRPr="00CE23AE">
        <w:rPr>
          <w:szCs w:val="20"/>
          <w:lang w:val="en-US"/>
        </w:rPr>
        <w:t>para.</w:t>
      </w:r>
      <w:r w:rsidR="00BD16E3" w:rsidRPr="00CE23AE">
        <w:rPr>
          <w:szCs w:val="20"/>
          <w:lang w:val="en-US"/>
        </w:rPr>
        <w:t xml:space="preserve"> </w:t>
      </w:r>
      <w:r w:rsidR="00BD16E3" w:rsidRPr="00CE23AE">
        <w:rPr>
          <w:szCs w:val="20"/>
          <w:lang w:val="en-US"/>
        </w:rPr>
        <w:fldChar w:fldCharType="begin"/>
      </w:r>
      <w:r w:rsidR="00BD16E3" w:rsidRPr="00CE23AE">
        <w:rPr>
          <w:szCs w:val="20"/>
          <w:lang w:val="en-US"/>
        </w:rPr>
        <w:instrText xml:space="preserve"> REF _Ref451461242 \r \h </w:instrText>
      </w:r>
      <w:r w:rsidR="00CE23AE">
        <w:rPr>
          <w:szCs w:val="20"/>
          <w:lang w:val="en-US"/>
        </w:rPr>
        <w:instrText xml:space="preserve"> \* MERGEFORMAT </w:instrText>
      </w:r>
      <w:r w:rsidR="00BD16E3" w:rsidRPr="00CE23AE">
        <w:rPr>
          <w:szCs w:val="20"/>
          <w:lang w:val="en-US"/>
        </w:rPr>
      </w:r>
      <w:r w:rsidR="00BD16E3" w:rsidRPr="00CE23AE">
        <w:rPr>
          <w:szCs w:val="20"/>
          <w:lang w:val="en-US"/>
        </w:rPr>
        <w:fldChar w:fldCharType="separate"/>
      </w:r>
      <w:r w:rsidR="00BC2953" w:rsidRPr="00CE23AE">
        <w:rPr>
          <w:szCs w:val="20"/>
          <w:lang w:val="en-US"/>
        </w:rPr>
        <w:t>78</w:t>
      </w:r>
      <w:r w:rsidR="00BD16E3" w:rsidRPr="00CE23AE">
        <w:rPr>
          <w:szCs w:val="20"/>
          <w:lang w:val="en-US"/>
        </w:rPr>
        <w:fldChar w:fldCharType="end"/>
      </w:r>
      <w:r w:rsidR="00BD16E3" w:rsidRPr="00CE23AE">
        <w:rPr>
          <w:szCs w:val="20"/>
          <w:lang w:val="en-US"/>
        </w:rPr>
        <w:t>)</w:t>
      </w:r>
      <w:r w:rsidR="001940B0" w:rsidRPr="00CE23AE">
        <w:rPr>
          <w:szCs w:val="20"/>
          <w:lang w:val="en-US"/>
        </w:rPr>
        <w:t xml:space="preserve">, </w:t>
      </w:r>
      <w:r w:rsidR="00C92ACA" w:rsidRPr="00CE23AE">
        <w:rPr>
          <w:szCs w:val="20"/>
          <w:lang w:val="en-US"/>
        </w:rPr>
        <w:t>and also</w:t>
      </w:r>
      <w:r w:rsidRPr="00CE23AE">
        <w:rPr>
          <w:szCs w:val="20"/>
          <w:lang w:val="en-US"/>
        </w:rPr>
        <w:t xml:space="preserve"> of the effects of the decision of the </w:t>
      </w:r>
      <w:r w:rsidR="00A055CE" w:rsidRPr="00CE23AE">
        <w:rPr>
          <w:szCs w:val="20"/>
          <w:lang w:val="en-US"/>
        </w:rPr>
        <w:t>Court of Law</w:t>
      </w:r>
      <w:r w:rsidR="001940B0" w:rsidRPr="00CE23AE">
        <w:rPr>
          <w:szCs w:val="20"/>
          <w:lang w:val="en-US"/>
        </w:rPr>
        <w:t xml:space="preserve"> </w:t>
      </w:r>
      <w:r w:rsidR="008B76F3" w:rsidRPr="00CE23AE">
        <w:rPr>
          <w:szCs w:val="20"/>
          <w:lang w:val="en-US"/>
        </w:rPr>
        <w:t>of January 19,</w:t>
      </w:r>
      <w:r w:rsidR="001940B0" w:rsidRPr="00CE23AE">
        <w:rPr>
          <w:szCs w:val="20"/>
          <w:lang w:val="en-US"/>
        </w:rPr>
        <w:t xml:space="preserve"> 2001</w:t>
      </w:r>
      <w:r w:rsidRPr="00CE23AE">
        <w:rPr>
          <w:szCs w:val="20"/>
          <w:lang w:val="en-US"/>
        </w:rPr>
        <w:t>.</w:t>
      </w:r>
      <w:r w:rsidR="001940B0" w:rsidRPr="00CE23AE">
        <w:rPr>
          <w:rStyle w:val="Refdenotaalpie"/>
          <w:lang w:val="en-US"/>
        </w:rPr>
        <w:footnoteReference w:id="120"/>
      </w:r>
      <w:r w:rsidR="001940B0" w:rsidRPr="00CE23AE">
        <w:rPr>
          <w:szCs w:val="20"/>
          <w:lang w:val="en-US"/>
        </w:rPr>
        <w:t xml:space="preserve"> </w:t>
      </w:r>
    </w:p>
    <w:p w14:paraId="00245A1E" w14:textId="77777777" w:rsidR="001940B0" w:rsidRPr="00CE23AE" w:rsidRDefault="001940B0" w:rsidP="001940B0">
      <w:pPr>
        <w:rPr>
          <w:szCs w:val="20"/>
          <w:lang w:val="en-US"/>
        </w:rPr>
      </w:pPr>
    </w:p>
    <w:p w14:paraId="0DA1E367" w14:textId="43CCD8D8" w:rsidR="001940B0" w:rsidRPr="00CE23AE" w:rsidRDefault="000366A6" w:rsidP="001940B0">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In his application,</w:t>
      </w:r>
      <w:r w:rsidR="001940B0" w:rsidRPr="00CE23AE">
        <w:rPr>
          <w:szCs w:val="20"/>
          <w:lang w:val="en-US"/>
        </w:rPr>
        <w:t xml:space="preserve"> </w:t>
      </w:r>
      <w:r w:rsidR="00F5102B" w:rsidRPr="00CE23AE">
        <w:rPr>
          <w:szCs w:val="20"/>
          <w:lang w:val="en-US"/>
        </w:rPr>
        <w:t>Mr. Flor</w:t>
      </w:r>
      <w:r w:rsidR="001940B0" w:rsidRPr="00CE23AE">
        <w:rPr>
          <w:szCs w:val="20"/>
          <w:lang w:val="en-US"/>
        </w:rPr>
        <w:t xml:space="preserve"> Freire a</w:t>
      </w:r>
      <w:r w:rsidRPr="00CE23AE">
        <w:rPr>
          <w:szCs w:val="20"/>
          <w:lang w:val="en-US"/>
        </w:rPr>
        <w:t>lleged that the proceeding</w:t>
      </w:r>
      <w:r w:rsidR="00C92ACA" w:rsidRPr="00CE23AE">
        <w:rPr>
          <w:szCs w:val="20"/>
          <w:lang w:val="en-US"/>
        </w:rPr>
        <w:t>s</w:t>
      </w:r>
      <w:r w:rsidRPr="00CE23AE">
        <w:rPr>
          <w:szCs w:val="20"/>
          <w:lang w:val="en-US"/>
        </w:rPr>
        <w:t xml:space="preserve"> conducted by </w:t>
      </w:r>
      <w:r w:rsidR="009C5D46" w:rsidRPr="00CE23AE">
        <w:rPr>
          <w:szCs w:val="20"/>
          <w:lang w:val="en-US"/>
        </w:rPr>
        <w:t>the First Criminal Court</w:t>
      </w:r>
      <w:r w:rsidR="001940B0" w:rsidRPr="00CE23AE">
        <w:rPr>
          <w:szCs w:val="20"/>
          <w:lang w:val="en-US"/>
        </w:rPr>
        <w:t xml:space="preserve"> </w:t>
      </w:r>
      <w:r w:rsidRPr="00CE23AE">
        <w:rPr>
          <w:szCs w:val="20"/>
          <w:lang w:val="en-US"/>
        </w:rPr>
        <w:t xml:space="preserve">had been initiated for “supposed </w:t>
      </w:r>
      <w:r w:rsidR="00C92ACA" w:rsidRPr="00CE23AE">
        <w:rPr>
          <w:szCs w:val="20"/>
          <w:lang w:val="en-US"/>
        </w:rPr>
        <w:t>homosexuality</w:t>
      </w:r>
      <w:r w:rsidRPr="00CE23AE">
        <w:rPr>
          <w:szCs w:val="20"/>
          <w:lang w:val="en-US"/>
        </w:rPr>
        <w:t xml:space="preserve">” based on a norm that should be understood </w:t>
      </w:r>
      <w:r w:rsidR="00C92ACA" w:rsidRPr="00CE23AE">
        <w:rPr>
          <w:szCs w:val="20"/>
          <w:lang w:val="en-US"/>
        </w:rPr>
        <w:t xml:space="preserve">to </w:t>
      </w:r>
      <w:r w:rsidRPr="00CE23AE">
        <w:rPr>
          <w:szCs w:val="20"/>
          <w:lang w:val="en-US"/>
        </w:rPr>
        <w:t>ha</w:t>
      </w:r>
      <w:r w:rsidR="00C92ACA" w:rsidRPr="00CE23AE">
        <w:rPr>
          <w:szCs w:val="20"/>
          <w:lang w:val="en-US"/>
        </w:rPr>
        <w:t>ve</w:t>
      </w:r>
      <w:r w:rsidRPr="00CE23AE">
        <w:rPr>
          <w:szCs w:val="20"/>
          <w:lang w:val="en-US"/>
        </w:rPr>
        <w:t xml:space="preserve"> been revoked</w:t>
      </w:r>
      <w:r w:rsidR="001940B0" w:rsidRPr="00CE23AE">
        <w:rPr>
          <w:szCs w:val="20"/>
          <w:lang w:val="en-US"/>
        </w:rPr>
        <w:t xml:space="preserve">, </w:t>
      </w:r>
      <w:r w:rsidRPr="00CE23AE">
        <w:rPr>
          <w:szCs w:val="20"/>
          <w:lang w:val="en-US"/>
        </w:rPr>
        <w:t>because the “offense of homosexual</w:t>
      </w:r>
      <w:r w:rsidR="00C92ACA" w:rsidRPr="00CE23AE">
        <w:rPr>
          <w:szCs w:val="20"/>
          <w:lang w:val="en-US"/>
        </w:rPr>
        <w:t>ity</w:t>
      </w:r>
      <w:r w:rsidRPr="00CE23AE">
        <w:rPr>
          <w:szCs w:val="20"/>
          <w:lang w:val="en-US"/>
        </w:rPr>
        <w:t xml:space="preserve">” had been declared unconstitutional by ruling </w:t>
      </w:r>
      <w:r w:rsidR="001940B0" w:rsidRPr="00CE23AE">
        <w:rPr>
          <w:szCs w:val="20"/>
          <w:lang w:val="en-US"/>
        </w:rPr>
        <w:t>106-1-97</w:t>
      </w:r>
      <w:r w:rsidR="00C561DF" w:rsidRPr="00CE23AE">
        <w:rPr>
          <w:szCs w:val="20"/>
          <w:lang w:val="en-US"/>
        </w:rPr>
        <w:t xml:space="preserve"> of the </w:t>
      </w:r>
      <w:r w:rsidRPr="00CE23AE">
        <w:rPr>
          <w:szCs w:val="20"/>
          <w:lang w:val="en-US"/>
        </w:rPr>
        <w:t>Constitutional Court</w:t>
      </w:r>
      <w:r w:rsidR="001940B0" w:rsidRPr="00CE23AE">
        <w:rPr>
          <w:szCs w:val="20"/>
          <w:lang w:val="en-US"/>
        </w:rPr>
        <w:t xml:space="preserve"> </w:t>
      </w:r>
      <w:r w:rsidRPr="00CE23AE">
        <w:rPr>
          <w:szCs w:val="20"/>
          <w:lang w:val="en-US"/>
        </w:rPr>
        <w:t>of November 27,</w:t>
      </w:r>
      <w:r w:rsidR="001940B0" w:rsidRPr="00CE23AE">
        <w:rPr>
          <w:szCs w:val="20"/>
          <w:lang w:val="en-US"/>
        </w:rPr>
        <w:t xml:space="preserve"> 1997. </w:t>
      </w:r>
      <w:r w:rsidRPr="00CE23AE">
        <w:rPr>
          <w:szCs w:val="20"/>
          <w:lang w:val="en-US"/>
        </w:rPr>
        <w:t>On this basis, he alleged that he could not be punished for a conduct that was not penalized</w:t>
      </w:r>
      <w:r w:rsidR="00C92ACA" w:rsidRPr="00CE23AE">
        <w:rPr>
          <w:szCs w:val="20"/>
          <w:lang w:val="en-US"/>
        </w:rPr>
        <w:t xml:space="preserve"> under the laws in force</w:t>
      </w:r>
      <w:r w:rsidRPr="00CE23AE">
        <w:rPr>
          <w:szCs w:val="20"/>
          <w:lang w:val="en-US"/>
        </w:rPr>
        <w:t>.</w:t>
      </w:r>
      <w:r w:rsidR="001940B0" w:rsidRPr="00CE23AE">
        <w:rPr>
          <w:rStyle w:val="Refdenotaalpie"/>
          <w:szCs w:val="20"/>
          <w:lang w:val="en-US"/>
        </w:rPr>
        <w:footnoteReference w:id="121"/>
      </w:r>
    </w:p>
    <w:p w14:paraId="169DAA3B" w14:textId="77777777" w:rsidR="001940B0" w:rsidRPr="00CE23AE" w:rsidRDefault="001940B0" w:rsidP="001940B0">
      <w:pPr>
        <w:rPr>
          <w:szCs w:val="20"/>
          <w:lang w:val="en-US"/>
        </w:rPr>
      </w:pPr>
    </w:p>
    <w:p w14:paraId="39986A0A" w14:textId="0F2F2F9A" w:rsidR="001940B0" w:rsidRPr="00CE23AE" w:rsidRDefault="000366A6" w:rsidP="000366A6">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 xml:space="preserve">In his application for </w:t>
      </w:r>
      <w:r w:rsidR="00C92ACA" w:rsidRPr="00CE23AE">
        <w:rPr>
          <w:szCs w:val="20"/>
          <w:lang w:val="en-US"/>
        </w:rPr>
        <w:t>amparo</w:t>
      </w:r>
      <w:r w:rsidR="001940B0" w:rsidRPr="00CE23AE">
        <w:rPr>
          <w:szCs w:val="20"/>
          <w:lang w:val="en-US"/>
        </w:rPr>
        <w:t xml:space="preserve"> </w:t>
      </w:r>
      <w:r w:rsidR="00F5102B" w:rsidRPr="00CE23AE">
        <w:rPr>
          <w:szCs w:val="20"/>
          <w:lang w:val="en-US"/>
        </w:rPr>
        <w:t>Mr. Flor</w:t>
      </w:r>
      <w:r w:rsidR="001940B0" w:rsidRPr="00CE23AE">
        <w:rPr>
          <w:szCs w:val="20"/>
          <w:lang w:val="en-US"/>
        </w:rPr>
        <w:t xml:space="preserve"> Freire </w:t>
      </w:r>
      <w:r w:rsidRPr="00CE23AE">
        <w:rPr>
          <w:szCs w:val="20"/>
          <w:lang w:val="en-US"/>
        </w:rPr>
        <w:t xml:space="preserve">also indicated that a series of irregularities had been committed during the </w:t>
      </w:r>
      <w:r w:rsidR="00A06577" w:rsidRPr="00CE23AE">
        <w:rPr>
          <w:szCs w:val="20"/>
          <w:lang w:val="en-US"/>
        </w:rPr>
        <w:t>summary inquiry</w:t>
      </w:r>
      <w:r w:rsidRPr="00CE23AE">
        <w:rPr>
          <w:szCs w:val="20"/>
          <w:lang w:val="en-US"/>
        </w:rPr>
        <w:t xml:space="preserve"> procedure that had infringed his right of defense and due process. In particular, he </w:t>
      </w:r>
      <w:r w:rsidR="00C92ACA" w:rsidRPr="00CE23AE">
        <w:rPr>
          <w:szCs w:val="20"/>
          <w:lang w:val="en-US"/>
        </w:rPr>
        <w:t>stressed</w:t>
      </w:r>
      <w:r w:rsidRPr="00CE23AE">
        <w:rPr>
          <w:szCs w:val="20"/>
          <w:lang w:val="en-US"/>
        </w:rPr>
        <w:t xml:space="preserve"> that, during the procedure to receive testimonial evidence the day before the hearing was held, an “agent of the Division’s Personnel Department had handed [him] the order of the Division Commander” to </w:t>
      </w:r>
      <w:r w:rsidR="00C92ACA" w:rsidRPr="00CE23AE">
        <w:rPr>
          <w:szCs w:val="20"/>
          <w:lang w:val="en-US"/>
        </w:rPr>
        <w:t>perform</w:t>
      </w:r>
      <w:r w:rsidRPr="00CE23AE">
        <w:rPr>
          <w:szCs w:val="20"/>
          <w:lang w:val="en-US"/>
        </w:rPr>
        <w:t xml:space="preserve"> certain </w:t>
      </w:r>
      <w:r w:rsidR="00C92ACA" w:rsidRPr="00CE23AE">
        <w:rPr>
          <w:szCs w:val="20"/>
          <w:lang w:val="en-US"/>
        </w:rPr>
        <w:t>duties</w:t>
      </w:r>
      <w:r w:rsidRPr="00CE23AE">
        <w:rPr>
          <w:szCs w:val="20"/>
          <w:lang w:val="en-US"/>
        </w:rPr>
        <w:t xml:space="preserve"> in the city of Ambato. Thus, Mr. Flor Freire affirmed that “on the day [of the hearing he had] to </w:t>
      </w:r>
      <w:r w:rsidR="00C92ACA" w:rsidRPr="00CE23AE">
        <w:rPr>
          <w:szCs w:val="20"/>
          <w:lang w:val="en-US"/>
        </w:rPr>
        <w:t>make a considerable fuss</w:t>
      </w:r>
      <w:r w:rsidRPr="00CE23AE">
        <w:rPr>
          <w:szCs w:val="20"/>
          <w:lang w:val="en-US"/>
        </w:rPr>
        <w:t xml:space="preserve"> for that order to be amended” so that he could attend the hearing with his defense counsel.</w:t>
      </w:r>
      <w:r w:rsidR="001940B0" w:rsidRPr="00CE23AE">
        <w:rPr>
          <w:rStyle w:val="Refdenotaalpie"/>
          <w:szCs w:val="20"/>
          <w:lang w:val="en-US"/>
        </w:rPr>
        <w:footnoteReference w:id="122"/>
      </w:r>
      <w:r w:rsidR="001940B0" w:rsidRPr="00CE23AE">
        <w:rPr>
          <w:szCs w:val="20"/>
          <w:lang w:val="en-US"/>
        </w:rPr>
        <w:t xml:space="preserve"> </w:t>
      </w:r>
    </w:p>
    <w:p w14:paraId="2728CE0B" w14:textId="77777777" w:rsidR="001940B0" w:rsidRPr="00CE23AE" w:rsidRDefault="001940B0" w:rsidP="001940B0">
      <w:pPr>
        <w:rPr>
          <w:szCs w:val="20"/>
          <w:lang w:val="en-US"/>
        </w:rPr>
      </w:pPr>
    </w:p>
    <w:p w14:paraId="637541D4" w14:textId="5B0C7DF9" w:rsidR="001940B0" w:rsidRPr="00CE23AE" w:rsidRDefault="001940B0" w:rsidP="009B2300">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lastRenderedPageBreak/>
        <w:t xml:space="preserve"> </w:t>
      </w:r>
      <w:r w:rsidR="003925AF" w:rsidRPr="00CE23AE">
        <w:rPr>
          <w:szCs w:val="20"/>
          <w:lang w:val="en-US"/>
        </w:rPr>
        <w:t>He also</w:t>
      </w:r>
      <w:r w:rsidR="000366A6" w:rsidRPr="00CE23AE">
        <w:rPr>
          <w:szCs w:val="20"/>
          <w:lang w:val="en-US"/>
        </w:rPr>
        <w:t xml:space="preserve"> a</w:t>
      </w:r>
      <w:r w:rsidR="003925AF" w:rsidRPr="00CE23AE">
        <w:rPr>
          <w:szCs w:val="20"/>
          <w:lang w:val="en-US"/>
        </w:rPr>
        <w:t>lleged</w:t>
      </w:r>
      <w:r w:rsidR="000366A6" w:rsidRPr="00CE23AE">
        <w:rPr>
          <w:szCs w:val="20"/>
          <w:lang w:val="en-US"/>
        </w:rPr>
        <w:t xml:space="preserve"> that his defense counsel had filed a recusal against the Prosecutor of the Military Zone because the latter had acted in a “biased and </w:t>
      </w:r>
      <w:r w:rsidR="003925AF" w:rsidRPr="00CE23AE">
        <w:rPr>
          <w:szCs w:val="20"/>
          <w:lang w:val="en-US"/>
        </w:rPr>
        <w:t xml:space="preserve">evasive </w:t>
      </w:r>
      <w:r w:rsidR="009B2300" w:rsidRPr="00CE23AE">
        <w:rPr>
          <w:szCs w:val="20"/>
          <w:lang w:val="en-US"/>
        </w:rPr>
        <w:t>way” because it was at the Prosecutor</w:t>
      </w:r>
      <w:r w:rsidR="003925AF" w:rsidRPr="00CE23AE">
        <w:rPr>
          <w:szCs w:val="20"/>
          <w:lang w:val="en-US"/>
        </w:rPr>
        <w:t>’s request</w:t>
      </w:r>
      <w:r w:rsidR="009B2300" w:rsidRPr="00CE23AE">
        <w:rPr>
          <w:szCs w:val="20"/>
          <w:lang w:val="en-US"/>
        </w:rPr>
        <w:t xml:space="preserve"> that Mr. Flor Freire had not been allowed to be present while the witnesses testified against him. </w:t>
      </w:r>
      <w:r w:rsidR="00F5102B" w:rsidRPr="00CE23AE">
        <w:rPr>
          <w:szCs w:val="20"/>
          <w:lang w:val="en-US"/>
        </w:rPr>
        <w:t>Mr. Flor</w:t>
      </w:r>
      <w:r w:rsidRPr="00CE23AE">
        <w:rPr>
          <w:szCs w:val="20"/>
          <w:lang w:val="en-US"/>
        </w:rPr>
        <w:t xml:space="preserve"> Freire </w:t>
      </w:r>
      <w:r w:rsidR="009B2300" w:rsidRPr="00CE23AE">
        <w:rPr>
          <w:szCs w:val="20"/>
          <w:lang w:val="en-US"/>
        </w:rPr>
        <w:t>argued that this recusal had been rejected by the First Investigating Court, which had merely issued a “public caution” to the Prosecutor.</w:t>
      </w:r>
      <w:r w:rsidRPr="00CE23AE">
        <w:rPr>
          <w:rStyle w:val="Refdenotaalpie"/>
          <w:lang w:val="en-US"/>
        </w:rPr>
        <w:footnoteReference w:id="123"/>
      </w:r>
      <w:r w:rsidRPr="00CE23AE">
        <w:rPr>
          <w:szCs w:val="20"/>
          <w:lang w:val="en-US"/>
        </w:rPr>
        <w:t xml:space="preserve"> </w:t>
      </w:r>
      <w:r w:rsidR="009B2300" w:rsidRPr="00CE23AE">
        <w:rPr>
          <w:szCs w:val="20"/>
          <w:lang w:val="en-US"/>
        </w:rPr>
        <w:t>He argued also that “at the pre-procedural stage</w:t>
      </w:r>
      <w:r w:rsidR="003925AF" w:rsidRPr="00CE23AE">
        <w:rPr>
          <w:szCs w:val="20"/>
          <w:lang w:val="en-US"/>
        </w:rPr>
        <w:t>,</w:t>
      </w:r>
      <w:r w:rsidR="009B2300" w:rsidRPr="00CE23AE">
        <w:rPr>
          <w:szCs w:val="20"/>
          <w:lang w:val="en-US"/>
        </w:rPr>
        <w:t xml:space="preserve"> the </w:t>
      </w:r>
      <w:r w:rsidRPr="00CE23AE">
        <w:rPr>
          <w:szCs w:val="20"/>
          <w:lang w:val="en-US"/>
        </w:rPr>
        <w:t>(</w:t>
      </w:r>
      <w:r w:rsidR="000366A6" w:rsidRPr="00CE23AE">
        <w:rPr>
          <w:szCs w:val="20"/>
          <w:lang w:val="en-US"/>
        </w:rPr>
        <w:t>Intelligence Unit</w:t>
      </w:r>
      <w:r w:rsidRPr="00CE23AE">
        <w:rPr>
          <w:szCs w:val="20"/>
          <w:lang w:val="en-US"/>
        </w:rPr>
        <w:t xml:space="preserve">)” </w:t>
      </w:r>
      <w:r w:rsidR="009B2300" w:rsidRPr="00CE23AE">
        <w:rPr>
          <w:szCs w:val="20"/>
          <w:lang w:val="en-US"/>
        </w:rPr>
        <w:t xml:space="preserve">was not assisted by a “legal adviser and the prosecutor […] as established in </w:t>
      </w:r>
      <w:r w:rsidR="0005476C" w:rsidRPr="00CE23AE">
        <w:rPr>
          <w:szCs w:val="20"/>
          <w:lang w:val="en-US"/>
        </w:rPr>
        <w:t>the Constitution</w:t>
      </w:r>
      <w:r w:rsidR="009B2300" w:rsidRPr="00CE23AE">
        <w:rPr>
          <w:szCs w:val="20"/>
          <w:lang w:val="en-US"/>
        </w:rPr>
        <w:t>.</w:t>
      </w:r>
      <w:r w:rsidRPr="00CE23AE">
        <w:rPr>
          <w:szCs w:val="20"/>
          <w:lang w:val="en-US"/>
        </w:rPr>
        <w:t>”</w:t>
      </w:r>
      <w:r w:rsidRPr="00CE23AE">
        <w:rPr>
          <w:rStyle w:val="Refdenotaalpie"/>
          <w:lang w:val="en-US"/>
        </w:rPr>
        <w:footnoteReference w:id="124"/>
      </w:r>
      <w:r w:rsidRPr="00CE23AE">
        <w:rPr>
          <w:szCs w:val="20"/>
          <w:lang w:val="en-US"/>
        </w:rPr>
        <w:t xml:space="preserve"> </w:t>
      </w:r>
    </w:p>
    <w:p w14:paraId="246B46F2" w14:textId="77777777" w:rsidR="001940B0" w:rsidRPr="00CE23AE" w:rsidRDefault="001940B0" w:rsidP="001940B0">
      <w:pPr>
        <w:rPr>
          <w:szCs w:val="20"/>
          <w:lang w:val="en-US"/>
        </w:rPr>
      </w:pPr>
    </w:p>
    <w:p w14:paraId="428D7F17" w14:textId="5A45E22B" w:rsidR="001940B0" w:rsidRPr="00CE23AE" w:rsidRDefault="009B2300" w:rsidP="001940B0">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By an order of</w:t>
      </w:r>
      <w:r w:rsidR="00F5102B" w:rsidRPr="00CE23AE">
        <w:rPr>
          <w:szCs w:val="20"/>
          <w:lang w:val="en-US"/>
        </w:rPr>
        <w:t xml:space="preserve"> January 29,</w:t>
      </w:r>
      <w:r w:rsidR="001940B0" w:rsidRPr="00CE23AE">
        <w:rPr>
          <w:szCs w:val="20"/>
          <w:lang w:val="en-US"/>
        </w:rPr>
        <w:t xml:space="preserve"> 2001</w:t>
      </w:r>
      <w:r w:rsidRPr="00CE23AE">
        <w:rPr>
          <w:szCs w:val="20"/>
          <w:lang w:val="en-US"/>
        </w:rPr>
        <w:t>,</w:t>
      </w:r>
      <w:r w:rsidR="001940B0" w:rsidRPr="00CE23AE">
        <w:rPr>
          <w:rStyle w:val="Refdenotaalpie"/>
          <w:lang w:val="en-US"/>
        </w:rPr>
        <w:footnoteReference w:id="125"/>
      </w:r>
      <w:r w:rsidR="001940B0" w:rsidRPr="00CE23AE">
        <w:rPr>
          <w:szCs w:val="20"/>
          <w:lang w:val="en-US"/>
        </w:rPr>
        <w:t xml:space="preserve"> </w:t>
      </w:r>
      <w:r w:rsidR="0078516C" w:rsidRPr="00CE23AE">
        <w:rPr>
          <w:szCs w:val="20"/>
          <w:lang w:val="en-US"/>
        </w:rPr>
        <w:t>the Sixth Civil Court of Pichincha</w:t>
      </w:r>
      <w:r w:rsidR="001940B0" w:rsidRPr="00CE23AE">
        <w:rPr>
          <w:szCs w:val="20"/>
          <w:lang w:val="en-US"/>
        </w:rPr>
        <w:t xml:space="preserve"> </w:t>
      </w:r>
      <w:r w:rsidRPr="00CE23AE">
        <w:rPr>
          <w:szCs w:val="20"/>
          <w:lang w:val="en-US"/>
        </w:rPr>
        <w:t>admitted the</w:t>
      </w:r>
      <w:r w:rsidR="001940B0" w:rsidRPr="00CE23AE">
        <w:rPr>
          <w:szCs w:val="20"/>
          <w:lang w:val="en-US"/>
        </w:rPr>
        <w:t xml:space="preserve"> </w:t>
      </w:r>
      <w:r w:rsidR="00F5102B" w:rsidRPr="00CE23AE">
        <w:rPr>
          <w:szCs w:val="20"/>
          <w:lang w:val="en-US"/>
        </w:rPr>
        <w:t xml:space="preserve">application for </w:t>
      </w:r>
      <w:r w:rsidR="00C92ACA" w:rsidRPr="00CE23AE">
        <w:rPr>
          <w:szCs w:val="20"/>
          <w:lang w:val="en-US"/>
        </w:rPr>
        <w:t>constitutional amparo</w:t>
      </w:r>
      <w:r w:rsidR="00C561DF" w:rsidRPr="00CE23AE">
        <w:rPr>
          <w:szCs w:val="20"/>
          <w:lang w:val="en-US"/>
        </w:rPr>
        <w:t xml:space="preserve"> and </w:t>
      </w:r>
      <w:r w:rsidRPr="00CE23AE">
        <w:rPr>
          <w:szCs w:val="20"/>
          <w:lang w:val="en-US"/>
        </w:rPr>
        <w:t xml:space="preserve">called the parties </w:t>
      </w:r>
      <w:r w:rsidR="003925AF" w:rsidRPr="00CE23AE">
        <w:rPr>
          <w:szCs w:val="20"/>
          <w:lang w:val="en-US"/>
        </w:rPr>
        <w:t>to</w:t>
      </w:r>
      <w:r w:rsidRPr="00CE23AE">
        <w:rPr>
          <w:szCs w:val="20"/>
          <w:lang w:val="en-US"/>
        </w:rPr>
        <w:t xml:space="preserve"> a hearing held on February 5, </w:t>
      </w:r>
      <w:r w:rsidR="001940B0" w:rsidRPr="00CE23AE">
        <w:rPr>
          <w:szCs w:val="20"/>
          <w:lang w:val="en-US"/>
        </w:rPr>
        <w:t>2001</w:t>
      </w:r>
      <w:r w:rsidRPr="00CE23AE">
        <w:rPr>
          <w:szCs w:val="20"/>
          <w:lang w:val="en-US"/>
        </w:rPr>
        <w:t>.</w:t>
      </w:r>
      <w:r w:rsidR="001940B0" w:rsidRPr="00CE23AE">
        <w:rPr>
          <w:rStyle w:val="Refdenotaalpie"/>
          <w:rFonts w:cs="Vrinda"/>
          <w:lang w:val="en-US"/>
        </w:rPr>
        <w:footnoteReference w:id="126"/>
      </w:r>
    </w:p>
    <w:p w14:paraId="495172A4" w14:textId="77777777" w:rsidR="001940B0" w:rsidRPr="00CE23AE" w:rsidRDefault="001940B0" w:rsidP="001940B0">
      <w:pPr>
        <w:rPr>
          <w:szCs w:val="20"/>
          <w:lang w:val="en-US"/>
        </w:rPr>
      </w:pPr>
    </w:p>
    <w:p w14:paraId="54A7DCE3" w14:textId="20F697AC" w:rsidR="001940B0" w:rsidRPr="00CE23AE" w:rsidRDefault="009B2300" w:rsidP="009B2300">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 xml:space="preserve">During </w:t>
      </w:r>
      <w:r w:rsidR="003925AF" w:rsidRPr="00CE23AE">
        <w:rPr>
          <w:szCs w:val="20"/>
          <w:lang w:val="en-US"/>
        </w:rPr>
        <w:t>this amparo</w:t>
      </w:r>
      <w:r w:rsidRPr="00CE23AE">
        <w:rPr>
          <w:szCs w:val="20"/>
          <w:lang w:val="en-US"/>
        </w:rPr>
        <w:t xml:space="preserve"> proceeding, </w:t>
      </w:r>
      <w:r w:rsidR="0078516C" w:rsidRPr="00CE23AE">
        <w:rPr>
          <w:szCs w:val="20"/>
          <w:lang w:val="en-US"/>
        </w:rPr>
        <w:t>the Sixth Civil Court of Pichincha</w:t>
      </w:r>
      <w:r w:rsidR="001940B0" w:rsidRPr="00CE23AE">
        <w:rPr>
          <w:szCs w:val="20"/>
          <w:lang w:val="en-US"/>
        </w:rPr>
        <w:t xml:space="preserve"> re</w:t>
      </w:r>
      <w:r w:rsidRPr="00CE23AE">
        <w:rPr>
          <w:szCs w:val="20"/>
          <w:lang w:val="en-US"/>
        </w:rPr>
        <w:t xml:space="preserve">ceived briefs from the Legal Adviser </w:t>
      </w:r>
      <w:r w:rsidR="00282386" w:rsidRPr="00CE23AE">
        <w:rPr>
          <w:szCs w:val="20"/>
          <w:lang w:val="en-US"/>
        </w:rPr>
        <w:t>to</w:t>
      </w:r>
      <w:r w:rsidR="00C561DF" w:rsidRPr="00CE23AE">
        <w:rPr>
          <w:szCs w:val="20"/>
          <w:lang w:val="en-US"/>
        </w:rPr>
        <w:t xml:space="preserve"> the </w:t>
      </w:r>
      <w:r w:rsidR="004002FB" w:rsidRPr="00CE23AE">
        <w:rPr>
          <w:szCs w:val="20"/>
          <w:lang w:val="en-US"/>
        </w:rPr>
        <w:t>President of</w:t>
      </w:r>
      <w:r w:rsidRPr="00CE23AE">
        <w:rPr>
          <w:szCs w:val="20"/>
          <w:lang w:val="en-US"/>
        </w:rPr>
        <w:t xml:space="preserve"> </w:t>
      </w:r>
      <w:r w:rsidR="001940B0" w:rsidRPr="00CE23AE">
        <w:rPr>
          <w:szCs w:val="20"/>
          <w:lang w:val="en-US"/>
        </w:rPr>
        <w:t xml:space="preserve">Ecuador, </w:t>
      </w:r>
      <w:r w:rsidRPr="00CE23AE">
        <w:rPr>
          <w:szCs w:val="20"/>
          <w:lang w:val="en-US"/>
        </w:rPr>
        <w:t>the Attorney General, the</w:t>
      </w:r>
      <w:r w:rsidR="001940B0" w:rsidRPr="00CE23AE">
        <w:rPr>
          <w:szCs w:val="20"/>
          <w:lang w:val="en-US"/>
        </w:rPr>
        <w:t xml:space="preserve"> </w:t>
      </w:r>
      <w:r w:rsidR="00A74EEA" w:rsidRPr="00CE23AE">
        <w:rPr>
          <w:rFonts w:cs="Vrinda"/>
          <w:szCs w:val="20"/>
          <w:lang w:val="en-US"/>
        </w:rPr>
        <w:t>Legal Services Department</w:t>
      </w:r>
      <w:r w:rsidR="001940B0" w:rsidRPr="00CE23AE">
        <w:rPr>
          <w:rFonts w:cs="Vrinda"/>
          <w:szCs w:val="20"/>
          <w:lang w:val="en-US"/>
        </w:rPr>
        <w:t xml:space="preserve"> </w:t>
      </w:r>
      <w:r w:rsidRPr="00CE23AE">
        <w:rPr>
          <w:rFonts w:cs="Vrinda"/>
          <w:szCs w:val="20"/>
          <w:lang w:val="en-US"/>
        </w:rPr>
        <w:t>of the</w:t>
      </w:r>
      <w:r w:rsidR="001940B0" w:rsidRPr="00CE23AE">
        <w:rPr>
          <w:rFonts w:cs="Vrinda"/>
          <w:szCs w:val="20"/>
          <w:lang w:val="en-US"/>
        </w:rPr>
        <w:t xml:space="preserve"> </w:t>
      </w:r>
      <w:r w:rsidR="00555204" w:rsidRPr="00CE23AE">
        <w:rPr>
          <w:rFonts w:cs="Vrinda"/>
          <w:szCs w:val="20"/>
          <w:lang w:val="en-US"/>
        </w:rPr>
        <w:t>General Command</w:t>
      </w:r>
      <w:r w:rsidR="008B76F3" w:rsidRPr="00CE23AE">
        <w:rPr>
          <w:rFonts w:cs="Vrinda"/>
          <w:szCs w:val="20"/>
          <w:lang w:val="en-US"/>
        </w:rPr>
        <w:t xml:space="preserve"> of the Ground Forces</w:t>
      </w:r>
      <w:r w:rsidR="003925AF" w:rsidRPr="00CE23AE">
        <w:rPr>
          <w:rFonts w:cs="Vrinda"/>
          <w:szCs w:val="20"/>
          <w:lang w:val="en-US"/>
        </w:rPr>
        <w:t>,</w:t>
      </w:r>
      <w:r w:rsidR="00C561DF" w:rsidRPr="00CE23AE">
        <w:rPr>
          <w:rFonts w:cs="Vrinda"/>
          <w:szCs w:val="20"/>
          <w:lang w:val="en-US"/>
        </w:rPr>
        <w:t xml:space="preserve"> and </w:t>
      </w:r>
      <w:r w:rsidRPr="00CE23AE">
        <w:rPr>
          <w:rFonts w:cs="Vrinda"/>
          <w:szCs w:val="20"/>
          <w:lang w:val="en-US"/>
        </w:rPr>
        <w:t xml:space="preserve">the </w:t>
      </w:r>
      <w:r w:rsidR="000366A6" w:rsidRPr="00CE23AE">
        <w:rPr>
          <w:szCs w:val="20"/>
          <w:lang w:val="en-US"/>
        </w:rPr>
        <w:t>Minister of National Defense</w:t>
      </w:r>
      <w:r w:rsidRPr="00CE23AE">
        <w:rPr>
          <w:szCs w:val="20"/>
          <w:lang w:val="en-US"/>
        </w:rPr>
        <w:t>.</w:t>
      </w:r>
      <w:r w:rsidR="001940B0" w:rsidRPr="00CE23AE">
        <w:rPr>
          <w:rStyle w:val="Refdenotaalpie"/>
          <w:rFonts w:cs="Vrinda"/>
          <w:lang w:val="en-US"/>
        </w:rPr>
        <w:footnoteReference w:id="127"/>
      </w:r>
      <w:r w:rsidRPr="00CE23AE">
        <w:rPr>
          <w:szCs w:val="20"/>
          <w:lang w:val="en-US"/>
        </w:rPr>
        <w:t xml:space="preserve"> These entities submitted different arguments related to the inadmissibility of the application for </w:t>
      </w:r>
      <w:r w:rsidR="003925AF" w:rsidRPr="00CE23AE">
        <w:rPr>
          <w:szCs w:val="20"/>
          <w:lang w:val="en-US"/>
        </w:rPr>
        <w:t>amparo</w:t>
      </w:r>
      <w:r w:rsidRPr="00CE23AE">
        <w:rPr>
          <w:szCs w:val="20"/>
          <w:lang w:val="en-US"/>
        </w:rPr>
        <w:t xml:space="preserve"> including: (i) non-compliance with the requirements established in the Constitution and the Law on Constitutional Control; (ii) that it was not possible to file an application for amparo against the </w:t>
      </w:r>
      <w:r w:rsidR="00A06577" w:rsidRPr="00CE23AE">
        <w:rPr>
          <w:szCs w:val="20"/>
          <w:lang w:val="en-US"/>
        </w:rPr>
        <w:t>summary inquiry</w:t>
      </w:r>
      <w:r w:rsidRPr="00CE23AE">
        <w:rPr>
          <w:szCs w:val="20"/>
          <w:lang w:val="en-US"/>
        </w:rPr>
        <w:t xml:space="preserve"> procedure; (iii) that the said procedure was still pending a final decision,</w:t>
      </w:r>
      <w:r w:rsidR="001940B0" w:rsidRPr="00CE23AE">
        <w:rPr>
          <w:rStyle w:val="Refdenotaalpie"/>
          <w:lang w:val="en-US"/>
        </w:rPr>
        <w:footnoteReference w:id="128"/>
      </w:r>
      <w:r w:rsidR="00C561DF" w:rsidRPr="00CE23AE">
        <w:rPr>
          <w:szCs w:val="20"/>
          <w:lang w:val="en-US"/>
        </w:rPr>
        <w:t xml:space="preserve"> and </w:t>
      </w:r>
      <w:r w:rsidR="001940B0" w:rsidRPr="00CE23AE">
        <w:rPr>
          <w:szCs w:val="20"/>
          <w:lang w:val="en-US"/>
        </w:rPr>
        <w:t xml:space="preserve">(iv) </w:t>
      </w:r>
      <w:r w:rsidRPr="00CE23AE">
        <w:rPr>
          <w:szCs w:val="20"/>
          <w:lang w:val="en-US"/>
        </w:rPr>
        <w:t>that the purpose of the said procedure was not to punish</w:t>
      </w:r>
      <w:r w:rsidR="00282386" w:rsidRPr="00CE23AE">
        <w:rPr>
          <w:szCs w:val="20"/>
          <w:lang w:val="en-US"/>
        </w:rPr>
        <w:t xml:space="preserve"> him for</w:t>
      </w:r>
      <w:r w:rsidRPr="00CE23AE">
        <w:rPr>
          <w:szCs w:val="20"/>
          <w:lang w:val="en-US"/>
        </w:rPr>
        <w:t xml:space="preserve"> the offense of “homosexua</w:t>
      </w:r>
      <w:r w:rsidR="00282386" w:rsidRPr="00CE23AE">
        <w:rPr>
          <w:szCs w:val="20"/>
          <w:lang w:val="en-US"/>
        </w:rPr>
        <w:t>lity</w:t>
      </w:r>
      <w:r w:rsidRPr="00CE23AE">
        <w:rPr>
          <w:szCs w:val="20"/>
          <w:lang w:val="en-US"/>
        </w:rPr>
        <w:t>,” but rather</w:t>
      </w:r>
      <w:r w:rsidR="00282386" w:rsidRPr="00CE23AE">
        <w:rPr>
          <w:szCs w:val="20"/>
          <w:lang w:val="en-US"/>
        </w:rPr>
        <w:t xml:space="preserve"> for</w:t>
      </w:r>
      <w:r w:rsidRPr="00CE23AE">
        <w:rPr>
          <w:szCs w:val="20"/>
          <w:lang w:val="en-US"/>
        </w:rPr>
        <w:t xml:space="preserve"> “misconduct” because the said sexual </w:t>
      </w:r>
      <w:r w:rsidR="00282386" w:rsidRPr="00CE23AE">
        <w:rPr>
          <w:szCs w:val="20"/>
          <w:lang w:val="en-US"/>
        </w:rPr>
        <w:t>behavior</w:t>
      </w:r>
      <w:r w:rsidRPr="00CE23AE">
        <w:rPr>
          <w:szCs w:val="20"/>
          <w:lang w:val="en-US"/>
        </w:rPr>
        <w:t xml:space="preserve"> had taken place on military premises.</w:t>
      </w:r>
      <w:r w:rsidR="001940B0" w:rsidRPr="00CE23AE">
        <w:rPr>
          <w:rStyle w:val="Refdenotaalpie"/>
          <w:lang w:val="en-US"/>
        </w:rPr>
        <w:footnoteReference w:id="129"/>
      </w:r>
    </w:p>
    <w:p w14:paraId="46D1CC1A" w14:textId="77777777" w:rsidR="001940B0" w:rsidRPr="00CE23AE" w:rsidRDefault="001940B0" w:rsidP="001940B0">
      <w:pPr>
        <w:rPr>
          <w:rFonts w:cs="Vrinda"/>
          <w:szCs w:val="20"/>
          <w:lang w:val="en-US"/>
        </w:rPr>
      </w:pPr>
    </w:p>
    <w:p w14:paraId="798FE0E7" w14:textId="2EAE588F" w:rsidR="001940B0" w:rsidRPr="00CE23AE" w:rsidRDefault="009B2300" w:rsidP="001940B0">
      <w:pPr>
        <w:widowControl/>
        <w:numPr>
          <w:ilvl w:val="0"/>
          <w:numId w:val="6"/>
        </w:numPr>
        <w:tabs>
          <w:tab w:val="left" w:pos="567"/>
        </w:tabs>
        <w:suppressAutoHyphens/>
        <w:adjustRightInd/>
        <w:spacing w:line="240" w:lineRule="auto"/>
        <w:textAlignment w:val="auto"/>
        <w:rPr>
          <w:szCs w:val="20"/>
          <w:lang w:val="en-US"/>
        </w:rPr>
      </w:pPr>
      <w:r w:rsidRPr="00CE23AE">
        <w:rPr>
          <w:rFonts w:cs="Vrinda"/>
          <w:szCs w:val="20"/>
          <w:lang w:val="en-US"/>
        </w:rPr>
        <w:t>In a brief of February 6,</w:t>
      </w:r>
      <w:r w:rsidR="001940B0" w:rsidRPr="00CE23AE">
        <w:rPr>
          <w:rFonts w:cs="Vrinda"/>
          <w:szCs w:val="20"/>
          <w:lang w:val="en-US"/>
        </w:rPr>
        <w:t xml:space="preserve"> 2001</w:t>
      </w:r>
      <w:r w:rsidRPr="00CE23AE">
        <w:rPr>
          <w:rFonts w:cs="Vrinda"/>
          <w:szCs w:val="20"/>
          <w:lang w:val="en-US"/>
        </w:rPr>
        <w:t>,</w:t>
      </w:r>
      <w:r w:rsidR="001940B0" w:rsidRPr="00CE23AE">
        <w:rPr>
          <w:rFonts w:cs="Vrinda"/>
          <w:szCs w:val="20"/>
          <w:lang w:val="en-US"/>
        </w:rPr>
        <w:t xml:space="preserve"> </w:t>
      </w:r>
      <w:r w:rsidRPr="00CE23AE">
        <w:rPr>
          <w:rFonts w:cs="Vrinda"/>
          <w:szCs w:val="20"/>
          <w:lang w:val="en-US"/>
        </w:rPr>
        <w:t>presented to</w:t>
      </w:r>
      <w:r w:rsidR="001940B0" w:rsidRPr="00CE23AE">
        <w:rPr>
          <w:rFonts w:cs="Vrinda"/>
          <w:szCs w:val="20"/>
          <w:lang w:val="en-US"/>
        </w:rPr>
        <w:t xml:space="preserve"> </w:t>
      </w:r>
      <w:r w:rsidRPr="00CE23AE">
        <w:rPr>
          <w:rFonts w:cs="Vrinda"/>
          <w:szCs w:val="20"/>
          <w:lang w:val="en-US"/>
        </w:rPr>
        <w:t>the Sixth Civil Court</w:t>
      </w:r>
      <w:r w:rsidR="001940B0" w:rsidRPr="00CE23AE">
        <w:rPr>
          <w:rFonts w:cs="Vrinda"/>
          <w:szCs w:val="20"/>
          <w:lang w:val="en-US"/>
        </w:rPr>
        <w:t xml:space="preserve">, </w:t>
      </w:r>
      <w:r w:rsidR="00F5102B" w:rsidRPr="00CE23AE">
        <w:rPr>
          <w:szCs w:val="20"/>
          <w:lang w:val="en-US"/>
        </w:rPr>
        <w:t>Mr. Flor</w:t>
      </w:r>
      <w:r w:rsidR="001940B0" w:rsidRPr="00CE23AE">
        <w:rPr>
          <w:szCs w:val="20"/>
          <w:lang w:val="en-US"/>
        </w:rPr>
        <w:t xml:space="preserve"> Freire </w:t>
      </w:r>
      <w:r w:rsidR="001940B0" w:rsidRPr="00CE23AE">
        <w:rPr>
          <w:rFonts w:cs="Vrinda"/>
          <w:szCs w:val="20"/>
          <w:lang w:val="en-US"/>
        </w:rPr>
        <w:t>ratifi</w:t>
      </w:r>
      <w:r w:rsidRPr="00CE23AE">
        <w:rPr>
          <w:rFonts w:cs="Vrinda"/>
          <w:szCs w:val="20"/>
          <w:lang w:val="en-US"/>
        </w:rPr>
        <w:t xml:space="preserve">ed all aspects of </w:t>
      </w:r>
      <w:r w:rsidR="00282386" w:rsidRPr="00CE23AE">
        <w:rPr>
          <w:rFonts w:cs="Vrinda"/>
          <w:szCs w:val="20"/>
          <w:lang w:val="en-US"/>
        </w:rPr>
        <w:t>his</w:t>
      </w:r>
      <w:r w:rsidRPr="00CE23AE">
        <w:rPr>
          <w:rFonts w:cs="Vrinda"/>
          <w:szCs w:val="20"/>
          <w:lang w:val="en-US"/>
        </w:rPr>
        <w:t xml:space="preserve"> application for </w:t>
      </w:r>
      <w:r w:rsidR="00282386" w:rsidRPr="00CE23AE">
        <w:rPr>
          <w:rFonts w:cs="Vrinda"/>
          <w:szCs w:val="20"/>
          <w:lang w:val="en-US"/>
        </w:rPr>
        <w:t>amparo</w:t>
      </w:r>
      <w:r w:rsidRPr="00CE23AE">
        <w:rPr>
          <w:rFonts w:cs="Vrinda"/>
          <w:szCs w:val="20"/>
          <w:lang w:val="en-US"/>
        </w:rPr>
        <w:t xml:space="preserve"> and asked the Sixth Court to order the</w:t>
      </w:r>
      <w:r w:rsidR="001940B0" w:rsidRPr="00CE23AE">
        <w:rPr>
          <w:rFonts w:cs="Vrinda"/>
          <w:szCs w:val="20"/>
          <w:lang w:val="en-US"/>
        </w:rPr>
        <w:t xml:space="preserve"> </w:t>
      </w:r>
      <w:r w:rsidR="009C5D46" w:rsidRPr="00CE23AE">
        <w:rPr>
          <w:rFonts w:cs="Vrinda"/>
          <w:szCs w:val="20"/>
          <w:lang w:val="en-US"/>
        </w:rPr>
        <w:t xml:space="preserve">Commander </w:t>
      </w:r>
      <w:r w:rsidR="008B76F3" w:rsidRPr="00CE23AE">
        <w:rPr>
          <w:rFonts w:cs="Vrinda"/>
          <w:szCs w:val="20"/>
          <w:lang w:val="en-US"/>
        </w:rPr>
        <w:t>of the Ground Forces</w:t>
      </w:r>
      <w:r w:rsidR="001940B0" w:rsidRPr="00CE23AE">
        <w:rPr>
          <w:rFonts w:cs="Vrinda"/>
          <w:szCs w:val="20"/>
          <w:lang w:val="en-US"/>
        </w:rPr>
        <w:t xml:space="preserve"> </w:t>
      </w:r>
      <w:r w:rsidRPr="00CE23AE">
        <w:rPr>
          <w:rFonts w:cs="Vrinda"/>
          <w:szCs w:val="20"/>
          <w:lang w:val="en-US"/>
        </w:rPr>
        <w:t xml:space="preserve">to forward a certified copy of the case file of the </w:t>
      </w:r>
      <w:r w:rsidR="00A06577" w:rsidRPr="00CE23AE">
        <w:rPr>
          <w:rFonts w:cs="Vrinda"/>
          <w:szCs w:val="20"/>
          <w:lang w:val="en-US"/>
        </w:rPr>
        <w:t>summary inquiry</w:t>
      </w:r>
      <w:r w:rsidR="001940B0" w:rsidRPr="00CE23AE">
        <w:rPr>
          <w:rFonts w:cs="Vrinda"/>
          <w:szCs w:val="20"/>
          <w:lang w:val="en-US"/>
        </w:rPr>
        <w:t xml:space="preserve"> </w:t>
      </w:r>
      <w:r w:rsidRPr="00CE23AE">
        <w:rPr>
          <w:rFonts w:cs="Vrinda"/>
          <w:szCs w:val="20"/>
          <w:lang w:val="en-US"/>
        </w:rPr>
        <w:t>procedure opened against him.</w:t>
      </w:r>
      <w:r w:rsidR="001940B0" w:rsidRPr="00CE23AE">
        <w:rPr>
          <w:rStyle w:val="Refdenotaalpie"/>
          <w:rFonts w:cs="Vrinda"/>
          <w:lang w:val="en-US"/>
        </w:rPr>
        <w:footnoteReference w:id="130"/>
      </w:r>
      <w:r w:rsidR="00C92568" w:rsidRPr="00CE23AE">
        <w:rPr>
          <w:rFonts w:cs="Vrinda"/>
          <w:szCs w:val="20"/>
          <w:lang w:val="en-US"/>
        </w:rPr>
        <w:t xml:space="preserve"> </w:t>
      </w:r>
      <w:r w:rsidRPr="00CE23AE">
        <w:rPr>
          <w:rFonts w:cs="Vrinda"/>
          <w:szCs w:val="20"/>
          <w:lang w:val="en-US"/>
        </w:rPr>
        <w:t>On February 15,</w:t>
      </w:r>
      <w:r w:rsidR="00C92568" w:rsidRPr="00CE23AE">
        <w:rPr>
          <w:rFonts w:cs="Vrinda"/>
          <w:szCs w:val="20"/>
          <w:lang w:val="en-US"/>
        </w:rPr>
        <w:t xml:space="preserve"> 2001</w:t>
      </w:r>
      <w:r w:rsidRPr="00CE23AE">
        <w:rPr>
          <w:rFonts w:cs="Vrinda"/>
          <w:szCs w:val="20"/>
          <w:lang w:val="en-US"/>
        </w:rPr>
        <w:t>,</w:t>
      </w:r>
      <w:r w:rsidR="001940B0" w:rsidRPr="00CE23AE">
        <w:rPr>
          <w:rFonts w:cs="Vrinda"/>
          <w:szCs w:val="20"/>
          <w:lang w:val="en-US"/>
        </w:rPr>
        <w:t xml:space="preserve"> </w:t>
      </w:r>
      <w:r w:rsidR="00F5102B" w:rsidRPr="00CE23AE">
        <w:rPr>
          <w:szCs w:val="20"/>
          <w:lang w:val="en-US"/>
        </w:rPr>
        <w:t>Mr. Flor</w:t>
      </w:r>
      <w:r w:rsidR="001940B0" w:rsidRPr="00CE23AE">
        <w:rPr>
          <w:szCs w:val="20"/>
          <w:lang w:val="en-US"/>
        </w:rPr>
        <w:t xml:space="preserve"> Freire </w:t>
      </w:r>
      <w:r w:rsidR="001940B0" w:rsidRPr="00CE23AE">
        <w:rPr>
          <w:rFonts w:cs="Vrinda"/>
          <w:szCs w:val="20"/>
          <w:lang w:val="en-US"/>
        </w:rPr>
        <w:t>reiter</w:t>
      </w:r>
      <w:r w:rsidRPr="00CE23AE">
        <w:rPr>
          <w:rFonts w:cs="Vrinda"/>
          <w:szCs w:val="20"/>
          <w:lang w:val="en-US"/>
        </w:rPr>
        <w:t xml:space="preserve">ated this request and forwarded a copy of </w:t>
      </w:r>
      <w:r w:rsidR="008B76F3" w:rsidRPr="00CE23AE">
        <w:rPr>
          <w:rFonts w:cs="Vrinda"/>
          <w:szCs w:val="20"/>
          <w:lang w:val="en-US"/>
        </w:rPr>
        <w:t>memorandum</w:t>
      </w:r>
      <w:r w:rsidR="001940B0" w:rsidRPr="00CE23AE">
        <w:rPr>
          <w:rFonts w:cs="Vrinda"/>
          <w:szCs w:val="20"/>
          <w:lang w:val="en-US"/>
        </w:rPr>
        <w:t xml:space="preserve"> No. 200187-IV-DE-1 </w:t>
      </w:r>
      <w:r w:rsidRPr="00CE23AE">
        <w:rPr>
          <w:rFonts w:cs="Vrinda"/>
          <w:szCs w:val="20"/>
          <w:lang w:val="en-US"/>
        </w:rPr>
        <w:t>of December 13,</w:t>
      </w:r>
      <w:r w:rsidR="001940B0" w:rsidRPr="00CE23AE">
        <w:rPr>
          <w:rFonts w:cs="Vrinda"/>
          <w:szCs w:val="20"/>
          <w:lang w:val="en-US"/>
        </w:rPr>
        <w:t xml:space="preserve"> 2000, </w:t>
      </w:r>
      <w:r w:rsidRPr="00CE23AE">
        <w:rPr>
          <w:rFonts w:cs="Vrinda"/>
          <w:szCs w:val="20"/>
          <w:lang w:val="en-US"/>
        </w:rPr>
        <w:t xml:space="preserve">based on which he alleged that his </w:t>
      </w:r>
      <w:r w:rsidRPr="00CE23AE">
        <w:rPr>
          <w:rFonts w:cs="Vrinda"/>
          <w:szCs w:val="20"/>
          <w:lang w:val="en-US"/>
        </w:rPr>
        <w:lastRenderedPageBreak/>
        <w:t xml:space="preserve">functions had been changed and, consequently, his </w:t>
      </w:r>
      <w:r w:rsidR="00736C11" w:rsidRPr="00CE23AE">
        <w:rPr>
          <w:rFonts w:cs="Vrinda"/>
          <w:szCs w:val="20"/>
          <w:lang w:val="en-US"/>
        </w:rPr>
        <w:t xml:space="preserve">guard duties </w:t>
      </w:r>
      <w:r w:rsidRPr="00CE23AE">
        <w:rPr>
          <w:rFonts w:cs="Vrinda"/>
          <w:szCs w:val="20"/>
          <w:lang w:val="en-US"/>
        </w:rPr>
        <w:t>had been eliminated</w:t>
      </w:r>
      <w:r w:rsidR="001940B0" w:rsidRPr="00CE23AE">
        <w:rPr>
          <w:rStyle w:val="Refdenotaalpie"/>
          <w:rFonts w:cs="Vrinda"/>
          <w:lang w:val="en-US"/>
        </w:rPr>
        <w:footnoteReference w:id="131"/>
      </w:r>
      <w:r w:rsidR="001940B0" w:rsidRPr="00CE23AE">
        <w:rPr>
          <w:rFonts w:cs="Vrinda"/>
          <w:szCs w:val="20"/>
          <w:lang w:val="en-US"/>
        </w:rPr>
        <w:t xml:space="preserve"> (</w:t>
      </w:r>
      <w:r w:rsidR="001940B0" w:rsidRPr="00CE23AE">
        <w:rPr>
          <w:rFonts w:cs="Vrinda"/>
          <w:i/>
          <w:szCs w:val="20"/>
          <w:lang w:val="en-US"/>
        </w:rPr>
        <w:t>supra</w:t>
      </w:r>
      <w:r w:rsidR="001940B0" w:rsidRPr="00CE23AE">
        <w:rPr>
          <w:rFonts w:cs="Vrinda"/>
          <w:szCs w:val="20"/>
          <w:lang w:val="en-US"/>
        </w:rPr>
        <w:t xml:space="preserve"> </w:t>
      </w:r>
      <w:r w:rsidR="005C743F" w:rsidRPr="00CE23AE">
        <w:rPr>
          <w:rFonts w:cs="Vrinda"/>
          <w:szCs w:val="20"/>
          <w:lang w:val="en-US"/>
        </w:rPr>
        <w:t>para.</w:t>
      </w:r>
      <w:r w:rsidR="001940B0" w:rsidRPr="00CE23AE">
        <w:rPr>
          <w:rFonts w:cs="Vrinda"/>
          <w:szCs w:val="20"/>
          <w:lang w:val="en-US"/>
        </w:rPr>
        <w:t xml:space="preserve"> </w:t>
      </w:r>
      <w:r w:rsidR="001940B0" w:rsidRPr="00CE23AE">
        <w:rPr>
          <w:rFonts w:cs="Vrinda"/>
          <w:szCs w:val="20"/>
          <w:lang w:val="en-US"/>
        </w:rPr>
        <w:fldChar w:fldCharType="begin"/>
      </w:r>
      <w:r w:rsidR="001940B0" w:rsidRPr="00CE23AE">
        <w:rPr>
          <w:rFonts w:cs="Vrinda"/>
          <w:szCs w:val="20"/>
          <w:lang w:val="en-US"/>
        </w:rPr>
        <w:instrText xml:space="preserve"> REF _Ref451461614 \r \h </w:instrText>
      </w:r>
      <w:r w:rsidR="00CE23AE">
        <w:rPr>
          <w:rFonts w:cs="Vrinda"/>
          <w:szCs w:val="20"/>
          <w:lang w:val="en-US"/>
        </w:rPr>
        <w:instrText xml:space="preserve"> \* MERGEFORMAT </w:instrText>
      </w:r>
      <w:r w:rsidR="001940B0" w:rsidRPr="00CE23AE">
        <w:rPr>
          <w:rFonts w:cs="Vrinda"/>
          <w:szCs w:val="20"/>
          <w:lang w:val="en-US"/>
        </w:rPr>
      </w:r>
      <w:r w:rsidR="001940B0" w:rsidRPr="00CE23AE">
        <w:rPr>
          <w:rFonts w:cs="Vrinda"/>
          <w:szCs w:val="20"/>
          <w:lang w:val="en-US"/>
        </w:rPr>
        <w:fldChar w:fldCharType="separate"/>
      </w:r>
      <w:r w:rsidR="00BC2953" w:rsidRPr="00CE23AE">
        <w:rPr>
          <w:rFonts w:cs="Vrinda"/>
          <w:szCs w:val="20"/>
          <w:lang w:val="en-US"/>
        </w:rPr>
        <w:t>70</w:t>
      </w:r>
      <w:r w:rsidR="001940B0" w:rsidRPr="00CE23AE">
        <w:rPr>
          <w:rFonts w:cs="Vrinda"/>
          <w:szCs w:val="20"/>
          <w:lang w:val="en-US"/>
        </w:rPr>
        <w:fldChar w:fldCharType="end"/>
      </w:r>
      <w:r w:rsidR="001940B0" w:rsidRPr="00CE23AE">
        <w:rPr>
          <w:rFonts w:cs="Vrinda"/>
          <w:szCs w:val="20"/>
          <w:lang w:val="en-US"/>
        </w:rPr>
        <w:t xml:space="preserve">). </w:t>
      </w:r>
    </w:p>
    <w:p w14:paraId="1FB3E77F" w14:textId="77777777" w:rsidR="001940B0" w:rsidRPr="00CE23AE" w:rsidRDefault="001940B0" w:rsidP="001940B0">
      <w:pPr>
        <w:rPr>
          <w:szCs w:val="20"/>
          <w:lang w:val="en-US"/>
        </w:rPr>
      </w:pPr>
    </w:p>
    <w:p w14:paraId="53C4A410" w14:textId="40DC4B9C" w:rsidR="001940B0" w:rsidRPr="00CE23AE" w:rsidRDefault="000A4F33" w:rsidP="000A4F33">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In an</w:t>
      </w:r>
      <w:r w:rsidR="001940B0" w:rsidRPr="00CE23AE">
        <w:rPr>
          <w:szCs w:val="20"/>
          <w:lang w:val="en-US"/>
        </w:rPr>
        <w:t xml:space="preserve"> </w:t>
      </w:r>
      <w:r w:rsidRPr="00CE23AE">
        <w:rPr>
          <w:szCs w:val="20"/>
          <w:lang w:val="en-US"/>
        </w:rPr>
        <w:t>o</w:t>
      </w:r>
      <w:r w:rsidR="009B2300" w:rsidRPr="00CE23AE">
        <w:rPr>
          <w:szCs w:val="20"/>
          <w:lang w:val="en-US"/>
        </w:rPr>
        <w:t>rder</w:t>
      </w:r>
      <w:r w:rsidR="001940B0" w:rsidRPr="00CE23AE">
        <w:rPr>
          <w:szCs w:val="20"/>
          <w:lang w:val="en-US"/>
        </w:rPr>
        <w:t xml:space="preserve"> </w:t>
      </w:r>
      <w:r w:rsidRPr="00CE23AE">
        <w:rPr>
          <w:szCs w:val="20"/>
          <w:lang w:val="en-US"/>
        </w:rPr>
        <w:t>of February 23,</w:t>
      </w:r>
      <w:r w:rsidR="001940B0" w:rsidRPr="00CE23AE">
        <w:rPr>
          <w:szCs w:val="20"/>
          <w:lang w:val="en-US"/>
        </w:rPr>
        <w:t xml:space="preserve"> 2001, </w:t>
      </w:r>
      <w:r w:rsidR="0078516C" w:rsidRPr="00CE23AE">
        <w:rPr>
          <w:szCs w:val="20"/>
          <w:lang w:val="en-US"/>
        </w:rPr>
        <w:t>the Sixth Civil Court of Pichincha</w:t>
      </w:r>
      <w:r w:rsidR="001940B0" w:rsidRPr="00CE23AE">
        <w:rPr>
          <w:szCs w:val="20"/>
          <w:lang w:val="en-US"/>
        </w:rPr>
        <w:t xml:space="preserve"> </w:t>
      </w:r>
      <w:r w:rsidRPr="00CE23AE">
        <w:rPr>
          <w:szCs w:val="20"/>
          <w:lang w:val="en-US"/>
        </w:rPr>
        <w:t xml:space="preserve">admitted the interventions in the hearing of February 5, </w:t>
      </w:r>
      <w:r w:rsidR="001940B0" w:rsidRPr="00CE23AE">
        <w:rPr>
          <w:szCs w:val="20"/>
          <w:lang w:val="en-US"/>
        </w:rPr>
        <w:t>2001</w:t>
      </w:r>
      <w:r w:rsidRPr="00CE23AE">
        <w:rPr>
          <w:szCs w:val="20"/>
          <w:lang w:val="en-US"/>
        </w:rPr>
        <w:t>, and established that the case should pass to “the decision stage.</w:t>
      </w:r>
      <w:r w:rsidR="001940B0" w:rsidRPr="00CE23AE">
        <w:rPr>
          <w:szCs w:val="20"/>
          <w:lang w:val="en-US"/>
        </w:rPr>
        <w:t>”</w:t>
      </w:r>
      <w:r w:rsidR="001940B0" w:rsidRPr="00CE23AE">
        <w:rPr>
          <w:rStyle w:val="Refdenotaalpie"/>
          <w:lang w:val="en-US"/>
        </w:rPr>
        <w:footnoteReference w:id="132"/>
      </w:r>
      <w:r w:rsidR="00C92568" w:rsidRPr="00CE23AE">
        <w:rPr>
          <w:szCs w:val="20"/>
          <w:lang w:val="en-US"/>
        </w:rPr>
        <w:t xml:space="preserve"> </w:t>
      </w:r>
      <w:r w:rsidRPr="00CE23AE">
        <w:rPr>
          <w:szCs w:val="20"/>
          <w:lang w:val="en-US"/>
        </w:rPr>
        <w:t>On March 1,</w:t>
      </w:r>
      <w:r w:rsidR="00C92568" w:rsidRPr="00CE23AE">
        <w:rPr>
          <w:szCs w:val="20"/>
          <w:lang w:val="en-US"/>
        </w:rPr>
        <w:t xml:space="preserve"> 2001</w:t>
      </w:r>
      <w:r w:rsidRPr="00CE23AE">
        <w:rPr>
          <w:szCs w:val="20"/>
          <w:lang w:val="en-US"/>
        </w:rPr>
        <w:t xml:space="preserve">, </w:t>
      </w:r>
      <w:r w:rsidR="00F5102B" w:rsidRPr="00CE23AE">
        <w:rPr>
          <w:szCs w:val="20"/>
          <w:lang w:val="en-US"/>
        </w:rPr>
        <w:t>Mr. Flor</w:t>
      </w:r>
      <w:r w:rsidR="001940B0" w:rsidRPr="00CE23AE">
        <w:rPr>
          <w:szCs w:val="20"/>
          <w:lang w:val="en-US"/>
        </w:rPr>
        <w:t xml:space="preserve"> Freire </w:t>
      </w:r>
      <w:r w:rsidRPr="00CE23AE">
        <w:rPr>
          <w:szCs w:val="20"/>
          <w:lang w:val="en-US"/>
        </w:rPr>
        <w:t xml:space="preserve">filed a request with the </w:t>
      </w:r>
      <w:r w:rsidR="009B2300" w:rsidRPr="00CE23AE">
        <w:rPr>
          <w:szCs w:val="20"/>
          <w:lang w:val="en-US"/>
        </w:rPr>
        <w:t>Sixth Civil Court</w:t>
      </w:r>
      <w:r w:rsidRPr="00CE23AE">
        <w:rPr>
          <w:szCs w:val="20"/>
          <w:lang w:val="en-US"/>
        </w:rPr>
        <w:t xml:space="preserve"> </w:t>
      </w:r>
      <w:r w:rsidR="00EE0EF7" w:rsidRPr="00CE23AE">
        <w:rPr>
          <w:szCs w:val="20"/>
          <w:lang w:val="en-US"/>
        </w:rPr>
        <w:t xml:space="preserve">for the annulment of this order </w:t>
      </w:r>
      <w:r w:rsidRPr="00CE23AE">
        <w:rPr>
          <w:szCs w:val="20"/>
          <w:lang w:val="en-US"/>
        </w:rPr>
        <w:t>based, principally, on the fact that</w:t>
      </w:r>
      <w:r w:rsidR="00EE0EF7" w:rsidRPr="00CE23AE">
        <w:rPr>
          <w:szCs w:val="20"/>
          <w:lang w:val="en-US"/>
        </w:rPr>
        <w:t>, to be able to take a decision,</w:t>
      </w:r>
      <w:r w:rsidRPr="00CE23AE">
        <w:rPr>
          <w:szCs w:val="20"/>
          <w:lang w:val="en-US"/>
        </w:rPr>
        <w:t xml:space="preserve"> the Court need</w:t>
      </w:r>
      <w:r w:rsidR="00EE0EF7" w:rsidRPr="00CE23AE">
        <w:rPr>
          <w:szCs w:val="20"/>
          <w:lang w:val="en-US"/>
        </w:rPr>
        <w:t>ed</w:t>
      </w:r>
      <w:r w:rsidRPr="00CE23AE">
        <w:rPr>
          <w:szCs w:val="20"/>
          <w:lang w:val="en-US"/>
        </w:rPr>
        <w:t xml:space="preserve"> to examine the content of the file o</w:t>
      </w:r>
      <w:r w:rsidR="00EE0EF7" w:rsidRPr="00CE23AE">
        <w:rPr>
          <w:szCs w:val="20"/>
          <w:lang w:val="en-US"/>
        </w:rPr>
        <w:t>f</w:t>
      </w:r>
      <w:r w:rsidRPr="00CE23AE">
        <w:rPr>
          <w:szCs w:val="20"/>
          <w:lang w:val="en-US"/>
        </w:rPr>
        <w:t xml:space="preserve"> the </w:t>
      </w:r>
      <w:r w:rsidR="00A06577" w:rsidRPr="00CE23AE">
        <w:rPr>
          <w:szCs w:val="20"/>
          <w:lang w:val="en-US"/>
        </w:rPr>
        <w:t>summary inquiry</w:t>
      </w:r>
      <w:r w:rsidR="00EE0EF7" w:rsidRPr="00CE23AE">
        <w:rPr>
          <w:szCs w:val="20"/>
          <w:lang w:val="en-US"/>
        </w:rPr>
        <w:t xml:space="preserve">. </w:t>
      </w:r>
      <w:r w:rsidRPr="00CE23AE">
        <w:rPr>
          <w:szCs w:val="20"/>
          <w:lang w:val="en-US"/>
        </w:rPr>
        <w:t xml:space="preserve">He therefore reiterated his request that Commander of the Ground Forces be </w:t>
      </w:r>
      <w:r w:rsidR="00EE0EF7" w:rsidRPr="00CE23AE">
        <w:rPr>
          <w:szCs w:val="20"/>
          <w:lang w:val="en-US"/>
        </w:rPr>
        <w:t>notified</w:t>
      </w:r>
      <w:r w:rsidRPr="00CE23AE">
        <w:rPr>
          <w:szCs w:val="20"/>
          <w:lang w:val="en-US"/>
        </w:rPr>
        <w:t xml:space="preserve"> that he should forward a certified copy of the said file.</w:t>
      </w:r>
      <w:r w:rsidR="001940B0" w:rsidRPr="00CE23AE">
        <w:rPr>
          <w:rStyle w:val="Refdenotaalpie"/>
          <w:lang w:val="en-US"/>
        </w:rPr>
        <w:footnoteReference w:id="133"/>
      </w:r>
      <w:r w:rsidR="001940B0" w:rsidRPr="00CE23AE">
        <w:rPr>
          <w:szCs w:val="20"/>
          <w:lang w:val="en-US"/>
        </w:rPr>
        <w:t xml:space="preserve"> </w:t>
      </w:r>
    </w:p>
    <w:p w14:paraId="39D6EB1B" w14:textId="77777777" w:rsidR="001940B0" w:rsidRPr="00CE23AE" w:rsidRDefault="001940B0" w:rsidP="001940B0">
      <w:pPr>
        <w:rPr>
          <w:szCs w:val="20"/>
          <w:lang w:val="en-US"/>
        </w:rPr>
      </w:pPr>
    </w:p>
    <w:p w14:paraId="050636DD" w14:textId="35A0237E" w:rsidR="001940B0" w:rsidRPr="00CE23AE" w:rsidRDefault="000A4F33" w:rsidP="001940B0">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On March 25,</w:t>
      </w:r>
      <w:r w:rsidR="001940B0" w:rsidRPr="00CE23AE">
        <w:rPr>
          <w:szCs w:val="20"/>
          <w:lang w:val="en-US"/>
        </w:rPr>
        <w:t xml:space="preserve"> 2001</w:t>
      </w:r>
      <w:r w:rsidRPr="00CE23AE">
        <w:rPr>
          <w:szCs w:val="20"/>
          <w:lang w:val="en-US"/>
        </w:rPr>
        <w:t xml:space="preserve">, </w:t>
      </w:r>
      <w:r w:rsidR="009B2300" w:rsidRPr="00CE23AE">
        <w:rPr>
          <w:szCs w:val="20"/>
          <w:lang w:val="en-US"/>
        </w:rPr>
        <w:t>the Sixth Civil Court</w:t>
      </w:r>
      <w:r w:rsidR="001940B0" w:rsidRPr="00CE23AE">
        <w:rPr>
          <w:szCs w:val="20"/>
          <w:lang w:val="en-US"/>
        </w:rPr>
        <w:t xml:space="preserve"> </w:t>
      </w:r>
      <w:r w:rsidRPr="00CE23AE">
        <w:rPr>
          <w:szCs w:val="20"/>
          <w:lang w:val="en-US"/>
        </w:rPr>
        <w:t xml:space="preserve">refused the annulment request considering it inadmissible and “reserve[d] the right [of </w:t>
      </w:r>
      <w:r w:rsidR="00F5102B" w:rsidRPr="00CE23AE">
        <w:rPr>
          <w:szCs w:val="20"/>
          <w:lang w:val="en-US"/>
        </w:rPr>
        <w:t>Mr. Flor</w:t>
      </w:r>
      <w:r w:rsidR="001940B0" w:rsidRPr="00CE23AE">
        <w:rPr>
          <w:szCs w:val="20"/>
          <w:lang w:val="en-US"/>
        </w:rPr>
        <w:t xml:space="preserve"> Freire] </w:t>
      </w:r>
      <w:r w:rsidRPr="00CE23AE">
        <w:rPr>
          <w:szCs w:val="20"/>
          <w:lang w:val="en-US"/>
        </w:rPr>
        <w:t>to present all the documents [mentioned] in his petition of March 1.</w:t>
      </w:r>
      <w:r w:rsidR="001940B0" w:rsidRPr="00CE23AE">
        <w:rPr>
          <w:szCs w:val="20"/>
          <w:lang w:val="en-US"/>
        </w:rPr>
        <w:t>”</w:t>
      </w:r>
      <w:r w:rsidR="001940B0" w:rsidRPr="00CE23AE">
        <w:rPr>
          <w:rStyle w:val="Refdenotaalpie"/>
          <w:lang w:val="en-US"/>
        </w:rPr>
        <w:footnoteReference w:id="134"/>
      </w:r>
    </w:p>
    <w:p w14:paraId="5A737DC5" w14:textId="77777777" w:rsidR="001940B0" w:rsidRPr="00CE23AE" w:rsidRDefault="001940B0" w:rsidP="001940B0">
      <w:pPr>
        <w:rPr>
          <w:szCs w:val="20"/>
          <w:lang w:val="en-US"/>
        </w:rPr>
      </w:pPr>
    </w:p>
    <w:p w14:paraId="27048F13" w14:textId="5FBB5607" w:rsidR="00C51E3C" w:rsidRPr="00CE23AE" w:rsidRDefault="000A4F33" w:rsidP="000A4F33">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On May 15,</w:t>
      </w:r>
      <w:r w:rsidR="001940B0" w:rsidRPr="00CE23AE">
        <w:rPr>
          <w:szCs w:val="20"/>
          <w:lang w:val="en-US"/>
        </w:rPr>
        <w:t xml:space="preserve"> 2001</w:t>
      </w:r>
      <w:r w:rsidRPr="00CE23AE">
        <w:rPr>
          <w:szCs w:val="20"/>
          <w:lang w:val="en-US"/>
        </w:rPr>
        <w:t>,</w:t>
      </w:r>
      <w:r w:rsidR="001940B0" w:rsidRPr="00CE23AE">
        <w:rPr>
          <w:szCs w:val="20"/>
          <w:lang w:val="en-US"/>
        </w:rPr>
        <w:t xml:space="preserve"> </w:t>
      </w:r>
      <w:r w:rsidR="00F5102B" w:rsidRPr="00CE23AE">
        <w:rPr>
          <w:szCs w:val="20"/>
          <w:lang w:val="en-US"/>
        </w:rPr>
        <w:t>Mr. Flor</w:t>
      </w:r>
      <w:r w:rsidR="001940B0" w:rsidRPr="00CE23AE">
        <w:rPr>
          <w:szCs w:val="20"/>
          <w:lang w:val="en-US"/>
        </w:rPr>
        <w:t xml:space="preserve"> Freire </w:t>
      </w:r>
      <w:r w:rsidRPr="00CE23AE">
        <w:rPr>
          <w:szCs w:val="20"/>
          <w:lang w:val="en-US"/>
        </w:rPr>
        <w:t>advised</w:t>
      </w:r>
      <w:r w:rsidR="001940B0" w:rsidRPr="00CE23AE">
        <w:rPr>
          <w:szCs w:val="20"/>
          <w:lang w:val="en-US"/>
        </w:rPr>
        <w:t xml:space="preserve"> </w:t>
      </w:r>
      <w:r w:rsidRPr="00CE23AE">
        <w:rPr>
          <w:szCs w:val="20"/>
          <w:lang w:val="en-US"/>
        </w:rPr>
        <w:t>the Sixth Civil Court</w:t>
      </w:r>
      <w:r w:rsidR="001940B0" w:rsidRPr="00CE23AE">
        <w:rPr>
          <w:szCs w:val="20"/>
          <w:lang w:val="en-US"/>
        </w:rPr>
        <w:t xml:space="preserve"> </w:t>
      </w:r>
      <w:r w:rsidRPr="00CE23AE">
        <w:rPr>
          <w:szCs w:val="20"/>
          <w:lang w:val="en-US"/>
        </w:rPr>
        <w:t>that</w:t>
      </w:r>
      <w:r w:rsidR="001940B0" w:rsidRPr="00CE23AE">
        <w:rPr>
          <w:szCs w:val="20"/>
          <w:lang w:val="en-US"/>
        </w:rPr>
        <w:t xml:space="preserve"> </w:t>
      </w:r>
      <w:r w:rsidR="008B76F3" w:rsidRPr="00CE23AE">
        <w:rPr>
          <w:szCs w:val="20"/>
          <w:lang w:val="en-US"/>
        </w:rPr>
        <w:t xml:space="preserve">the </w:t>
      </w:r>
      <w:r w:rsidR="00C347F4" w:rsidRPr="00CE23AE">
        <w:rPr>
          <w:szCs w:val="20"/>
          <w:lang w:val="en-US"/>
        </w:rPr>
        <w:t>Junior Officers Board</w:t>
      </w:r>
      <w:r w:rsidR="001940B0" w:rsidRPr="00CE23AE">
        <w:rPr>
          <w:szCs w:val="20"/>
          <w:lang w:val="en-US"/>
        </w:rPr>
        <w:t xml:space="preserve"> ha</w:t>
      </w:r>
      <w:r w:rsidRPr="00CE23AE">
        <w:rPr>
          <w:szCs w:val="20"/>
          <w:lang w:val="en-US"/>
        </w:rPr>
        <w:t>d issued its decision in a session to which he had not been invited and that he had been unable to exercise his right of defense</w:t>
      </w:r>
      <w:r w:rsidR="001940B0" w:rsidRPr="00CE23AE">
        <w:rPr>
          <w:szCs w:val="20"/>
          <w:lang w:val="en-US"/>
        </w:rPr>
        <w:t xml:space="preserve"> (</w:t>
      </w:r>
      <w:r w:rsidR="001940B0" w:rsidRPr="00CE23AE">
        <w:rPr>
          <w:i/>
          <w:szCs w:val="20"/>
          <w:lang w:val="en-US"/>
        </w:rPr>
        <w:t>supra</w:t>
      </w:r>
      <w:r w:rsidR="001940B0" w:rsidRPr="00CE23AE">
        <w:rPr>
          <w:szCs w:val="20"/>
          <w:lang w:val="en-US"/>
        </w:rPr>
        <w:t xml:space="preserve"> </w:t>
      </w:r>
      <w:r w:rsidR="005C743F" w:rsidRPr="00CE23AE">
        <w:rPr>
          <w:szCs w:val="20"/>
          <w:lang w:val="en-US"/>
        </w:rPr>
        <w:t>paras.</w:t>
      </w:r>
      <w:r w:rsidR="001940B0" w:rsidRPr="00CE23AE">
        <w:rPr>
          <w:szCs w:val="20"/>
          <w:lang w:val="en-US"/>
        </w:rPr>
        <w:t xml:space="preserve"> </w:t>
      </w:r>
      <w:r w:rsidR="001940B0" w:rsidRPr="00CE23AE">
        <w:rPr>
          <w:szCs w:val="20"/>
          <w:lang w:val="en-US"/>
        </w:rPr>
        <w:fldChar w:fldCharType="begin"/>
      </w:r>
      <w:r w:rsidR="001940B0" w:rsidRPr="00CE23AE">
        <w:rPr>
          <w:szCs w:val="20"/>
          <w:lang w:val="en-US"/>
        </w:rPr>
        <w:instrText xml:space="preserve"> REF _Ref447297666 \r \h </w:instrText>
      </w:r>
      <w:r w:rsidR="00CE23AE">
        <w:rPr>
          <w:szCs w:val="20"/>
          <w:lang w:val="en-US"/>
        </w:rPr>
        <w:instrText xml:space="preserve"> \* MERGEFORMAT </w:instrText>
      </w:r>
      <w:r w:rsidR="001940B0" w:rsidRPr="00CE23AE">
        <w:rPr>
          <w:szCs w:val="20"/>
          <w:lang w:val="en-US"/>
        </w:rPr>
      </w:r>
      <w:r w:rsidR="001940B0" w:rsidRPr="00CE23AE">
        <w:rPr>
          <w:szCs w:val="20"/>
          <w:lang w:val="en-US"/>
        </w:rPr>
        <w:fldChar w:fldCharType="separate"/>
      </w:r>
      <w:r w:rsidR="00BC2953" w:rsidRPr="00CE23AE">
        <w:rPr>
          <w:szCs w:val="20"/>
          <w:lang w:val="en-US"/>
        </w:rPr>
        <w:t>79</w:t>
      </w:r>
      <w:r w:rsidR="001940B0" w:rsidRPr="00CE23AE">
        <w:rPr>
          <w:szCs w:val="20"/>
          <w:lang w:val="en-US"/>
        </w:rPr>
        <w:fldChar w:fldCharType="end"/>
      </w:r>
      <w:r w:rsidR="00C561DF" w:rsidRPr="00CE23AE">
        <w:rPr>
          <w:szCs w:val="20"/>
          <w:lang w:val="en-US"/>
        </w:rPr>
        <w:t xml:space="preserve"> and </w:t>
      </w:r>
      <w:r w:rsidR="00BD16E3" w:rsidRPr="00CE23AE">
        <w:rPr>
          <w:szCs w:val="20"/>
          <w:lang w:val="en-US"/>
        </w:rPr>
        <w:fldChar w:fldCharType="begin"/>
      </w:r>
      <w:r w:rsidR="00BD16E3" w:rsidRPr="00CE23AE">
        <w:rPr>
          <w:szCs w:val="20"/>
          <w:lang w:val="en-US"/>
        </w:rPr>
        <w:instrText xml:space="preserve"> REF _Ref447263303 \r \h </w:instrText>
      </w:r>
      <w:r w:rsidR="00CE23AE">
        <w:rPr>
          <w:szCs w:val="20"/>
          <w:lang w:val="en-US"/>
        </w:rPr>
        <w:instrText xml:space="preserve"> \* MERGEFORMAT </w:instrText>
      </w:r>
      <w:r w:rsidR="00BD16E3" w:rsidRPr="00CE23AE">
        <w:rPr>
          <w:szCs w:val="20"/>
          <w:lang w:val="en-US"/>
        </w:rPr>
      </w:r>
      <w:r w:rsidR="00BD16E3" w:rsidRPr="00CE23AE">
        <w:rPr>
          <w:szCs w:val="20"/>
          <w:lang w:val="en-US"/>
        </w:rPr>
        <w:fldChar w:fldCharType="separate"/>
      </w:r>
      <w:r w:rsidR="00BC2953" w:rsidRPr="00CE23AE">
        <w:rPr>
          <w:szCs w:val="20"/>
          <w:lang w:val="en-US"/>
        </w:rPr>
        <w:t>80</w:t>
      </w:r>
      <w:r w:rsidR="00BD16E3" w:rsidRPr="00CE23AE">
        <w:rPr>
          <w:szCs w:val="20"/>
          <w:lang w:val="en-US"/>
        </w:rPr>
        <w:fldChar w:fldCharType="end"/>
      </w:r>
      <w:r w:rsidR="001940B0" w:rsidRPr="00CE23AE">
        <w:rPr>
          <w:szCs w:val="20"/>
          <w:lang w:val="en-US"/>
        </w:rPr>
        <w:t xml:space="preserve">). </w:t>
      </w:r>
      <w:r w:rsidRPr="00CE23AE">
        <w:rPr>
          <w:szCs w:val="20"/>
          <w:lang w:val="en-US"/>
        </w:rPr>
        <w:t>He therefore asked the Sixth Court to issue urgent measures so that, pursuant to ar</w:t>
      </w:r>
      <w:r w:rsidR="00C561DF" w:rsidRPr="00CE23AE">
        <w:rPr>
          <w:szCs w:val="20"/>
          <w:lang w:val="en-US"/>
        </w:rPr>
        <w:t>ticle</w:t>
      </w:r>
      <w:r w:rsidR="001940B0" w:rsidRPr="00CE23AE">
        <w:rPr>
          <w:szCs w:val="20"/>
          <w:lang w:val="en-US"/>
        </w:rPr>
        <w:t xml:space="preserve"> 46 </w:t>
      </w:r>
      <w:r w:rsidRPr="00CE23AE">
        <w:rPr>
          <w:szCs w:val="20"/>
          <w:lang w:val="en-US"/>
        </w:rPr>
        <w:t>of the</w:t>
      </w:r>
      <w:r w:rsidR="001940B0" w:rsidRPr="00CE23AE">
        <w:rPr>
          <w:szCs w:val="20"/>
          <w:lang w:val="en-US"/>
        </w:rPr>
        <w:t xml:space="preserve"> </w:t>
      </w:r>
      <w:r w:rsidRPr="00CE23AE">
        <w:rPr>
          <w:szCs w:val="20"/>
          <w:lang w:val="en-US"/>
        </w:rPr>
        <w:t>Law on Constitutional Control</w:t>
      </w:r>
      <w:r w:rsidR="001940B0" w:rsidRPr="00CE23AE">
        <w:rPr>
          <w:szCs w:val="20"/>
          <w:lang w:val="en-US"/>
        </w:rPr>
        <w:t xml:space="preserve">, </w:t>
      </w:r>
      <w:r w:rsidRPr="00CE23AE">
        <w:rPr>
          <w:szCs w:val="20"/>
          <w:lang w:val="en-US"/>
        </w:rPr>
        <w:t xml:space="preserve">the legal effects of </w:t>
      </w:r>
      <w:r w:rsidR="00522A39" w:rsidRPr="00CE23AE">
        <w:rPr>
          <w:szCs w:val="20"/>
          <w:lang w:val="en-US"/>
        </w:rPr>
        <w:t>this</w:t>
      </w:r>
      <w:r w:rsidRPr="00CE23AE">
        <w:rPr>
          <w:szCs w:val="20"/>
          <w:lang w:val="en-US"/>
        </w:rPr>
        <w:t xml:space="preserve"> decision </w:t>
      </w:r>
      <w:r w:rsidR="008B76F3" w:rsidRPr="00CE23AE">
        <w:rPr>
          <w:szCs w:val="20"/>
          <w:lang w:val="en-US"/>
        </w:rPr>
        <w:t xml:space="preserve">of the </w:t>
      </w:r>
      <w:r w:rsidR="00C347F4" w:rsidRPr="00CE23AE">
        <w:rPr>
          <w:szCs w:val="20"/>
          <w:lang w:val="en-US"/>
        </w:rPr>
        <w:t>Junior Officers Board</w:t>
      </w:r>
      <w:r w:rsidRPr="00CE23AE">
        <w:rPr>
          <w:szCs w:val="20"/>
          <w:lang w:val="en-US"/>
        </w:rPr>
        <w:t xml:space="preserve"> would be suspended.</w:t>
      </w:r>
      <w:r w:rsidR="001940B0" w:rsidRPr="00CE23AE">
        <w:rPr>
          <w:rStyle w:val="Refdenotaalpie"/>
          <w:lang w:val="en-US"/>
        </w:rPr>
        <w:footnoteReference w:id="135"/>
      </w:r>
      <w:r w:rsidR="001940B0" w:rsidRPr="00CE23AE">
        <w:rPr>
          <w:szCs w:val="20"/>
          <w:lang w:val="en-US"/>
        </w:rPr>
        <w:t xml:space="preserve"> </w:t>
      </w:r>
      <w:r w:rsidRPr="00CE23AE">
        <w:rPr>
          <w:szCs w:val="20"/>
          <w:lang w:val="en-US"/>
        </w:rPr>
        <w:t>On June 12,</w:t>
      </w:r>
      <w:r w:rsidR="001940B0" w:rsidRPr="00CE23AE">
        <w:rPr>
          <w:szCs w:val="20"/>
          <w:lang w:val="en-US"/>
        </w:rPr>
        <w:t xml:space="preserve"> 2001</w:t>
      </w:r>
      <w:r w:rsidRPr="00CE23AE">
        <w:rPr>
          <w:szCs w:val="20"/>
          <w:lang w:val="en-US"/>
        </w:rPr>
        <w:t xml:space="preserve">, </w:t>
      </w:r>
      <w:r w:rsidR="00F5102B" w:rsidRPr="00CE23AE">
        <w:rPr>
          <w:szCs w:val="20"/>
          <w:lang w:val="en-US"/>
        </w:rPr>
        <w:t>Mr. Flor</w:t>
      </w:r>
      <w:r w:rsidR="001940B0" w:rsidRPr="00CE23AE">
        <w:rPr>
          <w:szCs w:val="20"/>
          <w:lang w:val="en-US"/>
        </w:rPr>
        <w:t xml:space="preserve"> Freire </w:t>
      </w:r>
      <w:r w:rsidRPr="00CE23AE">
        <w:rPr>
          <w:szCs w:val="20"/>
          <w:lang w:val="en-US"/>
        </w:rPr>
        <w:t xml:space="preserve">advised the Sixth Court that </w:t>
      </w:r>
      <w:r w:rsidR="008B76F3" w:rsidRPr="00CE23AE">
        <w:rPr>
          <w:szCs w:val="20"/>
          <w:lang w:val="en-US"/>
        </w:rPr>
        <w:t xml:space="preserve">the </w:t>
      </w:r>
      <w:r w:rsidR="00C347F4" w:rsidRPr="00CE23AE">
        <w:rPr>
          <w:szCs w:val="20"/>
          <w:lang w:val="en-US"/>
        </w:rPr>
        <w:t>Junior Officers Board</w:t>
      </w:r>
      <w:r w:rsidR="001940B0" w:rsidRPr="00CE23AE">
        <w:rPr>
          <w:szCs w:val="20"/>
          <w:lang w:val="en-US"/>
        </w:rPr>
        <w:t xml:space="preserve"> </w:t>
      </w:r>
      <w:r w:rsidRPr="00CE23AE">
        <w:rPr>
          <w:szCs w:val="20"/>
          <w:lang w:val="en-US"/>
        </w:rPr>
        <w:t xml:space="preserve">had ratified its decision, thus rejecting the requested review </w:t>
      </w:r>
      <w:r w:rsidR="001940B0" w:rsidRPr="00CE23AE">
        <w:rPr>
          <w:szCs w:val="20"/>
          <w:lang w:val="en-US"/>
        </w:rPr>
        <w:t>(</w:t>
      </w:r>
      <w:r w:rsidR="001940B0" w:rsidRPr="00CE23AE">
        <w:rPr>
          <w:i/>
          <w:szCs w:val="20"/>
          <w:lang w:val="en-US"/>
        </w:rPr>
        <w:t xml:space="preserve">supra </w:t>
      </w:r>
      <w:r w:rsidR="005C743F" w:rsidRPr="00CE23AE">
        <w:rPr>
          <w:szCs w:val="20"/>
          <w:lang w:val="en-US"/>
        </w:rPr>
        <w:t>para.</w:t>
      </w:r>
      <w:r w:rsidR="00C92568" w:rsidRPr="00CE23AE">
        <w:rPr>
          <w:szCs w:val="20"/>
          <w:lang w:val="en-US"/>
        </w:rPr>
        <w:t xml:space="preserve"> </w:t>
      </w:r>
      <w:r w:rsidR="00C92568" w:rsidRPr="00CE23AE">
        <w:rPr>
          <w:szCs w:val="20"/>
          <w:lang w:val="en-US"/>
        </w:rPr>
        <w:fldChar w:fldCharType="begin"/>
      </w:r>
      <w:r w:rsidR="00C92568" w:rsidRPr="00CE23AE">
        <w:rPr>
          <w:szCs w:val="20"/>
          <w:lang w:val="en-US"/>
        </w:rPr>
        <w:instrText xml:space="preserve"> REF _Ref464557294 \r \h </w:instrText>
      </w:r>
      <w:r w:rsidR="00CE23AE">
        <w:rPr>
          <w:szCs w:val="20"/>
          <w:lang w:val="en-US"/>
        </w:rPr>
        <w:instrText xml:space="preserve"> \* MERGEFORMAT </w:instrText>
      </w:r>
      <w:r w:rsidR="00C92568" w:rsidRPr="00CE23AE">
        <w:rPr>
          <w:szCs w:val="20"/>
          <w:lang w:val="en-US"/>
        </w:rPr>
      </w:r>
      <w:r w:rsidR="00C92568" w:rsidRPr="00CE23AE">
        <w:rPr>
          <w:szCs w:val="20"/>
          <w:lang w:val="en-US"/>
        </w:rPr>
        <w:fldChar w:fldCharType="separate"/>
      </w:r>
      <w:r w:rsidR="00BC2953" w:rsidRPr="00CE23AE">
        <w:rPr>
          <w:szCs w:val="20"/>
          <w:lang w:val="en-US"/>
        </w:rPr>
        <w:t>81</w:t>
      </w:r>
      <w:r w:rsidR="00C92568" w:rsidRPr="00CE23AE">
        <w:rPr>
          <w:szCs w:val="20"/>
          <w:lang w:val="en-US"/>
        </w:rPr>
        <w:fldChar w:fldCharType="end"/>
      </w:r>
      <w:r w:rsidR="001940B0" w:rsidRPr="00CE23AE">
        <w:rPr>
          <w:szCs w:val="20"/>
          <w:lang w:val="en-US"/>
        </w:rPr>
        <w:t xml:space="preserve">), </w:t>
      </w:r>
      <w:r w:rsidRPr="00CE23AE">
        <w:rPr>
          <w:szCs w:val="20"/>
          <w:lang w:val="en-US"/>
        </w:rPr>
        <w:t>and again</w:t>
      </w:r>
      <w:r w:rsidR="00EE0EF7" w:rsidRPr="00CE23AE">
        <w:rPr>
          <w:szCs w:val="20"/>
          <w:lang w:val="en-US"/>
        </w:rPr>
        <w:t xml:space="preserve"> asked for</w:t>
      </w:r>
      <w:r w:rsidRPr="00CE23AE">
        <w:rPr>
          <w:szCs w:val="20"/>
          <w:lang w:val="en-US"/>
        </w:rPr>
        <w:t xml:space="preserve"> the suspension of its legal effects.</w:t>
      </w:r>
      <w:r w:rsidR="001940B0" w:rsidRPr="00CE23AE">
        <w:rPr>
          <w:rStyle w:val="Refdenotaalpie"/>
          <w:lang w:val="en-US"/>
        </w:rPr>
        <w:footnoteReference w:id="136"/>
      </w:r>
      <w:r w:rsidR="008F1D4B" w:rsidRPr="00CE23AE">
        <w:rPr>
          <w:szCs w:val="20"/>
          <w:lang w:val="en-US"/>
        </w:rPr>
        <w:t xml:space="preserve"> </w:t>
      </w:r>
      <w:r w:rsidR="00C51E3C" w:rsidRPr="00CE23AE">
        <w:rPr>
          <w:szCs w:val="20"/>
          <w:lang w:val="en-US"/>
        </w:rPr>
        <w:t xml:space="preserve"> </w:t>
      </w:r>
      <w:r w:rsidRPr="00CE23AE">
        <w:rPr>
          <w:szCs w:val="20"/>
          <w:lang w:val="en-US"/>
        </w:rPr>
        <w:t xml:space="preserve"> </w:t>
      </w:r>
    </w:p>
    <w:p w14:paraId="74F18AFD" w14:textId="77777777" w:rsidR="00132670" w:rsidRPr="00CE23AE" w:rsidRDefault="00132670" w:rsidP="00A50D94">
      <w:pPr>
        <w:widowControl/>
        <w:tabs>
          <w:tab w:val="left" w:pos="567"/>
        </w:tabs>
        <w:suppressAutoHyphens/>
        <w:adjustRightInd/>
        <w:spacing w:line="240" w:lineRule="auto"/>
        <w:textAlignment w:val="auto"/>
        <w:rPr>
          <w:szCs w:val="20"/>
          <w:lang w:val="en-US"/>
        </w:rPr>
      </w:pPr>
    </w:p>
    <w:p w14:paraId="716E09DD" w14:textId="641C2D41" w:rsidR="00C51E3C" w:rsidRPr="00CE23AE" w:rsidRDefault="00341495" w:rsidP="00A50D94">
      <w:pPr>
        <w:pStyle w:val="Ttulo3"/>
        <w:rPr>
          <w:lang w:val="en-US"/>
        </w:rPr>
      </w:pPr>
      <w:bookmarkStart w:id="266" w:name="_Toc453874333"/>
      <w:bookmarkStart w:id="267" w:name="_Toc454891494"/>
      <w:bookmarkStart w:id="268" w:name="_Toc457840598"/>
      <w:bookmarkStart w:id="269" w:name="_Toc460398538"/>
      <w:bookmarkStart w:id="270" w:name="_Toc464474985"/>
      <w:bookmarkStart w:id="271" w:name="_Toc46388372"/>
      <w:r w:rsidRPr="00CE23AE">
        <w:rPr>
          <w:lang w:val="en-US"/>
        </w:rPr>
        <w:t>D</w:t>
      </w:r>
      <w:r w:rsidR="0054620E" w:rsidRPr="00CE23AE">
        <w:rPr>
          <w:lang w:val="en-US"/>
        </w:rPr>
        <w:t xml:space="preserve">.2 </w:t>
      </w:r>
      <w:r w:rsidR="00EE0EF7" w:rsidRPr="00CE23AE">
        <w:rPr>
          <w:lang w:val="en-US"/>
        </w:rPr>
        <w:t>Decision on the application for</w:t>
      </w:r>
      <w:r w:rsidR="000A4F33" w:rsidRPr="00CE23AE">
        <w:rPr>
          <w:lang w:val="en-US"/>
        </w:rPr>
        <w:t xml:space="preserve"> </w:t>
      </w:r>
      <w:r w:rsidR="00C92ACA" w:rsidRPr="00CE23AE">
        <w:rPr>
          <w:lang w:val="en-US"/>
        </w:rPr>
        <w:t>amparo</w:t>
      </w:r>
      <w:bookmarkEnd w:id="266"/>
      <w:bookmarkEnd w:id="267"/>
      <w:bookmarkEnd w:id="268"/>
      <w:bookmarkEnd w:id="269"/>
      <w:bookmarkEnd w:id="270"/>
      <w:bookmarkEnd w:id="271"/>
      <w:r w:rsidR="00C51E3C" w:rsidRPr="00CE23AE">
        <w:rPr>
          <w:lang w:val="en-US"/>
        </w:rPr>
        <w:t xml:space="preserve"> </w:t>
      </w:r>
    </w:p>
    <w:p w14:paraId="257D4A2A" w14:textId="77777777" w:rsidR="00426EC4" w:rsidRPr="00CE23AE" w:rsidRDefault="00426EC4" w:rsidP="00A50D94">
      <w:pPr>
        <w:spacing w:line="240" w:lineRule="auto"/>
        <w:rPr>
          <w:lang w:val="en-US"/>
        </w:rPr>
      </w:pPr>
    </w:p>
    <w:p w14:paraId="4EC2F213" w14:textId="11ACE376" w:rsidR="001940B0" w:rsidRPr="00CE23AE" w:rsidRDefault="008B76F3" w:rsidP="008E5092">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On July 18,</w:t>
      </w:r>
      <w:r w:rsidR="001940B0" w:rsidRPr="00CE23AE">
        <w:rPr>
          <w:szCs w:val="20"/>
          <w:lang w:val="en-US"/>
        </w:rPr>
        <w:t xml:space="preserve"> 2001</w:t>
      </w:r>
      <w:r w:rsidR="00C33C82" w:rsidRPr="00CE23AE">
        <w:rPr>
          <w:szCs w:val="20"/>
          <w:lang w:val="en-US"/>
        </w:rPr>
        <w:t>,</w:t>
      </w:r>
      <w:r w:rsidR="001940B0" w:rsidRPr="00CE23AE">
        <w:rPr>
          <w:szCs w:val="20"/>
          <w:lang w:val="en-US"/>
        </w:rPr>
        <w:t xml:space="preserve"> </w:t>
      </w:r>
      <w:r w:rsidR="0078516C" w:rsidRPr="00CE23AE">
        <w:rPr>
          <w:szCs w:val="20"/>
          <w:lang w:val="en-US"/>
        </w:rPr>
        <w:t>the Sixth Civil Court of Pichincha</w:t>
      </w:r>
      <w:r w:rsidR="001940B0" w:rsidRPr="00CE23AE">
        <w:rPr>
          <w:szCs w:val="20"/>
          <w:lang w:val="en-US"/>
        </w:rPr>
        <w:t xml:space="preserve"> </w:t>
      </w:r>
      <w:r w:rsidR="008E5092" w:rsidRPr="00CE23AE">
        <w:rPr>
          <w:szCs w:val="20"/>
          <w:lang w:val="en-US"/>
        </w:rPr>
        <w:t xml:space="preserve">decided to deny the application for </w:t>
      </w:r>
      <w:r w:rsidR="001940B0" w:rsidRPr="00CE23AE">
        <w:rPr>
          <w:szCs w:val="20"/>
          <w:lang w:val="en-US"/>
        </w:rPr>
        <w:t xml:space="preserve">amparo </w:t>
      </w:r>
      <w:r w:rsidR="008E5092" w:rsidRPr="00CE23AE">
        <w:rPr>
          <w:szCs w:val="20"/>
          <w:lang w:val="en-US"/>
        </w:rPr>
        <w:t>filed by</w:t>
      </w:r>
      <w:r w:rsidR="001940B0" w:rsidRPr="00CE23AE">
        <w:rPr>
          <w:szCs w:val="20"/>
          <w:lang w:val="en-US"/>
        </w:rPr>
        <w:t xml:space="preserve"> </w:t>
      </w:r>
      <w:r w:rsidR="00F5102B" w:rsidRPr="00CE23AE">
        <w:rPr>
          <w:szCs w:val="20"/>
          <w:lang w:val="en-US"/>
        </w:rPr>
        <w:t>Mr. Flor</w:t>
      </w:r>
      <w:r w:rsidR="001940B0" w:rsidRPr="00CE23AE">
        <w:rPr>
          <w:szCs w:val="20"/>
          <w:lang w:val="en-US"/>
        </w:rPr>
        <w:t xml:space="preserve"> Freire</w:t>
      </w:r>
      <w:r w:rsidR="008E5092" w:rsidRPr="00CE23AE">
        <w:rPr>
          <w:szCs w:val="20"/>
          <w:lang w:val="en-US"/>
        </w:rPr>
        <w:t>.</w:t>
      </w:r>
      <w:r w:rsidR="001940B0" w:rsidRPr="00CE23AE">
        <w:rPr>
          <w:rStyle w:val="Refdenotaalpie"/>
          <w:lang w:val="en-US"/>
        </w:rPr>
        <w:footnoteReference w:id="137"/>
      </w:r>
      <w:r w:rsidR="008E5092" w:rsidRPr="00CE23AE">
        <w:rPr>
          <w:szCs w:val="20"/>
          <w:lang w:val="en-US"/>
        </w:rPr>
        <w:t xml:space="preserve"> In its analysis of why the amparo procedure was inadmissible, the court indicated that the application had requested the suspension of the</w:t>
      </w:r>
      <w:r w:rsidR="006536FF" w:rsidRPr="00CE23AE">
        <w:rPr>
          <w:szCs w:val="20"/>
          <w:lang w:val="en-US"/>
        </w:rPr>
        <w:t xml:space="preserve"> </w:t>
      </w:r>
      <w:r w:rsidR="00A06577" w:rsidRPr="00CE23AE">
        <w:rPr>
          <w:szCs w:val="20"/>
          <w:lang w:val="en-US"/>
        </w:rPr>
        <w:t>summary inquiry</w:t>
      </w:r>
      <w:r w:rsidR="008E5092" w:rsidRPr="00CE23AE">
        <w:rPr>
          <w:szCs w:val="20"/>
          <w:lang w:val="en-US"/>
        </w:rPr>
        <w:t xml:space="preserve"> procedure. However, since that was an investigative procedure and not an administrative act, the application for amparo was ina</w:t>
      </w:r>
      <w:r w:rsidR="009C630C" w:rsidRPr="00CE23AE">
        <w:rPr>
          <w:szCs w:val="20"/>
          <w:lang w:val="en-US"/>
        </w:rPr>
        <w:t>ppropriate</w:t>
      </w:r>
      <w:r w:rsidR="008E5092" w:rsidRPr="00CE23AE">
        <w:rPr>
          <w:szCs w:val="20"/>
          <w:lang w:val="en-US"/>
        </w:rPr>
        <w:t xml:space="preserve"> because it was not requesting protection </w:t>
      </w:r>
      <w:r w:rsidR="00EE0EF7" w:rsidRPr="00CE23AE">
        <w:rPr>
          <w:szCs w:val="20"/>
          <w:lang w:val="en-US"/>
        </w:rPr>
        <w:t>with regard to</w:t>
      </w:r>
      <w:r w:rsidR="008E5092" w:rsidRPr="00CE23AE">
        <w:rPr>
          <w:szCs w:val="20"/>
          <w:lang w:val="en-US"/>
        </w:rPr>
        <w:t xml:space="preserve"> an act </w:t>
      </w:r>
      <w:r w:rsidR="009C630C" w:rsidRPr="00CE23AE">
        <w:rPr>
          <w:szCs w:val="20"/>
          <w:lang w:val="en-US"/>
        </w:rPr>
        <w:t>on</w:t>
      </w:r>
      <w:r w:rsidR="008E5092" w:rsidRPr="00CE23AE">
        <w:rPr>
          <w:szCs w:val="20"/>
          <w:lang w:val="en-US"/>
        </w:rPr>
        <w:t xml:space="preserve"> which the court could rule on whether </w:t>
      </w:r>
      <w:r w:rsidR="00EE0EF7" w:rsidRPr="00CE23AE">
        <w:rPr>
          <w:szCs w:val="20"/>
          <w:lang w:val="en-US"/>
        </w:rPr>
        <w:t xml:space="preserve">or not </w:t>
      </w:r>
      <w:r w:rsidR="008E5092" w:rsidRPr="00CE23AE">
        <w:rPr>
          <w:szCs w:val="20"/>
          <w:lang w:val="en-US"/>
        </w:rPr>
        <w:t>it was unlawful.</w:t>
      </w:r>
      <w:r w:rsidR="001940B0" w:rsidRPr="00CE23AE">
        <w:rPr>
          <w:rStyle w:val="Refdenotaalpie"/>
          <w:lang w:val="en-US"/>
        </w:rPr>
        <w:footnoteReference w:id="138"/>
      </w:r>
      <w:r w:rsidR="001940B0" w:rsidRPr="00CE23AE">
        <w:rPr>
          <w:szCs w:val="20"/>
          <w:lang w:val="en-US"/>
        </w:rPr>
        <w:t xml:space="preserve"> </w:t>
      </w:r>
    </w:p>
    <w:p w14:paraId="27CDA91B" w14:textId="77777777" w:rsidR="001940B0" w:rsidRPr="00CE23AE" w:rsidRDefault="001940B0" w:rsidP="001940B0">
      <w:pPr>
        <w:spacing w:line="240" w:lineRule="auto"/>
        <w:rPr>
          <w:szCs w:val="20"/>
          <w:lang w:val="en-US"/>
        </w:rPr>
      </w:pPr>
    </w:p>
    <w:p w14:paraId="17DD415C" w14:textId="30E04520" w:rsidR="001940B0" w:rsidRPr="00CE23AE" w:rsidRDefault="009C630C" w:rsidP="009C630C">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 xml:space="preserve">Regarding the </w:t>
      </w:r>
      <w:r w:rsidR="0013582A" w:rsidRPr="00CE23AE">
        <w:rPr>
          <w:szCs w:val="20"/>
          <w:lang w:val="en-US"/>
        </w:rPr>
        <w:t>decision of the Court of Law</w:t>
      </w:r>
      <w:r w:rsidR="008B76F3" w:rsidRPr="00CE23AE">
        <w:rPr>
          <w:szCs w:val="20"/>
          <w:lang w:val="en-US"/>
        </w:rPr>
        <w:t xml:space="preserve"> of the </w:t>
      </w:r>
      <w:r w:rsidR="0078516C" w:rsidRPr="00CE23AE">
        <w:rPr>
          <w:szCs w:val="20"/>
          <w:lang w:val="en-US"/>
        </w:rPr>
        <w:t>Fourth Military Zone</w:t>
      </w:r>
      <w:r w:rsidRPr="00CE23AE">
        <w:rPr>
          <w:szCs w:val="20"/>
          <w:lang w:val="en-US"/>
        </w:rPr>
        <w:t xml:space="preserve"> of January 19, 2001</w:t>
      </w:r>
      <w:r w:rsidR="001940B0" w:rsidRPr="00CE23AE">
        <w:rPr>
          <w:szCs w:val="20"/>
          <w:lang w:val="en-US"/>
        </w:rPr>
        <w:t xml:space="preserve"> (</w:t>
      </w:r>
      <w:r w:rsidR="001940B0" w:rsidRPr="00CE23AE">
        <w:rPr>
          <w:i/>
          <w:szCs w:val="20"/>
          <w:lang w:val="en-US"/>
        </w:rPr>
        <w:t>supra</w:t>
      </w:r>
      <w:r w:rsidR="001940B0" w:rsidRPr="00CE23AE">
        <w:rPr>
          <w:szCs w:val="20"/>
          <w:lang w:val="en-US"/>
        </w:rPr>
        <w:t xml:space="preserve"> </w:t>
      </w:r>
      <w:r w:rsidR="005C743F" w:rsidRPr="00CE23AE">
        <w:rPr>
          <w:szCs w:val="20"/>
          <w:lang w:val="en-US"/>
        </w:rPr>
        <w:t>para.</w:t>
      </w:r>
      <w:r w:rsidR="001940B0" w:rsidRPr="00CE23AE">
        <w:rPr>
          <w:szCs w:val="20"/>
          <w:lang w:val="en-US"/>
        </w:rPr>
        <w:t xml:space="preserve"> </w:t>
      </w:r>
      <w:r w:rsidR="001940B0" w:rsidRPr="00CE23AE">
        <w:rPr>
          <w:szCs w:val="20"/>
          <w:lang w:val="en-US"/>
        </w:rPr>
        <w:fldChar w:fldCharType="begin"/>
      </w:r>
      <w:r w:rsidR="001940B0" w:rsidRPr="00CE23AE">
        <w:rPr>
          <w:szCs w:val="20"/>
          <w:lang w:val="en-US"/>
        </w:rPr>
        <w:instrText xml:space="preserve"> REF _Ref447296429 \r \h </w:instrText>
      </w:r>
      <w:r w:rsidR="00CE23AE">
        <w:rPr>
          <w:szCs w:val="20"/>
          <w:lang w:val="en-US"/>
        </w:rPr>
        <w:instrText xml:space="preserve"> \* MERGEFORMAT </w:instrText>
      </w:r>
      <w:r w:rsidR="001940B0" w:rsidRPr="00CE23AE">
        <w:rPr>
          <w:szCs w:val="20"/>
          <w:lang w:val="en-US"/>
        </w:rPr>
      </w:r>
      <w:r w:rsidR="001940B0" w:rsidRPr="00CE23AE">
        <w:rPr>
          <w:szCs w:val="20"/>
          <w:lang w:val="en-US"/>
        </w:rPr>
        <w:fldChar w:fldCharType="separate"/>
      </w:r>
      <w:r w:rsidR="00BC2953" w:rsidRPr="00CE23AE">
        <w:rPr>
          <w:szCs w:val="20"/>
          <w:lang w:val="en-US"/>
        </w:rPr>
        <w:t>72</w:t>
      </w:r>
      <w:r w:rsidR="001940B0" w:rsidRPr="00CE23AE">
        <w:rPr>
          <w:szCs w:val="20"/>
          <w:lang w:val="en-US"/>
        </w:rPr>
        <w:fldChar w:fldCharType="end"/>
      </w:r>
      <w:r w:rsidR="001940B0" w:rsidRPr="00CE23AE">
        <w:rPr>
          <w:szCs w:val="20"/>
          <w:lang w:val="en-US"/>
        </w:rPr>
        <w:t xml:space="preserve">), </w:t>
      </w:r>
      <w:r w:rsidRPr="00CE23AE">
        <w:rPr>
          <w:szCs w:val="20"/>
          <w:lang w:val="en-US"/>
        </w:rPr>
        <w:t xml:space="preserve">the Sixth Court considered that, since this was a judicial decision issued by the military criminal jurisdiction, it could be contested before other instances pursuant to the provisions of the </w:t>
      </w:r>
      <w:r w:rsidR="008306CA" w:rsidRPr="00CE23AE">
        <w:rPr>
          <w:lang w:val="en-US"/>
        </w:rPr>
        <w:t xml:space="preserve">Organic Law of the </w:t>
      </w:r>
      <w:r w:rsidRPr="00CE23AE">
        <w:rPr>
          <w:lang w:val="en-US"/>
        </w:rPr>
        <w:t>Armed Forces Justice Service</w:t>
      </w:r>
      <w:r w:rsidR="001940B0" w:rsidRPr="00CE23AE">
        <w:rPr>
          <w:szCs w:val="20"/>
          <w:lang w:val="en-US"/>
        </w:rPr>
        <w:t xml:space="preserve">. </w:t>
      </w:r>
      <w:r w:rsidRPr="00CE23AE">
        <w:rPr>
          <w:szCs w:val="20"/>
          <w:lang w:val="en-US"/>
        </w:rPr>
        <w:t>Consequently, it established that the contested ruling “</w:t>
      </w:r>
      <w:r w:rsidR="00EE0EF7" w:rsidRPr="00CE23AE">
        <w:rPr>
          <w:szCs w:val="20"/>
          <w:lang w:val="en-US"/>
        </w:rPr>
        <w:t>was</w:t>
      </w:r>
      <w:r w:rsidRPr="00CE23AE">
        <w:rPr>
          <w:szCs w:val="20"/>
          <w:lang w:val="en-US"/>
        </w:rPr>
        <w:t xml:space="preserve"> not final”</w:t>
      </w:r>
      <w:r w:rsidR="00EE0EF7" w:rsidRPr="00CE23AE">
        <w:rPr>
          <w:szCs w:val="20"/>
          <w:lang w:val="en-US"/>
        </w:rPr>
        <w:t>;</w:t>
      </w:r>
      <w:r w:rsidRPr="00CE23AE">
        <w:rPr>
          <w:szCs w:val="20"/>
          <w:lang w:val="en-US"/>
        </w:rPr>
        <w:t xml:space="preserve"> </w:t>
      </w:r>
      <w:r w:rsidR="00EE0EF7" w:rsidRPr="00CE23AE">
        <w:rPr>
          <w:szCs w:val="20"/>
          <w:lang w:val="en-US"/>
        </w:rPr>
        <w:t>therefore,</w:t>
      </w:r>
      <w:r w:rsidRPr="00CE23AE">
        <w:rPr>
          <w:szCs w:val="20"/>
          <w:lang w:val="en-US"/>
        </w:rPr>
        <w:t xml:space="preserve"> based on the subsidiary nature of </w:t>
      </w:r>
      <w:r w:rsidR="00EE0EF7" w:rsidRPr="00CE23AE">
        <w:rPr>
          <w:szCs w:val="20"/>
          <w:lang w:val="en-US"/>
        </w:rPr>
        <w:t xml:space="preserve">the </w:t>
      </w:r>
      <w:r w:rsidRPr="00CE23AE">
        <w:rPr>
          <w:szCs w:val="20"/>
          <w:lang w:val="en-US"/>
        </w:rPr>
        <w:t xml:space="preserve">application for amparo, </w:t>
      </w:r>
      <w:r w:rsidR="00EE0EF7" w:rsidRPr="00CE23AE">
        <w:rPr>
          <w:szCs w:val="20"/>
          <w:lang w:val="en-US"/>
        </w:rPr>
        <w:t>this</w:t>
      </w:r>
      <w:r w:rsidRPr="00CE23AE">
        <w:rPr>
          <w:szCs w:val="20"/>
          <w:lang w:val="en-US"/>
        </w:rPr>
        <w:t xml:space="preserve"> was </w:t>
      </w:r>
      <w:r w:rsidR="00EE0EF7" w:rsidRPr="00CE23AE">
        <w:rPr>
          <w:szCs w:val="20"/>
          <w:lang w:val="en-US"/>
        </w:rPr>
        <w:t xml:space="preserve">not </w:t>
      </w:r>
      <w:r w:rsidRPr="00CE23AE">
        <w:rPr>
          <w:szCs w:val="20"/>
          <w:lang w:val="en-US"/>
        </w:rPr>
        <w:t xml:space="preserve">appropriate. The Sixth Court also underscored that, according to the </w:t>
      </w:r>
      <w:r w:rsidRPr="00CE23AE">
        <w:rPr>
          <w:szCs w:val="20"/>
          <w:lang w:val="en-US"/>
        </w:rPr>
        <w:lastRenderedPageBreak/>
        <w:t xml:space="preserve">Constitution, “judicial decisions adopted in proceedings </w:t>
      </w:r>
      <w:r w:rsidR="00021971" w:rsidRPr="00CE23AE">
        <w:rPr>
          <w:szCs w:val="20"/>
          <w:lang w:val="en-US"/>
        </w:rPr>
        <w:t>shall not be</w:t>
      </w:r>
      <w:r w:rsidRPr="00CE23AE">
        <w:rPr>
          <w:szCs w:val="20"/>
          <w:lang w:val="en-US"/>
        </w:rPr>
        <w:t xml:space="preserve"> eligible for an application for amparo.</w:t>
      </w:r>
      <w:r w:rsidR="001940B0" w:rsidRPr="00CE23AE">
        <w:rPr>
          <w:szCs w:val="20"/>
          <w:lang w:val="en-US"/>
        </w:rPr>
        <w:t>”</w:t>
      </w:r>
      <w:r w:rsidR="001940B0" w:rsidRPr="00CE23AE">
        <w:rPr>
          <w:rStyle w:val="Refdenotaalpie"/>
          <w:lang w:val="en-US"/>
        </w:rPr>
        <w:footnoteReference w:id="139"/>
      </w:r>
      <w:r w:rsidR="001940B0" w:rsidRPr="00CE23AE">
        <w:rPr>
          <w:szCs w:val="20"/>
          <w:lang w:val="en-US"/>
        </w:rPr>
        <w:t xml:space="preserve"> </w:t>
      </w:r>
    </w:p>
    <w:p w14:paraId="1E212404" w14:textId="77777777" w:rsidR="001940B0" w:rsidRPr="00CE23AE" w:rsidRDefault="001940B0" w:rsidP="001940B0">
      <w:pPr>
        <w:rPr>
          <w:szCs w:val="20"/>
          <w:lang w:val="en-US"/>
        </w:rPr>
      </w:pPr>
    </w:p>
    <w:p w14:paraId="786F6CC4" w14:textId="14781845" w:rsidR="001940B0" w:rsidRPr="00CE23AE" w:rsidRDefault="0078516C" w:rsidP="009C630C">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The decision</w:t>
      </w:r>
      <w:r w:rsidR="001940B0" w:rsidRPr="00CE23AE">
        <w:rPr>
          <w:szCs w:val="20"/>
          <w:lang w:val="en-US"/>
        </w:rPr>
        <w:t xml:space="preserve"> </w:t>
      </w:r>
      <w:r w:rsidR="009C630C" w:rsidRPr="00CE23AE">
        <w:rPr>
          <w:szCs w:val="20"/>
          <w:lang w:val="en-US"/>
        </w:rPr>
        <w:t>also took into account that</w:t>
      </w:r>
      <w:r w:rsidR="001940B0" w:rsidRPr="00CE23AE">
        <w:rPr>
          <w:szCs w:val="20"/>
          <w:lang w:val="en-US"/>
        </w:rPr>
        <w:t xml:space="preserve"> </w:t>
      </w:r>
      <w:r w:rsidR="00F5102B" w:rsidRPr="00CE23AE">
        <w:rPr>
          <w:szCs w:val="20"/>
          <w:lang w:val="en-US"/>
        </w:rPr>
        <w:t>Mr. Flor</w:t>
      </w:r>
      <w:r w:rsidR="001940B0" w:rsidRPr="00CE23AE">
        <w:rPr>
          <w:szCs w:val="20"/>
          <w:lang w:val="en-US"/>
        </w:rPr>
        <w:t xml:space="preserve"> Freire “ha[</w:t>
      </w:r>
      <w:r w:rsidR="009C630C" w:rsidRPr="00CE23AE">
        <w:rPr>
          <w:szCs w:val="20"/>
          <w:lang w:val="en-US"/>
        </w:rPr>
        <w:t>d</w:t>
      </w:r>
      <w:r w:rsidR="001940B0" w:rsidRPr="00CE23AE">
        <w:rPr>
          <w:szCs w:val="20"/>
          <w:lang w:val="en-US"/>
        </w:rPr>
        <w:t xml:space="preserve">] </w:t>
      </w:r>
      <w:r w:rsidR="009C630C" w:rsidRPr="00CE23AE">
        <w:rPr>
          <w:szCs w:val="20"/>
          <w:lang w:val="en-US"/>
        </w:rPr>
        <w:t>been</w:t>
      </w:r>
      <w:r w:rsidR="00522A39" w:rsidRPr="00CE23AE">
        <w:rPr>
          <w:szCs w:val="20"/>
          <w:lang w:val="en-US"/>
        </w:rPr>
        <w:t xml:space="preserve"> placed on paid leave </w:t>
      </w:r>
      <w:r w:rsidR="009C630C" w:rsidRPr="00CE23AE">
        <w:rPr>
          <w:szCs w:val="20"/>
          <w:lang w:val="en-US"/>
        </w:rPr>
        <w:t>at the time;</w:t>
      </w:r>
      <w:r w:rsidR="001940B0" w:rsidRPr="00CE23AE">
        <w:rPr>
          <w:szCs w:val="20"/>
          <w:lang w:val="en-US"/>
        </w:rPr>
        <w:t xml:space="preserve"> </w:t>
      </w:r>
      <w:r w:rsidR="009C630C" w:rsidRPr="00CE23AE">
        <w:rPr>
          <w:szCs w:val="20"/>
          <w:lang w:val="en-US"/>
        </w:rPr>
        <w:t>however, this [was] not due to the de</w:t>
      </w:r>
      <w:r w:rsidR="00021971" w:rsidRPr="00CE23AE">
        <w:rPr>
          <w:szCs w:val="20"/>
          <w:lang w:val="en-US"/>
        </w:rPr>
        <w:t>termination</w:t>
      </w:r>
      <w:r w:rsidR="009C630C" w:rsidRPr="00CE23AE">
        <w:rPr>
          <w:szCs w:val="20"/>
          <w:lang w:val="en-US"/>
        </w:rPr>
        <w:t xml:space="preserve"> </w:t>
      </w:r>
      <w:r w:rsidR="001940B0" w:rsidRPr="00CE23AE">
        <w:rPr>
          <w:szCs w:val="20"/>
          <w:lang w:val="en-US"/>
        </w:rPr>
        <w:t xml:space="preserve">[…] </w:t>
      </w:r>
      <w:r w:rsidR="009C630C" w:rsidRPr="00CE23AE">
        <w:rPr>
          <w:szCs w:val="20"/>
          <w:lang w:val="en-US"/>
        </w:rPr>
        <w:t>of his superior officers, but rather owing to a legal and regulatory order</w:t>
      </w:r>
      <w:r w:rsidR="00021971" w:rsidRPr="00CE23AE">
        <w:rPr>
          <w:szCs w:val="20"/>
          <w:lang w:val="en-US"/>
        </w:rPr>
        <w:t xml:space="preserve"> – with</w:t>
      </w:r>
      <w:r w:rsidR="009C630C" w:rsidRPr="00CE23AE">
        <w:rPr>
          <w:szCs w:val="20"/>
          <w:lang w:val="en-US"/>
        </w:rPr>
        <w:t>out having been deprived of his rank or his salary</w:t>
      </w:r>
      <w:r w:rsidR="00021971" w:rsidRPr="00CE23AE">
        <w:rPr>
          <w:szCs w:val="20"/>
          <w:lang w:val="en-US"/>
        </w:rPr>
        <w:t xml:space="preserve"> – be</w:t>
      </w:r>
      <w:r w:rsidR="009C630C" w:rsidRPr="00CE23AE">
        <w:rPr>
          <w:szCs w:val="20"/>
          <w:lang w:val="en-US"/>
        </w:rPr>
        <w:t xml:space="preserve">cause the </w:t>
      </w:r>
      <w:r w:rsidR="00021971" w:rsidRPr="00CE23AE">
        <w:rPr>
          <w:szCs w:val="20"/>
          <w:lang w:val="en-US"/>
        </w:rPr>
        <w:t>ruling</w:t>
      </w:r>
      <w:r w:rsidR="009C630C" w:rsidRPr="00CE23AE">
        <w:rPr>
          <w:szCs w:val="20"/>
          <w:lang w:val="en-US"/>
        </w:rPr>
        <w:t xml:space="preserve"> [was] not yet final, a circumstances that </w:t>
      </w:r>
      <w:r w:rsidR="00021971" w:rsidRPr="00CE23AE">
        <w:rPr>
          <w:szCs w:val="20"/>
          <w:lang w:val="en-US"/>
        </w:rPr>
        <w:t>eliminate[d]</w:t>
      </w:r>
      <w:r w:rsidR="009C630C" w:rsidRPr="00CE23AE">
        <w:rPr>
          <w:szCs w:val="20"/>
          <w:lang w:val="en-US"/>
        </w:rPr>
        <w:t xml:space="preserve"> the possibility of grave and imminent danger </w:t>
      </w:r>
      <w:r w:rsidR="00021971" w:rsidRPr="00CE23AE">
        <w:rPr>
          <w:szCs w:val="20"/>
          <w:lang w:val="en-US"/>
        </w:rPr>
        <w:t xml:space="preserve">that was </w:t>
      </w:r>
      <w:r w:rsidR="009C630C" w:rsidRPr="00CE23AE">
        <w:rPr>
          <w:szCs w:val="20"/>
          <w:lang w:val="en-US"/>
        </w:rPr>
        <w:t>required for filing an application [for amparo].</w:t>
      </w:r>
      <w:r w:rsidR="001940B0" w:rsidRPr="00CE23AE">
        <w:rPr>
          <w:szCs w:val="20"/>
          <w:lang w:val="en-US"/>
        </w:rPr>
        <w:t>”</w:t>
      </w:r>
      <w:r w:rsidR="001940B0" w:rsidRPr="00CE23AE">
        <w:rPr>
          <w:rStyle w:val="Refdenotaalpie"/>
          <w:lang w:val="en-US"/>
        </w:rPr>
        <w:footnoteReference w:id="140"/>
      </w:r>
    </w:p>
    <w:p w14:paraId="65AC87B3" w14:textId="77777777" w:rsidR="001940B0" w:rsidRPr="00CE23AE" w:rsidRDefault="001940B0" w:rsidP="001940B0">
      <w:pPr>
        <w:rPr>
          <w:lang w:val="en-US" w:eastAsia="x-none"/>
        </w:rPr>
      </w:pPr>
    </w:p>
    <w:p w14:paraId="1F5C2DBD" w14:textId="35A7094A" w:rsidR="00C51E3C" w:rsidRPr="00CE23AE" w:rsidRDefault="0078516C" w:rsidP="00B46DD8">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On July 20,</w:t>
      </w:r>
      <w:r w:rsidR="001940B0" w:rsidRPr="00CE23AE">
        <w:rPr>
          <w:szCs w:val="20"/>
          <w:lang w:val="en-US"/>
        </w:rPr>
        <w:t xml:space="preserve"> 2001 </w:t>
      </w:r>
      <w:r w:rsidR="00F5102B" w:rsidRPr="00CE23AE">
        <w:rPr>
          <w:szCs w:val="20"/>
          <w:lang w:val="en-US"/>
        </w:rPr>
        <w:t>Mr. Flor</w:t>
      </w:r>
      <w:r w:rsidR="001940B0" w:rsidRPr="00CE23AE">
        <w:rPr>
          <w:szCs w:val="20"/>
          <w:lang w:val="en-US"/>
        </w:rPr>
        <w:t xml:space="preserve"> Freire </w:t>
      </w:r>
      <w:r w:rsidR="009C630C" w:rsidRPr="00CE23AE">
        <w:rPr>
          <w:szCs w:val="20"/>
          <w:lang w:val="en-US"/>
        </w:rPr>
        <w:t>filed an appeal against</w:t>
      </w:r>
      <w:r w:rsidR="001940B0" w:rsidRPr="00CE23AE">
        <w:rPr>
          <w:szCs w:val="20"/>
          <w:lang w:val="en-US"/>
        </w:rPr>
        <w:t xml:space="preserve"> </w:t>
      </w:r>
      <w:r w:rsidRPr="00CE23AE">
        <w:rPr>
          <w:szCs w:val="20"/>
          <w:lang w:val="en-US"/>
        </w:rPr>
        <w:t>the decision of the Sixth Civil Court of Pichincha</w:t>
      </w:r>
      <w:r w:rsidR="009C630C" w:rsidRPr="00CE23AE">
        <w:rPr>
          <w:szCs w:val="20"/>
          <w:lang w:val="en-US"/>
        </w:rPr>
        <w:t>.</w:t>
      </w:r>
      <w:r w:rsidR="001940B0" w:rsidRPr="00CE23AE">
        <w:rPr>
          <w:rStyle w:val="Refdenotaalpie"/>
          <w:lang w:val="en-US"/>
        </w:rPr>
        <w:footnoteReference w:id="141"/>
      </w:r>
      <w:r w:rsidR="009C630C" w:rsidRPr="00CE23AE">
        <w:rPr>
          <w:szCs w:val="20"/>
          <w:lang w:val="en-US"/>
        </w:rPr>
        <w:t xml:space="preserve"> In his brief, he argued that this court had not ruled on some of the grounds that substantiated the application for </w:t>
      </w:r>
      <w:r w:rsidR="00C92ACA" w:rsidRPr="00CE23AE">
        <w:rPr>
          <w:szCs w:val="20"/>
          <w:lang w:val="en-US"/>
        </w:rPr>
        <w:t>constitutional amparo</w:t>
      </w:r>
      <w:r w:rsidR="009C630C" w:rsidRPr="00CE23AE">
        <w:rPr>
          <w:szCs w:val="20"/>
          <w:lang w:val="en-US"/>
        </w:rPr>
        <w:t>, particularly with regard to the fact that “the offense of homosexuali</w:t>
      </w:r>
      <w:r w:rsidR="00B46DD8" w:rsidRPr="00CE23AE">
        <w:rPr>
          <w:szCs w:val="20"/>
          <w:lang w:val="en-US"/>
        </w:rPr>
        <w:t>ty</w:t>
      </w:r>
      <w:r w:rsidR="009C630C" w:rsidRPr="00CE23AE">
        <w:rPr>
          <w:szCs w:val="20"/>
          <w:lang w:val="en-US"/>
        </w:rPr>
        <w:t xml:space="preserve">” </w:t>
      </w:r>
      <w:r w:rsidR="00B46DD8" w:rsidRPr="00CE23AE">
        <w:rPr>
          <w:szCs w:val="20"/>
          <w:lang w:val="en-US"/>
        </w:rPr>
        <w:t>had been decriminalized in Ecuador.</w:t>
      </w:r>
      <w:r w:rsidR="001940B0" w:rsidRPr="00CE23AE">
        <w:rPr>
          <w:rStyle w:val="Refdenotaalpie"/>
          <w:lang w:val="en-US"/>
        </w:rPr>
        <w:footnoteReference w:id="142"/>
      </w:r>
      <w:r w:rsidR="00B46DD8" w:rsidRPr="00CE23AE">
        <w:rPr>
          <w:szCs w:val="20"/>
          <w:lang w:val="en-US"/>
        </w:rPr>
        <w:t xml:space="preserve"> He also argued that, while</w:t>
      </w:r>
      <w:r w:rsidR="001940B0" w:rsidRPr="00CE23AE">
        <w:rPr>
          <w:szCs w:val="20"/>
          <w:lang w:val="en-US"/>
        </w:rPr>
        <w:t xml:space="preserve"> </w:t>
      </w:r>
      <w:r w:rsidR="00AC18A9" w:rsidRPr="00CE23AE">
        <w:rPr>
          <w:szCs w:val="20"/>
          <w:lang w:val="en-US"/>
        </w:rPr>
        <w:t xml:space="preserve">the </w:t>
      </w:r>
      <w:r w:rsidR="009B2300" w:rsidRPr="00CE23AE">
        <w:rPr>
          <w:szCs w:val="20"/>
          <w:lang w:val="en-US"/>
        </w:rPr>
        <w:t>Sixth Civil Court</w:t>
      </w:r>
      <w:r w:rsidR="00B46DD8" w:rsidRPr="00CE23AE">
        <w:rPr>
          <w:szCs w:val="20"/>
          <w:lang w:val="en-US"/>
        </w:rPr>
        <w:t xml:space="preserve"> was hearing the case and at the time it issued its decision, “the military administrative procedure” had been exhausted and h</w:t>
      </w:r>
      <w:r w:rsidR="00021971" w:rsidRPr="00CE23AE">
        <w:rPr>
          <w:szCs w:val="20"/>
          <w:lang w:val="en-US"/>
        </w:rPr>
        <w:t>e</w:t>
      </w:r>
      <w:r w:rsidR="00B46DD8" w:rsidRPr="00CE23AE">
        <w:rPr>
          <w:szCs w:val="20"/>
          <w:lang w:val="en-US"/>
        </w:rPr>
        <w:t xml:space="preserve"> had been “definitively separated from </w:t>
      </w:r>
      <w:r w:rsidR="008B76F3" w:rsidRPr="00CE23AE">
        <w:rPr>
          <w:szCs w:val="20"/>
          <w:lang w:val="en-US"/>
        </w:rPr>
        <w:t>the Ground Forces</w:t>
      </w:r>
      <w:r w:rsidR="00B46DD8" w:rsidRPr="00CE23AE">
        <w:rPr>
          <w:szCs w:val="20"/>
          <w:lang w:val="en-US"/>
        </w:rPr>
        <w:t>.</w:t>
      </w:r>
      <w:r w:rsidR="001940B0" w:rsidRPr="00CE23AE">
        <w:rPr>
          <w:szCs w:val="20"/>
          <w:lang w:val="en-US"/>
        </w:rPr>
        <w:t>”</w:t>
      </w:r>
      <w:r w:rsidR="001940B0" w:rsidRPr="00CE23AE">
        <w:rPr>
          <w:rStyle w:val="Refdenotaalpie"/>
          <w:lang w:val="en-US"/>
        </w:rPr>
        <w:footnoteReference w:id="143"/>
      </w:r>
      <w:r w:rsidR="001940B0" w:rsidRPr="00CE23AE">
        <w:rPr>
          <w:szCs w:val="20"/>
          <w:lang w:val="en-US"/>
        </w:rPr>
        <w:t xml:space="preserve"> </w:t>
      </w:r>
      <w:r w:rsidR="00B46DD8" w:rsidRPr="00CE23AE">
        <w:rPr>
          <w:szCs w:val="20"/>
          <w:lang w:val="en-US"/>
        </w:rPr>
        <w:t xml:space="preserve">The appeal was admitted on August 30, </w:t>
      </w:r>
      <w:r w:rsidR="001940B0" w:rsidRPr="00CE23AE">
        <w:rPr>
          <w:szCs w:val="20"/>
          <w:lang w:val="en-US"/>
        </w:rPr>
        <w:t>2001</w:t>
      </w:r>
      <w:r w:rsidR="00B46DD8" w:rsidRPr="00CE23AE">
        <w:rPr>
          <w:szCs w:val="20"/>
          <w:lang w:val="en-US"/>
        </w:rPr>
        <w:t>,</w:t>
      </w:r>
      <w:r w:rsidR="00C561DF" w:rsidRPr="00CE23AE">
        <w:rPr>
          <w:szCs w:val="20"/>
          <w:lang w:val="en-US"/>
        </w:rPr>
        <w:t xml:space="preserve"> and </w:t>
      </w:r>
      <w:r w:rsidR="00B46DD8" w:rsidRPr="00CE23AE">
        <w:rPr>
          <w:szCs w:val="20"/>
          <w:lang w:val="en-US"/>
        </w:rPr>
        <w:t xml:space="preserve">the matter was referred to </w:t>
      </w:r>
      <w:r w:rsidR="00C561DF" w:rsidRPr="00CE23AE">
        <w:rPr>
          <w:szCs w:val="20"/>
          <w:lang w:val="en-US"/>
        </w:rPr>
        <w:t xml:space="preserve">the </w:t>
      </w:r>
      <w:r w:rsidR="000366A6" w:rsidRPr="00CE23AE">
        <w:rPr>
          <w:szCs w:val="20"/>
          <w:lang w:val="en-US"/>
        </w:rPr>
        <w:t>Constitutional Court</w:t>
      </w:r>
      <w:r w:rsidR="00B46DD8" w:rsidRPr="00CE23AE">
        <w:rPr>
          <w:szCs w:val="20"/>
          <w:lang w:val="en-US"/>
        </w:rPr>
        <w:t>.</w:t>
      </w:r>
      <w:r w:rsidR="001940B0" w:rsidRPr="00CE23AE">
        <w:rPr>
          <w:rStyle w:val="Refdenotaalpie"/>
          <w:lang w:val="en-US"/>
        </w:rPr>
        <w:footnoteReference w:id="144"/>
      </w:r>
      <w:r w:rsidR="00C51E3C" w:rsidRPr="00CE23AE">
        <w:rPr>
          <w:szCs w:val="20"/>
          <w:lang w:val="en-US"/>
        </w:rPr>
        <w:t xml:space="preserve"> </w:t>
      </w:r>
    </w:p>
    <w:p w14:paraId="2E537371" w14:textId="65169BC2" w:rsidR="009F36A1" w:rsidRPr="00CE23AE" w:rsidRDefault="009F36A1" w:rsidP="00C51E3C">
      <w:pPr>
        <w:rPr>
          <w:szCs w:val="20"/>
          <w:lang w:val="en-US"/>
        </w:rPr>
      </w:pPr>
    </w:p>
    <w:p w14:paraId="52809057" w14:textId="567E82B8" w:rsidR="00C51E3C" w:rsidRPr="00CE23AE" w:rsidRDefault="00947E08" w:rsidP="0054620E">
      <w:pPr>
        <w:pStyle w:val="Ttulo3"/>
        <w:rPr>
          <w:lang w:val="en-US"/>
        </w:rPr>
      </w:pPr>
      <w:bookmarkStart w:id="272" w:name="_Toc453874334"/>
      <w:bookmarkStart w:id="273" w:name="_Toc454891495"/>
      <w:bookmarkStart w:id="274" w:name="_Toc457840599"/>
      <w:bookmarkStart w:id="275" w:name="_Toc460398539"/>
      <w:bookmarkStart w:id="276" w:name="_Toc464474986"/>
      <w:bookmarkStart w:id="277" w:name="_Toc46388373"/>
      <w:r w:rsidRPr="00CE23AE">
        <w:rPr>
          <w:lang w:val="en-US"/>
        </w:rPr>
        <w:t>D</w:t>
      </w:r>
      <w:r w:rsidR="0054620E" w:rsidRPr="00CE23AE">
        <w:rPr>
          <w:lang w:val="en-US"/>
        </w:rPr>
        <w:t>.</w:t>
      </w:r>
      <w:r w:rsidR="00665FB7" w:rsidRPr="00CE23AE">
        <w:rPr>
          <w:lang w:val="en-US"/>
        </w:rPr>
        <w:t>3</w:t>
      </w:r>
      <w:r w:rsidR="0054620E" w:rsidRPr="00CE23AE">
        <w:rPr>
          <w:lang w:val="en-US"/>
        </w:rPr>
        <w:t xml:space="preserve"> </w:t>
      </w:r>
      <w:r w:rsidR="00B46DD8" w:rsidRPr="00CE23AE">
        <w:rPr>
          <w:lang w:val="en-US"/>
        </w:rPr>
        <w:t>Decision on the application</w:t>
      </w:r>
      <w:r w:rsidR="00F5102B" w:rsidRPr="00CE23AE">
        <w:rPr>
          <w:lang w:val="en-US"/>
        </w:rPr>
        <w:t xml:space="preserve"> for </w:t>
      </w:r>
      <w:r w:rsidR="00C92ACA" w:rsidRPr="00CE23AE">
        <w:rPr>
          <w:lang w:val="en-US"/>
        </w:rPr>
        <w:t>constitutional amparo</w:t>
      </w:r>
      <w:bookmarkEnd w:id="272"/>
      <w:bookmarkEnd w:id="273"/>
      <w:bookmarkEnd w:id="274"/>
      <w:bookmarkEnd w:id="275"/>
      <w:bookmarkEnd w:id="276"/>
      <w:bookmarkEnd w:id="277"/>
      <w:r w:rsidR="00C51E3C" w:rsidRPr="00CE23AE">
        <w:rPr>
          <w:lang w:val="en-US"/>
        </w:rPr>
        <w:t xml:space="preserve"> </w:t>
      </w:r>
    </w:p>
    <w:p w14:paraId="292E2EBA" w14:textId="77777777" w:rsidR="0054620E" w:rsidRPr="00CE23AE" w:rsidRDefault="0054620E" w:rsidP="0054620E">
      <w:pPr>
        <w:rPr>
          <w:lang w:val="en-US" w:eastAsia="x-none"/>
        </w:rPr>
      </w:pPr>
    </w:p>
    <w:p w14:paraId="78869596" w14:textId="66A554E0" w:rsidR="001940B0" w:rsidRPr="00CE23AE" w:rsidRDefault="00B46DD8" w:rsidP="00B46DD8">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On February 4,</w:t>
      </w:r>
      <w:r w:rsidR="001940B0" w:rsidRPr="00CE23AE">
        <w:rPr>
          <w:szCs w:val="20"/>
          <w:lang w:val="en-US"/>
        </w:rPr>
        <w:t xml:space="preserve"> 2002, </w:t>
      </w:r>
      <w:r w:rsidRPr="00CE23AE">
        <w:rPr>
          <w:szCs w:val="20"/>
          <w:lang w:val="en-US"/>
        </w:rPr>
        <w:t>the Second Chamber</w:t>
      </w:r>
      <w:r w:rsidR="00C561DF" w:rsidRPr="00CE23AE">
        <w:rPr>
          <w:szCs w:val="20"/>
          <w:lang w:val="en-US"/>
        </w:rPr>
        <w:t xml:space="preserve"> of the </w:t>
      </w:r>
      <w:r w:rsidR="000366A6" w:rsidRPr="00CE23AE">
        <w:rPr>
          <w:szCs w:val="20"/>
          <w:lang w:val="en-US"/>
        </w:rPr>
        <w:t>Constitutional Court</w:t>
      </w:r>
      <w:r w:rsidR="001940B0" w:rsidRPr="00CE23AE">
        <w:rPr>
          <w:szCs w:val="20"/>
          <w:lang w:val="en-US"/>
        </w:rPr>
        <w:t xml:space="preserve"> declar</w:t>
      </w:r>
      <w:r w:rsidRPr="00CE23AE">
        <w:rPr>
          <w:szCs w:val="20"/>
          <w:lang w:val="en-US"/>
        </w:rPr>
        <w:t xml:space="preserve">ed the </w:t>
      </w:r>
      <w:r w:rsidR="00F5102B" w:rsidRPr="00CE23AE">
        <w:rPr>
          <w:szCs w:val="20"/>
          <w:lang w:val="en-US"/>
        </w:rPr>
        <w:t xml:space="preserve">application for </w:t>
      </w:r>
      <w:r w:rsidR="00C92ACA" w:rsidRPr="00CE23AE">
        <w:rPr>
          <w:szCs w:val="20"/>
          <w:lang w:val="en-US"/>
        </w:rPr>
        <w:t>constitutional amparo</w:t>
      </w:r>
      <w:r w:rsidRPr="00CE23AE">
        <w:rPr>
          <w:szCs w:val="20"/>
          <w:lang w:val="en-US"/>
        </w:rPr>
        <w:t xml:space="preserve"> inadmissible.</w:t>
      </w:r>
      <w:r w:rsidR="001940B0" w:rsidRPr="00CE23AE">
        <w:rPr>
          <w:rStyle w:val="Refdenotaalpie"/>
          <w:lang w:val="en-US"/>
        </w:rPr>
        <w:footnoteReference w:id="145"/>
      </w:r>
      <w:r w:rsidR="001940B0" w:rsidRPr="00CE23AE">
        <w:rPr>
          <w:szCs w:val="20"/>
          <w:lang w:val="en-US"/>
        </w:rPr>
        <w:t xml:space="preserve"> </w:t>
      </w:r>
      <w:r w:rsidRPr="00CE23AE">
        <w:rPr>
          <w:szCs w:val="20"/>
          <w:lang w:val="en-US"/>
        </w:rPr>
        <w:t>In its analysis</w:t>
      </w:r>
      <w:r w:rsidR="001940B0" w:rsidRPr="00CE23AE">
        <w:rPr>
          <w:szCs w:val="20"/>
          <w:lang w:val="en-US"/>
        </w:rPr>
        <w:t xml:space="preserve">, </w:t>
      </w:r>
      <w:r w:rsidR="00C561DF" w:rsidRPr="00CE23AE">
        <w:rPr>
          <w:szCs w:val="20"/>
          <w:lang w:val="en-US"/>
        </w:rPr>
        <w:t>the Court</w:t>
      </w:r>
      <w:r w:rsidR="001940B0" w:rsidRPr="00CE23AE">
        <w:rPr>
          <w:szCs w:val="20"/>
          <w:lang w:val="en-US"/>
        </w:rPr>
        <w:t xml:space="preserve"> t</w:t>
      </w:r>
      <w:r w:rsidRPr="00CE23AE">
        <w:rPr>
          <w:szCs w:val="20"/>
          <w:lang w:val="en-US"/>
        </w:rPr>
        <w:t xml:space="preserve">ook into account the arguments submitted by the parties in the substantiation of the remedy before </w:t>
      </w:r>
      <w:r w:rsidR="009B2300" w:rsidRPr="00CE23AE">
        <w:rPr>
          <w:szCs w:val="20"/>
          <w:lang w:val="en-US"/>
        </w:rPr>
        <w:t>the Sixth Civil Court</w:t>
      </w:r>
      <w:r w:rsidR="001940B0" w:rsidRPr="00CE23AE">
        <w:rPr>
          <w:szCs w:val="20"/>
          <w:lang w:val="en-US"/>
        </w:rPr>
        <w:t xml:space="preserve">. </w:t>
      </w:r>
      <w:r w:rsidRPr="00CE23AE">
        <w:rPr>
          <w:szCs w:val="20"/>
          <w:lang w:val="en-US"/>
        </w:rPr>
        <w:t xml:space="preserve">In this regard, it considered that </w:t>
      </w:r>
      <w:r w:rsidR="0078516C" w:rsidRPr="00CE23AE">
        <w:rPr>
          <w:szCs w:val="20"/>
          <w:lang w:val="en-US"/>
        </w:rPr>
        <w:t>the decision</w:t>
      </w:r>
      <w:r w:rsidR="000366A6" w:rsidRPr="00CE23AE">
        <w:rPr>
          <w:szCs w:val="20"/>
          <w:lang w:val="en-US"/>
        </w:rPr>
        <w:t xml:space="preserve"> of the </w:t>
      </w:r>
      <w:r w:rsidR="00A055CE" w:rsidRPr="00CE23AE">
        <w:rPr>
          <w:szCs w:val="20"/>
          <w:lang w:val="en-US"/>
        </w:rPr>
        <w:t>Court of Law</w:t>
      </w:r>
      <w:r w:rsidR="001940B0" w:rsidRPr="00CE23AE">
        <w:rPr>
          <w:szCs w:val="20"/>
          <w:lang w:val="en-US"/>
        </w:rPr>
        <w:t xml:space="preserve"> </w:t>
      </w:r>
      <w:r w:rsidRPr="00CE23AE">
        <w:rPr>
          <w:szCs w:val="20"/>
          <w:lang w:val="en-US"/>
        </w:rPr>
        <w:t>in the</w:t>
      </w:r>
      <w:r w:rsidR="001940B0" w:rsidRPr="00CE23AE">
        <w:rPr>
          <w:szCs w:val="20"/>
          <w:lang w:val="en-US"/>
        </w:rPr>
        <w:t xml:space="preserve"> </w:t>
      </w:r>
      <w:r w:rsidR="00A06577" w:rsidRPr="00CE23AE">
        <w:rPr>
          <w:szCs w:val="20"/>
          <w:lang w:val="en-US"/>
        </w:rPr>
        <w:t>summary inquiry</w:t>
      </w:r>
      <w:r w:rsidR="001940B0" w:rsidRPr="00CE23AE">
        <w:rPr>
          <w:szCs w:val="20"/>
          <w:lang w:val="en-US"/>
        </w:rPr>
        <w:t xml:space="preserve"> </w:t>
      </w:r>
      <w:r w:rsidRPr="00CE23AE">
        <w:rPr>
          <w:szCs w:val="20"/>
          <w:lang w:val="en-US"/>
        </w:rPr>
        <w:t xml:space="preserve">procedure was based on </w:t>
      </w:r>
      <w:r w:rsidR="00AC18A9" w:rsidRPr="00CE23AE">
        <w:rPr>
          <w:szCs w:val="20"/>
          <w:lang w:val="en-US"/>
        </w:rPr>
        <w:t>the principle of legality</w:t>
      </w:r>
      <w:r w:rsidR="001940B0" w:rsidRPr="00CE23AE">
        <w:rPr>
          <w:szCs w:val="20"/>
          <w:lang w:val="en-US"/>
        </w:rPr>
        <w:t xml:space="preserve"> </w:t>
      </w:r>
      <w:r w:rsidRPr="00CE23AE">
        <w:rPr>
          <w:szCs w:val="20"/>
          <w:lang w:val="en-US"/>
        </w:rPr>
        <w:t>established in</w:t>
      </w:r>
      <w:r w:rsidR="001940B0" w:rsidRPr="00CE23AE">
        <w:rPr>
          <w:szCs w:val="20"/>
          <w:lang w:val="en-US"/>
        </w:rPr>
        <w:t xml:space="preserve"> </w:t>
      </w:r>
      <w:r w:rsidRPr="00CE23AE">
        <w:rPr>
          <w:szCs w:val="20"/>
          <w:lang w:val="en-US"/>
        </w:rPr>
        <w:t>a</w:t>
      </w:r>
      <w:r w:rsidR="00C561DF" w:rsidRPr="00CE23AE">
        <w:rPr>
          <w:szCs w:val="20"/>
          <w:lang w:val="en-US"/>
        </w:rPr>
        <w:t>rticle</w:t>
      </w:r>
      <w:r w:rsidR="001940B0" w:rsidRPr="00CE23AE">
        <w:rPr>
          <w:szCs w:val="20"/>
          <w:lang w:val="en-US"/>
        </w:rPr>
        <w:t xml:space="preserve"> 119</w:t>
      </w:r>
      <w:r w:rsidR="0005476C" w:rsidRPr="00CE23AE">
        <w:rPr>
          <w:szCs w:val="20"/>
          <w:lang w:val="en-US"/>
        </w:rPr>
        <w:t xml:space="preserve"> of the </w:t>
      </w:r>
      <w:r w:rsidRPr="00CE23AE">
        <w:rPr>
          <w:szCs w:val="20"/>
          <w:lang w:val="en-US"/>
        </w:rPr>
        <w:t xml:space="preserve">Ecuadorian </w:t>
      </w:r>
      <w:r w:rsidR="0005476C" w:rsidRPr="00CE23AE">
        <w:rPr>
          <w:szCs w:val="20"/>
          <w:lang w:val="en-US"/>
        </w:rPr>
        <w:t>Constitution</w:t>
      </w:r>
      <w:r w:rsidRPr="00CE23AE">
        <w:rPr>
          <w:szCs w:val="20"/>
          <w:lang w:val="en-US"/>
        </w:rPr>
        <w:t>, in conformity with its a</w:t>
      </w:r>
      <w:r w:rsidR="00C561DF" w:rsidRPr="00CE23AE">
        <w:rPr>
          <w:szCs w:val="20"/>
          <w:lang w:val="en-US"/>
        </w:rPr>
        <w:t>rticle</w:t>
      </w:r>
      <w:r w:rsidR="001940B0" w:rsidRPr="00CE23AE">
        <w:rPr>
          <w:szCs w:val="20"/>
          <w:lang w:val="en-US"/>
        </w:rPr>
        <w:t xml:space="preserve"> 187</w:t>
      </w:r>
      <w:r w:rsidRPr="00CE23AE">
        <w:rPr>
          <w:szCs w:val="20"/>
          <w:lang w:val="en-US"/>
        </w:rPr>
        <w:t xml:space="preserve"> on the special jurisdiction established “for prosecuting offenses [by members of the security forces] in the exercise of their professional duties.</w:t>
      </w:r>
      <w:r w:rsidR="001940B0" w:rsidRPr="00CE23AE">
        <w:rPr>
          <w:szCs w:val="20"/>
          <w:lang w:val="en-US"/>
        </w:rPr>
        <w:t>”</w:t>
      </w:r>
      <w:r w:rsidR="001940B0" w:rsidRPr="00CE23AE">
        <w:rPr>
          <w:rStyle w:val="Refdenotaalpie"/>
          <w:lang w:val="en-US"/>
        </w:rPr>
        <w:footnoteReference w:id="146"/>
      </w:r>
      <w:r w:rsidRPr="00CE23AE">
        <w:rPr>
          <w:szCs w:val="20"/>
          <w:lang w:val="en-US"/>
        </w:rPr>
        <w:t xml:space="preserve"> It also pointed out that those provisions of the Constitution were supplemented by: (i</w:t>
      </w:r>
      <w:r w:rsidR="001940B0" w:rsidRPr="00CE23AE">
        <w:rPr>
          <w:szCs w:val="20"/>
          <w:lang w:val="en-US"/>
        </w:rPr>
        <w:t xml:space="preserve">) </w:t>
      </w:r>
      <w:r w:rsidRPr="00CE23AE">
        <w:rPr>
          <w:szCs w:val="20"/>
          <w:lang w:val="en-US"/>
        </w:rPr>
        <w:t>a</w:t>
      </w:r>
      <w:r w:rsidR="00C561DF" w:rsidRPr="00CE23AE">
        <w:rPr>
          <w:szCs w:val="20"/>
          <w:lang w:val="en-US"/>
        </w:rPr>
        <w:t>rticle</w:t>
      </w:r>
      <w:r w:rsidR="001940B0" w:rsidRPr="00CE23AE">
        <w:rPr>
          <w:szCs w:val="20"/>
          <w:lang w:val="en-US"/>
        </w:rPr>
        <w:t xml:space="preserve"> 1 </w:t>
      </w:r>
      <w:r w:rsidRPr="00CE23AE">
        <w:rPr>
          <w:szCs w:val="20"/>
          <w:lang w:val="en-US"/>
        </w:rPr>
        <w:t>of the</w:t>
      </w:r>
      <w:r w:rsidR="001940B0" w:rsidRPr="00CE23AE">
        <w:rPr>
          <w:szCs w:val="20"/>
          <w:lang w:val="en-US"/>
        </w:rPr>
        <w:t xml:space="preserve"> </w:t>
      </w:r>
      <w:r w:rsidR="008306CA" w:rsidRPr="00CE23AE">
        <w:rPr>
          <w:szCs w:val="20"/>
          <w:lang w:val="en-US"/>
        </w:rPr>
        <w:t xml:space="preserve">Organic Law of the </w:t>
      </w:r>
      <w:r w:rsidRPr="00CE23AE">
        <w:rPr>
          <w:szCs w:val="20"/>
          <w:lang w:val="en-US"/>
        </w:rPr>
        <w:t>Armed Forces Justice Service on the jurisdiction of military courts; (ii) article 69(g) of the Organic Law of the Armed Forces, which indicate</w:t>
      </w:r>
      <w:r w:rsidR="00BF039B" w:rsidRPr="00CE23AE">
        <w:rPr>
          <w:szCs w:val="20"/>
          <w:lang w:val="en-US"/>
        </w:rPr>
        <w:t>d</w:t>
      </w:r>
      <w:r w:rsidRPr="00CE23AE">
        <w:rPr>
          <w:szCs w:val="20"/>
          <w:lang w:val="en-US"/>
        </w:rPr>
        <w:t xml:space="preserve"> that “military criminal courts are military jurisdictional organs,” and (iii) article 76(i) of the Law on Armed Forces Personnel, which establishe</w:t>
      </w:r>
      <w:r w:rsidR="00BF039B" w:rsidRPr="00CE23AE">
        <w:rPr>
          <w:szCs w:val="20"/>
          <w:lang w:val="en-US"/>
        </w:rPr>
        <w:t>d</w:t>
      </w:r>
      <w:r w:rsidRPr="00CE23AE">
        <w:rPr>
          <w:szCs w:val="20"/>
          <w:lang w:val="en-US"/>
        </w:rPr>
        <w:t xml:space="preserve"> </w:t>
      </w:r>
      <w:r w:rsidR="001940B0" w:rsidRPr="00CE23AE">
        <w:rPr>
          <w:szCs w:val="20"/>
          <w:lang w:val="en-US"/>
        </w:rPr>
        <w:t>“</w:t>
      </w:r>
      <w:r w:rsidR="00BF039B" w:rsidRPr="00CE23AE">
        <w:rPr>
          <w:szCs w:val="20"/>
          <w:lang w:val="en-US"/>
        </w:rPr>
        <w:t xml:space="preserve">paid leave prior to </w:t>
      </w:r>
      <w:r w:rsidRPr="00CE23AE">
        <w:rPr>
          <w:szCs w:val="20"/>
          <w:lang w:val="en-US"/>
        </w:rPr>
        <w:t>discharge from active service with</w:t>
      </w:r>
      <w:r w:rsidR="008B76F3" w:rsidRPr="00CE23AE">
        <w:rPr>
          <w:szCs w:val="20"/>
          <w:lang w:val="en-US"/>
        </w:rPr>
        <w:t xml:space="preserve"> the Ground Forces</w:t>
      </w:r>
      <w:r w:rsidR="00BF039B" w:rsidRPr="00CE23AE">
        <w:rPr>
          <w:szCs w:val="20"/>
          <w:lang w:val="en-US"/>
        </w:rPr>
        <w:t xml:space="preserve"> due to misconduct, for the good of the service</w:t>
      </w:r>
      <w:r w:rsidRPr="00CE23AE">
        <w:rPr>
          <w:szCs w:val="20"/>
          <w:lang w:val="en-US"/>
        </w:rPr>
        <w:t>.</w:t>
      </w:r>
      <w:r w:rsidR="001940B0" w:rsidRPr="00CE23AE">
        <w:rPr>
          <w:szCs w:val="20"/>
          <w:lang w:val="en-US"/>
        </w:rPr>
        <w:t>”</w:t>
      </w:r>
      <w:r w:rsidR="001940B0" w:rsidRPr="00CE23AE">
        <w:rPr>
          <w:rStyle w:val="Refdenotaalpie"/>
          <w:lang w:val="en-US"/>
        </w:rPr>
        <w:footnoteReference w:id="147"/>
      </w:r>
    </w:p>
    <w:p w14:paraId="5E259194" w14:textId="77777777" w:rsidR="001940B0" w:rsidRPr="00CE23AE" w:rsidRDefault="001940B0" w:rsidP="001940B0">
      <w:pPr>
        <w:rPr>
          <w:szCs w:val="20"/>
          <w:lang w:val="en-US"/>
        </w:rPr>
      </w:pPr>
    </w:p>
    <w:p w14:paraId="624EBECB" w14:textId="1476D4FA" w:rsidR="001940B0" w:rsidRPr="00CE23AE" w:rsidRDefault="00B46DD8" w:rsidP="00B46DD8">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 xml:space="preserve">Consequently, the Constitutional Court concluded that the </w:t>
      </w:r>
      <w:r w:rsidR="00A055CE" w:rsidRPr="00CE23AE">
        <w:rPr>
          <w:szCs w:val="20"/>
          <w:lang w:val="en-US"/>
        </w:rPr>
        <w:t>Court of Law</w:t>
      </w:r>
      <w:r w:rsidR="001940B0" w:rsidRPr="00CE23AE">
        <w:rPr>
          <w:szCs w:val="20"/>
          <w:lang w:val="en-US"/>
        </w:rPr>
        <w:t xml:space="preserve"> </w:t>
      </w:r>
      <w:r w:rsidRPr="00CE23AE">
        <w:rPr>
          <w:szCs w:val="20"/>
          <w:lang w:val="en-US"/>
        </w:rPr>
        <w:t xml:space="preserve">had not committed an unlawful act when it delivered the decision of January 17, 2001, and that since that decision was the “administrative act” that was contested, no </w:t>
      </w:r>
      <w:r w:rsidR="00BF039B" w:rsidRPr="00CE23AE">
        <w:rPr>
          <w:szCs w:val="20"/>
          <w:lang w:val="en-US"/>
        </w:rPr>
        <w:t xml:space="preserve">violation of the Constitution </w:t>
      </w:r>
      <w:r w:rsidRPr="00CE23AE">
        <w:rPr>
          <w:szCs w:val="20"/>
          <w:lang w:val="en-US"/>
        </w:rPr>
        <w:t xml:space="preserve">to the detriment of Mr. Flor </w:t>
      </w:r>
      <w:r w:rsidRPr="00CE23AE">
        <w:rPr>
          <w:szCs w:val="20"/>
          <w:lang w:val="en-US"/>
        </w:rPr>
        <w:lastRenderedPageBreak/>
        <w:t>Freire had been proved that would allow th</w:t>
      </w:r>
      <w:r w:rsidR="00BF039B" w:rsidRPr="00CE23AE">
        <w:rPr>
          <w:szCs w:val="20"/>
          <w:lang w:val="en-US"/>
        </w:rPr>
        <w:t>at Court to admit the</w:t>
      </w:r>
      <w:r w:rsidRPr="00CE23AE">
        <w:rPr>
          <w:szCs w:val="20"/>
          <w:lang w:val="en-US"/>
        </w:rPr>
        <w:t xml:space="preserve"> application for amparo.  Furthermore, it indicated that “</w:t>
      </w:r>
      <w:r w:rsidR="00BF039B" w:rsidRPr="00CE23AE">
        <w:rPr>
          <w:szCs w:val="20"/>
          <w:lang w:val="en-US"/>
        </w:rPr>
        <w:t>in addition</w:t>
      </w:r>
      <w:r w:rsidRPr="00CE23AE">
        <w:rPr>
          <w:szCs w:val="20"/>
          <w:lang w:val="en-US"/>
        </w:rPr>
        <w:t>, the requirements established in the Law on Constitutional Control had not been [met].</w:t>
      </w:r>
      <w:r w:rsidR="001940B0" w:rsidRPr="00CE23AE">
        <w:rPr>
          <w:szCs w:val="20"/>
          <w:lang w:val="en-US"/>
        </w:rPr>
        <w:t>”</w:t>
      </w:r>
      <w:r w:rsidR="001940B0" w:rsidRPr="00CE23AE">
        <w:rPr>
          <w:rStyle w:val="Refdenotaalpie"/>
          <w:lang w:val="en-US"/>
        </w:rPr>
        <w:footnoteReference w:id="148"/>
      </w:r>
    </w:p>
    <w:p w14:paraId="01FA5E65" w14:textId="77777777" w:rsidR="001940B0" w:rsidRPr="00CE23AE" w:rsidRDefault="001940B0" w:rsidP="001940B0">
      <w:pPr>
        <w:widowControl/>
        <w:tabs>
          <w:tab w:val="left" w:pos="567"/>
        </w:tabs>
        <w:suppressAutoHyphens/>
        <w:adjustRightInd/>
        <w:spacing w:line="240" w:lineRule="auto"/>
        <w:textAlignment w:val="auto"/>
        <w:rPr>
          <w:szCs w:val="20"/>
          <w:lang w:val="en-US"/>
        </w:rPr>
      </w:pPr>
    </w:p>
    <w:p w14:paraId="4EFA93A4" w14:textId="08D82EB3" w:rsidR="00761F19" w:rsidRPr="00CE23AE" w:rsidRDefault="00F5102B" w:rsidP="001940B0">
      <w:pPr>
        <w:widowControl/>
        <w:numPr>
          <w:ilvl w:val="0"/>
          <w:numId w:val="6"/>
        </w:numPr>
        <w:tabs>
          <w:tab w:val="left" w:pos="567"/>
        </w:tabs>
        <w:suppressAutoHyphens/>
        <w:adjustRightInd/>
        <w:spacing w:line="240" w:lineRule="auto"/>
        <w:textAlignment w:val="auto"/>
        <w:rPr>
          <w:szCs w:val="20"/>
          <w:lang w:val="en-US"/>
        </w:rPr>
      </w:pPr>
      <w:bookmarkStart w:id="278" w:name="_Ref454892889"/>
      <w:r w:rsidRPr="00CE23AE">
        <w:rPr>
          <w:szCs w:val="20"/>
          <w:lang w:val="en-US"/>
        </w:rPr>
        <w:t>Mr. Flor</w:t>
      </w:r>
      <w:r w:rsidR="001940B0" w:rsidRPr="00CE23AE">
        <w:rPr>
          <w:szCs w:val="20"/>
          <w:lang w:val="en-US"/>
        </w:rPr>
        <w:t xml:space="preserve"> Freire </w:t>
      </w:r>
      <w:r w:rsidR="00B46DD8" w:rsidRPr="00CE23AE">
        <w:rPr>
          <w:szCs w:val="20"/>
          <w:lang w:val="en-US"/>
        </w:rPr>
        <w:t xml:space="preserve">remained on active </w:t>
      </w:r>
      <w:r w:rsidR="00BF039B" w:rsidRPr="00CE23AE">
        <w:rPr>
          <w:szCs w:val="20"/>
          <w:lang w:val="en-US"/>
        </w:rPr>
        <w:t>service</w:t>
      </w:r>
      <w:r w:rsidR="00B46DD8" w:rsidRPr="00CE23AE">
        <w:rPr>
          <w:szCs w:val="20"/>
          <w:lang w:val="en-US"/>
        </w:rPr>
        <w:t xml:space="preserve"> withi</w:t>
      </w:r>
      <w:r w:rsidR="00BF039B" w:rsidRPr="00CE23AE">
        <w:rPr>
          <w:szCs w:val="20"/>
          <w:lang w:val="en-US"/>
        </w:rPr>
        <w:t>n</w:t>
      </w:r>
      <w:r w:rsidR="00B46DD8" w:rsidRPr="00CE23AE">
        <w:rPr>
          <w:szCs w:val="20"/>
          <w:lang w:val="en-US"/>
        </w:rPr>
        <w:t xml:space="preserve"> </w:t>
      </w:r>
      <w:r w:rsidR="008B76F3" w:rsidRPr="00CE23AE">
        <w:rPr>
          <w:szCs w:val="20"/>
          <w:lang w:val="en-US"/>
        </w:rPr>
        <w:t xml:space="preserve">the </w:t>
      </w:r>
      <w:r w:rsidR="00CB4410" w:rsidRPr="00CE23AE">
        <w:rPr>
          <w:szCs w:val="20"/>
          <w:lang w:val="en-US"/>
        </w:rPr>
        <w:t>Ecuadorian Ground Forces</w:t>
      </w:r>
      <w:r w:rsidR="001940B0" w:rsidRPr="00CE23AE">
        <w:rPr>
          <w:szCs w:val="20"/>
          <w:lang w:val="en-US"/>
        </w:rPr>
        <w:t xml:space="preserve"> </w:t>
      </w:r>
      <w:r w:rsidR="00B46DD8" w:rsidRPr="00CE23AE">
        <w:rPr>
          <w:szCs w:val="20"/>
          <w:lang w:val="en-US"/>
        </w:rPr>
        <w:t>until January 18,</w:t>
      </w:r>
      <w:r w:rsidR="001940B0" w:rsidRPr="00CE23AE">
        <w:rPr>
          <w:szCs w:val="20"/>
          <w:lang w:val="en-US"/>
        </w:rPr>
        <w:t xml:space="preserve"> 2002, </w:t>
      </w:r>
      <w:r w:rsidR="00B46DD8" w:rsidRPr="00CE23AE">
        <w:rPr>
          <w:szCs w:val="20"/>
          <w:lang w:val="en-US"/>
        </w:rPr>
        <w:t xml:space="preserve">the date on which he was discharged following six month in a situation of </w:t>
      </w:r>
      <w:r w:rsidR="00BF039B" w:rsidRPr="00CE23AE">
        <w:rPr>
          <w:szCs w:val="20"/>
          <w:lang w:val="en-US"/>
        </w:rPr>
        <w:t>paid leave</w:t>
      </w:r>
      <w:r w:rsidR="00B46DD8" w:rsidRPr="00CE23AE">
        <w:rPr>
          <w:szCs w:val="20"/>
          <w:lang w:val="en-US"/>
        </w:rPr>
        <w:t>.</w:t>
      </w:r>
      <w:r w:rsidR="001940B0" w:rsidRPr="00CE23AE">
        <w:rPr>
          <w:rStyle w:val="Refdenotaalpie"/>
          <w:szCs w:val="20"/>
          <w:lang w:val="en-US"/>
        </w:rPr>
        <w:footnoteReference w:id="149"/>
      </w:r>
      <w:r w:rsidR="00B46DD8" w:rsidRPr="00CE23AE">
        <w:rPr>
          <w:szCs w:val="20"/>
          <w:lang w:val="en-US"/>
        </w:rPr>
        <w:t xml:space="preserve"> Since that date, </w:t>
      </w:r>
      <w:r w:rsidRPr="00CE23AE">
        <w:rPr>
          <w:rFonts w:eastAsia="Calibri"/>
          <w:szCs w:val="20"/>
          <w:lang w:val="en-US"/>
        </w:rPr>
        <w:t>Mr. Flor</w:t>
      </w:r>
      <w:r w:rsidR="001940B0" w:rsidRPr="00CE23AE">
        <w:rPr>
          <w:rFonts w:eastAsia="Calibri"/>
          <w:szCs w:val="20"/>
          <w:lang w:val="en-US"/>
        </w:rPr>
        <w:t xml:space="preserve"> Freire ha</w:t>
      </w:r>
      <w:r w:rsidR="00B46DD8" w:rsidRPr="00CE23AE">
        <w:rPr>
          <w:rFonts w:eastAsia="Calibri"/>
          <w:szCs w:val="20"/>
          <w:lang w:val="en-US"/>
        </w:rPr>
        <w:t xml:space="preserve">s been </w:t>
      </w:r>
      <w:r w:rsidR="00BF039B" w:rsidRPr="00CE23AE">
        <w:rPr>
          <w:rFonts w:eastAsia="Calibri"/>
          <w:szCs w:val="20"/>
          <w:lang w:val="en-US"/>
        </w:rPr>
        <w:t>i</w:t>
      </w:r>
      <w:r w:rsidR="00B46DD8" w:rsidRPr="00CE23AE">
        <w:rPr>
          <w:rFonts w:eastAsia="Calibri"/>
          <w:szCs w:val="20"/>
          <w:lang w:val="en-US"/>
        </w:rPr>
        <w:t xml:space="preserve">n passive </w:t>
      </w:r>
      <w:r w:rsidR="00BF039B" w:rsidRPr="00CE23AE">
        <w:rPr>
          <w:rFonts w:eastAsia="Calibri"/>
          <w:szCs w:val="20"/>
          <w:lang w:val="en-US"/>
        </w:rPr>
        <w:t>service</w:t>
      </w:r>
      <w:r w:rsidR="00B46DD8" w:rsidRPr="00CE23AE">
        <w:rPr>
          <w:rFonts w:eastAsia="Calibri"/>
          <w:szCs w:val="20"/>
          <w:lang w:val="en-US"/>
        </w:rPr>
        <w:t xml:space="preserve"> pursuant to the </w:t>
      </w:r>
      <w:r w:rsidR="008B76F3" w:rsidRPr="00CE23AE">
        <w:rPr>
          <w:rFonts w:eastAsia="Calibri"/>
          <w:szCs w:val="20"/>
          <w:lang w:val="en-US"/>
        </w:rPr>
        <w:t>Law on Armed Forces Personnel</w:t>
      </w:r>
      <w:r w:rsidR="00BF039B" w:rsidRPr="00CE23AE">
        <w:rPr>
          <w:rFonts w:eastAsia="Calibri"/>
          <w:szCs w:val="20"/>
          <w:lang w:val="en-US"/>
        </w:rPr>
        <w:t>.</w:t>
      </w:r>
      <w:r w:rsidR="001940B0" w:rsidRPr="00CE23AE">
        <w:rPr>
          <w:rStyle w:val="Refdenotaalpie"/>
          <w:rFonts w:eastAsia="Calibri"/>
          <w:szCs w:val="20"/>
          <w:lang w:val="en-US"/>
        </w:rPr>
        <w:footnoteReference w:id="150"/>
      </w:r>
      <w:bookmarkEnd w:id="278"/>
      <w:r w:rsidR="001C301A" w:rsidRPr="00CE23AE">
        <w:rPr>
          <w:rFonts w:eastAsia="Calibri"/>
          <w:bCs/>
          <w:szCs w:val="20"/>
          <w:lang w:val="en-US"/>
        </w:rPr>
        <w:t xml:space="preserve"> </w:t>
      </w:r>
    </w:p>
    <w:p w14:paraId="3566F030" w14:textId="77777777" w:rsidR="00761F19" w:rsidRPr="00CE23AE" w:rsidRDefault="00761F19" w:rsidP="00761F19">
      <w:pPr>
        <w:widowControl/>
        <w:tabs>
          <w:tab w:val="left" w:pos="567"/>
        </w:tabs>
        <w:suppressAutoHyphens/>
        <w:adjustRightInd/>
        <w:spacing w:line="240" w:lineRule="auto"/>
        <w:textAlignment w:val="auto"/>
        <w:rPr>
          <w:rFonts w:eastAsiaTheme="minorHAnsi"/>
          <w:szCs w:val="20"/>
          <w:lang w:val="en-US" w:eastAsia="es-ES_tradnl"/>
        </w:rPr>
      </w:pPr>
    </w:p>
    <w:p w14:paraId="36F5573A" w14:textId="77777777" w:rsidR="00761F19" w:rsidRPr="00CE23AE" w:rsidRDefault="00761F19" w:rsidP="00761F19">
      <w:pPr>
        <w:pStyle w:val="Ttulo1"/>
        <w:rPr>
          <w:lang w:val="en-US"/>
        </w:rPr>
      </w:pPr>
      <w:bookmarkStart w:id="279" w:name="_Toc453874335"/>
      <w:bookmarkStart w:id="280" w:name="_Toc454891496"/>
      <w:bookmarkStart w:id="281" w:name="_Toc457840600"/>
      <w:bookmarkStart w:id="282" w:name="_Toc464474987"/>
      <w:bookmarkStart w:id="283" w:name="_Toc46388374"/>
      <w:r w:rsidRPr="00CE23AE">
        <w:rPr>
          <w:lang w:val="en-US"/>
        </w:rPr>
        <w:t>VIII</w:t>
      </w:r>
      <w:bookmarkEnd w:id="279"/>
      <w:bookmarkEnd w:id="280"/>
      <w:bookmarkEnd w:id="281"/>
      <w:bookmarkEnd w:id="282"/>
      <w:bookmarkEnd w:id="283"/>
    </w:p>
    <w:p w14:paraId="7D201C77" w14:textId="7AF94817" w:rsidR="00761F19" w:rsidRPr="00CE23AE" w:rsidRDefault="00CF3E39" w:rsidP="00761F19">
      <w:pPr>
        <w:pStyle w:val="Ttulo1"/>
        <w:rPr>
          <w:lang w:val="en-US"/>
        </w:rPr>
      </w:pPr>
      <w:bookmarkStart w:id="284" w:name="_Toc46388375"/>
      <w:r w:rsidRPr="00CE23AE">
        <w:rPr>
          <w:lang w:val="en-US"/>
        </w:rPr>
        <w:t>MERITS</w:t>
      </w:r>
      <w:bookmarkEnd w:id="284"/>
    </w:p>
    <w:p w14:paraId="74D8A861" w14:textId="77777777" w:rsidR="00761F19" w:rsidRPr="00CE23AE" w:rsidRDefault="00761F19" w:rsidP="00761F19">
      <w:pPr>
        <w:widowControl/>
        <w:tabs>
          <w:tab w:val="left" w:pos="567"/>
        </w:tabs>
        <w:suppressAutoHyphens/>
        <w:adjustRightInd/>
        <w:spacing w:line="240" w:lineRule="auto"/>
        <w:textAlignment w:val="auto"/>
        <w:rPr>
          <w:rFonts w:eastAsiaTheme="minorHAnsi"/>
          <w:szCs w:val="20"/>
          <w:lang w:val="en-US" w:eastAsia="es-ES_tradnl"/>
        </w:rPr>
      </w:pPr>
    </w:p>
    <w:p w14:paraId="44528EC9" w14:textId="30AFDCBF" w:rsidR="00D96CF0" w:rsidRPr="00CE23AE" w:rsidRDefault="00CF3E39" w:rsidP="000D6115">
      <w:pPr>
        <w:widowControl/>
        <w:numPr>
          <w:ilvl w:val="0"/>
          <w:numId w:val="6"/>
        </w:numPr>
        <w:tabs>
          <w:tab w:val="left" w:pos="567"/>
        </w:tabs>
        <w:suppressAutoHyphens/>
        <w:adjustRightInd/>
        <w:spacing w:line="240" w:lineRule="auto"/>
        <w:textAlignment w:val="auto"/>
        <w:rPr>
          <w:szCs w:val="20"/>
          <w:lang w:val="en-US"/>
        </w:rPr>
      </w:pPr>
      <w:r w:rsidRPr="00CE23AE">
        <w:rPr>
          <w:rFonts w:eastAsiaTheme="minorHAnsi"/>
          <w:szCs w:val="20"/>
          <w:lang w:val="en-US" w:eastAsia="es-ES_tradnl"/>
        </w:rPr>
        <w:t xml:space="preserve">Based on the violations of the human rights protected by </w:t>
      </w:r>
      <w:r w:rsidR="00C561DF" w:rsidRPr="00CE23AE">
        <w:rPr>
          <w:rFonts w:eastAsiaTheme="minorHAnsi"/>
          <w:szCs w:val="20"/>
          <w:lang w:val="en-US" w:eastAsia="es-ES_tradnl"/>
        </w:rPr>
        <w:t>the Convention</w:t>
      </w:r>
      <w:r w:rsidRPr="00CE23AE">
        <w:rPr>
          <w:rFonts w:eastAsiaTheme="minorHAnsi"/>
          <w:szCs w:val="20"/>
          <w:lang w:val="en-US" w:eastAsia="es-ES_tradnl"/>
        </w:rPr>
        <w:t xml:space="preserve"> that have been alleged in this case, the Court will examine the following: (</w:t>
      </w:r>
      <w:r w:rsidR="00673FAC" w:rsidRPr="00CE23AE">
        <w:rPr>
          <w:rFonts w:eastAsiaTheme="minorHAnsi"/>
          <w:szCs w:val="20"/>
          <w:lang w:val="en-US" w:eastAsia="es-ES_tradnl"/>
        </w:rPr>
        <w:t xml:space="preserve">1) </w:t>
      </w:r>
      <w:r w:rsidRPr="00CE23AE">
        <w:rPr>
          <w:rFonts w:eastAsiaTheme="minorHAnsi"/>
          <w:szCs w:val="20"/>
          <w:lang w:val="en-US" w:eastAsia="es-ES_tradnl"/>
        </w:rPr>
        <w:t>the right to equality before the law and the prohibition of discrimination; (2) the principle of legality and the protection of honor and dignity, and (3) the rights to judicial guarantees and judicial protection.</w:t>
      </w:r>
    </w:p>
    <w:p w14:paraId="22750E83" w14:textId="77777777" w:rsidR="00673FAC" w:rsidRPr="00CE23AE" w:rsidRDefault="00673FAC" w:rsidP="0085145F">
      <w:pPr>
        <w:pStyle w:val="Ttulo1"/>
        <w:rPr>
          <w:lang w:val="en-US"/>
        </w:rPr>
      </w:pPr>
      <w:bookmarkStart w:id="285" w:name="_Toc453874336"/>
      <w:bookmarkStart w:id="286" w:name="_Toc453874606"/>
      <w:bookmarkStart w:id="287" w:name="_Toc454891497"/>
      <w:bookmarkStart w:id="288" w:name="_Toc454891574"/>
      <w:bookmarkStart w:id="289" w:name="_Toc455439038"/>
      <w:bookmarkStart w:id="290" w:name="_Toc457840601"/>
      <w:bookmarkStart w:id="291" w:name="_Toc457844722"/>
    </w:p>
    <w:p w14:paraId="0DCA8225" w14:textId="77777777" w:rsidR="00D96CF0" w:rsidRPr="00CE23AE" w:rsidRDefault="00D96CF0" w:rsidP="0085145F">
      <w:pPr>
        <w:pStyle w:val="Ttulo1"/>
        <w:rPr>
          <w:lang w:val="en-US"/>
        </w:rPr>
      </w:pPr>
      <w:bookmarkStart w:id="292" w:name="_Toc464474989"/>
      <w:bookmarkStart w:id="293" w:name="_Toc46388376"/>
      <w:r w:rsidRPr="00CE23AE">
        <w:rPr>
          <w:lang w:val="en-US"/>
        </w:rPr>
        <w:t>VIII-1</w:t>
      </w:r>
      <w:bookmarkEnd w:id="292"/>
      <w:bookmarkEnd w:id="293"/>
    </w:p>
    <w:p w14:paraId="121347AC" w14:textId="58786C68" w:rsidR="0085145F" w:rsidRPr="00CE23AE" w:rsidRDefault="00CF3E39" w:rsidP="0085145F">
      <w:pPr>
        <w:pStyle w:val="Ttulo1"/>
        <w:rPr>
          <w:lang w:val="en-US"/>
        </w:rPr>
      </w:pPr>
      <w:bookmarkStart w:id="294" w:name="_Toc460398706"/>
      <w:bookmarkStart w:id="295" w:name="_Toc464474990"/>
      <w:bookmarkStart w:id="296" w:name="_Toc464475090"/>
      <w:bookmarkStart w:id="297" w:name="_Toc464479740"/>
      <w:bookmarkStart w:id="298" w:name="_Toc46388377"/>
      <w:r w:rsidRPr="00CE23AE">
        <w:rPr>
          <w:lang w:val="en-US"/>
        </w:rPr>
        <w:t>RIGHT TO EQUALITY BEFORE THE LAW AND PROHIBITION OF DISCRIMINATION IN RELATION TO THE OBLIGATION TO RESPECT AND TO ENSURE RIGHTS AND THE OBLIGATION TO ADOPT DOMESTIC LEGAL PROVISIONS</w:t>
      </w:r>
      <w:bookmarkEnd w:id="285"/>
      <w:bookmarkEnd w:id="286"/>
      <w:bookmarkEnd w:id="287"/>
      <w:bookmarkEnd w:id="288"/>
      <w:bookmarkEnd w:id="289"/>
      <w:bookmarkEnd w:id="290"/>
      <w:bookmarkEnd w:id="291"/>
      <w:bookmarkEnd w:id="294"/>
      <w:bookmarkEnd w:id="295"/>
      <w:bookmarkEnd w:id="296"/>
      <w:bookmarkEnd w:id="297"/>
      <w:bookmarkEnd w:id="298"/>
    </w:p>
    <w:p w14:paraId="08B151B4" w14:textId="77777777" w:rsidR="0085145F" w:rsidRPr="00CE23AE" w:rsidRDefault="0085145F" w:rsidP="0085145F">
      <w:pPr>
        <w:pStyle w:val="PrrafodeSentencia"/>
        <w:numPr>
          <w:ilvl w:val="0"/>
          <w:numId w:val="0"/>
        </w:numPr>
        <w:rPr>
          <w:lang w:val="en-US"/>
        </w:rPr>
      </w:pPr>
    </w:p>
    <w:p w14:paraId="6430EE35" w14:textId="16326ED8" w:rsidR="00005015" w:rsidRPr="00CE23AE" w:rsidRDefault="00CF3E39" w:rsidP="00005015">
      <w:pPr>
        <w:widowControl/>
        <w:numPr>
          <w:ilvl w:val="0"/>
          <w:numId w:val="6"/>
        </w:numPr>
        <w:tabs>
          <w:tab w:val="left" w:pos="567"/>
        </w:tabs>
        <w:suppressAutoHyphens/>
        <w:adjustRightInd/>
        <w:spacing w:line="240" w:lineRule="auto"/>
        <w:textAlignment w:val="auto"/>
        <w:rPr>
          <w:szCs w:val="20"/>
          <w:lang w:val="en-US"/>
        </w:rPr>
      </w:pPr>
      <w:bookmarkStart w:id="299" w:name="_Ref455483903"/>
      <w:r w:rsidRPr="00CE23AE">
        <w:rPr>
          <w:szCs w:val="20"/>
          <w:lang w:val="en-US"/>
        </w:rPr>
        <w:t>In this chapter</w:t>
      </w:r>
      <w:r w:rsidR="00005015" w:rsidRPr="00CE23AE">
        <w:rPr>
          <w:szCs w:val="20"/>
          <w:lang w:val="en-US"/>
        </w:rPr>
        <w:t xml:space="preserve">, </w:t>
      </w:r>
      <w:r w:rsidR="00C561DF" w:rsidRPr="00CE23AE">
        <w:rPr>
          <w:szCs w:val="20"/>
          <w:lang w:val="en-US"/>
        </w:rPr>
        <w:t>the Court</w:t>
      </w:r>
      <w:r w:rsidR="00005015" w:rsidRPr="00CE23AE">
        <w:rPr>
          <w:szCs w:val="20"/>
          <w:lang w:val="en-US"/>
        </w:rPr>
        <w:t xml:space="preserve"> </w:t>
      </w:r>
      <w:r w:rsidRPr="00CE23AE">
        <w:rPr>
          <w:szCs w:val="20"/>
          <w:lang w:val="en-US"/>
        </w:rPr>
        <w:t>will examine the</w:t>
      </w:r>
      <w:r w:rsidR="00005015" w:rsidRPr="00CE23AE">
        <w:rPr>
          <w:szCs w:val="20"/>
          <w:lang w:val="en-US"/>
        </w:rPr>
        <w:t xml:space="preserve"> </w:t>
      </w:r>
      <w:r w:rsidR="00C50413" w:rsidRPr="00CE23AE">
        <w:rPr>
          <w:szCs w:val="20"/>
          <w:lang w:val="en-US"/>
        </w:rPr>
        <w:t>a</w:t>
      </w:r>
      <w:r w:rsidR="0006585B" w:rsidRPr="00CE23AE">
        <w:rPr>
          <w:szCs w:val="20"/>
          <w:lang w:val="en-US"/>
        </w:rPr>
        <w:t>rguments</w:t>
      </w:r>
      <w:r w:rsidR="00C561DF" w:rsidRPr="00CE23AE">
        <w:rPr>
          <w:szCs w:val="20"/>
          <w:lang w:val="en-US"/>
        </w:rPr>
        <w:t xml:space="preserve"> of the Commission and</w:t>
      </w:r>
      <w:r w:rsidR="005024E2" w:rsidRPr="00CE23AE">
        <w:rPr>
          <w:szCs w:val="20"/>
          <w:lang w:val="en-US"/>
        </w:rPr>
        <w:t xml:space="preserve"> the parties</w:t>
      </w:r>
      <w:r w:rsidR="00005015" w:rsidRPr="00CE23AE">
        <w:rPr>
          <w:szCs w:val="20"/>
          <w:lang w:val="en-US"/>
        </w:rPr>
        <w:t xml:space="preserve"> </w:t>
      </w:r>
      <w:r w:rsidRPr="00CE23AE">
        <w:rPr>
          <w:szCs w:val="20"/>
          <w:lang w:val="en-US"/>
        </w:rPr>
        <w:t>with regard to the presumed violation of the prohibition of discrimination</w:t>
      </w:r>
      <w:r w:rsidR="00005015" w:rsidRPr="00CE23AE">
        <w:rPr>
          <w:rStyle w:val="Refdenotaalpie"/>
          <w:szCs w:val="20"/>
          <w:lang w:val="en-US"/>
        </w:rPr>
        <w:footnoteReference w:id="151"/>
      </w:r>
      <w:r w:rsidR="00C561DF" w:rsidRPr="00CE23AE">
        <w:rPr>
          <w:szCs w:val="20"/>
          <w:lang w:val="en-US"/>
        </w:rPr>
        <w:t xml:space="preserve"> and </w:t>
      </w:r>
      <w:r w:rsidRPr="00CE23AE">
        <w:rPr>
          <w:szCs w:val="20"/>
          <w:lang w:val="en-US"/>
        </w:rPr>
        <w:t>of the principle of equality before the law,</w:t>
      </w:r>
      <w:r w:rsidR="00005015" w:rsidRPr="00CE23AE">
        <w:rPr>
          <w:rStyle w:val="Refdenotaalpie"/>
          <w:szCs w:val="20"/>
          <w:lang w:val="en-US"/>
        </w:rPr>
        <w:footnoteReference w:id="152"/>
      </w:r>
      <w:r w:rsidR="00005015" w:rsidRPr="00CE23AE">
        <w:rPr>
          <w:szCs w:val="20"/>
          <w:lang w:val="en-US"/>
        </w:rPr>
        <w:t xml:space="preserve"> </w:t>
      </w:r>
      <w:r w:rsidR="00C561DF" w:rsidRPr="00CE23AE">
        <w:rPr>
          <w:szCs w:val="20"/>
          <w:lang w:val="en-US"/>
        </w:rPr>
        <w:t>to the detriment of</w:t>
      </w:r>
      <w:r w:rsidR="00005015" w:rsidRPr="00CE23AE">
        <w:rPr>
          <w:szCs w:val="20"/>
          <w:lang w:val="en-US"/>
        </w:rPr>
        <w:t xml:space="preserve"> </w:t>
      </w:r>
      <w:r w:rsidRPr="00CE23AE">
        <w:rPr>
          <w:szCs w:val="20"/>
          <w:lang w:val="en-US"/>
        </w:rPr>
        <w:t>Mr. Flor</w:t>
      </w:r>
      <w:r w:rsidR="00005015" w:rsidRPr="00CE23AE">
        <w:rPr>
          <w:szCs w:val="20"/>
          <w:lang w:val="en-US"/>
        </w:rPr>
        <w:t xml:space="preserve"> Freire, </w:t>
      </w:r>
      <w:r w:rsidRPr="00CE23AE">
        <w:rPr>
          <w:szCs w:val="20"/>
          <w:lang w:val="en-US"/>
        </w:rPr>
        <w:t xml:space="preserve">owing to his separation from the Ecuadorian </w:t>
      </w:r>
      <w:r w:rsidR="009C5D46" w:rsidRPr="00CE23AE">
        <w:rPr>
          <w:szCs w:val="20"/>
          <w:lang w:val="en-US"/>
        </w:rPr>
        <w:t>Armed Forces</w:t>
      </w:r>
      <w:r w:rsidR="00005015" w:rsidRPr="00CE23AE">
        <w:rPr>
          <w:szCs w:val="20"/>
          <w:lang w:val="en-US"/>
        </w:rPr>
        <w:t xml:space="preserve"> </w:t>
      </w:r>
      <w:r w:rsidR="0006585B" w:rsidRPr="00CE23AE">
        <w:rPr>
          <w:szCs w:val="20"/>
          <w:lang w:val="en-US"/>
        </w:rPr>
        <w:t xml:space="preserve">based on </w:t>
      </w:r>
      <w:r w:rsidRPr="00CE23AE">
        <w:rPr>
          <w:szCs w:val="20"/>
          <w:lang w:val="en-US"/>
        </w:rPr>
        <w:t>a perceived sexual orientation</w:t>
      </w:r>
      <w:r w:rsidR="00005015" w:rsidRPr="00CE23AE">
        <w:rPr>
          <w:szCs w:val="20"/>
          <w:lang w:val="en-US"/>
        </w:rPr>
        <w:t>.</w:t>
      </w:r>
      <w:bookmarkEnd w:id="299"/>
      <w:r w:rsidR="00005015" w:rsidRPr="00CE23AE">
        <w:rPr>
          <w:szCs w:val="20"/>
          <w:lang w:val="en-US"/>
        </w:rPr>
        <w:t xml:space="preserve"> </w:t>
      </w:r>
    </w:p>
    <w:p w14:paraId="442F5CAB" w14:textId="77777777" w:rsidR="00005015" w:rsidRPr="00CE23AE" w:rsidRDefault="00005015" w:rsidP="00005015">
      <w:pPr>
        <w:widowControl/>
        <w:tabs>
          <w:tab w:val="left" w:pos="567"/>
        </w:tabs>
        <w:suppressAutoHyphens/>
        <w:adjustRightInd/>
        <w:spacing w:line="240" w:lineRule="auto"/>
        <w:textAlignment w:val="auto"/>
        <w:rPr>
          <w:szCs w:val="20"/>
          <w:lang w:val="en-US"/>
        </w:rPr>
      </w:pPr>
    </w:p>
    <w:p w14:paraId="6802D7CC" w14:textId="2723E4A1" w:rsidR="00005015" w:rsidRPr="00CE23AE" w:rsidRDefault="00C561DF" w:rsidP="00F965B6">
      <w:pPr>
        <w:pStyle w:val="PrrafodeSentencia"/>
        <w:rPr>
          <w:i/>
          <w:lang w:val="en-US" w:eastAsia="es-ES"/>
        </w:rPr>
      </w:pPr>
      <w:r w:rsidRPr="00CE23AE">
        <w:rPr>
          <w:lang w:val="en-US"/>
        </w:rPr>
        <w:t>The Court</w:t>
      </w:r>
      <w:r w:rsidR="00005015" w:rsidRPr="00CE23AE">
        <w:rPr>
          <w:lang w:val="en-US"/>
        </w:rPr>
        <w:t xml:space="preserve"> </w:t>
      </w:r>
      <w:r w:rsidR="00F965B6" w:rsidRPr="00CE23AE">
        <w:rPr>
          <w:lang w:val="en-US"/>
        </w:rPr>
        <w:t>notes that</w:t>
      </w:r>
      <w:r w:rsidR="00005015" w:rsidRPr="00CE23AE">
        <w:rPr>
          <w:lang w:val="en-US"/>
        </w:rPr>
        <w:t xml:space="preserve"> </w:t>
      </w:r>
      <w:r w:rsidR="00F5102B" w:rsidRPr="00CE23AE">
        <w:rPr>
          <w:lang w:val="en-US"/>
        </w:rPr>
        <w:t>Mr. Flor</w:t>
      </w:r>
      <w:r w:rsidR="00005015" w:rsidRPr="00CE23AE">
        <w:rPr>
          <w:lang w:val="en-US"/>
        </w:rPr>
        <w:t xml:space="preserve"> Freire </w:t>
      </w:r>
      <w:r w:rsidR="00F965B6" w:rsidRPr="00CE23AE">
        <w:rPr>
          <w:lang w:val="en-US"/>
        </w:rPr>
        <w:t xml:space="preserve">denies that a sexual act with another man occurred and has stated consistently that he does not identify himself as homosexual. In this regard, the Court recalls that </w:t>
      </w:r>
      <w:r w:rsidR="0006585B" w:rsidRPr="00CE23AE">
        <w:rPr>
          <w:lang w:val="en-US"/>
        </w:rPr>
        <w:t>an person’s</w:t>
      </w:r>
      <w:r w:rsidR="00F965B6" w:rsidRPr="00CE23AE">
        <w:rPr>
          <w:lang w:val="en-US"/>
        </w:rPr>
        <w:t xml:space="preserve"> sexual orientation is linked to the concept of </w:t>
      </w:r>
      <w:r w:rsidR="00673461" w:rsidRPr="00CE23AE">
        <w:rPr>
          <w:lang w:val="en-US"/>
        </w:rPr>
        <w:t>liberty</w:t>
      </w:r>
      <w:r w:rsidR="00F965B6" w:rsidRPr="00CE23AE">
        <w:rPr>
          <w:lang w:val="en-US"/>
        </w:rPr>
        <w:t xml:space="preserve"> and </w:t>
      </w:r>
      <w:r w:rsidR="0006585B" w:rsidRPr="00CE23AE">
        <w:rPr>
          <w:lang w:val="en-US"/>
        </w:rPr>
        <w:t xml:space="preserve">the </w:t>
      </w:r>
      <w:r w:rsidR="00F965B6" w:rsidRPr="00CE23AE">
        <w:rPr>
          <w:lang w:val="en-US"/>
        </w:rPr>
        <w:t xml:space="preserve">possibility of self-determination and freely choosing the circumstances that give a meaning to </w:t>
      </w:r>
      <w:r w:rsidR="00673461" w:rsidRPr="00CE23AE">
        <w:rPr>
          <w:lang w:val="en-US"/>
        </w:rPr>
        <w:t>their existence</w:t>
      </w:r>
      <w:r w:rsidR="00F965B6" w:rsidRPr="00CE23AE">
        <w:rPr>
          <w:lang w:val="en-US"/>
        </w:rPr>
        <w:t xml:space="preserve">, in keeping with their own </w:t>
      </w:r>
      <w:r w:rsidR="00673461" w:rsidRPr="00CE23AE">
        <w:rPr>
          <w:lang w:val="en-US"/>
        </w:rPr>
        <w:t>choices and convictions</w:t>
      </w:r>
      <w:r w:rsidR="00F965B6" w:rsidRPr="00CE23AE">
        <w:rPr>
          <w:lang w:val="en-US"/>
        </w:rPr>
        <w:t>.</w:t>
      </w:r>
      <w:r w:rsidR="00005015" w:rsidRPr="00CE23AE">
        <w:rPr>
          <w:rStyle w:val="Refdenotaalpie"/>
          <w:lang w:val="en-US"/>
        </w:rPr>
        <w:footnoteReference w:id="153"/>
      </w:r>
      <w:r w:rsidR="00F965B6" w:rsidRPr="00CE23AE">
        <w:rPr>
          <w:lang w:val="en-US"/>
        </w:rPr>
        <w:t xml:space="preserve"> Thus, a</w:t>
      </w:r>
      <w:r w:rsidR="0006585B" w:rsidRPr="00CE23AE">
        <w:rPr>
          <w:lang w:val="en-US"/>
        </w:rPr>
        <w:t xml:space="preserve"> person’s</w:t>
      </w:r>
      <w:r w:rsidR="00F965B6" w:rsidRPr="00CE23AE">
        <w:rPr>
          <w:lang w:val="en-US"/>
        </w:rPr>
        <w:t xml:space="preserve"> sexual orientation will depend on how </w:t>
      </w:r>
      <w:r w:rsidR="0006585B" w:rsidRPr="00CE23AE">
        <w:rPr>
          <w:lang w:val="en-US"/>
        </w:rPr>
        <w:t>they</w:t>
      </w:r>
      <w:r w:rsidR="00F965B6" w:rsidRPr="00CE23AE">
        <w:rPr>
          <w:lang w:val="en-US"/>
        </w:rPr>
        <w:t xml:space="preserve"> identif</w:t>
      </w:r>
      <w:r w:rsidR="0006585B" w:rsidRPr="00CE23AE">
        <w:rPr>
          <w:lang w:val="en-US"/>
        </w:rPr>
        <w:t>y</w:t>
      </w:r>
      <w:r w:rsidR="00F965B6" w:rsidRPr="00CE23AE">
        <w:rPr>
          <w:lang w:val="en-US"/>
        </w:rPr>
        <w:t xml:space="preserve"> </w:t>
      </w:r>
      <w:r w:rsidR="0006585B" w:rsidRPr="00CE23AE">
        <w:rPr>
          <w:lang w:val="en-US"/>
        </w:rPr>
        <w:t>themselves</w:t>
      </w:r>
      <w:r w:rsidR="00F965B6" w:rsidRPr="00CE23AE">
        <w:rPr>
          <w:lang w:val="en-US"/>
        </w:rPr>
        <w:t>.</w:t>
      </w:r>
      <w:r w:rsidR="00005015" w:rsidRPr="00CE23AE">
        <w:rPr>
          <w:rStyle w:val="Refdenotaalpie"/>
          <w:lang w:val="en-US"/>
        </w:rPr>
        <w:footnoteReference w:id="154"/>
      </w:r>
      <w:r w:rsidR="00005015" w:rsidRPr="00CE23AE">
        <w:rPr>
          <w:lang w:val="en-US"/>
        </w:rPr>
        <w:t xml:space="preserve"> </w:t>
      </w:r>
      <w:r w:rsidR="00F965B6" w:rsidRPr="00CE23AE">
        <w:rPr>
          <w:lang w:val="en-US"/>
        </w:rPr>
        <w:t xml:space="preserve">Therefore, for this Court, the way in which </w:t>
      </w:r>
      <w:r w:rsidR="00F5102B" w:rsidRPr="00CE23AE">
        <w:rPr>
          <w:lang w:val="en-US"/>
        </w:rPr>
        <w:t>Mr. Flor</w:t>
      </w:r>
      <w:r w:rsidR="00005015" w:rsidRPr="00CE23AE">
        <w:rPr>
          <w:lang w:val="en-US"/>
        </w:rPr>
        <w:t xml:space="preserve"> Freire </w:t>
      </w:r>
      <w:r w:rsidR="00F965B6" w:rsidRPr="00CE23AE">
        <w:rPr>
          <w:lang w:val="en-US"/>
        </w:rPr>
        <w:t xml:space="preserve">identifies </w:t>
      </w:r>
      <w:r w:rsidR="00F965B6" w:rsidRPr="00CE23AE">
        <w:rPr>
          <w:lang w:val="en-US"/>
        </w:rPr>
        <w:lastRenderedPageBreak/>
        <w:t xml:space="preserve">himself is the only relevant factor when defining his sexual orientation. </w:t>
      </w:r>
      <w:r w:rsidR="0006585B" w:rsidRPr="00CE23AE">
        <w:rPr>
          <w:lang w:val="en-US"/>
        </w:rPr>
        <w:t>However</w:t>
      </w:r>
      <w:r w:rsidR="00F965B6" w:rsidRPr="00CE23AE">
        <w:rPr>
          <w:lang w:val="en-US"/>
        </w:rPr>
        <w:t xml:space="preserve">, the Court notes that, to arrive at a decision in this case, it </w:t>
      </w:r>
      <w:r w:rsidR="0006585B" w:rsidRPr="00CE23AE">
        <w:rPr>
          <w:lang w:val="en-US"/>
        </w:rPr>
        <w:t>must</w:t>
      </w:r>
      <w:r w:rsidR="00F965B6" w:rsidRPr="00CE23AE">
        <w:rPr>
          <w:lang w:val="en-US"/>
        </w:rPr>
        <w:t xml:space="preserve"> </w:t>
      </w:r>
      <w:r w:rsidR="0006585B" w:rsidRPr="00CE23AE">
        <w:rPr>
          <w:lang w:val="en-US"/>
        </w:rPr>
        <w:t>determine</w:t>
      </w:r>
      <w:r w:rsidR="00F965B6" w:rsidRPr="00CE23AE">
        <w:rPr>
          <w:lang w:val="en-US"/>
        </w:rPr>
        <w:t xml:space="preserve"> whether the presumed victim was discriminated against in the process of </w:t>
      </w:r>
      <w:r w:rsidR="0006585B" w:rsidRPr="00CE23AE">
        <w:rPr>
          <w:lang w:val="en-US"/>
        </w:rPr>
        <w:t xml:space="preserve">his </w:t>
      </w:r>
      <w:r w:rsidR="00F965B6" w:rsidRPr="00CE23AE">
        <w:rPr>
          <w:lang w:val="en-US"/>
        </w:rPr>
        <w:t xml:space="preserve">separation from the Armed Forces based on a different sexual orientation, either </w:t>
      </w:r>
      <w:r w:rsidR="004570C1" w:rsidRPr="00CE23AE">
        <w:rPr>
          <w:lang w:val="en-US"/>
        </w:rPr>
        <w:t>actual or perceived</w:t>
      </w:r>
      <w:r w:rsidR="00F965B6" w:rsidRPr="00CE23AE">
        <w:rPr>
          <w:lang w:val="en-US"/>
        </w:rPr>
        <w:t>. What the Court has to determine is whether the measures and actions</w:t>
      </w:r>
      <w:r w:rsidR="0006585B" w:rsidRPr="00CE23AE">
        <w:rPr>
          <w:lang w:val="en-US"/>
        </w:rPr>
        <w:t xml:space="preserve"> taken by the State</w:t>
      </w:r>
      <w:r w:rsidR="00F965B6" w:rsidRPr="00CE23AE">
        <w:rPr>
          <w:lang w:val="en-US"/>
        </w:rPr>
        <w:t xml:space="preserve"> to address th</w:t>
      </w:r>
      <w:r w:rsidR="0006585B" w:rsidRPr="00CE23AE">
        <w:rPr>
          <w:lang w:val="en-US"/>
        </w:rPr>
        <w:t>is</w:t>
      </w:r>
      <w:r w:rsidR="00F965B6" w:rsidRPr="00CE23AE">
        <w:rPr>
          <w:lang w:val="en-US"/>
        </w:rPr>
        <w:t xml:space="preserve"> fact engage </w:t>
      </w:r>
      <w:r w:rsidR="0006585B" w:rsidRPr="00CE23AE">
        <w:rPr>
          <w:lang w:val="en-US"/>
        </w:rPr>
        <w:t>its</w:t>
      </w:r>
      <w:r w:rsidR="00F965B6" w:rsidRPr="00CE23AE">
        <w:rPr>
          <w:lang w:val="en-US"/>
        </w:rPr>
        <w:t xml:space="preserve"> international responsibility owing to the alleged discriminatory nature of the norm applied to</w:t>
      </w:r>
      <w:r w:rsidR="00F965B6" w:rsidRPr="00CE23AE">
        <w:rPr>
          <w:i/>
          <w:lang w:val="en-US" w:eastAsia="es-ES"/>
        </w:rPr>
        <w:t xml:space="preserve"> </w:t>
      </w:r>
      <w:r w:rsidR="008B76F3" w:rsidRPr="00CE23AE">
        <w:rPr>
          <w:lang w:val="en-US"/>
        </w:rPr>
        <w:t>Mr.</w:t>
      </w:r>
      <w:r w:rsidR="00005015" w:rsidRPr="00CE23AE">
        <w:rPr>
          <w:lang w:val="en-US"/>
        </w:rPr>
        <w:t xml:space="preserve"> Flor Freire.</w:t>
      </w:r>
    </w:p>
    <w:p w14:paraId="501D987B" w14:textId="77777777" w:rsidR="00005015" w:rsidRPr="00CE23AE" w:rsidRDefault="00005015" w:rsidP="00005015">
      <w:pPr>
        <w:pStyle w:val="PrrafodeSentencia"/>
        <w:numPr>
          <w:ilvl w:val="0"/>
          <w:numId w:val="0"/>
        </w:numPr>
        <w:rPr>
          <w:lang w:val="en-US"/>
        </w:rPr>
      </w:pPr>
    </w:p>
    <w:p w14:paraId="1A6F8BB1" w14:textId="4301D2AD" w:rsidR="00005015" w:rsidRPr="00CE23AE" w:rsidRDefault="00E10780" w:rsidP="00005015">
      <w:pPr>
        <w:pStyle w:val="Ttulo2"/>
        <w:numPr>
          <w:ilvl w:val="0"/>
          <w:numId w:val="28"/>
        </w:numPr>
        <w:tabs>
          <w:tab w:val="clear" w:pos="720"/>
          <w:tab w:val="left" w:pos="1134"/>
        </w:tabs>
        <w:spacing w:line="240" w:lineRule="auto"/>
        <w:ind w:left="1134"/>
        <w:rPr>
          <w:lang w:val="en-US"/>
        </w:rPr>
      </w:pPr>
      <w:bookmarkStart w:id="300" w:name="_Toc453874337"/>
      <w:bookmarkStart w:id="301" w:name="_Toc454891498"/>
      <w:bookmarkStart w:id="302" w:name="_Toc457840602"/>
      <w:bookmarkStart w:id="303" w:name="_Toc460398707"/>
      <w:bookmarkStart w:id="304" w:name="_Toc464474991"/>
      <w:bookmarkStart w:id="305" w:name="_Toc46388378"/>
      <w:r w:rsidRPr="00CE23AE">
        <w:rPr>
          <w:lang w:val="en-US"/>
        </w:rPr>
        <w:t>Arguments of the parties</w:t>
      </w:r>
      <w:r w:rsidR="00C561DF" w:rsidRPr="00CE23AE">
        <w:rPr>
          <w:lang w:val="en-US"/>
        </w:rPr>
        <w:t xml:space="preserve"> and of the Commission</w:t>
      </w:r>
      <w:bookmarkEnd w:id="300"/>
      <w:bookmarkEnd w:id="301"/>
      <w:bookmarkEnd w:id="302"/>
      <w:bookmarkEnd w:id="303"/>
      <w:bookmarkEnd w:id="304"/>
      <w:bookmarkEnd w:id="305"/>
    </w:p>
    <w:p w14:paraId="444EB315" w14:textId="77777777" w:rsidR="00005015" w:rsidRPr="00CE23AE" w:rsidRDefault="00005015" w:rsidP="00005015">
      <w:pPr>
        <w:spacing w:line="240" w:lineRule="auto"/>
        <w:rPr>
          <w:lang w:val="en-US" w:eastAsia="es-MX"/>
        </w:rPr>
      </w:pPr>
    </w:p>
    <w:p w14:paraId="1A3905CC" w14:textId="38039A37" w:rsidR="00005015" w:rsidRPr="00CE23AE" w:rsidRDefault="00C561DF" w:rsidP="00E73D20">
      <w:pPr>
        <w:pStyle w:val="PrrafodeSentencia"/>
        <w:rPr>
          <w:lang w:val="en-US"/>
        </w:rPr>
      </w:pPr>
      <w:r w:rsidRPr="00CE23AE">
        <w:rPr>
          <w:lang w:val="en-US"/>
        </w:rPr>
        <w:t xml:space="preserve">The </w:t>
      </w:r>
      <w:r w:rsidRPr="00CE23AE">
        <w:rPr>
          <w:b/>
          <w:bCs/>
          <w:i/>
          <w:iCs/>
          <w:lang w:val="en-US"/>
        </w:rPr>
        <w:t>Commission</w:t>
      </w:r>
      <w:r w:rsidR="00005015" w:rsidRPr="00CE23AE">
        <w:rPr>
          <w:b/>
          <w:lang w:val="en-US"/>
        </w:rPr>
        <w:t xml:space="preserve"> </w:t>
      </w:r>
      <w:r w:rsidR="0007427A" w:rsidRPr="00CE23AE">
        <w:rPr>
          <w:lang w:val="en-US"/>
        </w:rPr>
        <w:t xml:space="preserve">argued that </w:t>
      </w:r>
      <w:r w:rsidR="00005015" w:rsidRPr="00CE23AE">
        <w:rPr>
          <w:lang w:val="en-US"/>
        </w:rPr>
        <w:t>“</w:t>
      </w:r>
      <w:r w:rsidR="0007427A" w:rsidRPr="00CE23AE">
        <w:rPr>
          <w:lang w:val="en-US"/>
        </w:rPr>
        <w:t xml:space="preserve">the sanction imposed on </w:t>
      </w:r>
      <w:r w:rsidR="008B76F3" w:rsidRPr="00CE23AE">
        <w:rPr>
          <w:lang w:val="en-US"/>
        </w:rPr>
        <w:t>Mr.</w:t>
      </w:r>
      <w:r w:rsidR="00005015" w:rsidRPr="00CE23AE">
        <w:rPr>
          <w:lang w:val="en-US"/>
        </w:rPr>
        <w:t xml:space="preserve"> Flor Freire constitu</w:t>
      </w:r>
      <w:r w:rsidR="004B44F1" w:rsidRPr="00CE23AE">
        <w:rPr>
          <w:lang w:val="en-US"/>
        </w:rPr>
        <w:t xml:space="preserve">ted discrimination </w:t>
      </w:r>
      <w:bookmarkStart w:id="306" w:name="_Hlk46224831"/>
      <w:r w:rsidR="004B44F1" w:rsidRPr="00CE23AE">
        <w:rPr>
          <w:lang w:val="en-US"/>
        </w:rPr>
        <w:t>based on his perceived sexual orientation</w:t>
      </w:r>
      <w:bookmarkEnd w:id="306"/>
      <w:r w:rsidR="004B44F1" w:rsidRPr="00CE23AE">
        <w:rPr>
          <w:lang w:val="en-US"/>
        </w:rPr>
        <w:t>.” In general, it argued that “provisions that punish a given group of persons for engaging in a consensual sexual act or practice with another person of the same sex</w:t>
      </w:r>
      <w:r w:rsidR="00CC24DD" w:rsidRPr="00CE23AE">
        <w:rPr>
          <w:lang w:val="en-US"/>
        </w:rPr>
        <w:t xml:space="preserve"> are not permissible</w:t>
      </w:r>
      <w:r w:rsidR="004B44F1" w:rsidRPr="00CE23AE">
        <w:rPr>
          <w:lang w:val="en-US"/>
        </w:rPr>
        <w:t xml:space="preserve">, because this is directly at odds with the prohibition of discrimination based on sexual orientation.” It indicated that the </w:t>
      </w:r>
      <w:r w:rsidR="00CC24DD" w:rsidRPr="00CE23AE">
        <w:rPr>
          <w:lang w:val="en-US"/>
        </w:rPr>
        <w:t>r</w:t>
      </w:r>
      <w:r w:rsidR="004B44F1" w:rsidRPr="00CE23AE">
        <w:rPr>
          <w:lang w:val="en-US"/>
        </w:rPr>
        <w:t>egulations applied in th</w:t>
      </w:r>
      <w:r w:rsidR="00CC24DD" w:rsidRPr="00CE23AE">
        <w:rPr>
          <w:lang w:val="en-US"/>
        </w:rPr>
        <w:t>is</w:t>
      </w:r>
      <w:r w:rsidR="004B44F1" w:rsidRPr="00CE23AE">
        <w:rPr>
          <w:lang w:val="en-US"/>
        </w:rPr>
        <w:t xml:space="preserve"> case included “a difference in treatment” because “acts</w:t>
      </w:r>
      <w:r w:rsidR="00CC24DD" w:rsidRPr="00CE23AE">
        <w:rPr>
          <w:lang w:val="en-US"/>
        </w:rPr>
        <w:t xml:space="preserve"> of homosexuality</w:t>
      </w:r>
      <w:r w:rsidR="004B44F1" w:rsidRPr="00CE23AE">
        <w:rPr>
          <w:lang w:val="en-US"/>
        </w:rPr>
        <w:t>” were punished by discharge</w:t>
      </w:r>
      <w:r w:rsidR="00CC24DD" w:rsidRPr="00CE23AE">
        <w:rPr>
          <w:lang w:val="en-US"/>
        </w:rPr>
        <w:t xml:space="preserve"> </w:t>
      </w:r>
      <w:r w:rsidR="004B44F1" w:rsidRPr="00CE23AE">
        <w:rPr>
          <w:lang w:val="en-US"/>
        </w:rPr>
        <w:t>because they were considered acts of misconduct or professional incompetence, while “unlawful sexual acts” were punished with</w:t>
      </w:r>
      <w:r w:rsidR="00E73D20" w:rsidRPr="00CE23AE">
        <w:rPr>
          <w:lang w:val="en-US"/>
        </w:rPr>
        <w:t xml:space="preserve"> strict</w:t>
      </w:r>
      <w:r w:rsidR="004B44F1" w:rsidRPr="00CE23AE">
        <w:rPr>
          <w:lang w:val="en-US"/>
        </w:rPr>
        <w:t xml:space="preserve"> arrest</w:t>
      </w:r>
      <w:r w:rsidR="00E73D20" w:rsidRPr="00CE23AE">
        <w:rPr>
          <w:lang w:val="en-US"/>
        </w:rPr>
        <w:t xml:space="preserve"> or suspension from functions for a maximum of thirty days. It also stressed that “sexual orientation and gender identity constitute suspect categories for discrimination under the concept of ‘any other social condition’ of </w:t>
      </w:r>
      <w:r w:rsidRPr="00CE23AE">
        <w:rPr>
          <w:lang w:val="en-US"/>
        </w:rPr>
        <w:t>Article 1(1) of the Convention</w:t>
      </w:r>
      <w:r w:rsidR="00E73D20" w:rsidRPr="00CE23AE">
        <w:rPr>
          <w:lang w:val="en-US"/>
        </w:rPr>
        <w:t xml:space="preserve">,” so that distinctions “should be subject to strict </w:t>
      </w:r>
      <w:r w:rsidR="00CC24DD" w:rsidRPr="00CE23AE">
        <w:rPr>
          <w:lang w:val="en-US"/>
        </w:rPr>
        <w:t>scrutiny</w:t>
      </w:r>
      <w:r w:rsidR="00E73D20" w:rsidRPr="00CE23AE">
        <w:rPr>
          <w:lang w:val="en-US"/>
        </w:rPr>
        <w:t>.”</w:t>
      </w:r>
    </w:p>
    <w:p w14:paraId="18A01C6F" w14:textId="77777777" w:rsidR="00005015" w:rsidRPr="00CE23AE" w:rsidRDefault="00005015" w:rsidP="00005015">
      <w:pPr>
        <w:pStyle w:val="PrrafodeSentencia"/>
        <w:numPr>
          <w:ilvl w:val="0"/>
          <w:numId w:val="0"/>
        </w:numPr>
        <w:rPr>
          <w:lang w:val="en-US"/>
        </w:rPr>
      </w:pPr>
    </w:p>
    <w:p w14:paraId="516F8013" w14:textId="0B34F6CA" w:rsidR="00005015" w:rsidRPr="00CE23AE" w:rsidRDefault="00E73D20" w:rsidP="00B22EF6">
      <w:pPr>
        <w:pStyle w:val="PrrafodeSentencia"/>
        <w:rPr>
          <w:lang w:val="en-US"/>
        </w:rPr>
      </w:pPr>
      <w:r w:rsidRPr="00CE23AE">
        <w:rPr>
          <w:lang w:val="en-US"/>
        </w:rPr>
        <w:t xml:space="preserve">When </w:t>
      </w:r>
      <w:r w:rsidR="00E656C4" w:rsidRPr="00CE23AE">
        <w:rPr>
          <w:lang w:val="en-US"/>
        </w:rPr>
        <w:t>examining this aspect</w:t>
      </w:r>
      <w:r w:rsidR="00005015" w:rsidRPr="00CE23AE">
        <w:rPr>
          <w:lang w:val="en-US"/>
        </w:rPr>
        <w:t xml:space="preserve">, </w:t>
      </w:r>
      <w:r w:rsidR="00C561DF" w:rsidRPr="00CE23AE">
        <w:rPr>
          <w:lang w:val="en-US"/>
        </w:rPr>
        <w:t>the Commission</w:t>
      </w:r>
      <w:r w:rsidR="00005015" w:rsidRPr="00CE23AE">
        <w:rPr>
          <w:lang w:val="en-US"/>
        </w:rPr>
        <w:t xml:space="preserve"> consider</w:t>
      </w:r>
      <w:r w:rsidRPr="00CE23AE">
        <w:rPr>
          <w:lang w:val="en-US"/>
        </w:rPr>
        <w:t xml:space="preserve">ed that the norm under which Mr. Flor Freire was punished had a legitimate purpose, which was “to establish a disciplinary regime in the Armed Forces that prevented the perpetration of acts that violated the values of the institution, such as sexual acts.” Regarding </w:t>
      </w:r>
      <w:r w:rsidR="00E656C4" w:rsidRPr="00CE23AE">
        <w:rPr>
          <w:lang w:val="en-US"/>
        </w:rPr>
        <w:t>its</w:t>
      </w:r>
      <w:r w:rsidRPr="00CE23AE">
        <w:rPr>
          <w:lang w:val="en-US"/>
        </w:rPr>
        <w:t xml:space="preserve"> appropriateness, </w:t>
      </w:r>
      <w:r w:rsidR="00E656C4" w:rsidRPr="00CE23AE">
        <w:rPr>
          <w:lang w:val="en-US"/>
        </w:rPr>
        <w:t>the Commission</w:t>
      </w:r>
      <w:r w:rsidRPr="00CE23AE">
        <w:rPr>
          <w:lang w:val="en-US"/>
        </w:rPr>
        <w:t xml:space="preserve"> indicated that </w:t>
      </w:r>
      <w:r w:rsidR="00B22EF6" w:rsidRPr="00CE23AE">
        <w:rPr>
          <w:lang w:val="en-US"/>
        </w:rPr>
        <w:t xml:space="preserve">“the criterion used by the military authorities was based on an apparent incompatibility between homosexuality and the military discipline regime and the military institution itself, without providing reasonable and objective reasons to justify that distinction.” Consequently, </w:t>
      </w:r>
      <w:r w:rsidR="00E656C4" w:rsidRPr="00CE23AE">
        <w:rPr>
          <w:lang w:val="en-US"/>
        </w:rPr>
        <w:t>the Commission</w:t>
      </w:r>
      <w:r w:rsidR="00B22EF6" w:rsidRPr="00CE23AE">
        <w:rPr>
          <w:lang w:val="en-US"/>
        </w:rPr>
        <w:t xml:space="preserve"> determined that the measure was not appropriate. It called attention to the assertion of the </w:t>
      </w:r>
      <w:r w:rsidR="00A055CE" w:rsidRPr="00CE23AE">
        <w:rPr>
          <w:lang w:val="en-US"/>
        </w:rPr>
        <w:t>Court of Law</w:t>
      </w:r>
      <w:r w:rsidR="00B22EF6" w:rsidRPr="00CE23AE">
        <w:rPr>
          <w:iCs/>
          <w:lang w:val="en-US"/>
        </w:rPr>
        <w:t xml:space="preserve"> that “while the Constitution in force at the time recognized the right to make free decisions on sexual life, the provisions of the </w:t>
      </w:r>
      <w:r w:rsidR="00B22EF6" w:rsidRPr="00CE23AE">
        <w:rPr>
          <w:lang w:val="en-US"/>
        </w:rPr>
        <w:t xml:space="preserve">Military Discipline Regulations that punished “acts of homosexuality” </w:t>
      </w:r>
      <w:r w:rsidR="00E656C4" w:rsidRPr="00CE23AE">
        <w:rPr>
          <w:lang w:val="en-US"/>
        </w:rPr>
        <w:t>were justified by</w:t>
      </w:r>
      <w:r w:rsidR="00B22EF6" w:rsidRPr="00CE23AE">
        <w:rPr>
          <w:lang w:val="en-US"/>
        </w:rPr>
        <w:t xml:space="preserve"> the ‘special nature’ of military la</w:t>
      </w:r>
      <w:r w:rsidR="00E656C4" w:rsidRPr="00CE23AE">
        <w:rPr>
          <w:lang w:val="en-US"/>
        </w:rPr>
        <w:t>w</w:t>
      </w:r>
      <w:r w:rsidR="00B22EF6" w:rsidRPr="00CE23AE">
        <w:rPr>
          <w:lang w:val="en-US"/>
        </w:rPr>
        <w:t xml:space="preserve"> and the institution</w:t>
      </w:r>
      <w:r w:rsidR="00E656C4" w:rsidRPr="00CE23AE">
        <w:rPr>
          <w:lang w:val="en-US"/>
        </w:rPr>
        <w:t xml:space="preserve"> itself</w:t>
      </w:r>
      <w:r w:rsidR="00B22EF6" w:rsidRPr="00CE23AE">
        <w:rPr>
          <w:lang w:val="en-US"/>
        </w:rPr>
        <w:t xml:space="preserve">, which </w:t>
      </w:r>
      <w:r w:rsidR="00E656C4" w:rsidRPr="00CE23AE">
        <w:rPr>
          <w:lang w:val="en-US"/>
        </w:rPr>
        <w:t xml:space="preserve">had to </w:t>
      </w:r>
      <w:r w:rsidR="00B22EF6" w:rsidRPr="00CE23AE">
        <w:rPr>
          <w:lang w:val="en-US"/>
        </w:rPr>
        <w:t>maintain and cultivate values such as honor, dignity, discipline, and civic-mindedness.</w:t>
      </w:r>
      <w:r w:rsidR="00005015" w:rsidRPr="00CE23AE">
        <w:rPr>
          <w:lang w:val="en-US"/>
        </w:rPr>
        <w:t>”</w:t>
      </w:r>
      <w:r w:rsidR="00B22EF6" w:rsidRPr="00CE23AE">
        <w:rPr>
          <w:lang w:val="en-US"/>
        </w:rPr>
        <w:t xml:space="preserve"> Based on this assertion, </w:t>
      </w:r>
      <w:r w:rsidR="00C561DF" w:rsidRPr="00CE23AE">
        <w:rPr>
          <w:rFonts w:eastAsia="Calibri"/>
          <w:lang w:val="en-US"/>
        </w:rPr>
        <w:t>the Commission</w:t>
      </w:r>
      <w:r w:rsidR="00005015" w:rsidRPr="00CE23AE">
        <w:rPr>
          <w:rFonts w:eastAsia="Calibri"/>
          <w:lang w:val="en-US"/>
        </w:rPr>
        <w:t xml:space="preserve"> </w:t>
      </w:r>
      <w:r w:rsidR="00B22EF6" w:rsidRPr="00CE23AE">
        <w:rPr>
          <w:rFonts w:eastAsia="Calibri"/>
          <w:lang w:val="en-US"/>
        </w:rPr>
        <w:t xml:space="preserve">underlined that “considering that </w:t>
      </w:r>
      <w:r w:rsidR="00D84951" w:rsidRPr="00CE23AE">
        <w:rPr>
          <w:rFonts w:eastAsia="Calibri"/>
          <w:lang w:val="en-US"/>
        </w:rPr>
        <w:t xml:space="preserve">a homosexual sexual orientation is </w:t>
      </w:r>
      <w:r w:rsidR="00005015" w:rsidRPr="00CE23AE">
        <w:rPr>
          <w:rFonts w:cs="Cambria-Italic"/>
          <w:i/>
          <w:iCs/>
          <w:lang w:val="en-US"/>
        </w:rPr>
        <w:t xml:space="preserve">per se </w:t>
      </w:r>
      <w:r w:rsidR="00005015" w:rsidRPr="00CE23AE">
        <w:rPr>
          <w:rFonts w:cs="Cambria"/>
          <w:lang w:val="en-US"/>
        </w:rPr>
        <w:t>contrar</w:t>
      </w:r>
      <w:r w:rsidR="00D84951" w:rsidRPr="00CE23AE">
        <w:rPr>
          <w:rFonts w:cs="Cambria"/>
          <w:lang w:val="en-US"/>
        </w:rPr>
        <w:t>y to those values constitutes</w:t>
      </w:r>
      <w:r w:rsidR="00E656C4" w:rsidRPr="00CE23AE">
        <w:rPr>
          <w:rFonts w:cs="Cambria"/>
          <w:lang w:val="en-US"/>
        </w:rPr>
        <w:t xml:space="preserve">, above all, </w:t>
      </w:r>
      <w:r w:rsidR="00D84951" w:rsidRPr="00CE23AE">
        <w:rPr>
          <w:rFonts w:cs="Cambria"/>
          <w:lang w:val="en-US"/>
        </w:rPr>
        <w:t>a reflection of the discriminatory and unfounded stereotypes historically assigned to this social group.</w:t>
      </w:r>
      <w:r w:rsidR="00005015" w:rsidRPr="00CE23AE">
        <w:rPr>
          <w:rFonts w:cs="Cambria"/>
          <w:lang w:val="en-US"/>
        </w:rPr>
        <w:t xml:space="preserve">” </w:t>
      </w:r>
    </w:p>
    <w:p w14:paraId="3D914A1F" w14:textId="219491B9" w:rsidR="00005015" w:rsidRPr="00CE23AE" w:rsidRDefault="00D84951" w:rsidP="00005015">
      <w:pPr>
        <w:pStyle w:val="PrrafodeSentencia"/>
        <w:numPr>
          <w:ilvl w:val="0"/>
          <w:numId w:val="0"/>
        </w:numPr>
        <w:rPr>
          <w:lang w:val="en-US"/>
        </w:rPr>
      </w:pPr>
      <w:r w:rsidRPr="00CE23AE">
        <w:rPr>
          <w:lang w:val="en-US"/>
        </w:rPr>
        <w:t xml:space="preserve"> </w:t>
      </w:r>
    </w:p>
    <w:p w14:paraId="68098692" w14:textId="5B8ADFED" w:rsidR="00D84951" w:rsidRPr="00CE23AE" w:rsidRDefault="00C561DF" w:rsidP="00D84951">
      <w:pPr>
        <w:pStyle w:val="PrrafodeSentencia"/>
        <w:rPr>
          <w:lang w:val="en-US"/>
        </w:rPr>
      </w:pPr>
      <w:r w:rsidRPr="00CE23AE">
        <w:rPr>
          <w:lang w:val="en-US"/>
        </w:rPr>
        <w:t xml:space="preserve">The </w:t>
      </w:r>
      <w:r w:rsidRPr="00CE23AE">
        <w:rPr>
          <w:b/>
          <w:bCs/>
          <w:i/>
          <w:iCs/>
          <w:lang w:val="en-US"/>
        </w:rPr>
        <w:t>representative</w:t>
      </w:r>
      <w:r w:rsidR="00005015" w:rsidRPr="00CE23AE">
        <w:rPr>
          <w:b/>
          <w:bCs/>
          <w:i/>
          <w:iCs/>
          <w:lang w:val="en-US"/>
        </w:rPr>
        <w:t xml:space="preserve"> </w:t>
      </w:r>
      <w:r w:rsidR="00005015" w:rsidRPr="00CE23AE">
        <w:rPr>
          <w:lang w:val="en-US"/>
        </w:rPr>
        <w:t>a</w:t>
      </w:r>
      <w:r w:rsidR="00D84951" w:rsidRPr="00CE23AE">
        <w:rPr>
          <w:lang w:val="en-US"/>
        </w:rPr>
        <w:t>rgued that “</w:t>
      </w:r>
      <w:r w:rsidR="004570C1" w:rsidRPr="00CE23AE">
        <w:rPr>
          <w:lang w:val="en-US"/>
        </w:rPr>
        <w:t>actual or perceived</w:t>
      </w:r>
      <w:r w:rsidR="00D84951" w:rsidRPr="00CE23AE">
        <w:rPr>
          <w:lang w:val="en-US"/>
        </w:rPr>
        <w:t xml:space="preserve"> sexual orientation has no effect on the way in which a person should conduct themselves in the exercise of a profession.” He pointed out that a</w:t>
      </w:r>
      <w:r w:rsidRPr="00CE23AE">
        <w:rPr>
          <w:lang w:val="en-US"/>
        </w:rPr>
        <w:t>rticle</w:t>
      </w:r>
      <w:r w:rsidR="00005015" w:rsidRPr="00CE23AE">
        <w:rPr>
          <w:lang w:val="en-US"/>
        </w:rPr>
        <w:t xml:space="preserve"> 117</w:t>
      </w:r>
      <w:r w:rsidRPr="00CE23AE">
        <w:rPr>
          <w:lang w:val="en-US"/>
        </w:rPr>
        <w:t xml:space="preserve"> of the </w:t>
      </w:r>
      <w:r w:rsidR="009C5D46" w:rsidRPr="00CE23AE">
        <w:rPr>
          <w:lang w:val="en-US"/>
        </w:rPr>
        <w:t>Military Discipline Regulations</w:t>
      </w:r>
      <w:r w:rsidR="00005015" w:rsidRPr="00CE23AE">
        <w:rPr>
          <w:lang w:val="en-US"/>
        </w:rPr>
        <w:t xml:space="preserve"> “impo</w:t>
      </w:r>
      <w:r w:rsidR="00D84951" w:rsidRPr="00CE23AE">
        <w:rPr>
          <w:lang w:val="en-US"/>
        </w:rPr>
        <w:t xml:space="preserve">sed an unequal and discriminatory treatment based on </w:t>
      </w:r>
      <w:r w:rsidR="001E60E2" w:rsidRPr="00CE23AE">
        <w:rPr>
          <w:lang w:val="en-US"/>
        </w:rPr>
        <w:t>an</w:t>
      </w:r>
      <w:r w:rsidR="00D84951" w:rsidRPr="00CE23AE">
        <w:rPr>
          <w:lang w:val="en-US"/>
        </w:rPr>
        <w:t xml:space="preserve"> </w:t>
      </w:r>
      <w:r w:rsidR="004570C1" w:rsidRPr="00CE23AE">
        <w:rPr>
          <w:lang w:val="en-US"/>
        </w:rPr>
        <w:t>actual or perceived</w:t>
      </w:r>
      <w:r w:rsidR="00D84951" w:rsidRPr="00CE23AE">
        <w:rPr>
          <w:lang w:val="en-US"/>
        </w:rPr>
        <w:t xml:space="preserve"> sexual orientation.” He indicated that, in the case of Mr. Flor Freire, the said article “was used to declare, without any grounds, a supposed professional misconduct and, </w:t>
      </w:r>
      <w:r w:rsidR="00AB1978" w:rsidRPr="00CE23AE">
        <w:rPr>
          <w:lang w:val="en-US"/>
        </w:rPr>
        <w:t>ultimately</w:t>
      </w:r>
      <w:r w:rsidR="00D84951" w:rsidRPr="00CE23AE">
        <w:rPr>
          <w:lang w:val="en-US"/>
        </w:rPr>
        <w:t>, on this basis</w:t>
      </w:r>
      <w:r w:rsidR="00AB1978" w:rsidRPr="00CE23AE">
        <w:rPr>
          <w:lang w:val="en-US"/>
        </w:rPr>
        <w:t>,</w:t>
      </w:r>
      <w:r w:rsidR="00D84951" w:rsidRPr="00CE23AE">
        <w:rPr>
          <w:lang w:val="en-US"/>
        </w:rPr>
        <w:t xml:space="preserve"> [</w:t>
      </w:r>
      <w:r w:rsidR="00AB1978" w:rsidRPr="00CE23AE">
        <w:rPr>
          <w:lang w:val="en-US"/>
        </w:rPr>
        <w:t xml:space="preserve">to </w:t>
      </w:r>
      <w:r w:rsidR="00D84951" w:rsidRPr="00CE23AE">
        <w:rPr>
          <w:lang w:val="en-US"/>
        </w:rPr>
        <w:t xml:space="preserve">separate Mr. Flor Freire] from the military career.” Therefore, he argued that “the State established a situation of clear inequality before the law founded on the perception of Mr. Flor Freire’s sexual orientation and, on this basis, he received a punishment.” The representative also stressed that “the proceeding under which he was prosecuted was already </w:t>
      </w:r>
      <w:r w:rsidR="00AB1978" w:rsidRPr="00CE23AE">
        <w:rPr>
          <w:lang w:val="en-US"/>
        </w:rPr>
        <w:t>biased</w:t>
      </w:r>
      <w:r w:rsidR="00D84951" w:rsidRPr="00CE23AE">
        <w:rPr>
          <w:lang w:val="en-US"/>
        </w:rPr>
        <w:t xml:space="preserve"> owing to the </w:t>
      </w:r>
      <w:r w:rsidR="00AB1978" w:rsidRPr="00CE23AE">
        <w:rPr>
          <w:lang w:val="en-US"/>
        </w:rPr>
        <w:t>discrimination</w:t>
      </w:r>
      <w:r w:rsidR="00D84951" w:rsidRPr="00CE23AE">
        <w:rPr>
          <w:lang w:val="en-US"/>
        </w:rPr>
        <w:t xml:space="preserve"> that existed within the armed forces.” Lastly, he indicated that the “right to equality before the law and non-discrimination […] </w:t>
      </w:r>
      <w:r w:rsidR="00F4089B" w:rsidRPr="00CE23AE">
        <w:rPr>
          <w:lang w:val="en-US"/>
        </w:rPr>
        <w:t>is a right of immediate application and is not subject to the principle of progressivity.”</w:t>
      </w:r>
    </w:p>
    <w:p w14:paraId="56DEB7F0" w14:textId="77777777" w:rsidR="00005015" w:rsidRPr="00CE23AE" w:rsidRDefault="00005015" w:rsidP="00F4089B">
      <w:pPr>
        <w:rPr>
          <w:szCs w:val="20"/>
          <w:lang w:val="en-US"/>
        </w:rPr>
      </w:pPr>
    </w:p>
    <w:p w14:paraId="4EC3CFBD" w14:textId="3E368985" w:rsidR="00F4089B" w:rsidRPr="00CE23AE" w:rsidRDefault="00C561DF" w:rsidP="00005015">
      <w:pPr>
        <w:pStyle w:val="PrrafodeSentencia"/>
        <w:rPr>
          <w:b/>
          <w:lang w:val="en-US"/>
        </w:rPr>
      </w:pPr>
      <w:r w:rsidRPr="00CE23AE">
        <w:rPr>
          <w:lang w:val="en-US"/>
        </w:rPr>
        <w:t xml:space="preserve">The </w:t>
      </w:r>
      <w:r w:rsidRPr="00CE23AE">
        <w:rPr>
          <w:b/>
          <w:bCs/>
          <w:i/>
          <w:iCs/>
          <w:lang w:val="en-US"/>
        </w:rPr>
        <w:t>State</w:t>
      </w:r>
      <w:r w:rsidR="00005015" w:rsidRPr="00CE23AE">
        <w:rPr>
          <w:b/>
          <w:bCs/>
          <w:i/>
          <w:iCs/>
          <w:lang w:val="en-US"/>
        </w:rPr>
        <w:t xml:space="preserve"> </w:t>
      </w:r>
      <w:r w:rsidR="00005015" w:rsidRPr="00CE23AE">
        <w:rPr>
          <w:lang w:val="en-US"/>
        </w:rPr>
        <w:t>a</w:t>
      </w:r>
      <w:r w:rsidR="00F4089B" w:rsidRPr="00CE23AE">
        <w:rPr>
          <w:lang w:val="en-US"/>
        </w:rPr>
        <w:t xml:space="preserve">rgued that “a supposed discrimination in relation to sexual orientation should be analyzed in light of the doctrine of the national margin of appreciation, </w:t>
      </w:r>
      <w:r w:rsidR="00AB1978" w:rsidRPr="00CE23AE">
        <w:rPr>
          <w:lang w:val="en-US"/>
        </w:rPr>
        <w:t>which</w:t>
      </w:r>
      <w:r w:rsidR="00F4089B" w:rsidRPr="00CE23AE">
        <w:rPr>
          <w:lang w:val="en-US"/>
        </w:rPr>
        <w:t xml:space="preserve"> is understood to be an area of freedom for the State to develop certain rights by establishing requirements, limitations or </w:t>
      </w:r>
      <w:r w:rsidR="00F4089B" w:rsidRPr="00CE23AE">
        <w:rPr>
          <w:lang w:val="en-US"/>
        </w:rPr>
        <w:lastRenderedPageBreak/>
        <w:t xml:space="preserve">conditions for their exercise, based on the specific social and historic circumstances of a particular State. It indicated that it should be “borne in mind that at the time of the facts (2000), in the State, the legal institution </w:t>
      </w:r>
      <w:r w:rsidR="00AB1978" w:rsidRPr="00CE23AE">
        <w:rPr>
          <w:lang w:val="en-US"/>
        </w:rPr>
        <w:t>was beginning to</w:t>
      </w:r>
      <w:r w:rsidR="00F4089B" w:rsidRPr="00CE23AE">
        <w:rPr>
          <w:lang w:val="en-US"/>
        </w:rPr>
        <w:t xml:space="preserve"> adapt better standards </w:t>
      </w:r>
      <w:r w:rsidR="00AB1978" w:rsidRPr="00CE23AE">
        <w:rPr>
          <w:lang w:val="en-US"/>
        </w:rPr>
        <w:t>for protecting</w:t>
      </w:r>
      <w:r w:rsidR="00F4089B" w:rsidRPr="00CE23AE">
        <w:rPr>
          <w:lang w:val="en-US"/>
        </w:rPr>
        <w:t xml:space="preserve"> rights in the area of discrimination for reasons of sex, </w:t>
      </w:r>
      <w:r w:rsidR="00AB1978" w:rsidRPr="00CE23AE">
        <w:rPr>
          <w:lang w:val="en-US"/>
        </w:rPr>
        <w:t xml:space="preserve">and this </w:t>
      </w:r>
      <w:r w:rsidR="00F4089B" w:rsidRPr="00CE23AE">
        <w:rPr>
          <w:lang w:val="en-US"/>
        </w:rPr>
        <w:t xml:space="preserve">materialized </w:t>
      </w:r>
      <w:r w:rsidR="00AB1978" w:rsidRPr="00CE23AE">
        <w:rPr>
          <w:lang w:val="en-US"/>
        </w:rPr>
        <w:t>in</w:t>
      </w:r>
      <w:r w:rsidR="00F4089B" w:rsidRPr="00CE23AE">
        <w:rPr>
          <w:lang w:val="en-US"/>
        </w:rPr>
        <w:t xml:space="preserve"> two paradigmatic events: in 1997, the annulment of the first paragraph of article 516 of the Criminal Code that penalized homosexuality and, in 1998, the inclusion in the Constitution of article 23 which contained a provision that prohibited discrimination based on sexual orientation.” It indicated that, in 2008, article 117 of the Military Discipline Regulations</w:t>
      </w:r>
      <w:r w:rsidR="00AB1978" w:rsidRPr="00CE23AE">
        <w:rPr>
          <w:lang w:val="en-US"/>
        </w:rPr>
        <w:t>,</w:t>
      </w:r>
      <w:r w:rsidR="00F4089B" w:rsidRPr="00CE23AE">
        <w:rPr>
          <w:lang w:val="en-US"/>
        </w:rPr>
        <w:t xml:space="preserve"> under which Mr. Flor Freire had been sanctioned</w:t>
      </w:r>
      <w:r w:rsidR="00AB1978" w:rsidRPr="00CE23AE">
        <w:rPr>
          <w:lang w:val="en-US"/>
        </w:rPr>
        <w:t>,</w:t>
      </w:r>
      <w:r w:rsidR="00F4089B" w:rsidRPr="00CE23AE">
        <w:rPr>
          <w:lang w:val="en-US"/>
        </w:rPr>
        <w:t xml:space="preserve"> had been annulled; thus, “the </w:t>
      </w:r>
      <w:r w:rsidR="00AB1978" w:rsidRPr="00CE23AE">
        <w:rPr>
          <w:lang w:val="en-US"/>
        </w:rPr>
        <w:t>standard</w:t>
      </w:r>
      <w:r w:rsidR="00F4089B" w:rsidRPr="00CE23AE">
        <w:rPr>
          <w:lang w:val="en-US"/>
        </w:rPr>
        <w:t xml:space="preserve"> of enforce</w:t>
      </w:r>
      <w:r w:rsidR="00221C96" w:rsidRPr="00CE23AE">
        <w:rPr>
          <w:lang w:val="en-US"/>
        </w:rPr>
        <w:t xml:space="preserve">ability </w:t>
      </w:r>
      <w:r w:rsidR="00F4089B" w:rsidRPr="00CE23AE">
        <w:rPr>
          <w:lang w:val="en-US"/>
        </w:rPr>
        <w:t xml:space="preserve">on which the arguments of the presumed discrimination against Homero Flor are founded, cannot be </w:t>
      </w:r>
      <w:r w:rsidR="00221C96" w:rsidRPr="00CE23AE">
        <w:rPr>
          <w:lang w:val="en-US"/>
        </w:rPr>
        <w:t>measured against</w:t>
      </w:r>
      <w:r w:rsidR="00F4089B" w:rsidRPr="00CE23AE">
        <w:rPr>
          <w:lang w:val="en-US"/>
        </w:rPr>
        <w:t xml:space="preserve"> the actual standard, but </w:t>
      </w:r>
      <w:r w:rsidR="00221C96" w:rsidRPr="00CE23AE">
        <w:rPr>
          <w:lang w:val="en-US"/>
        </w:rPr>
        <w:t>rather against</w:t>
      </w:r>
      <w:r w:rsidR="00F4089B" w:rsidRPr="00CE23AE">
        <w:rPr>
          <w:lang w:val="en-US"/>
        </w:rPr>
        <w:t xml:space="preserve"> the progressive </w:t>
      </w:r>
      <w:r w:rsidR="00221C96" w:rsidRPr="00CE23AE">
        <w:rPr>
          <w:lang w:val="en-US"/>
        </w:rPr>
        <w:t xml:space="preserve">context of </w:t>
      </w:r>
      <w:r w:rsidR="00F4089B" w:rsidRPr="00CE23AE">
        <w:rPr>
          <w:lang w:val="en-US"/>
        </w:rPr>
        <w:t>implementation of guarantees and rights by the State.” In this regard, it stressed that “today, discrimination of any kind, including sexual discrimination, is absolutely prohibited.</w:t>
      </w:r>
      <w:r w:rsidR="00B87DBC" w:rsidRPr="00CE23AE">
        <w:rPr>
          <w:lang w:val="en-US"/>
        </w:rPr>
        <w:t xml:space="preserve">” It also indicated that the difference between discrimination based on perception and other types of discrimination was unclear. </w:t>
      </w:r>
    </w:p>
    <w:p w14:paraId="6A0FA8F0" w14:textId="77777777" w:rsidR="00005015" w:rsidRPr="00CE23AE" w:rsidRDefault="00005015" w:rsidP="00005015">
      <w:pPr>
        <w:pStyle w:val="PrrafodeSentencia"/>
        <w:numPr>
          <w:ilvl w:val="0"/>
          <w:numId w:val="0"/>
        </w:numPr>
        <w:rPr>
          <w:lang w:val="en-US"/>
        </w:rPr>
      </w:pPr>
    </w:p>
    <w:p w14:paraId="75D101B6" w14:textId="4598A89C" w:rsidR="00005015" w:rsidRPr="00CE23AE" w:rsidRDefault="005024E2" w:rsidP="00005015">
      <w:pPr>
        <w:pStyle w:val="Ttulo2"/>
        <w:numPr>
          <w:ilvl w:val="0"/>
          <w:numId w:val="28"/>
        </w:numPr>
        <w:ind w:left="1134"/>
        <w:rPr>
          <w:lang w:val="en-US"/>
        </w:rPr>
      </w:pPr>
      <w:bookmarkStart w:id="307" w:name="_Toc453874338"/>
      <w:bookmarkStart w:id="308" w:name="_Toc454891499"/>
      <w:bookmarkStart w:id="309" w:name="_Toc457840603"/>
      <w:bookmarkStart w:id="310" w:name="_Toc460398708"/>
      <w:bookmarkStart w:id="311" w:name="_Toc464474992"/>
      <w:bookmarkStart w:id="312" w:name="_Toc46388379"/>
      <w:r w:rsidRPr="00CE23AE">
        <w:rPr>
          <w:lang w:val="en-US"/>
        </w:rPr>
        <w:t>Considerations</w:t>
      </w:r>
      <w:r w:rsidR="00C561DF" w:rsidRPr="00CE23AE">
        <w:rPr>
          <w:lang w:val="en-US"/>
        </w:rPr>
        <w:t xml:space="preserve"> of the Court</w:t>
      </w:r>
      <w:bookmarkEnd w:id="307"/>
      <w:bookmarkEnd w:id="308"/>
      <w:bookmarkEnd w:id="309"/>
      <w:bookmarkEnd w:id="310"/>
      <w:bookmarkEnd w:id="311"/>
      <w:bookmarkEnd w:id="312"/>
    </w:p>
    <w:p w14:paraId="6E3B8CFD" w14:textId="77777777" w:rsidR="00005015" w:rsidRPr="00CE23AE" w:rsidRDefault="00005015" w:rsidP="00005015">
      <w:pPr>
        <w:rPr>
          <w:lang w:val="en-US" w:eastAsia="es-MX"/>
        </w:rPr>
      </w:pPr>
    </w:p>
    <w:p w14:paraId="7D9CB912" w14:textId="2A21F8F7" w:rsidR="00005015" w:rsidRPr="00CE23AE" w:rsidRDefault="00B87DBC" w:rsidP="00005015">
      <w:pPr>
        <w:pStyle w:val="PrrafodeSentencia"/>
        <w:rPr>
          <w:lang w:val="en-US"/>
        </w:rPr>
      </w:pPr>
      <w:bookmarkStart w:id="313" w:name="_Ref455483917"/>
      <w:r w:rsidRPr="00CE23AE">
        <w:rPr>
          <w:lang w:val="en-US"/>
        </w:rPr>
        <w:t>The</w:t>
      </w:r>
      <w:r w:rsidR="00C561DF" w:rsidRPr="00CE23AE">
        <w:rPr>
          <w:lang w:val="en-US"/>
        </w:rPr>
        <w:t xml:space="preserve"> Court</w:t>
      </w:r>
      <w:r w:rsidR="00005015" w:rsidRPr="00CE23AE">
        <w:rPr>
          <w:lang w:val="en-US"/>
        </w:rPr>
        <w:t xml:space="preserve"> </w:t>
      </w:r>
      <w:r w:rsidRPr="00CE23AE">
        <w:rPr>
          <w:lang w:val="en-US"/>
        </w:rPr>
        <w:t>will now make its analysis as follows</w:t>
      </w:r>
      <w:r w:rsidR="00005015" w:rsidRPr="00CE23AE">
        <w:rPr>
          <w:lang w:val="en-US"/>
        </w:rPr>
        <w:t xml:space="preserve">: </w:t>
      </w:r>
      <w:r w:rsidR="00BB2C39" w:rsidRPr="00CE23AE">
        <w:rPr>
          <w:lang w:val="en-US"/>
        </w:rPr>
        <w:t>(</w:t>
      </w:r>
      <w:r w:rsidR="00005015" w:rsidRPr="00CE23AE">
        <w:rPr>
          <w:lang w:val="en-US"/>
        </w:rPr>
        <w:t xml:space="preserve">1) </w:t>
      </w:r>
      <w:r w:rsidRPr="00CE23AE">
        <w:rPr>
          <w:lang w:val="en-US"/>
        </w:rPr>
        <w:t xml:space="preserve">general </w:t>
      </w:r>
      <w:r w:rsidR="005024E2" w:rsidRPr="00CE23AE">
        <w:rPr>
          <w:lang w:val="en-US"/>
        </w:rPr>
        <w:t>considerations</w:t>
      </w:r>
      <w:r w:rsidR="00005015" w:rsidRPr="00CE23AE">
        <w:rPr>
          <w:lang w:val="en-US"/>
        </w:rPr>
        <w:t xml:space="preserve"> </w:t>
      </w:r>
      <w:r w:rsidRPr="00CE23AE">
        <w:rPr>
          <w:lang w:val="en-US"/>
        </w:rPr>
        <w:t>on the right to equality before the law and the prohibition of discrimination;</w:t>
      </w:r>
      <w:r w:rsidR="00C561DF" w:rsidRPr="00CE23AE">
        <w:rPr>
          <w:lang w:val="en-US"/>
        </w:rPr>
        <w:t xml:space="preserve"> </w:t>
      </w:r>
      <w:r w:rsidRPr="00CE23AE">
        <w:rPr>
          <w:lang w:val="en-US"/>
        </w:rPr>
        <w:t>(</w:t>
      </w:r>
      <w:r w:rsidR="00005015" w:rsidRPr="00CE23AE">
        <w:rPr>
          <w:lang w:val="en-US"/>
        </w:rPr>
        <w:t xml:space="preserve">2) </w:t>
      </w:r>
      <w:r w:rsidRPr="00CE23AE">
        <w:rPr>
          <w:lang w:val="en-US"/>
        </w:rPr>
        <w:t xml:space="preserve">specific </w:t>
      </w:r>
      <w:r w:rsidR="005024E2" w:rsidRPr="00CE23AE">
        <w:rPr>
          <w:lang w:val="en-US"/>
        </w:rPr>
        <w:t>considerations</w:t>
      </w:r>
      <w:r w:rsidR="00CF3F68" w:rsidRPr="00CE23AE">
        <w:rPr>
          <w:lang w:val="en-US"/>
        </w:rPr>
        <w:t xml:space="preserve"> </w:t>
      </w:r>
      <w:r w:rsidRPr="00CE23AE">
        <w:rPr>
          <w:lang w:val="en-US"/>
        </w:rPr>
        <w:t>on the</w:t>
      </w:r>
      <w:r w:rsidR="00CF3F68" w:rsidRPr="00CE23AE">
        <w:rPr>
          <w:lang w:val="en-US"/>
        </w:rPr>
        <w:t xml:space="preserve"> </w:t>
      </w:r>
      <w:r w:rsidRPr="00CE23AE">
        <w:rPr>
          <w:lang w:val="en-US"/>
        </w:rPr>
        <w:t>r</w:t>
      </w:r>
      <w:r w:rsidR="009E0CD2" w:rsidRPr="00CE23AE">
        <w:rPr>
          <w:lang w:val="en-US"/>
        </w:rPr>
        <w:t>ight to equality before the law in this case</w:t>
      </w:r>
      <w:r w:rsidR="00005015" w:rsidRPr="00CE23AE">
        <w:rPr>
          <w:lang w:val="en-US"/>
        </w:rPr>
        <w:t>,</w:t>
      </w:r>
      <w:r w:rsidR="00C561DF" w:rsidRPr="00CE23AE">
        <w:rPr>
          <w:lang w:val="en-US"/>
        </w:rPr>
        <w:t xml:space="preserve"> and </w:t>
      </w:r>
      <w:r w:rsidRPr="00CE23AE">
        <w:rPr>
          <w:lang w:val="en-US"/>
        </w:rPr>
        <w:t>(</w:t>
      </w:r>
      <w:r w:rsidR="00005015" w:rsidRPr="00CE23AE">
        <w:rPr>
          <w:lang w:val="en-US"/>
        </w:rPr>
        <w:t xml:space="preserve">3) </w:t>
      </w:r>
      <w:r w:rsidR="00F74B6F" w:rsidRPr="00CE23AE">
        <w:rPr>
          <w:lang w:val="en-US"/>
        </w:rPr>
        <w:t>conclusion</w:t>
      </w:r>
      <w:r w:rsidR="00005015" w:rsidRPr="00CE23AE">
        <w:rPr>
          <w:lang w:val="en-US"/>
        </w:rPr>
        <w:t>.</w:t>
      </w:r>
      <w:bookmarkEnd w:id="313"/>
    </w:p>
    <w:p w14:paraId="0074EECA" w14:textId="77777777" w:rsidR="00005015" w:rsidRPr="00CE23AE" w:rsidRDefault="00005015" w:rsidP="00005015">
      <w:pPr>
        <w:pStyle w:val="PrrafodeSentencia"/>
        <w:numPr>
          <w:ilvl w:val="0"/>
          <w:numId w:val="0"/>
        </w:numPr>
        <w:rPr>
          <w:lang w:val="en-US"/>
        </w:rPr>
      </w:pPr>
    </w:p>
    <w:p w14:paraId="20F9699E" w14:textId="75571F9A" w:rsidR="00005015" w:rsidRPr="00CE23AE" w:rsidRDefault="00005015" w:rsidP="00005015">
      <w:pPr>
        <w:pStyle w:val="Ttulo3"/>
        <w:rPr>
          <w:lang w:val="en-US"/>
        </w:rPr>
      </w:pPr>
      <w:bookmarkStart w:id="314" w:name="_Toc448148943"/>
      <w:bookmarkStart w:id="315" w:name="_Toc453874339"/>
      <w:bookmarkStart w:id="316" w:name="_Toc454891500"/>
      <w:bookmarkStart w:id="317" w:name="_Toc457840604"/>
      <w:bookmarkStart w:id="318" w:name="_Toc460398540"/>
      <w:bookmarkStart w:id="319" w:name="_Toc460398709"/>
      <w:bookmarkStart w:id="320" w:name="_Toc464474993"/>
      <w:bookmarkStart w:id="321" w:name="_Toc46388380"/>
      <w:r w:rsidRPr="00CE23AE">
        <w:rPr>
          <w:lang w:val="en-US"/>
        </w:rPr>
        <w:t xml:space="preserve">B.1 </w:t>
      </w:r>
      <w:r w:rsidR="00851701" w:rsidRPr="00CE23AE">
        <w:rPr>
          <w:lang w:val="en-US"/>
        </w:rPr>
        <w:t>General considerations on the right to equality and non-discrimination</w:t>
      </w:r>
      <w:bookmarkEnd w:id="314"/>
      <w:bookmarkEnd w:id="315"/>
      <w:bookmarkEnd w:id="316"/>
      <w:bookmarkEnd w:id="317"/>
      <w:bookmarkEnd w:id="318"/>
      <w:bookmarkEnd w:id="319"/>
      <w:bookmarkEnd w:id="320"/>
      <w:bookmarkEnd w:id="321"/>
      <w:r w:rsidRPr="00CE23AE">
        <w:rPr>
          <w:lang w:val="en-US"/>
        </w:rPr>
        <w:t xml:space="preserve"> </w:t>
      </w:r>
    </w:p>
    <w:p w14:paraId="1B5588A6" w14:textId="44577452" w:rsidR="00005015" w:rsidRPr="00CE23AE" w:rsidRDefault="00005015" w:rsidP="00005015">
      <w:pPr>
        <w:pStyle w:val="PrrafodeSentencia"/>
        <w:numPr>
          <w:ilvl w:val="0"/>
          <w:numId w:val="0"/>
        </w:numPr>
        <w:rPr>
          <w:lang w:val="en-US" w:eastAsia="es-ES"/>
        </w:rPr>
      </w:pPr>
    </w:p>
    <w:p w14:paraId="3B681AC4" w14:textId="2B2AB563" w:rsidR="00005015" w:rsidRPr="00CE23AE" w:rsidRDefault="00B87DBC" w:rsidP="00FA0123">
      <w:pPr>
        <w:pStyle w:val="PrrafodeSentencia"/>
        <w:rPr>
          <w:lang w:val="en-US" w:eastAsia="es-ES"/>
        </w:rPr>
      </w:pPr>
      <w:bookmarkStart w:id="322" w:name="_Hlk45636571"/>
      <w:bookmarkStart w:id="323" w:name="_Ref455671574"/>
      <w:r w:rsidRPr="00CE23AE">
        <w:rPr>
          <w:lang w:val="en-US"/>
        </w:rPr>
        <w:t xml:space="preserve">The notion of equality </w:t>
      </w:r>
      <w:r w:rsidR="00FA0123" w:rsidRPr="00CE23AE">
        <w:rPr>
          <w:rFonts w:cs="Arial"/>
          <w:lang w:val="en-US"/>
        </w:rPr>
        <w:t>springs directly from the oneness of the human family and is inseparable from the essential dignity of the individual. That principle cannot be reconciled with the notion that a given group has the right to privileged treatment because of its perceived superiority. It is equally irreconcilable with that notion to characterize a group as inferior and treat it with hostility or otherwise subject it to discrimination in the enjoyment of rights which are accorded to others not so classified.</w:t>
      </w:r>
      <w:bookmarkEnd w:id="322"/>
      <w:r w:rsidR="00005015" w:rsidRPr="00CE23AE">
        <w:rPr>
          <w:rStyle w:val="Refdenotaalpie"/>
          <w:rFonts w:eastAsia="Times"/>
          <w:lang w:val="en-US" w:eastAsia="es-ES"/>
        </w:rPr>
        <w:footnoteReference w:id="155"/>
      </w:r>
      <w:r w:rsidR="00FA0123" w:rsidRPr="00CE23AE">
        <w:rPr>
          <w:lang w:val="en-US"/>
        </w:rPr>
        <w:t xml:space="preserve"> The Court’s case law has indicated that, at the current stage of the evolution of international law, the fundamental principle of equality </w:t>
      </w:r>
      <w:r w:rsidR="00C561DF" w:rsidRPr="00CE23AE">
        <w:rPr>
          <w:lang w:val="en-US"/>
        </w:rPr>
        <w:t xml:space="preserve">and </w:t>
      </w:r>
      <w:r w:rsidR="00FA0123" w:rsidRPr="00CE23AE">
        <w:rPr>
          <w:lang w:val="en-US"/>
        </w:rPr>
        <w:t>non-discrimination</w:t>
      </w:r>
      <w:r w:rsidR="00005015" w:rsidRPr="00CE23AE">
        <w:rPr>
          <w:lang w:val="en-US"/>
        </w:rPr>
        <w:t xml:space="preserve"> ha</w:t>
      </w:r>
      <w:r w:rsidR="00FA0123" w:rsidRPr="00CE23AE">
        <w:rPr>
          <w:lang w:val="en-US"/>
        </w:rPr>
        <w:t xml:space="preserve">s entered the domain of </w:t>
      </w:r>
      <w:r w:rsidR="00FA0123" w:rsidRPr="00CE23AE">
        <w:rPr>
          <w:i/>
          <w:lang w:val="en-US"/>
        </w:rPr>
        <w:t>j</w:t>
      </w:r>
      <w:r w:rsidR="00005015" w:rsidRPr="00CE23AE">
        <w:rPr>
          <w:i/>
          <w:lang w:val="en-US"/>
        </w:rPr>
        <w:t>us cogens</w:t>
      </w:r>
      <w:r w:rsidR="00005015" w:rsidRPr="00CE23AE">
        <w:rPr>
          <w:lang w:val="en-US"/>
        </w:rPr>
        <w:t>.</w:t>
      </w:r>
      <w:r w:rsidR="00005015" w:rsidRPr="00CE23AE">
        <w:rPr>
          <w:i/>
          <w:lang w:val="en-US"/>
        </w:rPr>
        <w:t xml:space="preserve"> </w:t>
      </w:r>
      <w:r w:rsidR="00FA0123" w:rsidRPr="00CE23AE">
        <w:rPr>
          <w:lang w:val="en-US"/>
        </w:rPr>
        <w:t xml:space="preserve">It </w:t>
      </w:r>
      <w:r w:rsidR="00BB2C39" w:rsidRPr="00CE23AE">
        <w:rPr>
          <w:lang w:val="en-US"/>
        </w:rPr>
        <w:t>forms the basis for</w:t>
      </w:r>
      <w:r w:rsidR="00FA0123" w:rsidRPr="00CE23AE">
        <w:rPr>
          <w:lang w:val="en-US"/>
        </w:rPr>
        <w:t xml:space="preserve"> the legal structure of national and international public order and permeates the whole legal order.</w:t>
      </w:r>
      <w:r w:rsidR="00005015" w:rsidRPr="00CE23AE">
        <w:rPr>
          <w:rStyle w:val="Refdenotaalpie"/>
          <w:lang w:val="en-US"/>
        </w:rPr>
        <w:footnoteReference w:id="156"/>
      </w:r>
      <w:bookmarkEnd w:id="323"/>
    </w:p>
    <w:p w14:paraId="23D793DB" w14:textId="77777777" w:rsidR="00005015" w:rsidRPr="00CE23AE" w:rsidRDefault="00005015" w:rsidP="00005015">
      <w:pPr>
        <w:rPr>
          <w:szCs w:val="20"/>
          <w:lang w:val="en-US"/>
        </w:rPr>
      </w:pPr>
    </w:p>
    <w:p w14:paraId="204FEEBC" w14:textId="548C0BE9" w:rsidR="00005015" w:rsidRPr="00CE23AE" w:rsidRDefault="00FA0123" w:rsidP="00005015">
      <w:pPr>
        <w:pStyle w:val="PrrafodeSentencia"/>
        <w:rPr>
          <w:lang w:val="en-US" w:eastAsia="es-ES"/>
        </w:rPr>
      </w:pPr>
      <w:r w:rsidRPr="00CE23AE">
        <w:rPr>
          <w:lang w:val="en-US"/>
        </w:rPr>
        <w:t>This</w:t>
      </w:r>
      <w:r w:rsidR="00000AD5" w:rsidRPr="00CE23AE">
        <w:rPr>
          <w:lang w:val="en-US"/>
        </w:rPr>
        <w:t xml:space="preserve"> Court</w:t>
      </w:r>
      <w:r w:rsidR="00005015" w:rsidRPr="00CE23AE">
        <w:rPr>
          <w:lang w:val="en-US"/>
        </w:rPr>
        <w:t xml:space="preserve"> ha</w:t>
      </w:r>
      <w:r w:rsidRPr="00CE23AE">
        <w:rPr>
          <w:lang w:val="en-US"/>
        </w:rPr>
        <w:t>s also established that States must refrain from carrying out actions that, in any way, are aimed directly or indirectly at creating situations of</w:t>
      </w:r>
      <w:r w:rsidR="00005015" w:rsidRPr="00CE23AE">
        <w:rPr>
          <w:lang w:val="en-US"/>
        </w:rPr>
        <w:t xml:space="preserve"> </w:t>
      </w:r>
      <w:r w:rsidR="00C347F4" w:rsidRPr="00CE23AE">
        <w:rPr>
          <w:i/>
          <w:lang w:val="en-US"/>
        </w:rPr>
        <w:t>de jure</w:t>
      </w:r>
      <w:r w:rsidR="00005015" w:rsidRPr="00CE23AE">
        <w:rPr>
          <w:lang w:val="en-US"/>
        </w:rPr>
        <w:t xml:space="preserve"> o</w:t>
      </w:r>
      <w:r w:rsidRPr="00CE23AE">
        <w:rPr>
          <w:lang w:val="en-US"/>
        </w:rPr>
        <w:t>r</w:t>
      </w:r>
      <w:r w:rsidR="00005015" w:rsidRPr="00CE23AE">
        <w:rPr>
          <w:lang w:val="en-US"/>
        </w:rPr>
        <w:t xml:space="preserve"> </w:t>
      </w:r>
      <w:r w:rsidR="00005015" w:rsidRPr="00CE23AE">
        <w:rPr>
          <w:i/>
          <w:lang w:val="en-US"/>
        </w:rPr>
        <w:t>de facto</w:t>
      </w:r>
      <w:r w:rsidR="00BB2C39" w:rsidRPr="00CE23AE">
        <w:rPr>
          <w:i/>
          <w:lang w:val="en-US"/>
        </w:rPr>
        <w:t xml:space="preserve"> </w:t>
      </w:r>
      <w:r w:rsidR="00BB2C39" w:rsidRPr="00CE23AE">
        <w:rPr>
          <w:lang w:val="en-US"/>
        </w:rPr>
        <w:t>discrimination</w:t>
      </w:r>
      <w:r w:rsidRPr="00CE23AE">
        <w:rPr>
          <w:i/>
          <w:lang w:val="en-US"/>
        </w:rPr>
        <w:t>.</w:t>
      </w:r>
      <w:r w:rsidR="00005015" w:rsidRPr="00CE23AE">
        <w:rPr>
          <w:rStyle w:val="Refdenotaalpie"/>
          <w:lang w:val="en-US"/>
        </w:rPr>
        <w:footnoteReference w:id="157"/>
      </w:r>
      <w:r w:rsidR="002C70D8" w:rsidRPr="00CE23AE">
        <w:rPr>
          <w:lang w:val="en-US"/>
        </w:rPr>
        <w:t xml:space="preserve"> States are obliged to adopt positive measures to revert or change any discriminatory situations that exist in their societies</w:t>
      </w:r>
      <w:r w:rsidR="00005015" w:rsidRPr="00CE23AE">
        <w:rPr>
          <w:lang w:val="en-US"/>
        </w:rPr>
        <w:t xml:space="preserve"> </w:t>
      </w:r>
      <w:r w:rsidR="00C561DF" w:rsidRPr="00CE23AE">
        <w:rPr>
          <w:lang w:val="en-US"/>
        </w:rPr>
        <w:t>to the detriment of</w:t>
      </w:r>
      <w:r w:rsidR="00005015" w:rsidRPr="00CE23AE">
        <w:rPr>
          <w:lang w:val="en-US"/>
        </w:rPr>
        <w:t xml:space="preserve"> </w:t>
      </w:r>
      <w:r w:rsidR="00BB2C39" w:rsidRPr="00CE23AE">
        <w:rPr>
          <w:lang w:val="en-US"/>
        </w:rPr>
        <w:t>any specific</w:t>
      </w:r>
      <w:r w:rsidR="002C70D8" w:rsidRPr="00CE23AE">
        <w:rPr>
          <w:lang w:val="en-US"/>
        </w:rPr>
        <w:t xml:space="preserve"> group of individuals. This entails the special duty of protection that the State must exercise with regard to the acts and practices of third parties that, with its tolerance or acquiescence, create, maintain or promote discriminatory situations.</w:t>
      </w:r>
      <w:r w:rsidR="00005015" w:rsidRPr="00CE23AE">
        <w:rPr>
          <w:rStyle w:val="Refdenotaalpie"/>
          <w:lang w:val="en-US"/>
        </w:rPr>
        <w:footnoteReference w:id="158"/>
      </w:r>
    </w:p>
    <w:p w14:paraId="35866249" w14:textId="77777777" w:rsidR="00005015" w:rsidRPr="00CE23AE" w:rsidRDefault="00005015" w:rsidP="00005015">
      <w:pPr>
        <w:pStyle w:val="Prrafodelista"/>
        <w:rPr>
          <w:szCs w:val="20"/>
          <w:lang w:val="en-US"/>
        </w:rPr>
      </w:pPr>
    </w:p>
    <w:p w14:paraId="7F756900" w14:textId="3A0472DD" w:rsidR="00005015" w:rsidRPr="00CE23AE" w:rsidRDefault="00C561DF" w:rsidP="002C70D8">
      <w:pPr>
        <w:pStyle w:val="PrrafodeSentencia"/>
        <w:rPr>
          <w:lang w:val="en-US" w:eastAsia="es-ES"/>
        </w:rPr>
      </w:pPr>
      <w:r w:rsidRPr="00CE23AE">
        <w:rPr>
          <w:lang w:val="en-US"/>
        </w:rPr>
        <w:t>Article 1(1) of the Convention</w:t>
      </w:r>
      <w:r w:rsidR="00005015" w:rsidRPr="00CE23AE">
        <w:rPr>
          <w:lang w:val="en-US"/>
        </w:rPr>
        <w:t xml:space="preserve"> </w:t>
      </w:r>
      <w:r w:rsidR="002C70D8" w:rsidRPr="00CE23AE">
        <w:rPr>
          <w:lang w:val="en-US"/>
        </w:rPr>
        <w:t>i</w:t>
      </w:r>
      <w:r w:rsidR="00005015" w:rsidRPr="00CE23AE">
        <w:rPr>
          <w:lang w:val="en-US"/>
        </w:rPr>
        <w:t>s</w:t>
      </w:r>
      <w:r w:rsidR="002C70D8" w:rsidRPr="00CE23AE">
        <w:rPr>
          <w:lang w:val="en-US"/>
        </w:rPr>
        <w:t xml:space="preserve"> a </w:t>
      </w:r>
      <w:r w:rsidR="00BB2C39" w:rsidRPr="00CE23AE">
        <w:rPr>
          <w:lang w:val="en-US"/>
        </w:rPr>
        <w:t xml:space="preserve">general </w:t>
      </w:r>
      <w:r w:rsidR="002C70D8" w:rsidRPr="00CE23AE">
        <w:rPr>
          <w:lang w:val="en-US"/>
        </w:rPr>
        <w:t>norm the content of which extends to all the provisions of this treaty, and</w:t>
      </w:r>
      <w:r w:rsidR="00BB2C39" w:rsidRPr="00CE23AE">
        <w:rPr>
          <w:lang w:val="en-US"/>
        </w:rPr>
        <w:t xml:space="preserve"> establishes</w:t>
      </w:r>
      <w:r w:rsidR="002C70D8" w:rsidRPr="00CE23AE">
        <w:rPr>
          <w:lang w:val="en-US"/>
        </w:rPr>
        <w:t xml:space="preserve"> the obligation of the States Parties to respect and to ensure the free and full exercise of the rights and freedoms recognized therein</w:t>
      </w:r>
      <w:r w:rsidR="00005015" w:rsidRPr="00CE23AE">
        <w:rPr>
          <w:lang w:val="en-US"/>
        </w:rPr>
        <w:t xml:space="preserve"> “</w:t>
      </w:r>
      <w:r w:rsidR="002C70D8" w:rsidRPr="00CE23AE">
        <w:rPr>
          <w:lang w:val="en-US"/>
        </w:rPr>
        <w:t xml:space="preserve">without any </w:t>
      </w:r>
      <w:r w:rsidR="00FA0123" w:rsidRPr="00CE23AE">
        <w:rPr>
          <w:lang w:val="en-US"/>
        </w:rPr>
        <w:t>discrimination</w:t>
      </w:r>
      <w:r w:rsidR="002C70D8" w:rsidRPr="00CE23AE">
        <w:rPr>
          <w:lang w:val="en-US"/>
        </w:rPr>
        <w:t>.</w:t>
      </w:r>
      <w:r w:rsidR="00005015" w:rsidRPr="00CE23AE">
        <w:rPr>
          <w:lang w:val="en-US"/>
        </w:rPr>
        <w:t>”</w:t>
      </w:r>
      <w:r w:rsidR="002C70D8" w:rsidRPr="00CE23AE">
        <w:rPr>
          <w:lang w:val="en-US"/>
        </w:rPr>
        <w:t xml:space="preserve"> In other words, whatever its origin or form, any treatment that may be considered discriminatory in </w:t>
      </w:r>
      <w:r w:rsidR="002C70D8" w:rsidRPr="00CE23AE">
        <w:rPr>
          <w:lang w:val="en-US"/>
        </w:rPr>
        <w:lastRenderedPageBreak/>
        <w:t xml:space="preserve">relation to the exercise of any of the rights guaranteed in the Convention is </w:t>
      </w:r>
      <w:r w:rsidR="002C70D8" w:rsidRPr="00CE23AE">
        <w:rPr>
          <w:i/>
          <w:lang w:val="en-US"/>
        </w:rPr>
        <w:t>per se</w:t>
      </w:r>
      <w:r w:rsidR="002C70D8" w:rsidRPr="00CE23AE">
        <w:rPr>
          <w:iCs/>
          <w:lang w:val="en-US"/>
        </w:rPr>
        <w:t xml:space="preserve"> incompatible with it.</w:t>
      </w:r>
      <w:bookmarkStart w:id="324" w:name="_Ref318125325"/>
      <w:r w:rsidR="00005015" w:rsidRPr="00CE23AE">
        <w:rPr>
          <w:rStyle w:val="Refdenotaalpie"/>
          <w:lang w:val="en-US"/>
        </w:rPr>
        <w:footnoteReference w:id="159"/>
      </w:r>
      <w:bookmarkEnd w:id="324"/>
      <w:r w:rsidR="002C70D8" w:rsidRPr="00CE23AE">
        <w:rPr>
          <w:lang w:val="en-US"/>
        </w:rPr>
        <w:t xml:space="preserve"> Non-compliance by the State of the general obligation to respect and to ensure the human rights</w:t>
      </w:r>
      <w:r w:rsidR="008A0D3B" w:rsidRPr="00CE23AE">
        <w:rPr>
          <w:lang w:val="en-US"/>
        </w:rPr>
        <w:t xml:space="preserve"> owing to any discriminatory treatment</w:t>
      </w:r>
      <w:r w:rsidR="002C70D8" w:rsidRPr="00CE23AE">
        <w:rPr>
          <w:lang w:val="en-US"/>
        </w:rPr>
        <w:t xml:space="preserve"> entails its </w:t>
      </w:r>
      <w:r w:rsidR="00000AE1" w:rsidRPr="00CE23AE">
        <w:rPr>
          <w:rFonts w:cs="Arial"/>
          <w:lang w:val="en-US"/>
        </w:rPr>
        <w:t>international responsibility</w:t>
      </w:r>
      <w:r w:rsidR="002C70D8" w:rsidRPr="00CE23AE">
        <w:rPr>
          <w:rFonts w:cs="Arial"/>
          <w:lang w:val="en-US"/>
        </w:rPr>
        <w:t>.</w:t>
      </w:r>
      <w:r w:rsidR="00005015" w:rsidRPr="00CE23AE">
        <w:rPr>
          <w:rFonts w:cs="Arial"/>
          <w:vertAlign w:val="superscript"/>
          <w:lang w:val="en-US"/>
        </w:rPr>
        <w:footnoteReference w:id="160"/>
      </w:r>
      <w:r w:rsidR="002C70D8" w:rsidRPr="00CE23AE">
        <w:rPr>
          <w:rFonts w:cs="Arial"/>
          <w:lang w:val="en-US"/>
        </w:rPr>
        <w:t xml:space="preserve"> This is why there is an indissoluble connection between the obligation to respect and to ensure human rights and the principle of equality </w:t>
      </w:r>
      <w:r w:rsidRPr="00CE23AE">
        <w:rPr>
          <w:rFonts w:cs="Arial"/>
          <w:lang w:val="en-US"/>
        </w:rPr>
        <w:t xml:space="preserve">and </w:t>
      </w:r>
      <w:r w:rsidR="00FA0123" w:rsidRPr="00CE23AE">
        <w:rPr>
          <w:rFonts w:cs="Arial"/>
          <w:lang w:val="en-US"/>
        </w:rPr>
        <w:t>non-discrimination</w:t>
      </w:r>
      <w:r w:rsidR="002C70D8" w:rsidRPr="00CE23AE">
        <w:rPr>
          <w:rFonts w:cs="Arial"/>
          <w:lang w:val="en-US"/>
        </w:rPr>
        <w:t>.</w:t>
      </w:r>
      <w:r w:rsidR="00005015" w:rsidRPr="00CE23AE">
        <w:rPr>
          <w:rFonts w:cs="Arial"/>
          <w:vertAlign w:val="superscript"/>
          <w:lang w:val="en-US"/>
        </w:rPr>
        <w:footnoteReference w:id="161"/>
      </w:r>
    </w:p>
    <w:p w14:paraId="564A2713" w14:textId="77777777" w:rsidR="00005015" w:rsidRPr="00CE23AE" w:rsidRDefault="00005015" w:rsidP="00005015">
      <w:pPr>
        <w:pStyle w:val="Prrafodelista"/>
        <w:rPr>
          <w:lang w:val="en-US"/>
        </w:rPr>
      </w:pPr>
    </w:p>
    <w:p w14:paraId="75C9EA54" w14:textId="6FBDAB7C" w:rsidR="00005015" w:rsidRPr="00CE23AE" w:rsidRDefault="002C70D8" w:rsidP="00005015">
      <w:pPr>
        <w:pStyle w:val="PrrafodeSentencia"/>
        <w:rPr>
          <w:lang w:val="en-US" w:eastAsia="es-ES"/>
        </w:rPr>
      </w:pPr>
      <w:r w:rsidRPr="00CE23AE">
        <w:rPr>
          <w:lang w:val="en-US"/>
        </w:rPr>
        <w:t xml:space="preserve">While the general obligation under </w:t>
      </w:r>
      <w:r w:rsidR="00996128" w:rsidRPr="00CE23AE">
        <w:rPr>
          <w:lang w:val="en-US"/>
        </w:rPr>
        <w:t>Article</w:t>
      </w:r>
      <w:r w:rsidR="00C561DF" w:rsidRPr="00CE23AE">
        <w:rPr>
          <w:lang w:val="en-US"/>
        </w:rPr>
        <w:t xml:space="preserve"> 1(1)</w:t>
      </w:r>
      <w:r w:rsidR="00005015" w:rsidRPr="00CE23AE">
        <w:rPr>
          <w:lang w:val="en-US"/>
        </w:rPr>
        <w:t xml:space="preserve"> </w:t>
      </w:r>
      <w:r w:rsidRPr="00CE23AE">
        <w:rPr>
          <w:lang w:val="en-US"/>
        </w:rPr>
        <w:t>refers to the duty of the State</w:t>
      </w:r>
      <w:r w:rsidR="008A0D3B" w:rsidRPr="00CE23AE">
        <w:rPr>
          <w:lang w:val="en-US"/>
        </w:rPr>
        <w:t>s</w:t>
      </w:r>
      <w:r w:rsidRPr="00CE23AE">
        <w:rPr>
          <w:lang w:val="en-US"/>
        </w:rPr>
        <w:t xml:space="preserve"> to respect and to guarantee “without </w:t>
      </w:r>
      <w:r w:rsidR="00FA0123" w:rsidRPr="00CE23AE">
        <w:rPr>
          <w:lang w:val="en-US"/>
        </w:rPr>
        <w:t>discrimination</w:t>
      </w:r>
      <w:r w:rsidR="00005015" w:rsidRPr="00CE23AE">
        <w:rPr>
          <w:lang w:val="en-US"/>
        </w:rPr>
        <w:t xml:space="preserve">” </w:t>
      </w:r>
      <w:r w:rsidRPr="00CE23AE">
        <w:rPr>
          <w:lang w:val="en-US"/>
        </w:rPr>
        <w:t xml:space="preserve">the rights contained in </w:t>
      </w:r>
      <w:r w:rsidR="00C561DF" w:rsidRPr="00CE23AE">
        <w:rPr>
          <w:lang w:val="en-US"/>
        </w:rPr>
        <w:t>the American Convention</w:t>
      </w:r>
      <w:r w:rsidR="00005015" w:rsidRPr="00CE23AE">
        <w:rPr>
          <w:lang w:val="en-US"/>
        </w:rPr>
        <w:t xml:space="preserve">, </w:t>
      </w:r>
      <w:r w:rsidR="00C561DF" w:rsidRPr="00CE23AE">
        <w:rPr>
          <w:lang w:val="en-US"/>
        </w:rPr>
        <w:t>Article</w:t>
      </w:r>
      <w:r w:rsidR="00005015" w:rsidRPr="00CE23AE">
        <w:rPr>
          <w:lang w:val="en-US"/>
        </w:rPr>
        <w:t xml:space="preserve"> 24 prote</w:t>
      </w:r>
      <w:r w:rsidRPr="00CE23AE">
        <w:rPr>
          <w:lang w:val="en-US"/>
        </w:rPr>
        <w:t>cts the right to “equal protection of the law.</w:t>
      </w:r>
      <w:r w:rsidR="00005015" w:rsidRPr="00CE23AE">
        <w:rPr>
          <w:lang w:val="en-US"/>
        </w:rPr>
        <w:t>”</w:t>
      </w:r>
      <w:bookmarkStart w:id="325" w:name="_Ref318127313"/>
      <w:r w:rsidR="00005015" w:rsidRPr="00CE23AE">
        <w:rPr>
          <w:rStyle w:val="Refdenotaalpie"/>
          <w:lang w:val="en-US"/>
        </w:rPr>
        <w:footnoteReference w:id="162"/>
      </w:r>
      <w:bookmarkEnd w:id="325"/>
      <w:r w:rsidR="00005015" w:rsidRPr="00CE23AE">
        <w:rPr>
          <w:lang w:val="en-US"/>
        </w:rPr>
        <w:t xml:space="preserve"> </w:t>
      </w:r>
      <w:r w:rsidRPr="00CE23AE">
        <w:rPr>
          <w:lang w:val="en-US"/>
        </w:rPr>
        <w:t>That is,</w:t>
      </w:r>
      <w:r w:rsidR="00005015" w:rsidRPr="00CE23AE">
        <w:rPr>
          <w:lang w:val="en-US"/>
        </w:rPr>
        <w:t xml:space="preserve"> </w:t>
      </w:r>
      <w:r w:rsidR="00C561DF" w:rsidRPr="00CE23AE">
        <w:rPr>
          <w:lang w:val="en-US"/>
        </w:rPr>
        <w:t>Article</w:t>
      </w:r>
      <w:r w:rsidR="00005015" w:rsidRPr="00CE23AE">
        <w:rPr>
          <w:lang w:val="en-US"/>
        </w:rPr>
        <w:t xml:space="preserve"> 24</w:t>
      </w:r>
      <w:r w:rsidR="00C561DF" w:rsidRPr="00CE23AE">
        <w:rPr>
          <w:lang w:val="en-US"/>
        </w:rPr>
        <w:t xml:space="preserve"> of the American Convention</w:t>
      </w:r>
      <w:r w:rsidR="00005015" w:rsidRPr="00CE23AE">
        <w:rPr>
          <w:lang w:val="en-US"/>
        </w:rPr>
        <w:t xml:space="preserve"> pro</w:t>
      </w:r>
      <w:r w:rsidRPr="00CE23AE">
        <w:rPr>
          <w:lang w:val="en-US"/>
        </w:rPr>
        <w:t xml:space="preserve">hibits </w:t>
      </w:r>
      <w:r w:rsidR="008A0D3B" w:rsidRPr="00CE23AE">
        <w:rPr>
          <w:i/>
          <w:iCs/>
          <w:lang w:val="en-US"/>
        </w:rPr>
        <w:t xml:space="preserve">de jure </w:t>
      </w:r>
      <w:r w:rsidR="008A0D3B" w:rsidRPr="00CE23AE">
        <w:rPr>
          <w:lang w:val="en-US"/>
        </w:rPr>
        <w:t>discrimination</w:t>
      </w:r>
      <w:r w:rsidRPr="00CE23AE">
        <w:rPr>
          <w:lang w:val="en-US"/>
        </w:rPr>
        <w:t>, not only with regard to the rights contain in this treaty, but with regard to all the laws enacted by the State and their enforcement.</w:t>
      </w:r>
      <w:r w:rsidR="00005015" w:rsidRPr="00CE23AE">
        <w:rPr>
          <w:rFonts w:eastAsia="Calibri"/>
          <w:spacing w:val="-2"/>
          <w:vertAlign w:val="superscript"/>
          <w:lang w:val="en-US"/>
        </w:rPr>
        <w:footnoteReference w:id="163"/>
      </w:r>
      <w:r w:rsidRPr="00CE23AE">
        <w:rPr>
          <w:lang w:val="en-US"/>
        </w:rPr>
        <w:t xml:space="preserve"> In other words, if a State discriminates in the respect and guarantee of a Convention right, it will be in non-compliance with the obligation established in </w:t>
      </w:r>
      <w:r w:rsidR="00C561DF" w:rsidRPr="00CE23AE">
        <w:rPr>
          <w:lang w:val="en-US" w:eastAsia="es-ES"/>
        </w:rPr>
        <w:t>Article 1(1) and</w:t>
      </w:r>
      <w:r w:rsidRPr="00CE23AE">
        <w:rPr>
          <w:lang w:val="en-US" w:eastAsia="es-ES"/>
        </w:rPr>
        <w:t xml:space="preserve"> the substantive right in question. If, to the contrary, the discrimination refers to an unequal protection of the domestic law or its enforcement, the fact must be examined in light </w:t>
      </w:r>
      <w:r w:rsidR="00996128" w:rsidRPr="00CE23AE">
        <w:rPr>
          <w:lang w:val="en-US" w:eastAsia="es-ES"/>
        </w:rPr>
        <w:t>of Article</w:t>
      </w:r>
      <w:r w:rsidR="00005015" w:rsidRPr="00CE23AE">
        <w:rPr>
          <w:lang w:val="en-US" w:eastAsia="es-ES"/>
        </w:rPr>
        <w:t xml:space="preserve"> 24</w:t>
      </w:r>
      <w:r w:rsidR="00C561DF" w:rsidRPr="00CE23AE">
        <w:rPr>
          <w:lang w:val="en-US" w:eastAsia="es-ES"/>
        </w:rPr>
        <w:t xml:space="preserve"> of the American Convention</w:t>
      </w:r>
      <w:bookmarkStart w:id="326" w:name="_Ref318128267"/>
      <w:r w:rsidR="00005015" w:rsidRPr="00CE23AE">
        <w:rPr>
          <w:rStyle w:val="Refdenotaalpie"/>
          <w:lang w:val="en-US" w:eastAsia="es-ES"/>
        </w:rPr>
        <w:footnoteReference w:id="164"/>
      </w:r>
      <w:bookmarkEnd w:id="326"/>
      <w:r w:rsidR="00005015" w:rsidRPr="00CE23AE">
        <w:rPr>
          <w:lang w:val="en-US" w:eastAsia="es-ES"/>
        </w:rPr>
        <w:t xml:space="preserve"> </w:t>
      </w:r>
      <w:r w:rsidRPr="00CE23AE">
        <w:rPr>
          <w:lang w:val="en-US" w:eastAsia="es-ES"/>
        </w:rPr>
        <w:t xml:space="preserve">in relation to the categories protected by </w:t>
      </w:r>
      <w:r w:rsidR="00C561DF" w:rsidRPr="00CE23AE">
        <w:rPr>
          <w:lang w:val="en-US" w:eastAsia="es-ES"/>
        </w:rPr>
        <w:t>Article 1(1) of the Convention</w:t>
      </w:r>
      <w:r w:rsidR="00005015" w:rsidRPr="00CE23AE">
        <w:rPr>
          <w:lang w:val="en-US" w:eastAsia="es-ES"/>
        </w:rPr>
        <w:t>.</w:t>
      </w:r>
      <w:r w:rsidR="00005015" w:rsidRPr="00CE23AE">
        <w:rPr>
          <w:rFonts w:ascii="Times New Roman" w:eastAsia="Calibri" w:hAnsi="Times New Roman"/>
          <w:lang w:val="en-US" w:eastAsia="es-CR"/>
        </w:rPr>
        <w:t xml:space="preserve"> </w:t>
      </w:r>
    </w:p>
    <w:p w14:paraId="5E2F7DF8" w14:textId="77777777" w:rsidR="00005015" w:rsidRPr="00CE23AE" w:rsidRDefault="00005015" w:rsidP="00005015">
      <w:pPr>
        <w:pStyle w:val="PrrafodeSentencia"/>
        <w:numPr>
          <w:ilvl w:val="0"/>
          <w:numId w:val="0"/>
        </w:numPr>
        <w:rPr>
          <w:lang w:val="en-US" w:eastAsia="es-ES"/>
        </w:rPr>
      </w:pPr>
    </w:p>
    <w:p w14:paraId="5F006AAF" w14:textId="1A507323" w:rsidR="00005015" w:rsidRPr="00CE23AE" w:rsidRDefault="002C70D8" w:rsidP="002C70D8">
      <w:pPr>
        <w:pStyle w:val="PrrafodeSentencia"/>
        <w:rPr>
          <w:lang w:val="en-US" w:eastAsia="es-ES"/>
        </w:rPr>
      </w:pPr>
      <w:r w:rsidRPr="00CE23AE">
        <w:rPr>
          <w:lang w:val="en-US" w:eastAsia="es-ES"/>
        </w:rPr>
        <w:t>In the instant case</w:t>
      </w:r>
      <w:r w:rsidR="00005015" w:rsidRPr="00CE23AE">
        <w:rPr>
          <w:lang w:val="en-US" w:eastAsia="es-ES"/>
        </w:rPr>
        <w:t xml:space="preserve">, </w:t>
      </w:r>
      <w:r w:rsidR="00C561DF" w:rsidRPr="00CE23AE">
        <w:rPr>
          <w:lang w:val="en-US" w:eastAsia="es-ES"/>
        </w:rPr>
        <w:t>the representative and the Commission</w:t>
      </w:r>
      <w:r w:rsidR="00005015" w:rsidRPr="00CE23AE">
        <w:rPr>
          <w:lang w:val="en-US" w:eastAsia="es-ES"/>
        </w:rPr>
        <w:t xml:space="preserve"> </w:t>
      </w:r>
      <w:r w:rsidRPr="00CE23AE">
        <w:rPr>
          <w:lang w:val="en-US" w:eastAsia="es-ES"/>
        </w:rPr>
        <w:t>have argued that</w:t>
      </w:r>
      <w:r w:rsidR="00005015" w:rsidRPr="00CE23AE">
        <w:rPr>
          <w:lang w:val="en-US" w:eastAsia="es-ES"/>
        </w:rPr>
        <w:t xml:space="preserve"> </w:t>
      </w:r>
      <w:r w:rsidR="00C561DF" w:rsidRPr="00CE23AE">
        <w:rPr>
          <w:lang w:val="en-US" w:eastAsia="es-ES"/>
        </w:rPr>
        <w:t>the State</w:t>
      </w:r>
      <w:r w:rsidR="00005015" w:rsidRPr="00CE23AE">
        <w:rPr>
          <w:lang w:val="en-US" w:eastAsia="es-ES"/>
        </w:rPr>
        <w:t xml:space="preserve"> </w:t>
      </w:r>
      <w:r w:rsidRPr="00CE23AE">
        <w:rPr>
          <w:lang w:val="en-US" w:eastAsia="es-ES"/>
        </w:rPr>
        <w:t xml:space="preserve">allegedly violated the principle of equality </w:t>
      </w:r>
      <w:r w:rsidR="00C561DF" w:rsidRPr="00CE23AE">
        <w:rPr>
          <w:lang w:val="en-US" w:eastAsia="es-ES"/>
        </w:rPr>
        <w:t xml:space="preserve">and </w:t>
      </w:r>
      <w:r w:rsidR="00FA0123" w:rsidRPr="00CE23AE">
        <w:rPr>
          <w:lang w:val="en-US" w:eastAsia="es-ES"/>
        </w:rPr>
        <w:t>non-discrimination</w:t>
      </w:r>
      <w:r w:rsidR="00005015" w:rsidRPr="00CE23AE">
        <w:rPr>
          <w:lang w:val="en-US" w:eastAsia="es-ES"/>
        </w:rPr>
        <w:t xml:space="preserve"> </w:t>
      </w:r>
      <w:r w:rsidRPr="00CE23AE">
        <w:rPr>
          <w:lang w:val="en-US" w:eastAsia="es-ES"/>
        </w:rPr>
        <w:t>owing to the existence and enforcement of a</w:t>
      </w:r>
      <w:r w:rsidR="00C561DF" w:rsidRPr="00CE23AE">
        <w:rPr>
          <w:lang w:val="en-US" w:eastAsia="es-ES"/>
        </w:rPr>
        <w:t>rticles</w:t>
      </w:r>
      <w:r w:rsidR="00005015" w:rsidRPr="00CE23AE">
        <w:rPr>
          <w:lang w:val="en-US" w:eastAsia="es-ES"/>
        </w:rPr>
        <w:t xml:space="preserve"> 117</w:t>
      </w:r>
      <w:r w:rsidR="00C561DF" w:rsidRPr="00CE23AE">
        <w:rPr>
          <w:lang w:val="en-US" w:eastAsia="es-ES"/>
        </w:rPr>
        <w:t xml:space="preserve"> of the </w:t>
      </w:r>
      <w:r w:rsidR="009C5D46" w:rsidRPr="00CE23AE">
        <w:rPr>
          <w:lang w:val="en-US"/>
        </w:rPr>
        <w:t>Military Discipline Regulations</w:t>
      </w:r>
      <w:r w:rsidR="00C561DF" w:rsidRPr="00CE23AE">
        <w:rPr>
          <w:lang w:val="en-US"/>
        </w:rPr>
        <w:t xml:space="preserve"> and </w:t>
      </w:r>
      <w:r w:rsidR="00005015" w:rsidRPr="00CE23AE">
        <w:rPr>
          <w:lang w:val="en-US"/>
        </w:rPr>
        <w:t>87 (i)</w:t>
      </w:r>
      <w:r w:rsidR="008B76F3" w:rsidRPr="00CE23AE">
        <w:rPr>
          <w:lang w:val="en-US"/>
        </w:rPr>
        <w:t xml:space="preserve"> of the Law on Armed Forces Personnel</w:t>
      </w:r>
      <w:r w:rsidR="00005015" w:rsidRPr="00CE23AE">
        <w:rPr>
          <w:lang w:val="en-US"/>
        </w:rPr>
        <w:t xml:space="preserve">, </w:t>
      </w:r>
      <w:r w:rsidRPr="00CE23AE">
        <w:rPr>
          <w:lang w:val="en-US"/>
        </w:rPr>
        <w:t xml:space="preserve">which imposed an unequal and discriminatory treatment by reason of </w:t>
      </w:r>
      <w:r w:rsidR="001E60E2" w:rsidRPr="00CE23AE">
        <w:rPr>
          <w:lang w:val="en-US"/>
        </w:rPr>
        <w:t>an</w:t>
      </w:r>
      <w:r w:rsidRPr="00CE23AE">
        <w:rPr>
          <w:lang w:val="en-US"/>
        </w:rPr>
        <w:t xml:space="preserve"> </w:t>
      </w:r>
      <w:r w:rsidR="004570C1" w:rsidRPr="00CE23AE">
        <w:rPr>
          <w:lang w:val="en-US"/>
        </w:rPr>
        <w:t>actual or perceived</w:t>
      </w:r>
      <w:r w:rsidRPr="00CE23AE">
        <w:rPr>
          <w:lang w:val="en-US"/>
        </w:rPr>
        <w:t xml:space="preserve"> sexual orientation, </w:t>
      </w:r>
      <w:r w:rsidR="008A0D3B" w:rsidRPr="00CE23AE">
        <w:rPr>
          <w:lang w:val="en-US"/>
        </w:rPr>
        <w:t>compared to</w:t>
      </w:r>
      <w:r w:rsidRPr="00CE23AE">
        <w:rPr>
          <w:lang w:val="en-US"/>
        </w:rPr>
        <w:t xml:space="preserve"> article 67 of the same </w:t>
      </w:r>
      <w:r w:rsidR="008A0D3B" w:rsidRPr="00CE23AE">
        <w:rPr>
          <w:lang w:val="en-US"/>
        </w:rPr>
        <w:t>r</w:t>
      </w:r>
      <w:r w:rsidRPr="00CE23AE">
        <w:rPr>
          <w:lang w:val="en-US"/>
        </w:rPr>
        <w:t xml:space="preserve">egulations that was applicable to non-homosexual sexual acts. </w:t>
      </w:r>
      <w:r w:rsidR="008A0D3B" w:rsidRPr="00CE23AE">
        <w:rPr>
          <w:lang w:val="en-US"/>
        </w:rPr>
        <w:t>Considering</w:t>
      </w:r>
      <w:r w:rsidRPr="00CE23AE">
        <w:rPr>
          <w:lang w:val="en-US"/>
        </w:rPr>
        <w:t xml:space="preserve"> that the alleged discrimination refers to a presumed unequal treatment based on a domestic law, the Court must examine th</w:t>
      </w:r>
      <w:r w:rsidR="008A0D3B" w:rsidRPr="00CE23AE">
        <w:rPr>
          <w:lang w:val="en-US"/>
        </w:rPr>
        <w:t>e</w:t>
      </w:r>
      <w:r w:rsidRPr="00CE23AE">
        <w:rPr>
          <w:lang w:val="en-US"/>
        </w:rPr>
        <w:t xml:space="preserve"> facts in light of the right to equality before the law recognized in</w:t>
      </w:r>
      <w:r w:rsidRPr="00CE23AE">
        <w:rPr>
          <w:lang w:val="en-US" w:eastAsia="es-ES"/>
        </w:rPr>
        <w:t xml:space="preserve"> </w:t>
      </w:r>
      <w:r w:rsidR="00C561DF" w:rsidRPr="00CE23AE">
        <w:rPr>
          <w:lang w:val="en-US"/>
        </w:rPr>
        <w:t>Article</w:t>
      </w:r>
      <w:r w:rsidR="00005015" w:rsidRPr="00CE23AE">
        <w:rPr>
          <w:lang w:val="en-US"/>
        </w:rPr>
        <w:t xml:space="preserve"> 24</w:t>
      </w:r>
      <w:r w:rsidR="00C561DF" w:rsidRPr="00CE23AE">
        <w:rPr>
          <w:lang w:val="en-US"/>
        </w:rPr>
        <w:t xml:space="preserve"> of the American Convention</w:t>
      </w:r>
      <w:r w:rsidR="00005015" w:rsidRPr="00CE23AE">
        <w:rPr>
          <w:lang w:val="en-US"/>
        </w:rPr>
        <w:t xml:space="preserve">. </w:t>
      </w:r>
    </w:p>
    <w:p w14:paraId="2E09A261" w14:textId="77777777" w:rsidR="00005015" w:rsidRPr="00CE23AE" w:rsidRDefault="00005015" w:rsidP="00005015">
      <w:pPr>
        <w:pStyle w:val="PrrafodeSentencia"/>
        <w:numPr>
          <w:ilvl w:val="0"/>
          <w:numId w:val="0"/>
        </w:numPr>
        <w:rPr>
          <w:lang w:val="en-US" w:eastAsia="es-ES"/>
        </w:rPr>
      </w:pPr>
    </w:p>
    <w:p w14:paraId="42A71ECE" w14:textId="5280251A" w:rsidR="00005015" w:rsidRPr="00CE23AE" w:rsidRDefault="00005015" w:rsidP="00005015">
      <w:pPr>
        <w:pStyle w:val="Ttulo3"/>
        <w:rPr>
          <w:lang w:val="en-US"/>
        </w:rPr>
      </w:pPr>
      <w:bookmarkStart w:id="327" w:name="_Toc453874341"/>
      <w:bookmarkStart w:id="328" w:name="_Toc454891502"/>
      <w:bookmarkStart w:id="329" w:name="_Toc457840605"/>
      <w:bookmarkStart w:id="330" w:name="_Toc460398541"/>
      <w:bookmarkStart w:id="331" w:name="_Toc460398710"/>
      <w:bookmarkStart w:id="332" w:name="_Toc464474994"/>
      <w:bookmarkStart w:id="333" w:name="_Toc46388381"/>
      <w:r w:rsidRPr="00CE23AE">
        <w:rPr>
          <w:lang w:val="en-US"/>
        </w:rPr>
        <w:t xml:space="preserve">B.2 </w:t>
      </w:r>
      <w:r w:rsidR="009E0CD2" w:rsidRPr="00CE23AE">
        <w:rPr>
          <w:lang w:val="en-US"/>
        </w:rPr>
        <w:t>Right to equality before the law in this case</w:t>
      </w:r>
      <w:bookmarkEnd w:id="327"/>
      <w:bookmarkEnd w:id="328"/>
      <w:bookmarkEnd w:id="329"/>
      <w:bookmarkEnd w:id="330"/>
      <w:bookmarkEnd w:id="331"/>
      <w:bookmarkEnd w:id="332"/>
      <w:bookmarkEnd w:id="333"/>
      <w:r w:rsidRPr="00CE23AE">
        <w:rPr>
          <w:lang w:val="en-US"/>
        </w:rPr>
        <w:t xml:space="preserve"> </w:t>
      </w:r>
    </w:p>
    <w:p w14:paraId="2055AE30" w14:textId="77777777" w:rsidR="00005015" w:rsidRPr="00CE23AE" w:rsidRDefault="00005015" w:rsidP="00005015">
      <w:pPr>
        <w:rPr>
          <w:lang w:val="en-US" w:eastAsia="x-none"/>
        </w:rPr>
      </w:pPr>
    </w:p>
    <w:p w14:paraId="120829C1" w14:textId="3FDEED50" w:rsidR="00005015" w:rsidRPr="00CE23AE" w:rsidRDefault="00934030" w:rsidP="00934030">
      <w:pPr>
        <w:pStyle w:val="PrrafodeSentencia"/>
        <w:rPr>
          <w:lang w:val="en-US"/>
        </w:rPr>
      </w:pPr>
      <w:r w:rsidRPr="00CE23AE">
        <w:rPr>
          <w:lang w:val="en-US"/>
        </w:rPr>
        <w:t xml:space="preserve">The Court will now examine whether the said norms </w:t>
      </w:r>
      <w:r w:rsidR="00005015" w:rsidRPr="00CE23AE">
        <w:rPr>
          <w:lang w:val="en-US"/>
        </w:rPr>
        <w:t>(</w:t>
      </w:r>
      <w:r w:rsidRPr="00CE23AE">
        <w:rPr>
          <w:lang w:val="en-US"/>
        </w:rPr>
        <w:t>a</w:t>
      </w:r>
      <w:r w:rsidR="00C561DF" w:rsidRPr="00CE23AE">
        <w:rPr>
          <w:lang w:val="en-US"/>
        </w:rPr>
        <w:t>rticles</w:t>
      </w:r>
      <w:r w:rsidR="00005015" w:rsidRPr="00CE23AE">
        <w:rPr>
          <w:lang w:val="en-US"/>
        </w:rPr>
        <w:t xml:space="preserve"> 67</w:t>
      </w:r>
      <w:r w:rsidRPr="00CE23AE">
        <w:rPr>
          <w:lang w:val="en-US"/>
        </w:rPr>
        <w:t xml:space="preserve"> and</w:t>
      </w:r>
      <w:r w:rsidR="00005015" w:rsidRPr="00CE23AE">
        <w:rPr>
          <w:lang w:val="en-US"/>
        </w:rPr>
        <w:t xml:space="preserve"> 117</w:t>
      </w:r>
      <w:r w:rsidR="00C561DF" w:rsidRPr="00CE23AE">
        <w:rPr>
          <w:lang w:val="en-US"/>
        </w:rPr>
        <w:t xml:space="preserve"> of the </w:t>
      </w:r>
      <w:r w:rsidR="009C5D46" w:rsidRPr="00CE23AE">
        <w:rPr>
          <w:lang w:val="en-US"/>
        </w:rPr>
        <w:t>Military Discipline Regulations</w:t>
      </w:r>
      <w:r w:rsidRPr="00CE23AE">
        <w:rPr>
          <w:lang w:val="en-US"/>
        </w:rPr>
        <w:t xml:space="preserve"> </w:t>
      </w:r>
      <w:r w:rsidR="00C561DF" w:rsidRPr="00CE23AE">
        <w:rPr>
          <w:lang w:val="en-US"/>
        </w:rPr>
        <w:t xml:space="preserve">and </w:t>
      </w:r>
      <w:r w:rsidRPr="00CE23AE">
        <w:rPr>
          <w:lang w:val="en-US"/>
        </w:rPr>
        <w:t>a</w:t>
      </w:r>
      <w:r w:rsidR="00C561DF" w:rsidRPr="00CE23AE">
        <w:rPr>
          <w:lang w:val="en-US"/>
        </w:rPr>
        <w:t>rticle</w:t>
      </w:r>
      <w:r w:rsidR="00005015" w:rsidRPr="00CE23AE">
        <w:rPr>
          <w:lang w:val="en-US"/>
        </w:rPr>
        <w:t xml:space="preserve"> 87(i)</w:t>
      </w:r>
      <w:r w:rsidR="008B76F3" w:rsidRPr="00CE23AE">
        <w:rPr>
          <w:lang w:val="en-US"/>
        </w:rPr>
        <w:t xml:space="preserve"> of the Law on Armed Forces Personnel</w:t>
      </w:r>
      <w:r w:rsidR="00005015" w:rsidRPr="00CE23AE">
        <w:rPr>
          <w:lang w:val="en-US"/>
        </w:rPr>
        <w:t xml:space="preserve">) </w:t>
      </w:r>
      <w:r w:rsidRPr="00CE23AE">
        <w:rPr>
          <w:lang w:val="en-US"/>
        </w:rPr>
        <w:t xml:space="preserve">were discriminatory in light of </w:t>
      </w:r>
      <w:r w:rsidR="00C561DF" w:rsidRPr="00CE23AE">
        <w:rPr>
          <w:lang w:val="en-US"/>
        </w:rPr>
        <w:t>Article</w:t>
      </w:r>
      <w:r w:rsidR="00005015" w:rsidRPr="00CE23AE">
        <w:rPr>
          <w:lang w:val="en-US"/>
        </w:rPr>
        <w:t xml:space="preserve"> 24</w:t>
      </w:r>
      <w:r w:rsidR="00C561DF" w:rsidRPr="00CE23AE">
        <w:rPr>
          <w:lang w:val="en-US"/>
        </w:rPr>
        <w:t xml:space="preserve"> of the Convention</w:t>
      </w:r>
      <w:r w:rsidR="00005015" w:rsidRPr="00CE23AE">
        <w:rPr>
          <w:lang w:val="en-US"/>
        </w:rPr>
        <w:t xml:space="preserve"> </w:t>
      </w:r>
      <w:r w:rsidRPr="00CE23AE">
        <w:rPr>
          <w:lang w:val="en-US"/>
        </w:rPr>
        <w:t>in relation to</w:t>
      </w:r>
      <w:r w:rsidR="00005015" w:rsidRPr="00CE23AE">
        <w:rPr>
          <w:lang w:val="en-US"/>
        </w:rPr>
        <w:t xml:space="preserve"> </w:t>
      </w:r>
      <w:r w:rsidR="00C561DF" w:rsidRPr="00CE23AE">
        <w:rPr>
          <w:lang w:val="en-US"/>
        </w:rPr>
        <w:t xml:space="preserve">Articles 1(1) and </w:t>
      </w:r>
      <w:r w:rsidR="00005015" w:rsidRPr="00CE23AE">
        <w:rPr>
          <w:lang w:val="en-US"/>
        </w:rPr>
        <w:t xml:space="preserve">2 </w:t>
      </w:r>
      <w:r w:rsidR="00C561DF" w:rsidRPr="00CE23AE">
        <w:rPr>
          <w:lang w:val="en-US"/>
        </w:rPr>
        <w:t>of this instrument</w:t>
      </w:r>
      <w:r w:rsidR="00005015" w:rsidRPr="00CE23AE">
        <w:rPr>
          <w:lang w:val="en-US"/>
        </w:rPr>
        <w:t xml:space="preserve">. </w:t>
      </w:r>
      <w:r w:rsidRPr="00CE23AE">
        <w:rPr>
          <w:lang w:val="en-US"/>
        </w:rPr>
        <w:t>To make this analysis, the Court will determine: (</w:t>
      </w:r>
      <w:r w:rsidR="00005015" w:rsidRPr="00CE23AE">
        <w:rPr>
          <w:lang w:val="en-US"/>
        </w:rPr>
        <w:t xml:space="preserve">a) </w:t>
      </w:r>
      <w:r w:rsidRPr="00CE23AE">
        <w:rPr>
          <w:lang w:val="en-US"/>
        </w:rPr>
        <w:t xml:space="preserve">whether these articles established a difference in treatment; (b) whether that difference in treatment referred to categories protected by </w:t>
      </w:r>
      <w:r w:rsidR="00C561DF" w:rsidRPr="00CE23AE">
        <w:rPr>
          <w:lang w:val="en-US"/>
        </w:rPr>
        <w:t>Article 1(1) of the American Convention</w:t>
      </w:r>
      <w:r w:rsidR="00005015" w:rsidRPr="00CE23AE">
        <w:rPr>
          <w:lang w:val="en-US"/>
        </w:rPr>
        <w:t>,</w:t>
      </w:r>
      <w:r w:rsidR="00C561DF" w:rsidRPr="00CE23AE">
        <w:rPr>
          <w:lang w:val="en-US"/>
        </w:rPr>
        <w:t xml:space="preserve"> and </w:t>
      </w:r>
      <w:r w:rsidRPr="00CE23AE">
        <w:rPr>
          <w:lang w:val="en-US"/>
        </w:rPr>
        <w:t>(</w:t>
      </w:r>
      <w:r w:rsidR="00005015" w:rsidRPr="00CE23AE">
        <w:rPr>
          <w:lang w:val="en-US"/>
        </w:rPr>
        <w:t xml:space="preserve">c) </w:t>
      </w:r>
      <w:r w:rsidRPr="00CE23AE">
        <w:rPr>
          <w:lang w:val="en-US"/>
        </w:rPr>
        <w:t xml:space="preserve">whether that difference </w:t>
      </w:r>
      <w:r w:rsidR="00894380" w:rsidRPr="00CE23AE">
        <w:rPr>
          <w:lang w:val="en-US"/>
        </w:rPr>
        <w:t>in</w:t>
      </w:r>
      <w:r w:rsidRPr="00CE23AE">
        <w:rPr>
          <w:lang w:val="en-US"/>
        </w:rPr>
        <w:t xml:space="preserve"> treatment was discriminatory.</w:t>
      </w:r>
    </w:p>
    <w:p w14:paraId="5E367B12" w14:textId="77777777" w:rsidR="00005015" w:rsidRPr="00CE23AE" w:rsidRDefault="00005015" w:rsidP="00005015">
      <w:pPr>
        <w:pStyle w:val="PrrafodeSentencia"/>
        <w:numPr>
          <w:ilvl w:val="0"/>
          <w:numId w:val="0"/>
        </w:numPr>
        <w:rPr>
          <w:lang w:val="en-US"/>
        </w:rPr>
      </w:pPr>
    </w:p>
    <w:p w14:paraId="6B1C56F3" w14:textId="369353B5" w:rsidR="00005015" w:rsidRPr="00CE23AE" w:rsidRDefault="00005015" w:rsidP="00005015">
      <w:pPr>
        <w:pStyle w:val="Ttulo4"/>
        <w:rPr>
          <w:lang w:val="en-US"/>
        </w:rPr>
      </w:pPr>
      <w:bookmarkStart w:id="334" w:name="_Toc460398542"/>
      <w:bookmarkStart w:id="335" w:name="_Toc460398711"/>
      <w:bookmarkStart w:id="336" w:name="_Toc464474995"/>
      <w:bookmarkStart w:id="337" w:name="_Toc46388382"/>
      <w:r w:rsidRPr="00CE23AE">
        <w:rPr>
          <w:lang w:val="en-US"/>
        </w:rPr>
        <w:t xml:space="preserve">B.2.a </w:t>
      </w:r>
      <w:r w:rsidR="009E0CD2" w:rsidRPr="00CE23AE">
        <w:rPr>
          <w:lang w:val="en-US"/>
        </w:rPr>
        <w:t>The difference in treatment in</w:t>
      </w:r>
      <w:r w:rsidRPr="00CE23AE">
        <w:rPr>
          <w:lang w:val="en-US"/>
        </w:rPr>
        <w:t xml:space="preserve"> </w:t>
      </w:r>
      <w:r w:rsidR="009E0CD2" w:rsidRPr="00CE23AE">
        <w:rPr>
          <w:lang w:val="en-US"/>
        </w:rPr>
        <w:t>a</w:t>
      </w:r>
      <w:r w:rsidR="00C561DF" w:rsidRPr="00CE23AE">
        <w:rPr>
          <w:lang w:val="en-US"/>
        </w:rPr>
        <w:t>rticles</w:t>
      </w:r>
      <w:r w:rsidRPr="00CE23AE">
        <w:rPr>
          <w:lang w:val="en-US"/>
        </w:rPr>
        <w:t xml:space="preserve"> 67</w:t>
      </w:r>
      <w:r w:rsidR="00C561DF" w:rsidRPr="00CE23AE">
        <w:rPr>
          <w:lang w:val="en-US"/>
        </w:rPr>
        <w:t xml:space="preserve"> and </w:t>
      </w:r>
      <w:r w:rsidRPr="00CE23AE">
        <w:rPr>
          <w:lang w:val="en-US"/>
        </w:rPr>
        <w:t>117</w:t>
      </w:r>
      <w:r w:rsidR="00C561DF" w:rsidRPr="00CE23AE">
        <w:rPr>
          <w:lang w:val="en-US"/>
        </w:rPr>
        <w:t xml:space="preserve"> of the </w:t>
      </w:r>
      <w:r w:rsidR="009C5D46" w:rsidRPr="00CE23AE">
        <w:rPr>
          <w:lang w:val="en-US"/>
        </w:rPr>
        <w:t>Military Discipline Regulations</w:t>
      </w:r>
      <w:r w:rsidR="00C561DF" w:rsidRPr="00CE23AE">
        <w:rPr>
          <w:lang w:val="en-US"/>
        </w:rPr>
        <w:t xml:space="preserve"> and Article</w:t>
      </w:r>
      <w:r w:rsidRPr="00CE23AE">
        <w:rPr>
          <w:lang w:val="en-US"/>
        </w:rPr>
        <w:t xml:space="preserve"> 87(i)</w:t>
      </w:r>
      <w:r w:rsidR="008B76F3" w:rsidRPr="00CE23AE">
        <w:rPr>
          <w:lang w:val="en-US"/>
        </w:rPr>
        <w:t xml:space="preserve"> of the Law on Armed Forces Personnel</w:t>
      </w:r>
      <w:bookmarkEnd w:id="334"/>
      <w:bookmarkEnd w:id="335"/>
      <w:bookmarkEnd w:id="336"/>
      <w:bookmarkEnd w:id="337"/>
    </w:p>
    <w:p w14:paraId="39409A52" w14:textId="77777777" w:rsidR="00005015" w:rsidRPr="00CE23AE" w:rsidRDefault="00005015" w:rsidP="00005015">
      <w:pPr>
        <w:pStyle w:val="PrrafodeSentencia"/>
        <w:numPr>
          <w:ilvl w:val="0"/>
          <w:numId w:val="0"/>
        </w:numPr>
        <w:rPr>
          <w:lang w:val="en-US"/>
        </w:rPr>
      </w:pPr>
    </w:p>
    <w:p w14:paraId="7E6D00CB" w14:textId="368A04DD" w:rsidR="00005015" w:rsidRPr="00CE23AE" w:rsidRDefault="00C561DF" w:rsidP="00FF37DB">
      <w:pPr>
        <w:pStyle w:val="PrrafodeSentencia"/>
        <w:rPr>
          <w:lang w:val="en-US"/>
        </w:rPr>
      </w:pPr>
      <w:bookmarkStart w:id="338" w:name="_Ref453609455"/>
      <w:r w:rsidRPr="00CE23AE">
        <w:rPr>
          <w:lang w:val="en-US"/>
        </w:rPr>
        <w:t xml:space="preserve">The </w:t>
      </w:r>
      <w:r w:rsidR="009C5D46" w:rsidRPr="00CE23AE">
        <w:rPr>
          <w:lang w:val="en-US"/>
        </w:rPr>
        <w:t>Military Discipline Regulations</w:t>
      </w:r>
      <w:r w:rsidR="004068E5" w:rsidRPr="00CE23AE">
        <w:rPr>
          <w:lang w:val="en-US"/>
        </w:rPr>
        <w:t xml:space="preserve"> in force at the time of the facts regulated sexual acts in two different ways. On the one hand,</w:t>
      </w:r>
      <w:r w:rsidR="00894380" w:rsidRPr="00CE23AE">
        <w:rPr>
          <w:lang w:val="en-US"/>
        </w:rPr>
        <w:t xml:space="preserve"> under article 67, “unlawful sexual acts on a military base”</w:t>
      </w:r>
      <w:r w:rsidR="004068E5" w:rsidRPr="00CE23AE">
        <w:rPr>
          <w:lang w:val="en-US"/>
        </w:rPr>
        <w:t xml:space="preserve"> </w:t>
      </w:r>
      <w:r w:rsidR="00894380" w:rsidRPr="00CE23AE">
        <w:rPr>
          <w:lang w:val="en-US"/>
        </w:rPr>
        <w:t xml:space="preserve">were </w:t>
      </w:r>
      <w:r w:rsidR="004068E5" w:rsidRPr="00CE23AE">
        <w:rPr>
          <w:lang w:val="en-US"/>
        </w:rPr>
        <w:t>punished as an</w:t>
      </w:r>
      <w:r w:rsidR="00005015" w:rsidRPr="00CE23AE">
        <w:rPr>
          <w:lang w:val="en-US"/>
        </w:rPr>
        <w:t xml:space="preserve"> “</w:t>
      </w:r>
      <w:r w:rsidR="004068E5" w:rsidRPr="00CE23AE">
        <w:rPr>
          <w:lang w:val="en-US"/>
        </w:rPr>
        <w:t>offense with criminal intent</w:t>
      </w:r>
      <w:r w:rsidR="00894380" w:rsidRPr="00CE23AE">
        <w:rPr>
          <w:lang w:val="en-US"/>
        </w:rPr>
        <w:t>.</w:t>
      </w:r>
      <w:r w:rsidR="00005015" w:rsidRPr="00CE23AE">
        <w:rPr>
          <w:lang w:val="en-US"/>
        </w:rPr>
        <w:t>”</w:t>
      </w:r>
      <w:r w:rsidR="00005015" w:rsidRPr="00CE23AE">
        <w:rPr>
          <w:vertAlign w:val="superscript"/>
          <w:lang w:val="en-US"/>
        </w:rPr>
        <w:footnoteReference w:id="165"/>
      </w:r>
      <w:r w:rsidR="00005015" w:rsidRPr="00CE23AE">
        <w:rPr>
          <w:lang w:val="en-US"/>
        </w:rPr>
        <w:t xml:space="preserve"> </w:t>
      </w:r>
      <w:r w:rsidR="00E60595" w:rsidRPr="00CE23AE">
        <w:rPr>
          <w:lang w:val="en-US"/>
        </w:rPr>
        <w:t xml:space="preserve">This offense with criminal intent entailed a penalty </w:t>
      </w:r>
      <w:r w:rsidR="00E60595" w:rsidRPr="00CE23AE">
        <w:rPr>
          <w:lang w:val="en-US"/>
        </w:rPr>
        <w:lastRenderedPageBreak/>
        <w:t xml:space="preserve">of “strict arrest of [10 to 15] </w:t>
      </w:r>
      <w:r w:rsidR="00FF37DB" w:rsidRPr="00CE23AE">
        <w:rPr>
          <w:lang w:val="en-US"/>
        </w:rPr>
        <w:t>days,” “strict arrest in another base for [3 to 10 days],” or “suspension of functions for [10 to 30] days.</w:t>
      </w:r>
      <w:r w:rsidR="00005015" w:rsidRPr="00CE23AE">
        <w:rPr>
          <w:lang w:val="en-US"/>
        </w:rPr>
        <w:t>”</w:t>
      </w:r>
      <w:r w:rsidR="00005015" w:rsidRPr="00CE23AE">
        <w:rPr>
          <w:rStyle w:val="Refdenotaalpie"/>
          <w:lang w:val="en-US"/>
        </w:rPr>
        <w:footnoteReference w:id="166"/>
      </w:r>
      <w:r w:rsidR="00FF37DB" w:rsidRPr="00CE23AE">
        <w:rPr>
          <w:lang w:val="en-US"/>
        </w:rPr>
        <w:t xml:space="preserve"> On the other hand</w:t>
      </w:r>
      <w:r w:rsidR="00005015" w:rsidRPr="00CE23AE">
        <w:rPr>
          <w:lang w:val="en-US"/>
        </w:rPr>
        <w:t xml:space="preserve">, </w:t>
      </w:r>
      <w:r w:rsidR="00FF37DB" w:rsidRPr="00CE23AE">
        <w:rPr>
          <w:lang w:val="en-US"/>
        </w:rPr>
        <w:t>a</w:t>
      </w:r>
      <w:r w:rsidRPr="00CE23AE">
        <w:rPr>
          <w:lang w:val="en-US"/>
        </w:rPr>
        <w:t>rticle</w:t>
      </w:r>
      <w:r w:rsidR="00005015" w:rsidRPr="00CE23AE">
        <w:rPr>
          <w:lang w:val="en-US"/>
        </w:rPr>
        <w:t xml:space="preserve"> 117 </w:t>
      </w:r>
      <w:r w:rsidR="00FF37DB" w:rsidRPr="00CE23AE">
        <w:rPr>
          <w:lang w:val="en-US"/>
        </w:rPr>
        <w:t>of these regulations indicated that “members</w:t>
      </w:r>
      <w:r w:rsidR="0005476C" w:rsidRPr="00CE23AE">
        <w:rPr>
          <w:rFonts w:cs="Helvetica"/>
          <w:lang w:val="en-US"/>
        </w:rPr>
        <w:t xml:space="preserve"> of </w:t>
      </w:r>
      <w:r w:rsidR="00FF37DB" w:rsidRPr="00CE23AE">
        <w:rPr>
          <w:rFonts w:cs="Helvetica"/>
          <w:lang w:val="en-US"/>
        </w:rPr>
        <w:t>t</w:t>
      </w:r>
      <w:r w:rsidR="0005476C" w:rsidRPr="00CE23AE">
        <w:rPr>
          <w:rFonts w:cs="Helvetica"/>
          <w:lang w:val="en-US"/>
        </w:rPr>
        <w:t xml:space="preserve">he </w:t>
      </w:r>
      <w:r w:rsidR="009C5D46" w:rsidRPr="00CE23AE">
        <w:rPr>
          <w:rFonts w:cs="Helvetica"/>
          <w:lang w:val="en-US"/>
        </w:rPr>
        <w:t>Armed Forces</w:t>
      </w:r>
      <w:r w:rsidR="00005015" w:rsidRPr="00CE23AE">
        <w:rPr>
          <w:rFonts w:cs="Helvetica"/>
          <w:lang w:val="en-US"/>
        </w:rPr>
        <w:t xml:space="preserve"> </w:t>
      </w:r>
      <w:r w:rsidR="00FF37DB" w:rsidRPr="00CE23AE">
        <w:rPr>
          <w:rFonts w:cs="Helvetica"/>
          <w:lang w:val="en-US"/>
        </w:rPr>
        <w:t>who are surprised committing acts</w:t>
      </w:r>
      <w:r w:rsidR="00704747" w:rsidRPr="00CE23AE">
        <w:rPr>
          <w:rFonts w:cs="Helvetica"/>
          <w:lang w:val="en-US"/>
        </w:rPr>
        <w:t xml:space="preserve"> of homosexuality</w:t>
      </w:r>
      <w:r w:rsidR="00FF37DB" w:rsidRPr="00CE23AE">
        <w:rPr>
          <w:rFonts w:cs="Helvetica"/>
          <w:lang w:val="en-US"/>
        </w:rPr>
        <w:t xml:space="preserve"> […] within or outside the service, shall be subject to the provisions of a</w:t>
      </w:r>
      <w:r w:rsidRPr="00CE23AE">
        <w:rPr>
          <w:rFonts w:cs="Helvetica"/>
          <w:lang w:val="en-US"/>
        </w:rPr>
        <w:t>rticle</w:t>
      </w:r>
      <w:r w:rsidR="00005015" w:rsidRPr="00CE23AE">
        <w:rPr>
          <w:rFonts w:cs="Helvetica"/>
          <w:lang w:val="en-US"/>
        </w:rPr>
        <w:t xml:space="preserve"> 87(i)</w:t>
      </w:r>
      <w:r w:rsidR="008B76F3" w:rsidRPr="00CE23AE">
        <w:rPr>
          <w:rFonts w:cs="Helvetica"/>
          <w:lang w:val="en-US"/>
        </w:rPr>
        <w:t xml:space="preserve"> of the Law on Armed Forces Personnel</w:t>
      </w:r>
      <w:r w:rsidR="00005015" w:rsidRPr="00CE23AE">
        <w:rPr>
          <w:rFonts w:cs="Helvetica"/>
          <w:lang w:val="en-US"/>
        </w:rPr>
        <w:t>”</w:t>
      </w:r>
      <w:r w:rsidR="00FF37DB" w:rsidRPr="00CE23AE">
        <w:rPr>
          <w:rFonts w:cs="Helvetica"/>
          <w:lang w:val="en-US"/>
        </w:rPr>
        <w:t xml:space="preserve"> which stipulated discharge from the service as the penalty.</w:t>
      </w:r>
      <w:r w:rsidR="00005015" w:rsidRPr="00CE23AE">
        <w:rPr>
          <w:rStyle w:val="Refdenotaalpie"/>
          <w:rFonts w:cs="Helvetica"/>
          <w:lang w:val="en-US"/>
        </w:rPr>
        <w:footnoteReference w:id="167"/>
      </w:r>
      <w:bookmarkEnd w:id="338"/>
    </w:p>
    <w:p w14:paraId="36C4771D" w14:textId="77777777" w:rsidR="00005015" w:rsidRPr="00CE23AE" w:rsidRDefault="00005015" w:rsidP="00005015">
      <w:pPr>
        <w:pStyle w:val="PrrafodeSentencia"/>
        <w:numPr>
          <w:ilvl w:val="0"/>
          <w:numId w:val="0"/>
        </w:numPr>
        <w:rPr>
          <w:lang w:val="en-US"/>
        </w:rPr>
      </w:pPr>
    </w:p>
    <w:p w14:paraId="2A1A67AE" w14:textId="6247BFE8" w:rsidR="00005015" w:rsidRPr="00CE23AE" w:rsidRDefault="00FF37DB" w:rsidP="00704747">
      <w:pPr>
        <w:pStyle w:val="PrrafodeSentencia"/>
        <w:rPr>
          <w:lang w:val="en-US"/>
        </w:rPr>
      </w:pPr>
      <w:r w:rsidRPr="00CE23AE">
        <w:rPr>
          <w:lang w:val="en-US"/>
        </w:rPr>
        <w:t>The circumstances established in</w:t>
      </w:r>
      <w:r w:rsidR="00005015" w:rsidRPr="00CE23AE">
        <w:rPr>
          <w:lang w:val="en-US"/>
        </w:rPr>
        <w:t xml:space="preserve"> </w:t>
      </w:r>
      <w:r w:rsidRPr="00CE23AE">
        <w:rPr>
          <w:lang w:val="en-US"/>
        </w:rPr>
        <w:t>a</w:t>
      </w:r>
      <w:r w:rsidR="00C561DF" w:rsidRPr="00CE23AE">
        <w:rPr>
          <w:lang w:val="en-US"/>
        </w:rPr>
        <w:t>rticles</w:t>
      </w:r>
      <w:r w:rsidR="00005015" w:rsidRPr="00CE23AE">
        <w:rPr>
          <w:lang w:val="en-US"/>
        </w:rPr>
        <w:t xml:space="preserve"> 67</w:t>
      </w:r>
      <w:r w:rsidR="00C561DF" w:rsidRPr="00CE23AE">
        <w:rPr>
          <w:lang w:val="en-US"/>
        </w:rPr>
        <w:t xml:space="preserve"> and </w:t>
      </w:r>
      <w:r w:rsidR="00005015" w:rsidRPr="00CE23AE">
        <w:rPr>
          <w:lang w:val="en-US"/>
        </w:rPr>
        <w:t>117</w:t>
      </w:r>
      <w:r w:rsidR="00C561DF" w:rsidRPr="00CE23AE">
        <w:rPr>
          <w:lang w:val="en-US"/>
        </w:rPr>
        <w:t xml:space="preserve"> of the </w:t>
      </w:r>
      <w:r w:rsidR="009C5D46" w:rsidRPr="00CE23AE">
        <w:rPr>
          <w:lang w:val="en-US"/>
        </w:rPr>
        <w:t>Military Discipline Regulations</w:t>
      </w:r>
      <w:r w:rsidR="00005015" w:rsidRPr="00CE23AE">
        <w:rPr>
          <w:lang w:val="en-US"/>
        </w:rPr>
        <w:t xml:space="preserve"> </w:t>
      </w:r>
      <w:r w:rsidRPr="00CE23AE">
        <w:rPr>
          <w:lang w:val="en-US"/>
        </w:rPr>
        <w:t xml:space="preserve">are comparable in that both regulated and established disciplinary penalties for sexual acts within the framework of </w:t>
      </w:r>
      <w:r w:rsidR="0005476C" w:rsidRPr="00CE23AE">
        <w:rPr>
          <w:lang w:val="en-US"/>
        </w:rPr>
        <w:t xml:space="preserve">the </w:t>
      </w:r>
      <w:r w:rsidR="009C5D46" w:rsidRPr="00CE23AE">
        <w:rPr>
          <w:lang w:val="en-US"/>
        </w:rPr>
        <w:t>Armed Forces</w:t>
      </w:r>
      <w:r w:rsidR="00005015" w:rsidRPr="00CE23AE">
        <w:rPr>
          <w:lang w:val="en-US"/>
        </w:rPr>
        <w:t>.</w:t>
      </w:r>
      <w:r w:rsidRPr="00CE23AE">
        <w:rPr>
          <w:lang w:val="en-US"/>
        </w:rPr>
        <w:t xml:space="preserve"> Although these </w:t>
      </w:r>
      <w:r w:rsidR="00894380" w:rsidRPr="00CE23AE">
        <w:rPr>
          <w:lang w:val="en-US"/>
        </w:rPr>
        <w:t>r</w:t>
      </w:r>
      <w:r w:rsidRPr="00CE23AE">
        <w:rPr>
          <w:lang w:val="en-US"/>
        </w:rPr>
        <w:t>egulations did not specify what type of sexual acts were considered unlawful under a</w:t>
      </w:r>
      <w:r w:rsidR="00C561DF" w:rsidRPr="00CE23AE">
        <w:rPr>
          <w:lang w:val="en-US"/>
        </w:rPr>
        <w:t>rticle</w:t>
      </w:r>
      <w:r w:rsidR="00005015" w:rsidRPr="00CE23AE">
        <w:rPr>
          <w:lang w:val="en-US"/>
        </w:rPr>
        <w:t xml:space="preserve"> 67</w:t>
      </w:r>
      <w:r w:rsidRPr="00CE23AE">
        <w:rPr>
          <w:lang w:val="en-US"/>
        </w:rPr>
        <w:t>,</w:t>
      </w:r>
      <w:r w:rsidR="00005015" w:rsidRPr="00CE23AE">
        <w:rPr>
          <w:rStyle w:val="Refdenotaalpie"/>
          <w:lang w:val="en-US"/>
        </w:rPr>
        <w:footnoteReference w:id="168"/>
      </w:r>
      <w:r w:rsidRPr="00CE23AE">
        <w:rPr>
          <w:lang w:val="en-US"/>
        </w:rPr>
        <w:t xml:space="preserve"> there is no dispute that sexual acts between persons of the same sex, within or outside the service, were regulated by article 117 of the </w:t>
      </w:r>
      <w:r w:rsidR="00894380" w:rsidRPr="00CE23AE">
        <w:rPr>
          <w:lang w:val="en-US"/>
        </w:rPr>
        <w:t>r</w:t>
      </w:r>
      <w:r w:rsidRPr="00CE23AE">
        <w:rPr>
          <w:lang w:val="en-US"/>
        </w:rPr>
        <w:t>egulations.</w:t>
      </w:r>
      <w:r w:rsidR="00005015" w:rsidRPr="00CE23AE">
        <w:rPr>
          <w:rStyle w:val="Refdenotaalpie"/>
          <w:lang w:val="en-US"/>
        </w:rPr>
        <w:footnoteReference w:id="169"/>
      </w:r>
      <w:r w:rsidR="00005015" w:rsidRPr="00CE23AE">
        <w:rPr>
          <w:lang w:val="en-US"/>
        </w:rPr>
        <w:t xml:space="preserve"> </w:t>
      </w:r>
      <w:r w:rsidRPr="00CE23AE">
        <w:rPr>
          <w:lang w:val="en-US"/>
        </w:rPr>
        <w:t>However, the</w:t>
      </w:r>
      <w:r w:rsidR="00C561DF" w:rsidRPr="00CE23AE">
        <w:rPr>
          <w:lang w:val="en-US"/>
        </w:rPr>
        <w:t xml:space="preserve"> Court</w:t>
      </w:r>
      <w:r w:rsidR="00005015" w:rsidRPr="00CE23AE">
        <w:rPr>
          <w:lang w:val="en-US"/>
        </w:rPr>
        <w:t xml:space="preserve"> not</w:t>
      </w:r>
      <w:r w:rsidRPr="00CE23AE">
        <w:rPr>
          <w:lang w:val="en-US"/>
        </w:rPr>
        <w:t>es that, while a</w:t>
      </w:r>
      <w:r w:rsidR="00C561DF" w:rsidRPr="00CE23AE">
        <w:rPr>
          <w:lang w:val="en-US"/>
        </w:rPr>
        <w:t>rticle</w:t>
      </w:r>
      <w:r w:rsidR="00005015" w:rsidRPr="00CE23AE">
        <w:rPr>
          <w:lang w:val="en-US"/>
        </w:rPr>
        <w:t xml:space="preserve"> 67</w:t>
      </w:r>
      <w:r w:rsidR="00C561DF" w:rsidRPr="00CE23AE">
        <w:rPr>
          <w:lang w:val="en-US"/>
        </w:rPr>
        <w:t xml:space="preserve"> of the </w:t>
      </w:r>
      <w:r w:rsidR="009C5D46" w:rsidRPr="00CE23AE">
        <w:rPr>
          <w:lang w:val="en-US"/>
        </w:rPr>
        <w:t>Military Discipline Regulations</w:t>
      </w:r>
      <w:r w:rsidR="00005015" w:rsidRPr="00CE23AE">
        <w:rPr>
          <w:lang w:val="en-US"/>
        </w:rPr>
        <w:t xml:space="preserve"> </w:t>
      </w:r>
      <w:r w:rsidRPr="00CE23AE">
        <w:rPr>
          <w:lang w:val="en-US"/>
        </w:rPr>
        <w:t xml:space="preserve">refers expressly to “sexual acts,” the text of </w:t>
      </w:r>
      <w:r w:rsidR="00996128" w:rsidRPr="00CE23AE">
        <w:rPr>
          <w:rFonts w:cs="Helvetica"/>
          <w:lang w:val="en-US"/>
        </w:rPr>
        <w:t>Article</w:t>
      </w:r>
      <w:r w:rsidR="00005015" w:rsidRPr="00CE23AE">
        <w:rPr>
          <w:rFonts w:cs="Helvetica"/>
          <w:lang w:val="en-US"/>
        </w:rPr>
        <w:t xml:space="preserve"> 117 </w:t>
      </w:r>
      <w:r w:rsidRPr="00CE23AE">
        <w:rPr>
          <w:rFonts w:cs="Helvetica"/>
          <w:lang w:val="en-US"/>
        </w:rPr>
        <w:t xml:space="preserve">refers to </w:t>
      </w:r>
      <w:r w:rsidR="00005015" w:rsidRPr="00CE23AE">
        <w:rPr>
          <w:rFonts w:cs="Helvetica"/>
          <w:lang w:val="en-US"/>
        </w:rPr>
        <w:t>“act</w:t>
      </w:r>
      <w:r w:rsidRPr="00CE23AE">
        <w:rPr>
          <w:rFonts w:cs="Helvetica"/>
          <w:lang w:val="en-US"/>
        </w:rPr>
        <w:t>s</w:t>
      </w:r>
      <w:r w:rsidR="00704747" w:rsidRPr="00CE23AE">
        <w:rPr>
          <w:rFonts w:cs="Helvetica"/>
          <w:lang w:val="en-US"/>
        </w:rPr>
        <w:t xml:space="preserve"> of homosexuality</w:t>
      </w:r>
      <w:r w:rsidRPr="00CE23AE">
        <w:rPr>
          <w:rFonts w:cs="Helvetica"/>
          <w:lang w:val="en-US"/>
        </w:rPr>
        <w:t>.</w:t>
      </w:r>
      <w:r w:rsidR="00005015" w:rsidRPr="00CE23AE">
        <w:rPr>
          <w:rFonts w:cs="Helvetica"/>
          <w:lang w:val="en-US"/>
        </w:rPr>
        <w:t>”</w:t>
      </w:r>
      <w:r w:rsidRPr="00CE23AE">
        <w:rPr>
          <w:rFonts w:cs="Helvetica"/>
          <w:lang w:val="en-US"/>
        </w:rPr>
        <w:t xml:space="preserve"> This is not necessarily restricted to sexual acts between persons of the same sex because the wording of the a</w:t>
      </w:r>
      <w:r w:rsidR="00996128" w:rsidRPr="00CE23AE">
        <w:rPr>
          <w:rFonts w:cs="Helvetica"/>
          <w:lang w:val="en-US"/>
        </w:rPr>
        <w:t>rticle</w:t>
      </w:r>
      <w:r w:rsidR="00005015" w:rsidRPr="00CE23AE">
        <w:rPr>
          <w:rFonts w:cs="Helvetica"/>
          <w:lang w:val="en-US"/>
        </w:rPr>
        <w:t xml:space="preserve"> </w:t>
      </w:r>
      <w:r w:rsidR="00704747" w:rsidRPr="00CE23AE">
        <w:rPr>
          <w:rFonts w:cs="Helvetica"/>
          <w:lang w:val="en-US"/>
        </w:rPr>
        <w:t xml:space="preserve">is sufficiently broad to allow a disciplinary sanction for other expressions of “homosexuality” under this norm. Moreover, the meaning and scope accorded internally to the term “acts of homosexuality” is unclear. However, in this case, there is no dispute </w:t>
      </w:r>
      <w:r w:rsidR="00FA1B83" w:rsidRPr="00CE23AE">
        <w:rPr>
          <w:rFonts w:cs="Helvetica"/>
          <w:lang w:val="en-US"/>
        </w:rPr>
        <w:t>between</w:t>
      </w:r>
      <w:r w:rsidR="00704747" w:rsidRPr="00CE23AE">
        <w:rPr>
          <w:rFonts w:cs="Helvetica"/>
          <w:lang w:val="en-US"/>
        </w:rPr>
        <w:t xml:space="preserve"> the parties that article 117 was a special norm that regulated homosexual sexual acts, while article 67 regulated non-homosexual sexual acts. Therefore, the Court finds it appropriate to compare the disciplinary treatment given to homosexual sexual acts based on the said article 117, with the treatment given to non-homosexual sexual acts based on article 67 of the same </w:t>
      </w:r>
      <w:r w:rsidR="00AC18A9" w:rsidRPr="00CE23AE">
        <w:rPr>
          <w:lang w:val="en-US"/>
        </w:rPr>
        <w:t>Military Discipline Regulations</w:t>
      </w:r>
      <w:r w:rsidR="00005015" w:rsidRPr="00CE23AE">
        <w:rPr>
          <w:lang w:val="en-US"/>
        </w:rPr>
        <w:t xml:space="preserve">. </w:t>
      </w:r>
    </w:p>
    <w:p w14:paraId="52085760" w14:textId="77777777" w:rsidR="00005015" w:rsidRPr="00CE23AE" w:rsidRDefault="00005015" w:rsidP="00005015">
      <w:pPr>
        <w:pStyle w:val="PrrafodeSentencia"/>
        <w:numPr>
          <w:ilvl w:val="0"/>
          <w:numId w:val="0"/>
        </w:numPr>
        <w:rPr>
          <w:lang w:val="en-US"/>
        </w:rPr>
      </w:pPr>
    </w:p>
    <w:p w14:paraId="157BD3B1" w14:textId="073C2487" w:rsidR="00704747" w:rsidRPr="00CE23AE" w:rsidRDefault="00C561DF" w:rsidP="00005015">
      <w:pPr>
        <w:pStyle w:val="PrrafodeSentencia"/>
        <w:rPr>
          <w:lang w:val="en-US"/>
        </w:rPr>
      </w:pPr>
      <w:r w:rsidRPr="00CE23AE">
        <w:rPr>
          <w:rFonts w:cs="Helvetica"/>
          <w:lang w:val="en-US"/>
        </w:rPr>
        <w:t>The Court</w:t>
      </w:r>
      <w:r w:rsidR="00005015" w:rsidRPr="00CE23AE">
        <w:rPr>
          <w:rFonts w:cs="Helvetica"/>
          <w:lang w:val="en-US"/>
        </w:rPr>
        <w:t xml:space="preserve"> </w:t>
      </w:r>
      <w:r w:rsidR="00704747" w:rsidRPr="00CE23AE">
        <w:rPr>
          <w:rFonts w:cs="Helvetica"/>
          <w:lang w:val="en-US"/>
        </w:rPr>
        <w:t>notes that</w:t>
      </w:r>
      <w:r w:rsidR="00FA1B83" w:rsidRPr="00CE23AE">
        <w:rPr>
          <w:rFonts w:cs="Helvetica"/>
          <w:lang w:val="en-US"/>
        </w:rPr>
        <w:t>,</w:t>
      </w:r>
      <w:r w:rsidR="00704747" w:rsidRPr="00CE23AE">
        <w:rPr>
          <w:rFonts w:cs="Helvetica"/>
          <w:lang w:val="en-US"/>
        </w:rPr>
        <w:t xml:space="preserve"> in addition to the possible difference mentioned above, there was a difference in treatment in the regulation of “unlawful sexual acts” and “acts of homosexuality” in two ways: (i) with regard to the severity of the sanction, because the sanction for “unlawful sexual acts” ranged from 10</w:t>
      </w:r>
      <w:r w:rsidR="00FA1B83" w:rsidRPr="00CE23AE">
        <w:rPr>
          <w:rFonts w:cs="Helvetica"/>
          <w:lang w:val="en-US"/>
        </w:rPr>
        <w:t xml:space="preserve"> days</w:t>
      </w:r>
      <w:r w:rsidR="00704747" w:rsidRPr="00CE23AE">
        <w:rPr>
          <w:rFonts w:cs="Helvetica"/>
          <w:lang w:val="en-US"/>
        </w:rPr>
        <w:t xml:space="preserve"> of arrest and 30 days of suspension, while the sanction for “acts of homosexuality” was the</w:t>
      </w:r>
      <w:r w:rsidR="00FA1B83" w:rsidRPr="00CE23AE">
        <w:rPr>
          <w:rFonts w:cs="Helvetica"/>
          <w:lang w:val="en-US"/>
        </w:rPr>
        <w:t xml:space="preserve"> officer’s</w:t>
      </w:r>
      <w:r w:rsidR="00704747" w:rsidRPr="00CE23AE">
        <w:rPr>
          <w:rFonts w:cs="Helvetica"/>
          <w:lang w:val="en-US"/>
        </w:rPr>
        <w:t xml:space="preserve"> discharge, and (ii) with regard to the scope of the conduct penalized, because unlawful sexual acts were penalized if they were committed “within military bases,” while “acts of homosexuality” were penalized even if they were committed outside the service.</w:t>
      </w:r>
    </w:p>
    <w:p w14:paraId="799C8F10" w14:textId="77777777" w:rsidR="00005015" w:rsidRPr="00CE23AE" w:rsidRDefault="00005015" w:rsidP="00005015">
      <w:pPr>
        <w:pStyle w:val="PrrafodeSentencia"/>
        <w:numPr>
          <w:ilvl w:val="0"/>
          <w:numId w:val="0"/>
        </w:numPr>
        <w:rPr>
          <w:lang w:val="en-US"/>
        </w:rPr>
      </w:pPr>
    </w:p>
    <w:p w14:paraId="06294A08" w14:textId="7630C574" w:rsidR="00005015" w:rsidRPr="00CE23AE" w:rsidRDefault="00005015" w:rsidP="00005015">
      <w:pPr>
        <w:pStyle w:val="Ttulo4"/>
        <w:rPr>
          <w:lang w:val="en-US"/>
        </w:rPr>
      </w:pPr>
      <w:bookmarkStart w:id="339" w:name="_Toc460398543"/>
      <w:bookmarkStart w:id="340" w:name="_Toc460398712"/>
      <w:bookmarkStart w:id="341" w:name="_Toc464474996"/>
      <w:bookmarkStart w:id="342" w:name="_Toc46388383"/>
      <w:r w:rsidRPr="00CE23AE">
        <w:rPr>
          <w:lang w:val="en-US"/>
        </w:rPr>
        <w:t xml:space="preserve">B.2.b </w:t>
      </w:r>
      <w:r w:rsidR="00704747" w:rsidRPr="00CE23AE">
        <w:rPr>
          <w:lang w:val="en-US"/>
        </w:rPr>
        <w:t>Sexual orientation as a category protected by</w:t>
      </w:r>
      <w:r w:rsidRPr="00CE23AE">
        <w:rPr>
          <w:lang w:val="en-US"/>
        </w:rPr>
        <w:t xml:space="preserve"> </w:t>
      </w:r>
      <w:r w:rsidR="00C561DF" w:rsidRPr="00CE23AE">
        <w:rPr>
          <w:lang w:val="en-US"/>
        </w:rPr>
        <w:t>Article 1(1) of the American Convention</w:t>
      </w:r>
      <w:bookmarkEnd w:id="339"/>
      <w:bookmarkEnd w:id="340"/>
      <w:bookmarkEnd w:id="341"/>
      <w:bookmarkEnd w:id="342"/>
    </w:p>
    <w:p w14:paraId="7909DA10" w14:textId="77777777" w:rsidR="00005015" w:rsidRPr="00CE23AE" w:rsidRDefault="00005015" w:rsidP="00005015">
      <w:pPr>
        <w:pStyle w:val="PrrafodeSentencia"/>
        <w:numPr>
          <w:ilvl w:val="0"/>
          <w:numId w:val="0"/>
        </w:numPr>
        <w:rPr>
          <w:lang w:val="en-US"/>
        </w:rPr>
      </w:pPr>
    </w:p>
    <w:p w14:paraId="09FF8AC2" w14:textId="4E0C671A" w:rsidR="00005015" w:rsidRPr="00CE23AE" w:rsidRDefault="00C561DF" w:rsidP="00005015">
      <w:pPr>
        <w:pStyle w:val="PrrafodeSentencia"/>
        <w:rPr>
          <w:lang w:val="en-US"/>
        </w:rPr>
      </w:pPr>
      <w:r w:rsidRPr="00CE23AE">
        <w:rPr>
          <w:lang w:val="en-US"/>
        </w:rPr>
        <w:t>The Inter-American Court</w:t>
      </w:r>
      <w:r w:rsidR="00005015" w:rsidRPr="00CE23AE">
        <w:rPr>
          <w:lang w:val="en-US"/>
        </w:rPr>
        <w:t xml:space="preserve"> </w:t>
      </w:r>
      <w:r w:rsidR="00D5223B" w:rsidRPr="00CE23AE">
        <w:rPr>
          <w:lang w:val="en-US"/>
        </w:rPr>
        <w:t xml:space="preserve">has already established that </w:t>
      </w:r>
      <w:r w:rsidR="00FA1B83" w:rsidRPr="00CE23AE">
        <w:rPr>
          <w:lang w:val="en-US"/>
        </w:rPr>
        <w:t>a person’s</w:t>
      </w:r>
      <w:r w:rsidR="00D5223B" w:rsidRPr="00CE23AE">
        <w:rPr>
          <w:lang w:val="en-US"/>
        </w:rPr>
        <w:t xml:space="preserve"> sexual orientation</w:t>
      </w:r>
      <w:r w:rsidR="00005015" w:rsidRPr="00CE23AE">
        <w:rPr>
          <w:lang w:val="en-US"/>
        </w:rPr>
        <w:t xml:space="preserve"> </w:t>
      </w:r>
      <w:r w:rsidR="00D5223B" w:rsidRPr="00CE23AE">
        <w:rPr>
          <w:lang w:val="en-US"/>
        </w:rPr>
        <w:t xml:space="preserve">is a category protected by </w:t>
      </w:r>
      <w:r w:rsidRPr="00CE23AE">
        <w:rPr>
          <w:lang w:val="en-US"/>
        </w:rPr>
        <w:t>the Convention</w:t>
      </w:r>
      <w:r w:rsidR="00D5223B" w:rsidRPr="00CE23AE">
        <w:rPr>
          <w:lang w:val="en-US"/>
        </w:rPr>
        <w:t>.</w:t>
      </w:r>
      <w:r w:rsidR="00005015" w:rsidRPr="00CE23AE">
        <w:rPr>
          <w:rStyle w:val="Refdenotaalpie"/>
          <w:lang w:val="en-US"/>
        </w:rPr>
        <w:footnoteReference w:id="170"/>
      </w:r>
      <w:r w:rsidR="00D5223B" w:rsidRPr="00CE23AE">
        <w:rPr>
          <w:lang w:val="en-US"/>
        </w:rPr>
        <w:t xml:space="preserve"> Consequently, no domestic legal norm, decision or practice</w:t>
      </w:r>
      <w:r w:rsidR="00FA1B83" w:rsidRPr="00CE23AE">
        <w:rPr>
          <w:lang w:val="en-US"/>
        </w:rPr>
        <w:t xml:space="preserve"> </w:t>
      </w:r>
      <w:r w:rsidR="00673461" w:rsidRPr="00CE23AE">
        <w:rPr>
          <w:lang w:val="en-US"/>
        </w:rPr>
        <w:t xml:space="preserve">whether </w:t>
      </w:r>
      <w:r w:rsidR="00D5223B" w:rsidRPr="00CE23AE">
        <w:rPr>
          <w:lang w:val="en-US"/>
        </w:rPr>
        <w:t>by state authorities or private individuals may</w:t>
      </w:r>
      <w:r w:rsidR="00FA1B83" w:rsidRPr="00CE23AE">
        <w:rPr>
          <w:lang w:val="en-US"/>
        </w:rPr>
        <w:t xml:space="preserve">, in any way, </w:t>
      </w:r>
      <w:r w:rsidR="00D5223B" w:rsidRPr="00CE23AE">
        <w:rPr>
          <w:lang w:val="en-US"/>
        </w:rPr>
        <w:t>reduce or restrict the rights of a person based on their sexual orientation,</w:t>
      </w:r>
      <w:r w:rsidR="00005015" w:rsidRPr="00CE23AE">
        <w:rPr>
          <w:rStyle w:val="Refdenotaalpie"/>
          <w:lang w:val="en-US"/>
        </w:rPr>
        <w:footnoteReference w:id="171"/>
      </w:r>
      <w:r w:rsidR="00D5223B" w:rsidRPr="00CE23AE">
        <w:rPr>
          <w:lang w:val="en-US"/>
        </w:rPr>
        <w:t xml:space="preserve"> whether this is </w:t>
      </w:r>
      <w:r w:rsidR="004570C1" w:rsidRPr="00CE23AE">
        <w:rPr>
          <w:lang w:val="en-US"/>
        </w:rPr>
        <w:t>actual or perceived</w:t>
      </w:r>
      <w:r w:rsidR="00D5223B" w:rsidRPr="00CE23AE">
        <w:rPr>
          <w:lang w:val="en-US"/>
        </w:rPr>
        <w:t xml:space="preserve">, because this would be contrary to </w:t>
      </w:r>
      <w:r w:rsidRPr="00CE23AE">
        <w:rPr>
          <w:lang w:val="en-US"/>
        </w:rPr>
        <w:t>Article 1(1) of the American Convention</w:t>
      </w:r>
      <w:r w:rsidR="00005015" w:rsidRPr="00CE23AE">
        <w:rPr>
          <w:lang w:val="en-US"/>
        </w:rPr>
        <w:t>.</w:t>
      </w:r>
    </w:p>
    <w:p w14:paraId="2B7ADA04" w14:textId="77777777" w:rsidR="00005015" w:rsidRPr="00CE23AE" w:rsidRDefault="00005015" w:rsidP="00005015">
      <w:pPr>
        <w:pStyle w:val="PrrafodeSentencia"/>
        <w:numPr>
          <w:ilvl w:val="0"/>
          <w:numId w:val="0"/>
        </w:numPr>
        <w:rPr>
          <w:lang w:val="en-US"/>
        </w:rPr>
      </w:pPr>
    </w:p>
    <w:p w14:paraId="230AA55F" w14:textId="6C4BC218" w:rsidR="00005015" w:rsidRPr="00CE23AE" w:rsidRDefault="00D5223B" w:rsidP="00005015">
      <w:pPr>
        <w:pStyle w:val="PrrafodeSentencia"/>
        <w:rPr>
          <w:color w:val="4F81BD" w:themeColor="accent1"/>
          <w:lang w:val="en-US"/>
        </w:rPr>
      </w:pPr>
      <w:bookmarkStart w:id="343" w:name="_Ref454880158"/>
      <w:r w:rsidRPr="00CE23AE">
        <w:rPr>
          <w:lang w:val="en-US"/>
        </w:rPr>
        <w:t>The</w:t>
      </w:r>
      <w:r w:rsidR="00000AD5" w:rsidRPr="00CE23AE">
        <w:rPr>
          <w:lang w:val="en-US"/>
        </w:rPr>
        <w:t xml:space="preserve"> Court</w:t>
      </w:r>
      <w:r w:rsidR="00005015" w:rsidRPr="00CE23AE">
        <w:rPr>
          <w:lang w:val="en-US"/>
        </w:rPr>
        <w:t xml:space="preserve"> ha</w:t>
      </w:r>
      <w:r w:rsidRPr="00CE23AE">
        <w:rPr>
          <w:lang w:val="en-US"/>
        </w:rPr>
        <w:t xml:space="preserve">s also established that the scope of the right to </w:t>
      </w:r>
      <w:r w:rsidR="00FA0123" w:rsidRPr="00CE23AE">
        <w:rPr>
          <w:lang w:val="en-US"/>
        </w:rPr>
        <w:t>non-discrimination</w:t>
      </w:r>
      <w:r w:rsidR="00005015" w:rsidRPr="00CE23AE">
        <w:rPr>
          <w:lang w:val="en-US"/>
        </w:rPr>
        <w:t xml:space="preserve"> </w:t>
      </w:r>
      <w:r w:rsidRPr="00CE23AE">
        <w:rPr>
          <w:lang w:val="en-US"/>
        </w:rPr>
        <w:t>based on</w:t>
      </w:r>
      <w:r w:rsidR="00005015" w:rsidRPr="00CE23AE">
        <w:rPr>
          <w:lang w:val="en-US"/>
        </w:rPr>
        <w:t xml:space="preserve"> </w:t>
      </w:r>
      <w:r w:rsidRPr="00CE23AE">
        <w:rPr>
          <w:lang w:val="en-US"/>
        </w:rPr>
        <w:t>sexual orientation</w:t>
      </w:r>
      <w:r w:rsidR="00005015" w:rsidRPr="00CE23AE">
        <w:rPr>
          <w:lang w:val="en-US"/>
        </w:rPr>
        <w:t xml:space="preserve"> </w:t>
      </w:r>
      <w:r w:rsidRPr="00CE23AE">
        <w:rPr>
          <w:lang w:val="en-US"/>
        </w:rPr>
        <w:t xml:space="preserve">is not </w:t>
      </w:r>
      <w:r w:rsidR="00673461" w:rsidRPr="00CE23AE">
        <w:rPr>
          <w:lang w:val="en-US"/>
        </w:rPr>
        <w:t>restricted</w:t>
      </w:r>
      <w:r w:rsidRPr="00CE23AE">
        <w:rPr>
          <w:lang w:val="en-US"/>
        </w:rPr>
        <w:t xml:space="preserve"> to the condition of homosexuality as such, but includes its expression and the necessary consequences on</w:t>
      </w:r>
      <w:r w:rsidR="00673461" w:rsidRPr="00CE23AE">
        <w:rPr>
          <w:lang w:val="en-US"/>
        </w:rPr>
        <w:t xml:space="preserve"> a person’s</w:t>
      </w:r>
      <w:r w:rsidRPr="00CE23AE">
        <w:rPr>
          <w:lang w:val="en-US"/>
        </w:rPr>
        <w:t xml:space="preserve"> life project.</w:t>
      </w:r>
      <w:r w:rsidR="00005015" w:rsidRPr="00CE23AE">
        <w:rPr>
          <w:rStyle w:val="Refdenotaalpie"/>
          <w:lang w:val="en-US"/>
        </w:rPr>
        <w:footnoteReference w:id="172"/>
      </w:r>
      <w:r w:rsidRPr="00CE23AE">
        <w:rPr>
          <w:lang w:val="en-US"/>
        </w:rPr>
        <w:t xml:space="preserve"> Thus, sexual acts are a </w:t>
      </w:r>
      <w:r w:rsidR="00FA1B83" w:rsidRPr="00CE23AE">
        <w:rPr>
          <w:lang w:val="en-US"/>
        </w:rPr>
        <w:t>way in which the</w:t>
      </w:r>
      <w:r w:rsidRPr="00CE23AE">
        <w:rPr>
          <w:lang w:val="en-US"/>
        </w:rPr>
        <w:t xml:space="preserve"> sexual orientation</w:t>
      </w:r>
      <w:r w:rsidR="00005015" w:rsidRPr="00CE23AE">
        <w:rPr>
          <w:lang w:val="en-US"/>
        </w:rPr>
        <w:t xml:space="preserve"> </w:t>
      </w:r>
      <w:r w:rsidRPr="00CE23AE">
        <w:rPr>
          <w:lang w:val="en-US"/>
        </w:rPr>
        <w:t>of the individual</w:t>
      </w:r>
      <w:r w:rsidR="00FA1B83" w:rsidRPr="00CE23AE">
        <w:rPr>
          <w:lang w:val="en-US"/>
        </w:rPr>
        <w:t xml:space="preserve"> is expressed and are therefore</w:t>
      </w:r>
      <w:r w:rsidRPr="00CE23AE">
        <w:rPr>
          <w:lang w:val="en-US"/>
        </w:rPr>
        <w:t xml:space="preserve"> protected </w:t>
      </w:r>
      <w:r w:rsidR="00FA1B83" w:rsidRPr="00CE23AE">
        <w:rPr>
          <w:lang w:val="en-US"/>
        </w:rPr>
        <w:t xml:space="preserve">by </w:t>
      </w:r>
      <w:r w:rsidRPr="00CE23AE">
        <w:rPr>
          <w:lang w:val="en-US"/>
        </w:rPr>
        <w:t>th</w:t>
      </w:r>
      <w:r w:rsidR="00FA1B83" w:rsidRPr="00CE23AE">
        <w:rPr>
          <w:lang w:val="en-US"/>
        </w:rPr>
        <w:t>e</w:t>
      </w:r>
      <w:r w:rsidRPr="00CE23AE">
        <w:rPr>
          <w:lang w:val="en-US"/>
        </w:rPr>
        <w:t xml:space="preserve"> right to non</w:t>
      </w:r>
      <w:r w:rsidR="00FA0123" w:rsidRPr="00CE23AE">
        <w:rPr>
          <w:lang w:val="en-US"/>
        </w:rPr>
        <w:t>-discrimination</w:t>
      </w:r>
      <w:r w:rsidR="00005015" w:rsidRPr="00CE23AE">
        <w:rPr>
          <w:lang w:val="en-US"/>
        </w:rPr>
        <w:t xml:space="preserve"> </w:t>
      </w:r>
      <w:r w:rsidRPr="00CE23AE">
        <w:rPr>
          <w:lang w:val="en-US"/>
        </w:rPr>
        <w:t>based on</w:t>
      </w:r>
      <w:r w:rsidR="00005015" w:rsidRPr="00CE23AE">
        <w:rPr>
          <w:lang w:val="en-US"/>
        </w:rPr>
        <w:t xml:space="preserve"> </w:t>
      </w:r>
      <w:r w:rsidRPr="00CE23AE">
        <w:rPr>
          <w:lang w:val="en-US"/>
        </w:rPr>
        <w:t>sexual orientation</w:t>
      </w:r>
      <w:r w:rsidR="00005015" w:rsidRPr="00CE23AE">
        <w:rPr>
          <w:color w:val="4F81BD" w:themeColor="accent1"/>
          <w:lang w:val="en-US"/>
        </w:rPr>
        <w:t>.</w:t>
      </w:r>
      <w:bookmarkEnd w:id="343"/>
      <w:r w:rsidR="00005015" w:rsidRPr="00CE23AE">
        <w:rPr>
          <w:color w:val="4F81BD" w:themeColor="accent1"/>
          <w:lang w:val="en-US"/>
        </w:rPr>
        <w:t xml:space="preserve"> </w:t>
      </w:r>
    </w:p>
    <w:p w14:paraId="6A76DFC9" w14:textId="77777777" w:rsidR="00005015" w:rsidRPr="00CE23AE" w:rsidRDefault="00005015" w:rsidP="00005015">
      <w:pPr>
        <w:pStyle w:val="PrrafodeSentencia"/>
        <w:numPr>
          <w:ilvl w:val="0"/>
          <w:numId w:val="0"/>
        </w:numPr>
        <w:rPr>
          <w:lang w:val="en-US"/>
        </w:rPr>
      </w:pPr>
    </w:p>
    <w:p w14:paraId="6D741DA6" w14:textId="579C0429" w:rsidR="00005015" w:rsidRPr="00CE23AE" w:rsidRDefault="00C561DF" w:rsidP="00005015">
      <w:pPr>
        <w:pStyle w:val="PrrafodeSentencia"/>
        <w:rPr>
          <w:color w:val="4F81BD" w:themeColor="accent1"/>
          <w:lang w:val="en-US"/>
        </w:rPr>
      </w:pPr>
      <w:r w:rsidRPr="00CE23AE">
        <w:rPr>
          <w:lang w:val="en-US"/>
        </w:rPr>
        <w:t>The Court</w:t>
      </w:r>
      <w:r w:rsidR="001F369F" w:rsidRPr="00CE23AE">
        <w:rPr>
          <w:lang w:val="en-US"/>
        </w:rPr>
        <w:t xml:space="preserve"> </w:t>
      </w:r>
      <w:r w:rsidR="00D5223B" w:rsidRPr="00CE23AE">
        <w:rPr>
          <w:lang w:val="en-US"/>
        </w:rPr>
        <w:t>notes that</w:t>
      </w:r>
      <w:r w:rsidR="001F369F" w:rsidRPr="00CE23AE">
        <w:rPr>
          <w:lang w:val="en-US"/>
        </w:rPr>
        <w:t xml:space="preserve"> </w:t>
      </w:r>
      <w:r w:rsidR="00FA0123" w:rsidRPr="00CE23AE">
        <w:rPr>
          <w:lang w:val="en-US"/>
        </w:rPr>
        <w:t>discrimination</w:t>
      </w:r>
      <w:r w:rsidR="00641CFE" w:rsidRPr="00CE23AE">
        <w:rPr>
          <w:lang w:val="en-US"/>
        </w:rPr>
        <w:t xml:space="preserve"> </w:t>
      </w:r>
      <w:r w:rsidR="00D5223B" w:rsidRPr="00CE23AE">
        <w:rPr>
          <w:lang w:val="en-US"/>
        </w:rPr>
        <w:t xml:space="preserve">may be based on </w:t>
      </w:r>
      <w:r w:rsidR="001E60E2" w:rsidRPr="00CE23AE">
        <w:rPr>
          <w:lang w:val="en-US"/>
        </w:rPr>
        <w:t>an</w:t>
      </w:r>
      <w:r w:rsidR="00D5223B" w:rsidRPr="00CE23AE">
        <w:rPr>
          <w:lang w:val="en-US"/>
        </w:rPr>
        <w:t xml:space="preserve"> </w:t>
      </w:r>
      <w:r w:rsidR="004570C1" w:rsidRPr="00CE23AE">
        <w:rPr>
          <w:lang w:val="en-US"/>
        </w:rPr>
        <w:t>a</w:t>
      </w:r>
      <w:r w:rsidR="00FA1B83" w:rsidRPr="00CE23AE">
        <w:rPr>
          <w:lang w:val="en-US"/>
        </w:rPr>
        <w:t>c</w:t>
      </w:r>
      <w:r w:rsidR="004570C1" w:rsidRPr="00CE23AE">
        <w:rPr>
          <w:lang w:val="en-US"/>
        </w:rPr>
        <w:t>tual or perceived</w:t>
      </w:r>
      <w:r w:rsidR="00D5223B" w:rsidRPr="00CE23AE">
        <w:rPr>
          <w:lang w:val="en-US"/>
        </w:rPr>
        <w:t xml:space="preserve"> sexual orientation</w:t>
      </w:r>
      <w:r w:rsidR="00FA1B83" w:rsidRPr="00CE23AE">
        <w:rPr>
          <w:lang w:val="en-US"/>
        </w:rPr>
        <w:t>, and it</w:t>
      </w:r>
      <w:r w:rsidR="00005015" w:rsidRPr="00CE23AE">
        <w:rPr>
          <w:lang w:val="en-US"/>
        </w:rPr>
        <w:t xml:space="preserve"> </w:t>
      </w:r>
      <w:r w:rsidR="00D5223B" w:rsidRPr="00CE23AE">
        <w:rPr>
          <w:lang w:val="en-US"/>
        </w:rPr>
        <w:t>has indicated that “a person may be discriminated against owing to the perception that others have concerning his relations</w:t>
      </w:r>
      <w:r w:rsidR="00673461" w:rsidRPr="00CE23AE">
        <w:rPr>
          <w:lang w:val="en-US"/>
        </w:rPr>
        <w:t>hip</w:t>
      </w:r>
      <w:r w:rsidR="00D5223B" w:rsidRPr="00CE23AE">
        <w:rPr>
          <w:lang w:val="en-US"/>
        </w:rPr>
        <w:t xml:space="preserve"> with a </w:t>
      </w:r>
      <w:r w:rsidR="00673461" w:rsidRPr="00CE23AE">
        <w:rPr>
          <w:lang w:val="en-US"/>
        </w:rPr>
        <w:t xml:space="preserve">group or </w:t>
      </w:r>
      <w:r w:rsidR="00D5223B" w:rsidRPr="00CE23AE">
        <w:rPr>
          <w:lang w:val="en-US"/>
        </w:rPr>
        <w:t>social sector, irrespective of whether this corresponds to the reality or to the victim’s self-identification.</w:t>
      </w:r>
      <w:r w:rsidR="00005015" w:rsidRPr="00CE23AE">
        <w:rPr>
          <w:lang w:val="en-US"/>
        </w:rPr>
        <w:t>”</w:t>
      </w:r>
      <w:r w:rsidR="00005015" w:rsidRPr="00CE23AE">
        <w:rPr>
          <w:rStyle w:val="Refdenotaalpie"/>
          <w:lang w:val="en-US"/>
        </w:rPr>
        <w:footnoteReference w:id="173"/>
      </w:r>
      <w:r w:rsidR="00005015" w:rsidRPr="00CE23AE">
        <w:rPr>
          <w:lang w:val="en-US"/>
        </w:rPr>
        <w:t xml:space="preserve"> </w:t>
      </w:r>
      <w:r w:rsidR="00D5223B" w:rsidRPr="00CE23AE">
        <w:rPr>
          <w:lang w:val="en-US"/>
        </w:rPr>
        <w:t>D</w:t>
      </w:r>
      <w:r w:rsidR="00FA0123" w:rsidRPr="00CE23AE">
        <w:rPr>
          <w:lang w:val="en-US"/>
        </w:rPr>
        <w:t>iscrimination</w:t>
      </w:r>
      <w:r w:rsidR="00005015" w:rsidRPr="00CE23AE">
        <w:rPr>
          <w:lang w:val="en-US"/>
        </w:rPr>
        <w:t xml:space="preserve"> </w:t>
      </w:r>
      <w:r w:rsidR="00673461" w:rsidRPr="00CE23AE">
        <w:rPr>
          <w:lang w:val="en-US"/>
        </w:rPr>
        <w:t>based on</w:t>
      </w:r>
      <w:r w:rsidR="00D5223B" w:rsidRPr="00CE23AE">
        <w:rPr>
          <w:lang w:val="en-US"/>
        </w:rPr>
        <w:t xml:space="preserve"> perception has the effect or purpose of preventing or annulling the recognition, enjoyment and exercise of the fundamental human rights and freedoms of the person subject to this discrimination, regardless of whether or not that person identifies himself with a specific category.</w:t>
      </w:r>
      <w:r w:rsidR="00005015" w:rsidRPr="00CE23AE">
        <w:rPr>
          <w:rStyle w:val="Refdenotaalpie"/>
          <w:lang w:val="en-US"/>
        </w:rPr>
        <w:footnoteReference w:id="174"/>
      </w:r>
      <w:r w:rsidR="00005015" w:rsidRPr="00CE23AE">
        <w:rPr>
          <w:lang w:val="en-US"/>
        </w:rPr>
        <w:t xml:space="preserve"> </w:t>
      </w:r>
      <w:r w:rsidR="00D5223B" w:rsidRPr="00CE23AE">
        <w:rPr>
          <w:lang w:val="en-US"/>
        </w:rPr>
        <w:t>As with other forms of</w:t>
      </w:r>
      <w:r w:rsidR="00005015" w:rsidRPr="00CE23AE">
        <w:rPr>
          <w:lang w:val="en-US"/>
        </w:rPr>
        <w:t xml:space="preserve"> </w:t>
      </w:r>
      <w:r w:rsidR="00FA0123" w:rsidRPr="00CE23AE">
        <w:rPr>
          <w:lang w:val="en-US"/>
        </w:rPr>
        <w:t>discrimination</w:t>
      </w:r>
      <w:r w:rsidR="00005015" w:rsidRPr="00CE23AE">
        <w:rPr>
          <w:lang w:val="en-US"/>
        </w:rPr>
        <w:t xml:space="preserve">, </w:t>
      </w:r>
      <w:r w:rsidR="00D5223B" w:rsidRPr="00CE23AE">
        <w:rPr>
          <w:lang w:val="en-US"/>
        </w:rPr>
        <w:t>the individual is reduced to the s</w:t>
      </w:r>
      <w:r w:rsidR="00673461" w:rsidRPr="00CE23AE">
        <w:rPr>
          <w:lang w:val="en-US"/>
        </w:rPr>
        <w:t xml:space="preserve">ingle </w:t>
      </w:r>
      <w:r w:rsidR="00D5223B" w:rsidRPr="00CE23AE">
        <w:rPr>
          <w:lang w:val="en-US"/>
        </w:rPr>
        <w:t xml:space="preserve">characteristic attributed to him, </w:t>
      </w:r>
      <w:r w:rsidR="00673461" w:rsidRPr="00CE23AE">
        <w:rPr>
          <w:lang w:val="en-US"/>
        </w:rPr>
        <w:t>without taking</w:t>
      </w:r>
      <w:r w:rsidR="00D5223B" w:rsidRPr="00CE23AE">
        <w:rPr>
          <w:lang w:val="en-US"/>
        </w:rPr>
        <w:t xml:space="preserve"> other personal conditions</w:t>
      </w:r>
      <w:r w:rsidR="00673461" w:rsidRPr="00CE23AE">
        <w:rPr>
          <w:lang w:val="en-US"/>
        </w:rPr>
        <w:t xml:space="preserve"> into consideration</w:t>
      </w:r>
      <w:r w:rsidR="00D5223B" w:rsidRPr="00CE23AE">
        <w:rPr>
          <w:lang w:val="en-US"/>
        </w:rPr>
        <w:t>. This reduction of the identity results in a differentiated treatment and thus, in the violation of the victim’s rights.</w:t>
      </w:r>
      <w:r w:rsidR="00005015" w:rsidRPr="00CE23AE">
        <w:rPr>
          <w:rStyle w:val="Refdenotaalpie"/>
          <w:lang w:val="en-US"/>
        </w:rPr>
        <w:footnoteReference w:id="175"/>
      </w:r>
    </w:p>
    <w:p w14:paraId="1AA25E45" w14:textId="77777777" w:rsidR="00005015" w:rsidRPr="00CE23AE" w:rsidRDefault="00005015" w:rsidP="00005015">
      <w:pPr>
        <w:pStyle w:val="PrrafodeSentencia"/>
        <w:numPr>
          <w:ilvl w:val="0"/>
          <w:numId w:val="0"/>
        </w:numPr>
        <w:rPr>
          <w:lang w:val="en-US"/>
        </w:rPr>
      </w:pPr>
    </w:p>
    <w:p w14:paraId="6207455F" w14:textId="2C6E4BE8" w:rsidR="00005015" w:rsidRPr="00CE23AE" w:rsidRDefault="00D5223B" w:rsidP="00005015">
      <w:pPr>
        <w:pStyle w:val="PrrafodeSentencia"/>
        <w:rPr>
          <w:color w:val="4F81BD" w:themeColor="accent1"/>
          <w:lang w:val="en-US"/>
        </w:rPr>
      </w:pPr>
      <w:r w:rsidRPr="00CE23AE">
        <w:rPr>
          <w:lang w:val="en-US"/>
        </w:rPr>
        <w:t>In this regard</w:t>
      </w:r>
      <w:r w:rsidR="00005015" w:rsidRPr="00CE23AE">
        <w:rPr>
          <w:lang w:val="en-US"/>
        </w:rPr>
        <w:t xml:space="preserve">, </w:t>
      </w:r>
      <w:r w:rsidRPr="00CE23AE">
        <w:rPr>
          <w:lang w:val="en-US"/>
        </w:rPr>
        <w:t xml:space="preserve">the </w:t>
      </w:r>
      <w:r w:rsidR="004502D2" w:rsidRPr="00CE23AE">
        <w:rPr>
          <w:lang w:val="en-US"/>
        </w:rPr>
        <w:t>Committee on Economic, Social and Cultural Rights</w:t>
      </w:r>
      <w:r w:rsidR="00005015" w:rsidRPr="00CE23AE">
        <w:rPr>
          <w:lang w:val="en-US"/>
        </w:rPr>
        <w:t xml:space="preserve"> </w:t>
      </w:r>
      <w:r w:rsidRPr="00CE23AE">
        <w:rPr>
          <w:lang w:val="en-US"/>
        </w:rPr>
        <w:t>has indicated that</w:t>
      </w:r>
      <w:r w:rsidR="00005015" w:rsidRPr="00CE23AE">
        <w:rPr>
          <w:lang w:val="en-US"/>
        </w:rPr>
        <w:t>:</w:t>
      </w:r>
    </w:p>
    <w:p w14:paraId="4BFD3237" w14:textId="77777777" w:rsidR="00005015" w:rsidRPr="00CE23AE" w:rsidRDefault="00005015" w:rsidP="00005015">
      <w:pPr>
        <w:pStyle w:val="PrrafodeSentencia"/>
        <w:numPr>
          <w:ilvl w:val="0"/>
          <w:numId w:val="0"/>
        </w:numPr>
        <w:rPr>
          <w:rFonts w:eastAsiaTheme="minorHAnsi" w:cs="Arial"/>
          <w:lang w:val="en-US" w:eastAsia="en-US"/>
        </w:rPr>
      </w:pPr>
    </w:p>
    <w:p w14:paraId="02B7BD8B" w14:textId="37137D38" w:rsidR="00D5223B" w:rsidRPr="00CE23AE" w:rsidRDefault="00D5223B" w:rsidP="00005015">
      <w:pPr>
        <w:pStyle w:val="PrrafodeSentencia"/>
        <w:numPr>
          <w:ilvl w:val="0"/>
          <w:numId w:val="0"/>
        </w:numPr>
        <w:ind w:left="567" w:right="615"/>
        <w:rPr>
          <w:sz w:val="30"/>
          <w:szCs w:val="30"/>
          <w:lang w:val="en-US"/>
        </w:rPr>
      </w:pPr>
      <w:r w:rsidRPr="00CE23AE">
        <w:rPr>
          <w:sz w:val="18"/>
          <w:szCs w:val="18"/>
          <w:lang w:val="en-US"/>
        </w:rPr>
        <w:t xml:space="preserve">In determining whether a person is distinguished by one or more of the prohibited grounds, identification shall, if no justification exists to the contrary, be based upon self-identification by the individual concerned. </w:t>
      </w:r>
      <w:r w:rsidRPr="00CE23AE">
        <w:rPr>
          <w:i/>
          <w:iCs/>
          <w:sz w:val="18"/>
          <w:szCs w:val="18"/>
          <w:u w:val="single"/>
          <w:lang w:val="en-US"/>
        </w:rPr>
        <w:t>Membership also includes</w:t>
      </w:r>
      <w:r w:rsidRPr="00CE23AE">
        <w:rPr>
          <w:sz w:val="18"/>
          <w:szCs w:val="18"/>
          <w:lang w:val="en-US"/>
        </w:rPr>
        <w:t xml:space="preserve"> association with a group characterized by one of the prohibited grounds (e.g. the parent of a child with a disability) </w:t>
      </w:r>
      <w:r w:rsidRPr="00CE23AE">
        <w:rPr>
          <w:i/>
          <w:iCs/>
          <w:sz w:val="18"/>
          <w:szCs w:val="18"/>
          <w:u w:val="single"/>
          <w:lang w:val="en-US"/>
        </w:rPr>
        <w:t>or perception by others that an individual is part of such a group</w:t>
      </w:r>
      <w:r w:rsidRPr="00CE23AE">
        <w:rPr>
          <w:sz w:val="18"/>
          <w:szCs w:val="18"/>
          <w:lang w:val="en-US"/>
        </w:rPr>
        <w:t xml:space="preserve"> (e.g. a person has a similar skin colour or is a supporter of the rights of a particular group or a past member of a group)</w:t>
      </w:r>
      <w:r w:rsidRPr="00CE23AE">
        <w:rPr>
          <w:rStyle w:val="Refdenotaalpie"/>
          <w:sz w:val="18"/>
          <w:szCs w:val="18"/>
          <w:lang w:val="en-US"/>
        </w:rPr>
        <w:footnoteReference w:id="176"/>
      </w:r>
      <w:r w:rsidRPr="00CE23AE">
        <w:rPr>
          <w:sz w:val="18"/>
          <w:szCs w:val="18"/>
          <w:lang w:val="en-US"/>
        </w:rPr>
        <w:t xml:space="preserve"> (italics and underlining added).</w:t>
      </w:r>
    </w:p>
    <w:p w14:paraId="79ADDEAE" w14:textId="77777777" w:rsidR="00005015" w:rsidRPr="00CE23AE" w:rsidRDefault="00005015" w:rsidP="00005015">
      <w:pPr>
        <w:pStyle w:val="PrrafodeSentencia"/>
        <w:numPr>
          <w:ilvl w:val="0"/>
          <w:numId w:val="0"/>
        </w:numPr>
        <w:rPr>
          <w:rFonts w:eastAsiaTheme="minorHAnsi" w:cs="Arial"/>
          <w:lang w:val="en-US" w:eastAsia="en-US"/>
        </w:rPr>
      </w:pPr>
    </w:p>
    <w:p w14:paraId="1E44BDC3" w14:textId="6D000A2E" w:rsidR="00005015" w:rsidRPr="00CE23AE" w:rsidRDefault="00005015" w:rsidP="00005015">
      <w:pPr>
        <w:pStyle w:val="PrrafodeSentencia"/>
        <w:rPr>
          <w:color w:val="4F81BD" w:themeColor="accent1"/>
          <w:lang w:val="en-US"/>
        </w:rPr>
      </w:pPr>
      <w:r w:rsidRPr="00CE23AE">
        <w:rPr>
          <w:rFonts w:eastAsiaTheme="minorHAnsi" w:cs="Arial"/>
          <w:lang w:val="en-US" w:eastAsia="en-US"/>
        </w:rPr>
        <w:t>Ad</w:t>
      </w:r>
      <w:r w:rsidR="00D5223B" w:rsidRPr="00CE23AE">
        <w:rPr>
          <w:rFonts w:eastAsiaTheme="minorHAnsi" w:cs="Arial"/>
          <w:lang w:val="en-US" w:eastAsia="en-US"/>
        </w:rPr>
        <w:t xml:space="preserve">ditionally, the concept of </w:t>
      </w:r>
      <w:r w:rsidRPr="00CE23AE">
        <w:rPr>
          <w:rFonts w:eastAsiaTheme="minorHAnsi" w:cstheme="minorBidi"/>
          <w:lang w:val="en-US" w:eastAsia="en-US"/>
        </w:rPr>
        <w:t>“</w:t>
      </w:r>
      <w:r w:rsidR="00FA0123" w:rsidRPr="00CE23AE">
        <w:rPr>
          <w:rFonts w:eastAsiaTheme="minorHAnsi" w:cstheme="minorBidi"/>
          <w:lang w:val="en-US" w:eastAsia="en-US"/>
        </w:rPr>
        <w:t>discrimination</w:t>
      </w:r>
      <w:r w:rsidRPr="00CE23AE">
        <w:rPr>
          <w:rFonts w:eastAsiaTheme="minorHAnsi" w:cstheme="minorBidi"/>
          <w:lang w:val="en-US" w:eastAsia="en-US"/>
        </w:rPr>
        <w:t xml:space="preserve"> </w:t>
      </w:r>
      <w:r w:rsidR="00F839F7" w:rsidRPr="00CE23AE">
        <w:rPr>
          <w:rFonts w:eastAsiaTheme="minorHAnsi" w:cstheme="minorBidi"/>
          <w:lang w:val="en-US" w:eastAsia="en-US"/>
        </w:rPr>
        <w:t>based on</w:t>
      </w:r>
      <w:r w:rsidR="00D5223B" w:rsidRPr="00CE23AE">
        <w:rPr>
          <w:rFonts w:eastAsiaTheme="minorHAnsi" w:cstheme="minorBidi"/>
          <w:lang w:val="en-US" w:eastAsia="en-US"/>
        </w:rPr>
        <w:t xml:space="preserve"> perception</w:t>
      </w:r>
      <w:r w:rsidRPr="00CE23AE">
        <w:rPr>
          <w:rFonts w:eastAsiaTheme="minorHAnsi" w:cstheme="minorBidi"/>
          <w:lang w:val="en-US" w:eastAsia="en-US"/>
        </w:rPr>
        <w:t xml:space="preserve">” </w:t>
      </w:r>
      <w:r w:rsidR="00D5223B" w:rsidRPr="00CE23AE">
        <w:rPr>
          <w:rFonts w:eastAsiaTheme="minorHAnsi" w:cstheme="minorBidi"/>
          <w:lang w:val="en-US" w:eastAsia="en-US"/>
        </w:rPr>
        <w:t>is referred to in various international instruments such as</w:t>
      </w:r>
      <w:r w:rsidRPr="00CE23AE">
        <w:rPr>
          <w:rFonts w:eastAsiaTheme="minorHAnsi" w:cstheme="minorBidi"/>
          <w:i/>
          <w:lang w:val="en-US" w:eastAsia="en-US"/>
        </w:rPr>
        <w:t xml:space="preserve"> </w:t>
      </w:r>
      <w:r w:rsidR="00C561DF" w:rsidRPr="00CE23AE">
        <w:rPr>
          <w:rFonts w:eastAsiaTheme="minorHAnsi" w:cstheme="minorBidi"/>
          <w:lang w:val="en-US" w:eastAsia="en-US"/>
        </w:rPr>
        <w:t>the</w:t>
      </w:r>
      <w:r w:rsidR="004B71A0" w:rsidRPr="00CE23AE">
        <w:rPr>
          <w:rFonts w:eastAsiaTheme="minorHAnsi" w:cstheme="minorBidi"/>
          <w:szCs w:val="16"/>
          <w:lang w:val="en-US" w:eastAsia="en-US"/>
        </w:rPr>
        <w:t xml:space="preserve"> Inter-American Convention on the Elimination of All Forms of Discrimination against</w:t>
      </w:r>
      <w:r w:rsidR="00C561DF" w:rsidRPr="00CE23AE">
        <w:rPr>
          <w:rFonts w:eastAsiaTheme="minorHAnsi" w:cstheme="minorBidi"/>
          <w:lang w:val="en-US" w:eastAsia="en-US"/>
        </w:rPr>
        <w:t xml:space="preserve"> </w:t>
      </w:r>
      <w:r w:rsidR="004B71A0" w:rsidRPr="00CE23AE">
        <w:rPr>
          <w:rFonts w:eastAsiaTheme="minorHAnsi" w:cstheme="minorBidi"/>
          <w:szCs w:val="16"/>
          <w:lang w:val="en-US" w:eastAsia="en-US"/>
        </w:rPr>
        <w:t>Persons with Disabilities</w:t>
      </w:r>
      <w:r w:rsidR="004B71A0" w:rsidRPr="00CE23AE">
        <w:rPr>
          <w:rFonts w:eastAsiaTheme="minorHAnsi" w:cstheme="minorBidi"/>
          <w:lang w:val="en-US" w:eastAsia="en-US"/>
        </w:rPr>
        <w:t xml:space="preserve"> </w:t>
      </w:r>
      <w:r w:rsidR="00C561DF" w:rsidRPr="00CE23AE">
        <w:rPr>
          <w:rFonts w:eastAsiaTheme="minorHAnsi" w:cstheme="minorBidi"/>
          <w:lang w:val="en-US" w:eastAsia="en-US"/>
        </w:rPr>
        <w:t xml:space="preserve">and </w:t>
      </w:r>
      <w:r w:rsidR="004B71A0" w:rsidRPr="00CE23AE">
        <w:rPr>
          <w:rFonts w:eastAsiaTheme="minorHAnsi" w:cstheme="minorBidi"/>
          <w:lang w:val="en-US" w:eastAsia="en-US"/>
        </w:rPr>
        <w:t xml:space="preserve">the Resolution </w:t>
      </w:r>
      <w:r w:rsidR="00C561DF" w:rsidRPr="00CE23AE">
        <w:rPr>
          <w:rFonts w:eastAsiaTheme="minorHAnsi" w:cstheme="minorBidi"/>
          <w:lang w:val="en-US" w:eastAsia="en-US"/>
        </w:rPr>
        <w:t xml:space="preserve">of the </w:t>
      </w:r>
      <w:r w:rsidR="004B71A0" w:rsidRPr="00CE23AE">
        <w:rPr>
          <w:rFonts w:eastAsiaTheme="minorHAnsi" w:cstheme="minorBidi"/>
          <w:lang w:val="en-US" w:eastAsia="en-US"/>
        </w:rPr>
        <w:t xml:space="preserve">African </w:t>
      </w:r>
      <w:r w:rsidR="00C561DF" w:rsidRPr="00CE23AE">
        <w:rPr>
          <w:rFonts w:eastAsiaTheme="minorHAnsi" w:cstheme="minorBidi"/>
          <w:lang w:val="en-US" w:eastAsia="en-US"/>
        </w:rPr>
        <w:t>Commission</w:t>
      </w:r>
      <w:r w:rsidRPr="00CE23AE">
        <w:rPr>
          <w:rFonts w:eastAsiaTheme="minorHAnsi" w:cstheme="minorBidi"/>
          <w:lang w:val="en-US" w:eastAsia="en-US"/>
        </w:rPr>
        <w:t xml:space="preserve"> </w:t>
      </w:r>
      <w:r w:rsidR="004B71A0" w:rsidRPr="00CE23AE">
        <w:rPr>
          <w:rFonts w:eastAsiaTheme="minorHAnsi" w:cstheme="minorBidi"/>
          <w:lang w:val="en-US" w:eastAsia="en-US"/>
        </w:rPr>
        <w:t>on Human and Peoples’ Rights on</w:t>
      </w:r>
      <w:r w:rsidRPr="00CE23AE">
        <w:rPr>
          <w:rFonts w:eastAsiaTheme="minorHAnsi" w:cstheme="minorBidi"/>
          <w:lang w:val="en-US" w:eastAsia="en-US"/>
        </w:rPr>
        <w:t xml:space="preserve"> Protec</w:t>
      </w:r>
      <w:r w:rsidR="004B71A0" w:rsidRPr="00CE23AE">
        <w:rPr>
          <w:rFonts w:eastAsiaTheme="minorHAnsi" w:cstheme="minorBidi"/>
          <w:lang w:val="en-US" w:eastAsia="en-US"/>
        </w:rPr>
        <w:t>tion against Violence and other Human Rights Violations against Persons on the basis of their real or imputed Sexual Orientation or Gender Identity of May 12,</w:t>
      </w:r>
      <w:r w:rsidRPr="00CE23AE">
        <w:rPr>
          <w:rFonts w:eastAsiaTheme="minorHAnsi" w:cstheme="minorBidi"/>
          <w:lang w:val="en-US" w:eastAsia="en-US"/>
        </w:rPr>
        <w:t xml:space="preserve"> </w:t>
      </w:r>
      <w:r w:rsidRPr="00CE23AE">
        <w:rPr>
          <w:rFonts w:eastAsiaTheme="minorHAnsi" w:cstheme="minorBidi"/>
          <w:lang w:val="en-US" w:eastAsia="en-US"/>
        </w:rPr>
        <w:lastRenderedPageBreak/>
        <w:t>2014</w:t>
      </w:r>
      <w:r w:rsidR="00D5223B" w:rsidRPr="00CE23AE">
        <w:rPr>
          <w:rFonts w:eastAsiaTheme="minorHAnsi" w:cstheme="minorBidi"/>
          <w:lang w:val="en-US" w:eastAsia="en-US"/>
        </w:rPr>
        <w:t>.</w:t>
      </w:r>
      <w:r w:rsidRPr="00CE23AE">
        <w:rPr>
          <w:rStyle w:val="Refdenotaalpie"/>
          <w:rFonts w:eastAsiaTheme="minorHAnsi" w:cstheme="minorBidi"/>
          <w:lang w:val="en-US" w:eastAsia="en-US"/>
        </w:rPr>
        <w:footnoteReference w:id="177"/>
      </w:r>
      <w:r w:rsidR="00D5223B" w:rsidRPr="00CE23AE">
        <w:rPr>
          <w:rFonts w:eastAsiaTheme="minorHAnsi" w:cstheme="minorBidi"/>
          <w:lang w:val="en-US" w:eastAsia="en-US"/>
        </w:rPr>
        <w:t xml:space="preserve"> It has also been included in the laws of several countries and/or indicated in their case law.</w:t>
      </w:r>
      <w:r w:rsidRPr="00CE23AE">
        <w:rPr>
          <w:rStyle w:val="Refdenotaalpie"/>
          <w:rFonts w:eastAsiaTheme="minorHAnsi" w:cstheme="minorBidi"/>
          <w:lang w:val="en-US" w:eastAsia="en-US"/>
        </w:rPr>
        <w:footnoteReference w:id="178"/>
      </w:r>
    </w:p>
    <w:p w14:paraId="4E30A1C1" w14:textId="77777777" w:rsidR="00005015" w:rsidRPr="00CE23AE" w:rsidRDefault="00005015" w:rsidP="00005015">
      <w:pPr>
        <w:pStyle w:val="PrrafodeSentencia"/>
        <w:numPr>
          <w:ilvl w:val="0"/>
          <w:numId w:val="0"/>
        </w:numPr>
        <w:rPr>
          <w:color w:val="4F81BD" w:themeColor="accent1"/>
          <w:lang w:val="en-US"/>
        </w:rPr>
      </w:pPr>
    </w:p>
    <w:p w14:paraId="3ABA40A1" w14:textId="7877018C" w:rsidR="00005015" w:rsidRPr="00CE23AE" w:rsidRDefault="0076697F" w:rsidP="0076697F">
      <w:pPr>
        <w:pStyle w:val="PrrafodeSentencia"/>
        <w:rPr>
          <w:color w:val="4F81BD" w:themeColor="accent1"/>
          <w:lang w:val="en-US"/>
        </w:rPr>
      </w:pPr>
      <w:r w:rsidRPr="00CE23AE">
        <w:rPr>
          <w:lang w:val="en-US"/>
        </w:rPr>
        <w:t>International recognition of the right to</w:t>
      </w:r>
      <w:r w:rsidR="00005015" w:rsidRPr="00CE23AE">
        <w:rPr>
          <w:lang w:val="en-US"/>
        </w:rPr>
        <w:t xml:space="preserve"> </w:t>
      </w:r>
      <w:r w:rsidR="00FA0123" w:rsidRPr="00CE23AE">
        <w:rPr>
          <w:lang w:val="en-US"/>
        </w:rPr>
        <w:t>non-discrimination</w:t>
      </w:r>
      <w:r w:rsidR="00005015" w:rsidRPr="00CE23AE">
        <w:rPr>
          <w:lang w:val="en-US"/>
        </w:rPr>
        <w:t xml:space="preserve"> </w:t>
      </w:r>
      <w:r w:rsidRPr="00CE23AE">
        <w:rPr>
          <w:lang w:val="en-US"/>
        </w:rPr>
        <w:t>due to</w:t>
      </w:r>
      <w:r w:rsidR="004570C1" w:rsidRPr="00CE23AE">
        <w:rPr>
          <w:lang w:val="en-US"/>
        </w:rPr>
        <w:t xml:space="preserve"> actual</w:t>
      </w:r>
      <w:r w:rsidRPr="00CE23AE">
        <w:rPr>
          <w:lang w:val="en-US"/>
        </w:rPr>
        <w:t xml:space="preserve"> or </w:t>
      </w:r>
      <w:r w:rsidR="00F839F7" w:rsidRPr="00CE23AE">
        <w:rPr>
          <w:lang w:val="en-US"/>
        </w:rPr>
        <w:t>perceived</w:t>
      </w:r>
      <w:r w:rsidR="00005015" w:rsidRPr="00CE23AE">
        <w:rPr>
          <w:lang w:val="en-US"/>
        </w:rPr>
        <w:t xml:space="preserve"> </w:t>
      </w:r>
      <w:r w:rsidR="00D5223B" w:rsidRPr="00CE23AE">
        <w:rPr>
          <w:lang w:val="en-US"/>
        </w:rPr>
        <w:t>sexual orientation</w:t>
      </w:r>
      <w:r w:rsidR="00005015" w:rsidRPr="00CE23AE">
        <w:rPr>
          <w:lang w:val="en-US"/>
        </w:rPr>
        <w:t xml:space="preserve"> </w:t>
      </w:r>
      <w:r w:rsidRPr="00CE23AE">
        <w:rPr>
          <w:lang w:val="en-US"/>
        </w:rPr>
        <w:t xml:space="preserve">has been accompanied by the </w:t>
      </w:r>
      <w:r w:rsidR="00673461" w:rsidRPr="00CE23AE">
        <w:rPr>
          <w:lang w:val="en-US"/>
        </w:rPr>
        <w:t>gradual</w:t>
      </w:r>
      <w:r w:rsidRPr="00CE23AE">
        <w:rPr>
          <w:lang w:val="en-US"/>
        </w:rPr>
        <w:t xml:space="preserve"> prohibition of the criminalization of consensual sexual acts between adults of the same sex. Since</w:t>
      </w:r>
      <w:r w:rsidR="00005015" w:rsidRPr="00CE23AE">
        <w:rPr>
          <w:lang w:val="en-US"/>
        </w:rPr>
        <w:t xml:space="preserve"> 1981</w:t>
      </w:r>
      <w:r w:rsidRPr="00CE23AE">
        <w:rPr>
          <w:lang w:val="en-US"/>
        </w:rPr>
        <w:t>,</w:t>
      </w:r>
      <w:r w:rsidR="00005015" w:rsidRPr="00CE23AE">
        <w:rPr>
          <w:lang w:val="en-US"/>
        </w:rPr>
        <w:t xml:space="preserve"> </w:t>
      </w:r>
      <w:r w:rsidR="00C561DF" w:rsidRPr="00CE23AE">
        <w:rPr>
          <w:lang w:val="en-US"/>
        </w:rPr>
        <w:t xml:space="preserve">the </w:t>
      </w:r>
      <w:r w:rsidR="00AC18A9" w:rsidRPr="00CE23AE">
        <w:rPr>
          <w:lang w:val="en-US"/>
        </w:rPr>
        <w:t>European Court of Human Rights</w:t>
      </w:r>
      <w:r w:rsidRPr="00CE23AE">
        <w:rPr>
          <w:lang w:val="en-US"/>
        </w:rPr>
        <w:t xml:space="preserve"> </w:t>
      </w:r>
      <w:r w:rsidR="00005015" w:rsidRPr="00CE23AE">
        <w:rPr>
          <w:lang w:val="en-US"/>
        </w:rPr>
        <w:t>ha</w:t>
      </w:r>
      <w:r w:rsidRPr="00CE23AE">
        <w:rPr>
          <w:lang w:val="en-US"/>
        </w:rPr>
        <w:t>s</w:t>
      </w:r>
      <w:r w:rsidR="00005015" w:rsidRPr="00CE23AE">
        <w:rPr>
          <w:lang w:val="en-US"/>
        </w:rPr>
        <w:t xml:space="preserve"> consider</w:t>
      </w:r>
      <w:r w:rsidRPr="00CE23AE">
        <w:rPr>
          <w:lang w:val="en-US"/>
        </w:rPr>
        <w:t>ed that the criminalization of homosexuality is not proportionate to its intended purposes.</w:t>
      </w:r>
      <w:r w:rsidR="00005015" w:rsidRPr="00CE23AE">
        <w:rPr>
          <w:rStyle w:val="Refdenotaalpie"/>
          <w:lang w:val="en-US"/>
        </w:rPr>
        <w:footnoteReference w:id="179"/>
      </w:r>
      <w:r w:rsidR="00005015" w:rsidRPr="00CE23AE">
        <w:rPr>
          <w:lang w:val="en-US"/>
        </w:rPr>
        <w:t xml:space="preserve"> </w:t>
      </w:r>
      <w:r w:rsidRPr="00CE23AE">
        <w:rPr>
          <w:lang w:val="en-US"/>
        </w:rPr>
        <w:t>The</w:t>
      </w:r>
      <w:r w:rsidR="00005015" w:rsidRPr="00CE23AE">
        <w:rPr>
          <w:lang w:val="en-US"/>
        </w:rPr>
        <w:t xml:space="preserve"> </w:t>
      </w:r>
      <w:r w:rsidR="004B71A0" w:rsidRPr="00CE23AE">
        <w:rPr>
          <w:lang w:val="en-US"/>
        </w:rPr>
        <w:t>Human Rights Committee</w:t>
      </w:r>
      <w:r w:rsidRPr="00CE23AE">
        <w:rPr>
          <w:lang w:val="en-US"/>
        </w:rPr>
        <w:t xml:space="preserve"> has concluded the same since </w:t>
      </w:r>
      <w:r w:rsidR="00005015" w:rsidRPr="00CE23AE">
        <w:rPr>
          <w:lang w:val="en-US"/>
        </w:rPr>
        <w:t>1994</w:t>
      </w:r>
      <w:r w:rsidRPr="00CE23AE">
        <w:rPr>
          <w:lang w:val="en-US"/>
        </w:rPr>
        <w:t>.</w:t>
      </w:r>
      <w:r w:rsidR="00005015" w:rsidRPr="00CE23AE">
        <w:rPr>
          <w:rStyle w:val="Refdenotaalpie"/>
          <w:lang w:val="en-US"/>
        </w:rPr>
        <w:footnoteReference w:id="180"/>
      </w:r>
      <w:r w:rsidRPr="00CE23AE">
        <w:rPr>
          <w:lang w:val="en-US"/>
        </w:rPr>
        <w:t xml:space="preserve"> Recently, in 2015, twelve United Nations entities</w:t>
      </w:r>
      <w:r w:rsidR="00005015" w:rsidRPr="00CE23AE">
        <w:rPr>
          <w:rStyle w:val="Refdenotaalpie"/>
          <w:lang w:val="en-US" w:eastAsia="es-CR"/>
        </w:rPr>
        <w:footnoteReference w:id="181"/>
      </w:r>
      <w:r w:rsidR="00005015" w:rsidRPr="00CE23AE">
        <w:rPr>
          <w:lang w:val="en-US"/>
        </w:rPr>
        <w:t xml:space="preserve"> </w:t>
      </w:r>
      <w:r w:rsidR="00005015" w:rsidRPr="00CE23AE">
        <w:rPr>
          <w:rFonts w:eastAsia="Times New Roman"/>
          <w:lang w:val="en-US" w:eastAsia="es-CR"/>
        </w:rPr>
        <w:t>publi</w:t>
      </w:r>
      <w:r w:rsidRPr="00CE23AE">
        <w:rPr>
          <w:rFonts w:eastAsia="Times New Roman"/>
          <w:lang w:val="en-US" w:eastAsia="es-CR"/>
        </w:rPr>
        <w:t xml:space="preserve">shed a joint statement calling on States to end violence and </w:t>
      </w:r>
      <w:r w:rsidR="00FA0123" w:rsidRPr="00CE23AE">
        <w:rPr>
          <w:rFonts w:eastAsia="Times New Roman"/>
          <w:lang w:val="en-US" w:eastAsia="es-CR"/>
        </w:rPr>
        <w:t>discrimination</w:t>
      </w:r>
      <w:r w:rsidR="00005015" w:rsidRPr="00CE23AE">
        <w:rPr>
          <w:rFonts w:eastAsia="Times New Roman"/>
          <w:lang w:val="en-US" w:eastAsia="es-CR"/>
        </w:rPr>
        <w:t xml:space="preserve"> </w:t>
      </w:r>
      <w:r w:rsidRPr="00CE23AE">
        <w:rPr>
          <w:rFonts w:eastAsia="Times New Roman"/>
          <w:lang w:val="en-US" w:eastAsia="es-CR"/>
        </w:rPr>
        <w:t xml:space="preserve">against </w:t>
      </w:r>
      <w:r w:rsidRPr="00CE23AE">
        <w:rPr>
          <w:rFonts w:cs="Arial"/>
          <w:lang w:val="en-US"/>
        </w:rPr>
        <w:t>lesbian, gay, bisexual, transgender and intersex (LGBTI) adults, adolescents and children by repealing laws that criminalize same-sex conduct between consenting adults and transgender people on the basis of their gender expression, and laws used to arrest, punish or discriminate against people on the basis of their sexual orientation, gender identity or gender expression.</w:t>
      </w:r>
      <w:r w:rsidR="00005015" w:rsidRPr="00CE23AE">
        <w:rPr>
          <w:rStyle w:val="Refdenotaalpie"/>
          <w:lang w:val="en-US" w:eastAsia="es-CR"/>
        </w:rPr>
        <w:footnoteReference w:id="182"/>
      </w:r>
      <w:r w:rsidR="00005015" w:rsidRPr="00CE23AE">
        <w:rPr>
          <w:rFonts w:eastAsia="Times New Roman"/>
          <w:lang w:val="en-US" w:eastAsia="es-CR"/>
        </w:rPr>
        <w:t xml:space="preserve"> </w:t>
      </w:r>
      <w:r w:rsidRPr="00CE23AE">
        <w:rPr>
          <w:rFonts w:eastAsia="Times New Roman"/>
          <w:lang w:val="en-US" w:eastAsia="es-CR"/>
        </w:rPr>
        <w:t>According to the United Nations High Commissioner for Human Rights, “</w:t>
      </w:r>
      <w:r w:rsidR="004570C1" w:rsidRPr="00CE23AE">
        <w:rPr>
          <w:rFonts w:eastAsia="Times New Roman"/>
          <w:lang w:val="en-US" w:eastAsia="es-CR"/>
        </w:rPr>
        <w:t>[w]hat these laws have in common is their use to harass and prosecute individuals because of their actual or perceived sexuality or gender identity.</w:t>
      </w:r>
      <w:r w:rsidR="00005015" w:rsidRPr="00CE23AE">
        <w:rPr>
          <w:rFonts w:eastAsia="Times New Roman"/>
          <w:lang w:val="en-US" w:eastAsia="es-CR"/>
        </w:rPr>
        <w:t>”</w:t>
      </w:r>
      <w:r w:rsidR="00005015" w:rsidRPr="00CE23AE">
        <w:rPr>
          <w:rStyle w:val="Refdenotaalpie"/>
          <w:rFonts w:eastAsia="Times New Roman"/>
          <w:lang w:val="en-US" w:eastAsia="es-CR"/>
        </w:rPr>
        <w:footnoteReference w:id="183"/>
      </w:r>
    </w:p>
    <w:p w14:paraId="164E4053" w14:textId="77777777" w:rsidR="00005015" w:rsidRPr="00CE23AE" w:rsidRDefault="00005015" w:rsidP="00005015">
      <w:pPr>
        <w:pStyle w:val="PrrafodeSentencia"/>
        <w:numPr>
          <w:ilvl w:val="0"/>
          <w:numId w:val="0"/>
        </w:numPr>
        <w:rPr>
          <w:color w:val="4F81BD" w:themeColor="accent1"/>
          <w:lang w:val="en-US"/>
        </w:rPr>
      </w:pPr>
    </w:p>
    <w:p w14:paraId="53066FD7" w14:textId="4B47F322" w:rsidR="00005015" w:rsidRPr="00CE23AE" w:rsidRDefault="00C561DF" w:rsidP="004570C1">
      <w:pPr>
        <w:pStyle w:val="PrrafodeSentencia"/>
        <w:rPr>
          <w:rFonts w:cs="Arial"/>
          <w:lang w:val="en-US" w:eastAsia="es-ES"/>
        </w:rPr>
      </w:pPr>
      <w:bookmarkStart w:id="344" w:name="_Ref453599162"/>
      <w:r w:rsidRPr="00CE23AE">
        <w:rPr>
          <w:lang w:val="en-US"/>
        </w:rPr>
        <w:t>The State</w:t>
      </w:r>
      <w:r w:rsidR="00005015" w:rsidRPr="00CE23AE">
        <w:rPr>
          <w:lang w:val="en-US" w:eastAsia="es-ES"/>
        </w:rPr>
        <w:t xml:space="preserve"> ha</w:t>
      </w:r>
      <w:r w:rsidR="004570C1" w:rsidRPr="00CE23AE">
        <w:rPr>
          <w:lang w:val="en-US" w:eastAsia="es-ES"/>
        </w:rPr>
        <w:t xml:space="preserve">s argued that, at the time of the facts, the international obligation to consider </w:t>
      </w:r>
      <w:r w:rsidR="004570C1" w:rsidRPr="00CE23AE">
        <w:rPr>
          <w:rFonts w:cs="Arial"/>
          <w:lang w:val="en-US" w:eastAsia="es-ES"/>
        </w:rPr>
        <w:t xml:space="preserve">sexual orientation as a category based on which discrimination was prohibited did not exist. The Court recalls that the obligations established in </w:t>
      </w:r>
      <w:r w:rsidR="004570C1" w:rsidRPr="00CE23AE">
        <w:rPr>
          <w:lang w:val="en-US" w:eastAsia="es-ES"/>
        </w:rPr>
        <w:t>the American Convention, such as the prohibition of discrimination, must be respected by the States Parties from the moment they ratify this treaty.</w:t>
      </w:r>
      <w:bookmarkEnd w:id="344"/>
      <w:r w:rsidR="00005015" w:rsidRPr="00CE23AE">
        <w:rPr>
          <w:rStyle w:val="Refdenotaalpie"/>
          <w:lang w:val="en-US"/>
        </w:rPr>
        <w:footnoteReference w:id="184"/>
      </w:r>
      <w:r w:rsidR="00005015" w:rsidRPr="00CE23AE">
        <w:rPr>
          <w:lang w:val="en-US"/>
        </w:rPr>
        <w:t xml:space="preserve"> </w:t>
      </w:r>
      <w:r w:rsidR="004570C1" w:rsidRPr="00CE23AE">
        <w:rPr>
          <w:lang w:val="en-US"/>
        </w:rPr>
        <w:t xml:space="preserve">The human rights obligations derived from the prohibition of </w:t>
      </w:r>
      <w:r w:rsidR="00FA0123" w:rsidRPr="00CE23AE">
        <w:rPr>
          <w:lang w:val="en-US"/>
        </w:rPr>
        <w:t>discrimination</w:t>
      </w:r>
      <w:r w:rsidRPr="00CE23AE">
        <w:rPr>
          <w:lang w:val="en-US"/>
        </w:rPr>
        <w:t xml:space="preserve"> and </w:t>
      </w:r>
      <w:r w:rsidR="004570C1" w:rsidRPr="00CE23AE">
        <w:rPr>
          <w:lang w:val="en-US"/>
        </w:rPr>
        <w:t xml:space="preserve">the principle of </w:t>
      </w:r>
      <w:r w:rsidR="004570C1" w:rsidRPr="00CE23AE">
        <w:rPr>
          <w:lang w:val="en-US"/>
        </w:rPr>
        <w:lastRenderedPageBreak/>
        <w:t>equality before the law require immediate compliance.</w:t>
      </w:r>
      <w:r w:rsidR="00005015" w:rsidRPr="00CE23AE">
        <w:rPr>
          <w:rStyle w:val="Refdenotaalpie"/>
          <w:lang w:val="en-US"/>
        </w:rPr>
        <w:footnoteReference w:id="185"/>
      </w:r>
      <w:r w:rsidR="00005015" w:rsidRPr="00CE23AE">
        <w:rPr>
          <w:lang w:val="en-US"/>
        </w:rPr>
        <w:t xml:space="preserve"> </w:t>
      </w:r>
      <w:r w:rsidR="004570C1" w:rsidRPr="00CE23AE">
        <w:rPr>
          <w:rFonts w:cs="Arial"/>
          <w:lang w:val="en-US" w:eastAsia="es-ES"/>
        </w:rPr>
        <w:t>I</w:t>
      </w:r>
      <w:r w:rsidR="00005015" w:rsidRPr="00CE23AE">
        <w:rPr>
          <w:rFonts w:cs="Arial"/>
          <w:lang w:val="en-US" w:eastAsia="es-ES"/>
        </w:rPr>
        <w:t>n particular</w:t>
      </w:r>
      <w:r w:rsidR="004570C1" w:rsidRPr="00CE23AE">
        <w:rPr>
          <w:rFonts w:cs="Arial"/>
          <w:lang w:val="en-US" w:eastAsia="es-ES"/>
        </w:rPr>
        <w:t>,</w:t>
      </w:r>
      <w:r w:rsidR="00005015" w:rsidRPr="00CE23AE">
        <w:rPr>
          <w:rFonts w:cs="Arial"/>
          <w:lang w:val="en-US" w:eastAsia="es-ES"/>
        </w:rPr>
        <w:t xml:space="preserve"> </w:t>
      </w:r>
      <w:r w:rsidR="004570C1" w:rsidRPr="00CE23AE">
        <w:rPr>
          <w:rFonts w:cs="Arial"/>
          <w:lang w:val="en-US" w:eastAsia="es-ES"/>
        </w:rPr>
        <w:t>regarding</w:t>
      </w:r>
      <w:r w:rsidR="00D5223B" w:rsidRPr="00CE23AE">
        <w:rPr>
          <w:rFonts w:cs="Arial"/>
          <w:lang w:val="en-US" w:eastAsia="es-ES"/>
        </w:rPr>
        <w:t xml:space="preserve"> sexual orientation</w:t>
      </w:r>
      <w:r w:rsidR="00005015" w:rsidRPr="00CE23AE">
        <w:rPr>
          <w:rFonts w:cs="Arial"/>
          <w:lang w:val="en-US" w:eastAsia="es-ES"/>
        </w:rPr>
        <w:t>,</w:t>
      </w:r>
      <w:r w:rsidR="004570C1" w:rsidRPr="00CE23AE">
        <w:rPr>
          <w:rFonts w:cs="Arial"/>
          <w:lang w:val="en-US" w:eastAsia="es-ES"/>
        </w:rPr>
        <w:t xml:space="preserve"> this Court has indicated that the presumed lack of a consensus in some countries at the time of the facts </w:t>
      </w:r>
      <w:r w:rsidR="00F839F7" w:rsidRPr="00CE23AE">
        <w:rPr>
          <w:rFonts w:cs="Arial"/>
          <w:lang w:val="en-US" w:eastAsia="es-ES"/>
        </w:rPr>
        <w:t>as regards</w:t>
      </w:r>
      <w:r w:rsidR="004570C1" w:rsidRPr="00CE23AE">
        <w:rPr>
          <w:rFonts w:cs="Arial"/>
          <w:lang w:val="en-US" w:eastAsia="es-ES"/>
        </w:rPr>
        <w:t xml:space="preserve"> full respect for the rights of sexual minorities cannot be considered a valid argument to deny or restrict their human rights or to perpetuate and reproduce the historical and structural discrimination that these minorities have suffered.</w:t>
      </w:r>
      <w:r w:rsidR="00005015" w:rsidRPr="00CE23AE">
        <w:rPr>
          <w:rStyle w:val="Refdenotaalpie"/>
          <w:lang w:val="en-US" w:eastAsia="es-ES"/>
        </w:rPr>
        <w:footnoteReference w:id="186"/>
      </w:r>
      <w:r w:rsidR="00C419D8" w:rsidRPr="00CE23AE">
        <w:rPr>
          <w:lang w:val="en-US"/>
        </w:rPr>
        <w:t xml:space="preserve"> </w:t>
      </w:r>
      <w:r w:rsidR="004570C1" w:rsidRPr="00CE23AE">
        <w:rPr>
          <w:lang w:val="en-US"/>
        </w:rPr>
        <w:t>The</w:t>
      </w:r>
      <w:r w:rsidRPr="00CE23AE">
        <w:rPr>
          <w:lang w:val="en-US"/>
        </w:rPr>
        <w:t xml:space="preserve"> Court</w:t>
      </w:r>
      <w:r w:rsidR="00005015" w:rsidRPr="00CE23AE">
        <w:rPr>
          <w:lang w:val="en-US"/>
        </w:rPr>
        <w:t xml:space="preserve"> </w:t>
      </w:r>
      <w:r w:rsidR="004570C1" w:rsidRPr="00CE23AE">
        <w:rPr>
          <w:lang w:val="en-US"/>
        </w:rPr>
        <w:t>also emphasizes that, at the time of the events of this case, this type of discrimination was prohibited by the Ecuadorian Constitution.</w:t>
      </w:r>
      <w:r w:rsidR="00005015" w:rsidRPr="00CE23AE">
        <w:rPr>
          <w:rFonts w:cs="Arial"/>
          <w:vertAlign w:val="superscript"/>
          <w:lang w:val="en-US" w:eastAsia="es-ES"/>
        </w:rPr>
        <w:footnoteReference w:id="187"/>
      </w:r>
      <w:r w:rsidR="004570C1" w:rsidRPr="00CE23AE">
        <w:rPr>
          <w:lang w:val="en-US"/>
        </w:rPr>
        <w:t xml:space="preserve"> Therefore, there is no doubt that, at the time of the facts of this case, the State was obliged not to discriminate based on a person’s </w:t>
      </w:r>
      <w:r w:rsidR="00D5223B" w:rsidRPr="00CE23AE">
        <w:rPr>
          <w:lang w:val="en-US"/>
        </w:rPr>
        <w:t>sexual orientation</w:t>
      </w:r>
      <w:r w:rsidR="00005015" w:rsidRPr="00CE23AE">
        <w:rPr>
          <w:lang w:val="en-US"/>
        </w:rPr>
        <w:t>.</w:t>
      </w:r>
      <w:r w:rsidR="00005015" w:rsidRPr="00CE23AE">
        <w:rPr>
          <w:rStyle w:val="Refdecomentario"/>
          <w:rFonts w:ascii="Calibri" w:eastAsia="Calibri" w:hAnsi="Calibri"/>
          <w:lang w:val="en-US" w:eastAsia="x-none"/>
        </w:rPr>
        <w:t xml:space="preserve"> </w:t>
      </w:r>
    </w:p>
    <w:p w14:paraId="38FD7415" w14:textId="77777777" w:rsidR="00005015" w:rsidRPr="00CE23AE" w:rsidRDefault="00005015" w:rsidP="00005015">
      <w:pPr>
        <w:pStyle w:val="PrrafodeSentencia"/>
        <w:numPr>
          <w:ilvl w:val="0"/>
          <w:numId w:val="0"/>
        </w:numPr>
        <w:rPr>
          <w:lang w:val="en-US"/>
        </w:rPr>
      </w:pPr>
    </w:p>
    <w:p w14:paraId="6E5B0F76" w14:textId="4CE1F370" w:rsidR="00005015" w:rsidRPr="00CE23AE" w:rsidRDefault="00005015" w:rsidP="00005015">
      <w:pPr>
        <w:pStyle w:val="Ttulo4"/>
        <w:rPr>
          <w:lang w:val="en-US"/>
        </w:rPr>
      </w:pPr>
      <w:bookmarkStart w:id="345" w:name="_Toc460398544"/>
      <w:bookmarkStart w:id="346" w:name="_Toc460398713"/>
      <w:bookmarkStart w:id="347" w:name="_Toc464474997"/>
      <w:bookmarkStart w:id="348" w:name="_Toc46388384"/>
      <w:r w:rsidRPr="00CE23AE">
        <w:rPr>
          <w:lang w:val="en-US"/>
        </w:rPr>
        <w:t xml:space="preserve">B.2.c </w:t>
      </w:r>
      <w:r w:rsidR="004570C1" w:rsidRPr="00CE23AE">
        <w:rPr>
          <w:lang w:val="en-US"/>
        </w:rPr>
        <w:t>The discriminatory nature of the</w:t>
      </w:r>
      <w:r w:rsidR="009E0CD2" w:rsidRPr="00CE23AE">
        <w:rPr>
          <w:lang w:val="en-US"/>
        </w:rPr>
        <w:t xml:space="preserve"> difference in treatment </w:t>
      </w:r>
      <w:r w:rsidR="004570C1" w:rsidRPr="00CE23AE">
        <w:rPr>
          <w:lang w:val="en-US"/>
        </w:rPr>
        <w:t>in articles 67</w:t>
      </w:r>
      <w:r w:rsidR="00C561DF" w:rsidRPr="00CE23AE">
        <w:rPr>
          <w:lang w:val="en-US"/>
        </w:rPr>
        <w:t xml:space="preserve"> and </w:t>
      </w:r>
      <w:r w:rsidRPr="00CE23AE">
        <w:rPr>
          <w:lang w:val="en-US"/>
        </w:rPr>
        <w:t>117</w:t>
      </w:r>
      <w:r w:rsidR="00C561DF" w:rsidRPr="00CE23AE">
        <w:rPr>
          <w:lang w:val="en-US"/>
        </w:rPr>
        <w:t xml:space="preserve"> of the </w:t>
      </w:r>
      <w:r w:rsidR="009C5D46" w:rsidRPr="00CE23AE">
        <w:rPr>
          <w:lang w:val="en-US"/>
        </w:rPr>
        <w:t>Military Discipline Regulations</w:t>
      </w:r>
      <w:r w:rsidR="00C561DF" w:rsidRPr="00CE23AE">
        <w:rPr>
          <w:lang w:val="en-US"/>
        </w:rPr>
        <w:t xml:space="preserve"> </w:t>
      </w:r>
      <w:r w:rsidR="004570C1" w:rsidRPr="00CE23AE">
        <w:rPr>
          <w:lang w:val="en-US"/>
        </w:rPr>
        <w:t>and article 87(i)</w:t>
      </w:r>
      <w:r w:rsidR="008B76F3" w:rsidRPr="00CE23AE">
        <w:rPr>
          <w:lang w:val="en-US"/>
        </w:rPr>
        <w:t xml:space="preserve"> of the Law on Armed Forces Personnel</w:t>
      </w:r>
      <w:bookmarkEnd w:id="345"/>
      <w:bookmarkEnd w:id="346"/>
      <w:bookmarkEnd w:id="347"/>
      <w:bookmarkEnd w:id="348"/>
    </w:p>
    <w:p w14:paraId="366D06CC" w14:textId="77777777" w:rsidR="00005015" w:rsidRPr="00CE23AE" w:rsidRDefault="00005015" w:rsidP="00005015">
      <w:pPr>
        <w:rPr>
          <w:lang w:val="en-US"/>
        </w:rPr>
      </w:pPr>
    </w:p>
    <w:p w14:paraId="0FAA8D5D" w14:textId="605A4127" w:rsidR="00005015" w:rsidRPr="00CE23AE" w:rsidRDefault="00C561DF" w:rsidP="00005015">
      <w:pPr>
        <w:pStyle w:val="PrrafodeSentencia"/>
        <w:rPr>
          <w:lang w:val="en-US"/>
        </w:rPr>
      </w:pPr>
      <w:r w:rsidRPr="00CE23AE">
        <w:rPr>
          <w:lang w:val="en-US"/>
        </w:rPr>
        <w:t>The Court</w:t>
      </w:r>
      <w:r w:rsidR="00005015" w:rsidRPr="00CE23AE">
        <w:rPr>
          <w:lang w:val="en-US"/>
        </w:rPr>
        <w:t xml:space="preserve"> ha</w:t>
      </w:r>
      <w:r w:rsidR="00AC7E0A" w:rsidRPr="00CE23AE">
        <w:rPr>
          <w:lang w:val="en-US"/>
        </w:rPr>
        <w:t xml:space="preserve">s determined that a difference in treatment is discriminatory when </w:t>
      </w:r>
      <w:r w:rsidR="00673461" w:rsidRPr="00CE23AE">
        <w:rPr>
          <w:lang w:val="en-US"/>
        </w:rPr>
        <w:t>it has no</w:t>
      </w:r>
      <w:r w:rsidR="00AC7E0A" w:rsidRPr="00CE23AE">
        <w:rPr>
          <w:lang w:val="en-US"/>
        </w:rPr>
        <w:t xml:space="preserve"> objective and reasonable justification;</w:t>
      </w:r>
      <w:r w:rsidR="00005015" w:rsidRPr="00CE23AE">
        <w:rPr>
          <w:vertAlign w:val="superscript"/>
          <w:lang w:val="en-US"/>
        </w:rPr>
        <w:footnoteReference w:id="188"/>
      </w:r>
      <w:r w:rsidR="00AC7E0A" w:rsidRPr="00CE23AE">
        <w:rPr>
          <w:lang w:val="en-US"/>
        </w:rPr>
        <w:t xml:space="preserve"> that is, when it does not seek a legitimate purpose and there is no reasonable relationship of proportionality between the means employed and the </w:t>
      </w:r>
      <w:r w:rsidR="00F839F7" w:rsidRPr="00CE23AE">
        <w:rPr>
          <w:lang w:val="en-US"/>
        </w:rPr>
        <w:t>objective</w:t>
      </w:r>
      <w:r w:rsidR="00AC7E0A" w:rsidRPr="00CE23AE">
        <w:rPr>
          <w:lang w:val="en-US"/>
        </w:rPr>
        <w:t xml:space="preserve"> sought.</w:t>
      </w:r>
      <w:r w:rsidR="00005015" w:rsidRPr="00CE23AE">
        <w:rPr>
          <w:vertAlign w:val="superscript"/>
          <w:lang w:val="en-US"/>
        </w:rPr>
        <w:footnoteReference w:id="189"/>
      </w:r>
      <w:r w:rsidR="00AC7E0A" w:rsidRPr="00CE23AE">
        <w:rPr>
          <w:lang w:val="en-US"/>
        </w:rPr>
        <w:t xml:space="preserve"> This</w:t>
      </w:r>
      <w:r w:rsidR="00000AD5" w:rsidRPr="00CE23AE">
        <w:rPr>
          <w:lang w:val="en-US"/>
        </w:rPr>
        <w:t xml:space="preserve"> Court</w:t>
      </w:r>
      <w:r w:rsidR="00005015" w:rsidRPr="00CE23AE">
        <w:rPr>
          <w:lang w:val="en-US"/>
        </w:rPr>
        <w:t xml:space="preserve"> ha</w:t>
      </w:r>
      <w:r w:rsidR="00AC7E0A" w:rsidRPr="00CE23AE">
        <w:rPr>
          <w:lang w:val="en-US"/>
        </w:rPr>
        <w:t xml:space="preserve">s also established that in the case of a prohibition by reason of one of the protected categories indicated in </w:t>
      </w:r>
      <w:r w:rsidRPr="00CE23AE">
        <w:rPr>
          <w:lang w:val="en-US"/>
        </w:rPr>
        <w:t>Article 1(1) of the Convention</w:t>
      </w:r>
      <w:r w:rsidR="00005015" w:rsidRPr="00CE23AE">
        <w:rPr>
          <w:lang w:val="en-US"/>
        </w:rPr>
        <w:t xml:space="preserve">, </w:t>
      </w:r>
      <w:r w:rsidR="00AC7E0A" w:rsidRPr="00CE23AE">
        <w:rPr>
          <w:lang w:val="en-US"/>
        </w:rPr>
        <w:t>the possible restriction of a right requires rigorous justification, which means that the reasons used by the State to differentiat</w:t>
      </w:r>
      <w:r w:rsidR="00673461" w:rsidRPr="00CE23AE">
        <w:rPr>
          <w:lang w:val="en-US"/>
        </w:rPr>
        <w:t>e</w:t>
      </w:r>
      <w:r w:rsidR="00AC7E0A" w:rsidRPr="00CE23AE">
        <w:rPr>
          <w:lang w:val="en-US"/>
        </w:rPr>
        <w:t xml:space="preserve"> treatment must be particularly serious and su</w:t>
      </w:r>
      <w:r w:rsidR="00673461" w:rsidRPr="00CE23AE">
        <w:rPr>
          <w:lang w:val="en-US"/>
        </w:rPr>
        <w:t>pported</w:t>
      </w:r>
      <w:r w:rsidR="00AC7E0A" w:rsidRPr="00CE23AE">
        <w:rPr>
          <w:lang w:val="en-US"/>
        </w:rPr>
        <w:t xml:space="preserve"> by comprehensive arguments.</w:t>
      </w:r>
      <w:r w:rsidR="00005015" w:rsidRPr="00CE23AE">
        <w:rPr>
          <w:vertAlign w:val="superscript"/>
          <w:lang w:val="en-US"/>
        </w:rPr>
        <w:footnoteReference w:id="190"/>
      </w:r>
      <w:r w:rsidR="00005015" w:rsidRPr="00CE23AE">
        <w:rPr>
          <w:rFonts w:cs="Courier New"/>
          <w:lang w:val="en-US"/>
        </w:rPr>
        <w:t xml:space="preserve"> </w:t>
      </w:r>
      <w:r w:rsidR="00AC7E0A" w:rsidRPr="00CE23AE">
        <w:rPr>
          <w:rFonts w:cs="Courier New"/>
          <w:lang w:val="en-US"/>
        </w:rPr>
        <w:t xml:space="preserve">It is the State that has the burden of proof to demonstrate that the </w:t>
      </w:r>
      <w:r w:rsidR="009E0CD2" w:rsidRPr="00CE23AE">
        <w:rPr>
          <w:lang w:val="en-US"/>
        </w:rPr>
        <w:t xml:space="preserve">difference in treatment </w:t>
      </w:r>
      <w:r w:rsidR="00673461" w:rsidRPr="00CE23AE">
        <w:rPr>
          <w:lang w:val="en-US"/>
        </w:rPr>
        <w:t>between</w:t>
      </w:r>
      <w:r w:rsidR="00AC7E0A" w:rsidRPr="00CE23AE">
        <w:rPr>
          <w:lang w:val="en-US"/>
        </w:rPr>
        <w:t xml:space="preserve"> homosexual sexual acts and the so-called “unlawful sexual acts” is justified, without founding its decision on stereotypes.</w:t>
      </w:r>
      <w:r w:rsidR="00005015" w:rsidRPr="00CE23AE">
        <w:rPr>
          <w:rStyle w:val="Refdenotaalpie"/>
          <w:lang w:val="en-US"/>
        </w:rPr>
        <w:footnoteReference w:id="191"/>
      </w:r>
      <w:r w:rsidR="00005015" w:rsidRPr="00CE23AE">
        <w:rPr>
          <w:lang w:val="en-US"/>
        </w:rPr>
        <w:t xml:space="preserve"> </w:t>
      </w:r>
    </w:p>
    <w:p w14:paraId="1CFDE6AE" w14:textId="77777777" w:rsidR="00005015" w:rsidRPr="00CE23AE" w:rsidRDefault="00005015" w:rsidP="00005015">
      <w:pPr>
        <w:pStyle w:val="PrrafodeSentencia"/>
        <w:numPr>
          <w:ilvl w:val="0"/>
          <w:numId w:val="0"/>
        </w:numPr>
        <w:rPr>
          <w:lang w:val="en-US"/>
        </w:rPr>
      </w:pPr>
    </w:p>
    <w:p w14:paraId="53875609" w14:textId="1802250B" w:rsidR="00005015" w:rsidRPr="00CE23AE" w:rsidRDefault="00AC7E0A" w:rsidP="00005015">
      <w:pPr>
        <w:widowControl/>
        <w:numPr>
          <w:ilvl w:val="0"/>
          <w:numId w:val="6"/>
        </w:numPr>
        <w:tabs>
          <w:tab w:val="left" w:pos="567"/>
        </w:tabs>
        <w:suppressAutoHyphens/>
        <w:adjustRightInd/>
        <w:spacing w:line="240" w:lineRule="auto"/>
        <w:textAlignment w:val="auto"/>
        <w:rPr>
          <w:szCs w:val="20"/>
          <w:lang w:val="en-US"/>
        </w:rPr>
      </w:pPr>
      <w:bookmarkStart w:id="349" w:name="_Ref453716165"/>
      <w:r w:rsidRPr="00CE23AE">
        <w:rPr>
          <w:lang w:val="en-US"/>
        </w:rPr>
        <w:t>In the instant case, the differences in the disciplinary regulations reveal a distinction related to</w:t>
      </w:r>
      <w:r w:rsidR="00D5223B" w:rsidRPr="00CE23AE">
        <w:rPr>
          <w:rFonts w:cs="Helvetica"/>
          <w:szCs w:val="20"/>
          <w:lang w:val="en-US"/>
        </w:rPr>
        <w:t xml:space="preserve"> sexual orientation</w:t>
      </w:r>
      <w:r w:rsidR="00005015" w:rsidRPr="00CE23AE">
        <w:rPr>
          <w:rFonts w:cs="Helvetica"/>
          <w:szCs w:val="20"/>
          <w:lang w:val="en-US"/>
        </w:rPr>
        <w:t xml:space="preserve">, </w:t>
      </w:r>
      <w:r w:rsidRPr="00CE23AE">
        <w:rPr>
          <w:rFonts w:cs="Helvetica"/>
          <w:szCs w:val="20"/>
          <w:lang w:val="en-US"/>
        </w:rPr>
        <w:t>a category protected by</w:t>
      </w:r>
      <w:r w:rsidR="00005015" w:rsidRPr="00CE23AE">
        <w:rPr>
          <w:rFonts w:cs="Helvetica"/>
          <w:szCs w:val="20"/>
          <w:lang w:val="en-US"/>
        </w:rPr>
        <w:t xml:space="preserve"> </w:t>
      </w:r>
      <w:r w:rsidR="00C561DF" w:rsidRPr="00CE23AE">
        <w:rPr>
          <w:rFonts w:cs="Helvetica"/>
          <w:szCs w:val="20"/>
          <w:lang w:val="en-US"/>
        </w:rPr>
        <w:t>Article 1(1) of the Convention</w:t>
      </w:r>
      <w:r w:rsidR="00005015" w:rsidRPr="00CE23AE">
        <w:rPr>
          <w:rFonts w:cs="Helvetica"/>
          <w:szCs w:val="20"/>
          <w:lang w:val="en-US"/>
        </w:rPr>
        <w:t xml:space="preserve">. </w:t>
      </w:r>
      <w:r w:rsidRPr="00CE23AE">
        <w:rPr>
          <w:rFonts w:cs="Helvetica"/>
          <w:szCs w:val="20"/>
          <w:lang w:val="en-US"/>
        </w:rPr>
        <w:t>However</w:t>
      </w:r>
      <w:r w:rsidR="00005015" w:rsidRPr="00CE23AE">
        <w:rPr>
          <w:rFonts w:cs="Helvetica"/>
          <w:szCs w:val="20"/>
          <w:lang w:val="en-US"/>
        </w:rPr>
        <w:t>,</w:t>
      </w:r>
      <w:r w:rsidR="00005015" w:rsidRPr="00CE23AE">
        <w:rPr>
          <w:szCs w:val="20"/>
          <w:lang w:val="en-US"/>
        </w:rPr>
        <w:t xml:space="preserve"> Ecuador </w:t>
      </w:r>
      <w:r w:rsidRPr="00CE23AE">
        <w:rPr>
          <w:szCs w:val="20"/>
          <w:lang w:val="en-US"/>
        </w:rPr>
        <w:t xml:space="preserve">has not provided an explanation on the essential social need </w:t>
      </w:r>
      <w:r w:rsidR="0057318C" w:rsidRPr="00CE23AE">
        <w:rPr>
          <w:szCs w:val="20"/>
          <w:lang w:val="en-US"/>
        </w:rPr>
        <w:t>or the purpose of the difference in treatment, or a reason to justify that differen</w:t>
      </w:r>
      <w:r w:rsidR="00F839F7" w:rsidRPr="00CE23AE">
        <w:rPr>
          <w:szCs w:val="20"/>
          <w:lang w:val="en-US"/>
        </w:rPr>
        <w:t>ce</w:t>
      </w:r>
      <w:r w:rsidR="0057318C" w:rsidRPr="00CE23AE">
        <w:rPr>
          <w:szCs w:val="20"/>
          <w:lang w:val="en-US"/>
        </w:rPr>
        <w:t xml:space="preserve"> as a less harmful method to achieve th</w:t>
      </w:r>
      <w:r w:rsidR="00F839F7" w:rsidRPr="00CE23AE">
        <w:rPr>
          <w:szCs w:val="20"/>
          <w:lang w:val="en-US"/>
        </w:rPr>
        <w:t>e</w:t>
      </w:r>
      <w:r w:rsidR="0057318C" w:rsidRPr="00CE23AE">
        <w:rPr>
          <w:szCs w:val="20"/>
          <w:lang w:val="en-US"/>
        </w:rPr>
        <w:t xml:space="preserve"> purpose</w:t>
      </w:r>
      <w:r w:rsidR="00B12433" w:rsidRPr="00CE23AE">
        <w:rPr>
          <w:szCs w:val="20"/>
          <w:lang w:val="en-US"/>
        </w:rPr>
        <w:t xml:space="preserve"> sought</w:t>
      </w:r>
      <w:r w:rsidR="0057318C" w:rsidRPr="00CE23AE">
        <w:rPr>
          <w:szCs w:val="20"/>
          <w:lang w:val="en-US"/>
        </w:rPr>
        <w:t>.</w:t>
      </w:r>
      <w:bookmarkEnd w:id="349"/>
    </w:p>
    <w:p w14:paraId="09FC7349" w14:textId="77777777" w:rsidR="00005015" w:rsidRPr="00CE23AE" w:rsidRDefault="00005015" w:rsidP="00005015">
      <w:pPr>
        <w:widowControl/>
        <w:tabs>
          <w:tab w:val="left" w:pos="567"/>
        </w:tabs>
        <w:suppressAutoHyphens/>
        <w:adjustRightInd/>
        <w:spacing w:line="240" w:lineRule="auto"/>
        <w:textAlignment w:val="auto"/>
        <w:rPr>
          <w:szCs w:val="20"/>
          <w:lang w:val="en-US"/>
        </w:rPr>
      </w:pPr>
    </w:p>
    <w:p w14:paraId="34DF6D18" w14:textId="0AE75ECE" w:rsidR="00005015" w:rsidRPr="00CE23AE" w:rsidRDefault="00000AD5" w:rsidP="0057318C">
      <w:pPr>
        <w:pStyle w:val="PrrafodeSentencia"/>
        <w:rPr>
          <w:color w:val="4F81BD" w:themeColor="accent1"/>
          <w:lang w:val="en-US"/>
        </w:rPr>
      </w:pPr>
      <w:r w:rsidRPr="00CE23AE">
        <w:rPr>
          <w:lang w:val="en-US"/>
        </w:rPr>
        <w:t>This Court</w:t>
      </w:r>
      <w:r w:rsidR="00005015" w:rsidRPr="00CE23AE">
        <w:rPr>
          <w:lang w:val="en-US"/>
        </w:rPr>
        <w:t xml:space="preserve"> </w:t>
      </w:r>
      <w:r w:rsidR="00673461" w:rsidRPr="00CE23AE">
        <w:rPr>
          <w:lang w:val="en-US"/>
        </w:rPr>
        <w:t>emphasizes</w:t>
      </w:r>
      <w:r w:rsidR="0057318C" w:rsidRPr="00CE23AE">
        <w:rPr>
          <w:lang w:val="en-US"/>
        </w:rPr>
        <w:t xml:space="preserve"> that, in order to </w:t>
      </w:r>
      <w:r w:rsidR="00673461" w:rsidRPr="00CE23AE">
        <w:rPr>
          <w:lang w:val="en-US"/>
        </w:rPr>
        <w:t>maintain</w:t>
      </w:r>
      <w:r w:rsidR="0057318C" w:rsidRPr="00CE23AE">
        <w:rPr>
          <w:lang w:val="en-US"/>
        </w:rPr>
        <w:t xml:space="preserve"> military discipline, it could be reasonable and admissible to impose restrictions on sexual relations on military premises or during </w:t>
      </w:r>
      <w:r w:rsidR="00673461" w:rsidRPr="00CE23AE">
        <w:rPr>
          <w:lang w:val="en-US"/>
        </w:rPr>
        <w:t xml:space="preserve">military </w:t>
      </w:r>
      <w:r w:rsidR="0057318C" w:rsidRPr="00CE23AE">
        <w:rPr>
          <w:lang w:val="en-US"/>
        </w:rPr>
        <w:t xml:space="preserve">service. However, the absence of adequate justification for </w:t>
      </w:r>
      <w:r w:rsidR="00673461" w:rsidRPr="00CE23AE">
        <w:rPr>
          <w:lang w:val="en-US"/>
        </w:rPr>
        <w:t>the harsher</w:t>
      </w:r>
      <w:r w:rsidR="0057318C" w:rsidRPr="00CE23AE">
        <w:rPr>
          <w:lang w:val="en-US"/>
        </w:rPr>
        <w:t xml:space="preserve"> penalty for homosexual sexual acts </w:t>
      </w:r>
      <w:r w:rsidR="00673461" w:rsidRPr="00CE23AE">
        <w:rPr>
          <w:lang w:val="en-US"/>
        </w:rPr>
        <w:t>leads</w:t>
      </w:r>
      <w:r w:rsidR="0057318C" w:rsidRPr="00CE23AE">
        <w:rPr>
          <w:lang w:val="en-US"/>
        </w:rPr>
        <w:t xml:space="preserve"> to a presumption that this measure is discriminatory. Furthermore, the difference in regulation </w:t>
      </w:r>
      <w:r w:rsidR="0057318C" w:rsidRPr="00CE23AE">
        <w:rPr>
          <w:lang w:val="en-US"/>
        </w:rPr>
        <w:lastRenderedPageBreak/>
        <w:t>that exist</w:t>
      </w:r>
      <w:r w:rsidR="00B12433" w:rsidRPr="00CE23AE">
        <w:rPr>
          <w:lang w:val="en-US"/>
        </w:rPr>
        <w:t>ed</w:t>
      </w:r>
      <w:r w:rsidR="0057318C" w:rsidRPr="00CE23AE">
        <w:rPr>
          <w:lang w:val="en-US"/>
        </w:rPr>
        <w:t xml:space="preserve"> in th</w:t>
      </w:r>
      <w:r w:rsidR="00B12433" w:rsidRPr="00CE23AE">
        <w:rPr>
          <w:lang w:val="en-US"/>
        </w:rPr>
        <w:t>is</w:t>
      </w:r>
      <w:r w:rsidR="0057318C" w:rsidRPr="00CE23AE">
        <w:rPr>
          <w:lang w:val="en-US"/>
        </w:rPr>
        <w:t xml:space="preserve"> case </w:t>
      </w:r>
      <w:r w:rsidR="00B12433" w:rsidRPr="00CE23AE">
        <w:rPr>
          <w:lang w:val="en-US"/>
        </w:rPr>
        <w:t>with regard to</w:t>
      </w:r>
      <w:r w:rsidR="0057318C" w:rsidRPr="00CE23AE">
        <w:rPr>
          <w:lang w:val="en-US"/>
        </w:rPr>
        <w:t xml:space="preserve"> homosexual acts had the effect of excluding homosexual individuals from the Armed Forces. In this regard, the Court recalls that the prohibition of discrimination based a person’s sexual orientation includes the protection of the expression of this</w:t>
      </w:r>
      <w:r w:rsidR="0057318C" w:rsidRPr="00CE23AE">
        <w:rPr>
          <w:color w:val="4F81BD" w:themeColor="accent1"/>
          <w:lang w:val="en-US"/>
        </w:rPr>
        <w:t xml:space="preserve"> </w:t>
      </w:r>
      <w:r w:rsidR="00D5223B" w:rsidRPr="00CE23AE">
        <w:rPr>
          <w:lang w:val="en-US"/>
        </w:rPr>
        <w:t>sexual orientation</w:t>
      </w:r>
      <w:r w:rsidR="00005015" w:rsidRPr="00CE23AE">
        <w:rPr>
          <w:lang w:val="en-US"/>
        </w:rPr>
        <w:t xml:space="preserve"> (</w:t>
      </w:r>
      <w:r w:rsidR="00005015" w:rsidRPr="00CE23AE">
        <w:rPr>
          <w:i/>
          <w:lang w:val="en-US"/>
        </w:rPr>
        <w:t xml:space="preserve">supra </w:t>
      </w:r>
      <w:r w:rsidR="005C743F" w:rsidRPr="00CE23AE">
        <w:rPr>
          <w:lang w:val="en-US"/>
        </w:rPr>
        <w:t>para.</w:t>
      </w:r>
      <w:r w:rsidR="00005015" w:rsidRPr="00CE23AE">
        <w:rPr>
          <w:lang w:val="en-US"/>
        </w:rPr>
        <w:t xml:space="preserve"> </w:t>
      </w:r>
      <w:r w:rsidR="00005015" w:rsidRPr="00CE23AE">
        <w:rPr>
          <w:lang w:val="en-US"/>
        </w:rPr>
        <w:fldChar w:fldCharType="begin"/>
      </w:r>
      <w:r w:rsidR="00005015" w:rsidRPr="00CE23AE">
        <w:rPr>
          <w:lang w:val="en-US"/>
        </w:rPr>
        <w:instrText xml:space="preserve"> REF _Ref454880158 \r \h  \* MERGEFORMAT </w:instrText>
      </w:r>
      <w:r w:rsidR="00005015" w:rsidRPr="00CE23AE">
        <w:rPr>
          <w:lang w:val="en-US"/>
        </w:rPr>
      </w:r>
      <w:r w:rsidR="00005015" w:rsidRPr="00CE23AE">
        <w:rPr>
          <w:lang w:val="en-US"/>
        </w:rPr>
        <w:fldChar w:fldCharType="separate"/>
      </w:r>
      <w:r w:rsidR="00BC2953" w:rsidRPr="00CE23AE">
        <w:rPr>
          <w:lang w:val="en-US"/>
        </w:rPr>
        <w:t>119</w:t>
      </w:r>
      <w:r w:rsidR="00005015" w:rsidRPr="00CE23AE">
        <w:rPr>
          <w:lang w:val="en-US"/>
        </w:rPr>
        <w:fldChar w:fldCharType="end"/>
      </w:r>
      <w:r w:rsidR="00005015" w:rsidRPr="00CE23AE">
        <w:rPr>
          <w:lang w:val="en-US"/>
        </w:rPr>
        <w:t xml:space="preserve">). </w:t>
      </w:r>
      <w:r w:rsidR="0057318C" w:rsidRPr="00CE23AE">
        <w:rPr>
          <w:lang w:val="en-US"/>
        </w:rPr>
        <w:t>By penalizing “acts of homosexuality” within or outside the service, a</w:t>
      </w:r>
      <w:r w:rsidR="00C561DF" w:rsidRPr="00CE23AE">
        <w:rPr>
          <w:lang w:val="en-US"/>
        </w:rPr>
        <w:t>rticle</w:t>
      </w:r>
      <w:r w:rsidR="00005015" w:rsidRPr="00CE23AE">
        <w:rPr>
          <w:lang w:val="en-US"/>
        </w:rPr>
        <w:t xml:space="preserve"> 117</w:t>
      </w:r>
      <w:r w:rsidR="00C561DF" w:rsidRPr="00CE23AE">
        <w:rPr>
          <w:lang w:val="en-US"/>
        </w:rPr>
        <w:t xml:space="preserve"> of the </w:t>
      </w:r>
      <w:r w:rsidR="009C5D46" w:rsidRPr="00CE23AE">
        <w:rPr>
          <w:lang w:val="en-US"/>
        </w:rPr>
        <w:t>Military Discipline Regulations</w:t>
      </w:r>
      <w:r w:rsidR="00005015" w:rsidRPr="00CE23AE">
        <w:rPr>
          <w:lang w:val="en-US"/>
        </w:rPr>
        <w:t xml:space="preserve"> </w:t>
      </w:r>
      <w:r w:rsidR="0057318C" w:rsidRPr="00CE23AE">
        <w:rPr>
          <w:lang w:val="en-US"/>
        </w:rPr>
        <w:t xml:space="preserve">punished all forms of expression of this </w:t>
      </w:r>
      <w:r w:rsidR="00D5223B" w:rsidRPr="00CE23AE">
        <w:rPr>
          <w:lang w:val="en-US"/>
        </w:rPr>
        <w:t>sexual orientation</w:t>
      </w:r>
      <w:r w:rsidR="00005015" w:rsidRPr="00CE23AE">
        <w:rPr>
          <w:lang w:val="en-US"/>
        </w:rPr>
        <w:t>, restri</w:t>
      </w:r>
      <w:r w:rsidR="0057318C" w:rsidRPr="00CE23AE">
        <w:rPr>
          <w:lang w:val="en-US"/>
        </w:rPr>
        <w:t xml:space="preserve">cting the participation of </w:t>
      </w:r>
      <w:r w:rsidR="00522A39" w:rsidRPr="00CE23AE">
        <w:rPr>
          <w:lang w:val="en-US"/>
        </w:rPr>
        <w:t>homosexual</w:t>
      </w:r>
      <w:r w:rsidR="0057318C" w:rsidRPr="00CE23AE">
        <w:rPr>
          <w:lang w:val="en-US"/>
        </w:rPr>
        <w:t xml:space="preserve"> persons in the Ecuadorian </w:t>
      </w:r>
      <w:r w:rsidR="009C5D46" w:rsidRPr="00CE23AE">
        <w:rPr>
          <w:lang w:val="en-US"/>
        </w:rPr>
        <w:t>Armed Forces</w:t>
      </w:r>
      <w:r w:rsidR="00005015" w:rsidRPr="00CE23AE">
        <w:rPr>
          <w:lang w:val="en-US"/>
        </w:rPr>
        <w:t xml:space="preserve">. </w:t>
      </w:r>
    </w:p>
    <w:p w14:paraId="7A6906AF" w14:textId="77777777" w:rsidR="00005015" w:rsidRPr="00CE23AE" w:rsidRDefault="00005015" w:rsidP="00005015">
      <w:pPr>
        <w:rPr>
          <w:lang w:val="en-US"/>
        </w:rPr>
      </w:pPr>
    </w:p>
    <w:p w14:paraId="2A326707" w14:textId="74BEEB8D" w:rsidR="00005015" w:rsidRPr="00CE23AE" w:rsidRDefault="00C561DF" w:rsidP="00005015">
      <w:pPr>
        <w:pStyle w:val="PrrafodeSentencia"/>
        <w:rPr>
          <w:lang w:val="en-US"/>
        </w:rPr>
      </w:pPr>
      <w:r w:rsidRPr="00CE23AE">
        <w:rPr>
          <w:lang w:val="en-US"/>
        </w:rPr>
        <w:t>The Court</w:t>
      </w:r>
      <w:r w:rsidR="00005015" w:rsidRPr="00CE23AE">
        <w:rPr>
          <w:lang w:val="en-US"/>
        </w:rPr>
        <w:t xml:space="preserve"> </w:t>
      </w:r>
      <w:r w:rsidR="0057318C" w:rsidRPr="00CE23AE">
        <w:rPr>
          <w:lang w:val="en-US"/>
        </w:rPr>
        <w:t xml:space="preserve">underscores that the </w:t>
      </w:r>
      <w:r w:rsidR="00970AA1" w:rsidRPr="00CE23AE">
        <w:rPr>
          <w:lang w:val="en-US"/>
        </w:rPr>
        <w:t>prohibition of discrimination based on sexual orientation</w:t>
      </w:r>
      <w:r w:rsidR="00005015" w:rsidRPr="00CE23AE">
        <w:rPr>
          <w:lang w:val="en-US"/>
        </w:rPr>
        <w:t xml:space="preserve"> </w:t>
      </w:r>
      <w:r w:rsidR="0057318C" w:rsidRPr="00CE23AE">
        <w:rPr>
          <w:lang w:val="en-US"/>
        </w:rPr>
        <w:t>i</w:t>
      </w:r>
      <w:r w:rsidR="00005015" w:rsidRPr="00CE23AE">
        <w:rPr>
          <w:lang w:val="en-US"/>
        </w:rPr>
        <w:t xml:space="preserve">n </w:t>
      </w:r>
      <w:r w:rsidR="009C5D46" w:rsidRPr="00CE23AE">
        <w:rPr>
          <w:lang w:val="en-US"/>
        </w:rPr>
        <w:t>the Armed Forces</w:t>
      </w:r>
      <w:r w:rsidR="00005015" w:rsidRPr="00CE23AE">
        <w:rPr>
          <w:lang w:val="en-US"/>
        </w:rPr>
        <w:t xml:space="preserve"> </w:t>
      </w:r>
      <w:r w:rsidR="00522A39" w:rsidRPr="00CE23AE">
        <w:rPr>
          <w:lang w:val="en-US"/>
        </w:rPr>
        <w:t>has</w:t>
      </w:r>
      <w:r w:rsidR="0057318C" w:rsidRPr="00CE23AE">
        <w:rPr>
          <w:lang w:val="en-US"/>
        </w:rPr>
        <w:t xml:space="preserve"> been recognized in international instruments, and also by human rights bodies </w:t>
      </w:r>
      <w:r w:rsidRPr="00CE23AE">
        <w:rPr>
          <w:lang w:val="en-US"/>
        </w:rPr>
        <w:t>and the</w:t>
      </w:r>
      <w:r w:rsidR="00AD2A6E" w:rsidRPr="00CE23AE">
        <w:rPr>
          <w:lang w:val="en-US"/>
        </w:rPr>
        <w:t xml:space="preserve"> European</w:t>
      </w:r>
      <w:r w:rsidRPr="00CE23AE">
        <w:rPr>
          <w:lang w:val="en-US"/>
        </w:rPr>
        <w:t xml:space="preserve"> Court</w:t>
      </w:r>
      <w:r w:rsidR="00005015" w:rsidRPr="00CE23AE">
        <w:rPr>
          <w:lang w:val="en-US"/>
        </w:rPr>
        <w:t xml:space="preserve"> </w:t>
      </w:r>
      <w:r w:rsidR="00AD2A6E" w:rsidRPr="00CE23AE">
        <w:rPr>
          <w:lang w:val="en-US"/>
        </w:rPr>
        <w:t>of Human Rights</w:t>
      </w:r>
      <w:r w:rsidR="00005015" w:rsidRPr="00CE23AE">
        <w:rPr>
          <w:lang w:val="en-US"/>
        </w:rPr>
        <w:t xml:space="preserve">. </w:t>
      </w:r>
    </w:p>
    <w:p w14:paraId="6AA75055" w14:textId="59FB8468" w:rsidR="00005015" w:rsidRPr="00CE23AE" w:rsidRDefault="00005015" w:rsidP="00005015">
      <w:pPr>
        <w:pStyle w:val="PrrafodeSentencia"/>
        <w:numPr>
          <w:ilvl w:val="0"/>
          <w:numId w:val="0"/>
        </w:numPr>
        <w:rPr>
          <w:lang w:val="en-US"/>
        </w:rPr>
      </w:pPr>
    </w:p>
    <w:p w14:paraId="2FC1B016" w14:textId="70E047A8" w:rsidR="00005015" w:rsidRPr="00CE23AE" w:rsidRDefault="0057318C" w:rsidP="00005015">
      <w:pPr>
        <w:pStyle w:val="PrrafodeSentencia"/>
        <w:rPr>
          <w:lang w:val="en-US"/>
        </w:rPr>
      </w:pPr>
      <w:r w:rsidRPr="00CE23AE">
        <w:rPr>
          <w:lang w:val="en-US"/>
        </w:rPr>
        <w:t>Within the</w:t>
      </w:r>
      <w:r w:rsidR="00005015" w:rsidRPr="00CE23AE">
        <w:rPr>
          <w:lang w:val="en-US"/>
        </w:rPr>
        <w:t xml:space="preserve"> </w:t>
      </w:r>
      <w:r w:rsidR="0043680A" w:rsidRPr="00CE23AE">
        <w:rPr>
          <w:lang w:val="en-US"/>
        </w:rPr>
        <w:t>Organization of American States</w:t>
      </w:r>
      <w:r w:rsidR="00005015" w:rsidRPr="00CE23AE">
        <w:rPr>
          <w:lang w:val="en-US"/>
        </w:rPr>
        <w:t xml:space="preserve"> (</w:t>
      </w:r>
      <w:r w:rsidR="00C561DF" w:rsidRPr="00CE23AE">
        <w:rPr>
          <w:lang w:val="en-US"/>
        </w:rPr>
        <w:t>hereinafter</w:t>
      </w:r>
      <w:r w:rsidR="00005015" w:rsidRPr="00CE23AE">
        <w:rPr>
          <w:lang w:val="en-US"/>
        </w:rPr>
        <w:t xml:space="preserve"> “</w:t>
      </w:r>
      <w:r w:rsidRPr="00CE23AE">
        <w:rPr>
          <w:lang w:val="en-US"/>
        </w:rPr>
        <w:t>the OAS</w:t>
      </w:r>
      <w:r w:rsidR="00005015" w:rsidRPr="00CE23AE">
        <w:rPr>
          <w:lang w:val="en-US"/>
        </w:rPr>
        <w:t xml:space="preserve">”), </w:t>
      </w:r>
      <w:r w:rsidRPr="00CE23AE">
        <w:rPr>
          <w:lang w:val="en-US"/>
        </w:rPr>
        <w:t xml:space="preserve">even though there have been no specific statements on the protection of the rights of people with diverse </w:t>
      </w:r>
      <w:r w:rsidR="00D5223B" w:rsidRPr="00CE23AE">
        <w:rPr>
          <w:lang w:val="en-US"/>
        </w:rPr>
        <w:t>sexual orientation</w:t>
      </w:r>
      <w:r w:rsidR="00005015" w:rsidRPr="00CE23AE">
        <w:rPr>
          <w:lang w:val="en-US"/>
        </w:rPr>
        <w:t xml:space="preserve"> </w:t>
      </w:r>
      <w:r w:rsidRPr="00CE23AE">
        <w:rPr>
          <w:lang w:val="en-US"/>
        </w:rPr>
        <w:t>in</w:t>
      </w:r>
      <w:r w:rsidR="0005476C" w:rsidRPr="00CE23AE">
        <w:rPr>
          <w:lang w:val="en-US"/>
        </w:rPr>
        <w:t xml:space="preserve"> the </w:t>
      </w:r>
      <w:r w:rsidR="009C5D46" w:rsidRPr="00CE23AE">
        <w:rPr>
          <w:lang w:val="en-US"/>
        </w:rPr>
        <w:t>Armed Forces</w:t>
      </w:r>
      <w:r w:rsidR="00005015" w:rsidRPr="00CE23AE">
        <w:rPr>
          <w:lang w:val="en-US"/>
        </w:rPr>
        <w:t xml:space="preserve">, </w:t>
      </w:r>
      <w:r w:rsidRPr="00CE23AE">
        <w:rPr>
          <w:lang w:val="en-US"/>
        </w:rPr>
        <w:t xml:space="preserve">resolutions have been </w:t>
      </w:r>
      <w:r w:rsidR="00B12433" w:rsidRPr="00CE23AE">
        <w:rPr>
          <w:lang w:val="en-US"/>
        </w:rPr>
        <w:t>adopted</w:t>
      </w:r>
      <w:r w:rsidRPr="00CE23AE">
        <w:rPr>
          <w:lang w:val="en-US"/>
        </w:rPr>
        <w:t xml:space="preserve"> </w:t>
      </w:r>
      <w:r w:rsidR="00B12433" w:rsidRPr="00CE23AE">
        <w:rPr>
          <w:lang w:val="en-US"/>
        </w:rPr>
        <w:t>that</w:t>
      </w:r>
      <w:r w:rsidR="00B56480" w:rsidRPr="00CE23AE">
        <w:rPr>
          <w:lang w:val="en-US"/>
        </w:rPr>
        <w:t xml:space="preserve"> reveal a general prohibition of </w:t>
      </w:r>
      <w:r w:rsidR="00FA0123" w:rsidRPr="00CE23AE">
        <w:rPr>
          <w:lang w:val="en-US"/>
        </w:rPr>
        <w:t>discrimination</w:t>
      </w:r>
      <w:r w:rsidR="00005015" w:rsidRPr="00CE23AE">
        <w:rPr>
          <w:lang w:val="en-US"/>
        </w:rPr>
        <w:t xml:space="preserve"> </w:t>
      </w:r>
      <w:r w:rsidR="00B56480" w:rsidRPr="00CE23AE">
        <w:rPr>
          <w:lang w:val="en-US"/>
        </w:rPr>
        <w:t>based on</w:t>
      </w:r>
      <w:r w:rsidR="00005015" w:rsidRPr="00CE23AE">
        <w:rPr>
          <w:lang w:val="en-US"/>
        </w:rPr>
        <w:t xml:space="preserve"> </w:t>
      </w:r>
      <w:r w:rsidR="00B12433" w:rsidRPr="00CE23AE">
        <w:rPr>
          <w:lang w:val="en-US"/>
        </w:rPr>
        <w:t>a person’s</w:t>
      </w:r>
      <w:r w:rsidR="00D5223B" w:rsidRPr="00CE23AE">
        <w:rPr>
          <w:lang w:val="en-US"/>
        </w:rPr>
        <w:t xml:space="preserve"> sexual orientation</w:t>
      </w:r>
      <w:r w:rsidR="00B56480" w:rsidRPr="00CE23AE">
        <w:rPr>
          <w:lang w:val="en-US"/>
        </w:rPr>
        <w:t xml:space="preserve">, which would include participation in </w:t>
      </w:r>
      <w:r w:rsidR="009C5D46" w:rsidRPr="00CE23AE">
        <w:rPr>
          <w:lang w:val="en-US"/>
        </w:rPr>
        <w:t>the Armed Forces</w:t>
      </w:r>
      <w:r w:rsidR="00005015" w:rsidRPr="00CE23AE">
        <w:rPr>
          <w:lang w:val="en-US"/>
        </w:rPr>
        <w:t xml:space="preserve">. </w:t>
      </w:r>
      <w:r w:rsidR="00B56480" w:rsidRPr="00CE23AE">
        <w:rPr>
          <w:lang w:val="en-US"/>
        </w:rPr>
        <w:t>These resolutions condemn</w:t>
      </w:r>
      <w:r w:rsidR="00005015" w:rsidRPr="00CE23AE">
        <w:rPr>
          <w:lang w:val="en-US"/>
        </w:rPr>
        <w:t>:</w:t>
      </w:r>
    </w:p>
    <w:p w14:paraId="00A5FD38" w14:textId="77777777" w:rsidR="00B56480" w:rsidRPr="00CE23AE" w:rsidRDefault="00B56480" w:rsidP="00005015">
      <w:pPr>
        <w:pStyle w:val="PrrafodeSentencia"/>
        <w:numPr>
          <w:ilvl w:val="0"/>
          <w:numId w:val="0"/>
        </w:numPr>
        <w:rPr>
          <w:rFonts w:asciiTheme="minorHAnsi" w:eastAsiaTheme="minorHAnsi" w:hAnsiTheme="minorHAnsi" w:cstheme="minorBidi"/>
          <w:color w:val="7030A0"/>
          <w:sz w:val="22"/>
          <w:szCs w:val="22"/>
          <w:lang w:val="en-US" w:eastAsia="en-US"/>
        </w:rPr>
      </w:pPr>
    </w:p>
    <w:p w14:paraId="209FFFAD" w14:textId="280EFC67" w:rsidR="00005015" w:rsidRPr="00CE23AE" w:rsidRDefault="00005015" w:rsidP="00B56480">
      <w:pPr>
        <w:pStyle w:val="PrrafodeSentencia"/>
        <w:numPr>
          <w:ilvl w:val="0"/>
          <w:numId w:val="0"/>
        </w:numPr>
        <w:ind w:left="567" w:right="616"/>
        <w:rPr>
          <w:sz w:val="18"/>
          <w:szCs w:val="18"/>
          <w:lang w:val="en-US"/>
        </w:rPr>
      </w:pPr>
      <w:r w:rsidRPr="00CE23AE">
        <w:rPr>
          <w:sz w:val="18"/>
          <w:szCs w:val="18"/>
          <w:lang w:val="en-US"/>
        </w:rPr>
        <w:t>[</w:t>
      </w:r>
      <w:r w:rsidR="00B56480" w:rsidRPr="00CE23AE">
        <w:rPr>
          <w:sz w:val="18"/>
          <w:szCs w:val="18"/>
          <w:lang w:val="en-US"/>
        </w:rPr>
        <w:t>A</w:t>
      </w:r>
      <w:r w:rsidRPr="00CE23AE">
        <w:rPr>
          <w:sz w:val="18"/>
          <w:szCs w:val="18"/>
          <w:lang w:val="en-US"/>
        </w:rPr>
        <w:t>]</w:t>
      </w:r>
      <w:r w:rsidR="00B56480" w:rsidRPr="00CE23AE">
        <w:rPr>
          <w:sz w:val="18"/>
          <w:szCs w:val="18"/>
          <w:lang w:val="en-US"/>
        </w:rPr>
        <w:t xml:space="preserve">ll forms of discrimination against persons by reason of their sexual orientation and gender identity or expression, and </w:t>
      </w:r>
      <w:r w:rsidR="00B12433" w:rsidRPr="00CE23AE">
        <w:rPr>
          <w:sz w:val="18"/>
          <w:szCs w:val="18"/>
          <w:lang w:val="en-US"/>
        </w:rPr>
        <w:t>[…]</w:t>
      </w:r>
      <w:r w:rsidR="00B56480" w:rsidRPr="00CE23AE">
        <w:rPr>
          <w:sz w:val="18"/>
          <w:szCs w:val="18"/>
          <w:lang w:val="en-US"/>
        </w:rPr>
        <w:t xml:space="preserve"> urge the states within the parameters of the legal institutions of their domestic systems to eliminate, where they exist, barriers faced by lesbians, gays, and bisexual, transsexual, and intersex (LGBTI) persons in equal access to political participation and </w:t>
      </w:r>
      <w:r w:rsidR="00B12433" w:rsidRPr="00CE23AE">
        <w:rPr>
          <w:sz w:val="18"/>
          <w:szCs w:val="18"/>
          <w:lang w:val="en-US"/>
        </w:rPr>
        <w:t xml:space="preserve">in </w:t>
      </w:r>
      <w:r w:rsidR="00B56480" w:rsidRPr="00CE23AE">
        <w:rPr>
          <w:sz w:val="18"/>
          <w:szCs w:val="18"/>
          <w:lang w:val="en-US"/>
        </w:rPr>
        <w:t>other areas of public life, and to avoid interferences in their private life.</w:t>
      </w:r>
      <w:r w:rsidRPr="00CE23AE">
        <w:rPr>
          <w:rStyle w:val="Refdenotaalpie"/>
          <w:sz w:val="18"/>
          <w:szCs w:val="18"/>
          <w:lang w:val="en-US"/>
        </w:rPr>
        <w:footnoteReference w:id="192"/>
      </w:r>
    </w:p>
    <w:p w14:paraId="3520668A" w14:textId="77777777" w:rsidR="00005015" w:rsidRPr="00CE23AE" w:rsidRDefault="00005015" w:rsidP="00005015">
      <w:pPr>
        <w:pStyle w:val="PrrafodeSentencia"/>
        <w:numPr>
          <w:ilvl w:val="0"/>
          <w:numId w:val="0"/>
        </w:numPr>
        <w:ind w:left="567" w:right="616"/>
        <w:rPr>
          <w:color w:val="4F81BD" w:themeColor="accent1"/>
          <w:sz w:val="18"/>
          <w:szCs w:val="18"/>
          <w:lang w:val="en-US"/>
        </w:rPr>
      </w:pPr>
    </w:p>
    <w:p w14:paraId="370A9C0B" w14:textId="4D8E120A" w:rsidR="00005015" w:rsidRPr="00CE23AE" w:rsidRDefault="00C561DF" w:rsidP="00005015">
      <w:pPr>
        <w:pStyle w:val="PrrafodeSentencia"/>
        <w:rPr>
          <w:color w:val="4F81BD" w:themeColor="accent1"/>
          <w:lang w:val="en-US"/>
        </w:rPr>
      </w:pPr>
      <w:r w:rsidRPr="00CE23AE">
        <w:rPr>
          <w:lang w:val="en-US"/>
        </w:rPr>
        <w:t xml:space="preserve">The </w:t>
      </w:r>
      <w:r w:rsidR="00AC18A9" w:rsidRPr="00CE23AE">
        <w:rPr>
          <w:lang w:val="en-US"/>
        </w:rPr>
        <w:t>European Court of Human Rights</w:t>
      </w:r>
      <w:r w:rsidR="003E7B49" w:rsidRPr="00CE23AE">
        <w:rPr>
          <w:lang w:val="en-US"/>
        </w:rPr>
        <w:t xml:space="preserve"> </w:t>
      </w:r>
      <w:r w:rsidR="00005015" w:rsidRPr="00CE23AE">
        <w:rPr>
          <w:lang w:val="en-US"/>
        </w:rPr>
        <w:t>ha</w:t>
      </w:r>
      <w:r w:rsidR="003E7B49" w:rsidRPr="00CE23AE">
        <w:rPr>
          <w:lang w:val="en-US"/>
        </w:rPr>
        <w:t xml:space="preserve">s pointed out that discharge from the Army based on the fact of being homosexual constitutes interference in the rights of a person </w:t>
      </w:r>
      <w:r w:rsidR="00522A39" w:rsidRPr="00CE23AE">
        <w:rPr>
          <w:lang w:val="en-US"/>
        </w:rPr>
        <w:t>that</w:t>
      </w:r>
      <w:r w:rsidR="003E7B49" w:rsidRPr="00CE23AE">
        <w:rPr>
          <w:lang w:val="en-US"/>
        </w:rPr>
        <w:t xml:space="preserve"> is contrary to the </w:t>
      </w:r>
      <w:r w:rsidR="00AC18A9" w:rsidRPr="00CE23AE">
        <w:rPr>
          <w:lang w:val="en-US"/>
        </w:rPr>
        <w:t>European Convention on Human Rights</w:t>
      </w:r>
      <w:r w:rsidR="00E2387A" w:rsidRPr="00CE23AE">
        <w:rPr>
          <w:lang w:val="en-US"/>
        </w:rPr>
        <w:t xml:space="preserve">. </w:t>
      </w:r>
      <w:r w:rsidR="003E7B49" w:rsidRPr="00CE23AE">
        <w:rPr>
          <w:lang w:val="en-US"/>
        </w:rPr>
        <w:t>Therefore, the State must provide convincing and weighty reasons to justify a policy against homosexuals in the arm</w:t>
      </w:r>
      <w:r w:rsidR="00B12433" w:rsidRPr="00CE23AE">
        <w:rPr>
          <w:lang w:val="en-US"/>
        </w:rPr>
        <w:t>ed forces</w:t>
      </w:r>
      <w:r w:rsidR="003E7B49" w:rsidRPr="00CE23AE">
        <w:rPr>
          <w:lang w:val="en-US"/>
        </w:rPr>
        <w:t xml:space="preserve"> and the decision to discharge a soldier based on this policy.</w:t>
      </w:r>
      <w:r w:rsidR="00005015" w:rsidRPr="00CE23AE">
        <w:rPr>
          <w:rStyle w:val="Refdenotaalpie"/>
          <w:lang w:val="en-US"/>
        </w:rPr>
        <w:footnoteReference w:id="193"/>
      </w:r>
      <w:r w:rsidR="00005015" w:rsidRPr="00CE23AE">
        <w:rPr>
          <w:color w:val="4F81BD" w:themeColor="accent1"/>
          <w:lang w:val="en-US"/>
        </w:rPr>
        <w:t xml:space="preserve"> </w:t>
      </w:r>
      <w:r w:rsidR="00AC18A9" w:rsidRPr="00CE23AE">
        <w:rPr>
          <w:lang w:val="en-US"/>
        </w:rPr>
        <w:t>The</w:t>
      </w:r>
      <w:r w:rsidR="00F06712" w:rsidRPr="00CE23AE">
        <w:rPr>
          <w:szCs w:val="16"/>
          <w:lang w:val="en-US"/>
        </w:rPr>
        <w:t xml:space="preserve"> European Committee on Social Rights</w:t>
      </w:r>
      <w:r w:rsidR="00005015" w:rsidRPr="00CE23AE">
        <w:rPr>
          <w:lang w:val="en-US"/>
        </w:rPr>
        <w:t xml:space="preserve">, </w:t>
      </w:r>
      <w:r w:rsidR="00F06712" w:rsidRPr="00CE23AE">
        <w:rPr>
          <w:lang w:val="en-US"/>
        </w:rPr>
        <w:t>the Committee of Ministers of the Council of Europe,</w:t>
      </w:r>
      <w:r w:rsidRPr="00CE23AE">
        <w:rPr>
          <w:lang w:val="en-US"/>
        </w:rPr>
        <w:t xml:space="preserve"> and </w:t>
      </w:r>
      <w:r w:rsidR="00F06712" w:rsidRPr="00CE23AE">
        <w:rPr>
          <w:lang w:val="en-US"/>
        </w:rPr>
        <w:t>the</w:t>
      </w:r>
      <w:r w:rsidR="00005015" w:rsidRPr="00CE23AE">
        <w:rPr>
          <w:lang w:val="en-US"/>
        </w:rPr>
        <w:t xml:space="preserve"> </w:t>
      </w:r>
      <w:r w:rsidR="00F06712" w:rsidRPr="00CE23AE">
        <w:rPr>
          <w:szCs w:val="16"/>
          <w:lang w:val="en-US"/>
        </w:rPr>
        <w:t>Steering Committee for Human Rights</w:t>
      </w:r>
      <w:r w:rsidR="00F06712" w:rsidRPr="00CE23AE">
        <w:rPr>
          <w:lang w:val="en-US"/>
        </w:rPr>
        <w:t xml:space="preserve"> of the Council of Europe </w:t>
      </w:r>
      <w:r w:rsidR="00AC18A9" w:rsidRPr="00CE23AE">
        <w:rPr>
          <w:lang w:val="en-US"/>
        </w:rPr>
        <w:lastRenderedPageBreak/>
        <w:t xml:space="preserve">have ruled against discrimination based on sexual orientation in </w:t>
      </w:r>
      <w:r w:rsidR="009C5D46" w:rsidRPr="00CE23AE">
        <w:rPr>
          <w:lang w:val="en-US"/>
        </w:rPr>
        <w:t xml:space="preserve">the </w:t>
      </w:r>
      <w:r w:rsidR="00AC18A9" w:rsidRPr="00CE23AE">
        <w:rPr>
          <w:lang w:val="en-US"/>
        </w:rPr>
        <w:t>armed forces</w:t>
      </w:r>
      <w:r w:rsidR="00005015" w:rsidRPr="00CE23AE">
        <w:rPr>
          <w:rStyle w:val="Refdenotaalpie"/>
          <w:lang w:val="en-US"/>
        </w:rPr>
        <w:footnoteReference w:id="194"/>
      </w:r>
      <w:r w:rsidR="00005015" w:rsidRPr="00CE23AE">
        <w:rPr>
          <w:lang w:val="en-US"/>
        </w:rPr>
        <w:t xml:space="preserve">. </w:t>
      </w:r>
      <w:r w:rsidR="003E7B49" w:rsidRPr="00CE23AE">
        <w:rPr>
          <w:lang w:val="en-US"/>
        </w:rPr>
        <w:t>In addition</w:t>
      </w:r>
      <w:r w:rsidR="00005015" w:rsidRPr="00CE23AE">
        <w:rPr>
          <w:lang w:val="en-US"/>
        </w:rPr>
        <w:t xml:space="preserve">, </w:t>
      </w:r>
      <w:r w:rsidR="00AC18A9" w:rsidRPr="00CE23AE">
        <w:rPr>
          <w:lang w:val="en-US"/>
        </w:rPr>
        <w:t>the European Union</w:t>
      </w:r>
      <w:r w:rsidR="00005015" w:rsidRPr="00CE23AE">
        <w:rPr>
          <w:lang w:val="en-US"/>
        </w:rPr>
        <w:t xml:space="preserve"> </w:t>
      </w:r>
      <w:r w:rsidR="003E7B49" w:rsidRPr="00CE23AE">
        <w:rPr>
          <w:lang w:val="en-US"/>
        </w:rPr>
        <w:t xml:space="preserve">has issued a directive to combat </w:t>
      </w:r>
      <w:r w:rsidR="00FA0123" w:rsidRPr="00CE23AE">
        <w:rPr>
          <w:lang w:val="en-US"/>
        </w:rPr>
        <w:t>discrimination</w:t>
      </w:r>
      <w:r w:rsidR="00005015" w:rsidRPr="00CE23AE">
        <w:rPr>
          <w:lang w:val="en-US"/>
        </w:rPr>
        <w:t xml:space="preserve"> </w:t>
      </w:r>
      <w:r w:rsidR="003E7B49" w:rsidRPr="00CE23AE">
        <w:rPr>
          <w:lang w:val="en-US"/>
        </w:rPr>
        <w:t>based on</w:t>
      </w:r>
      <w:r w:rsidR="00005015" w:rsidRPr="00CE23AE">
        <w:rPr>
          <w:lang w:val="en-US"/>
        </w:rPr>
        <w:t xml:space="preserve"> </w:t>
      </w:r>
      <w:r w:rsidR="00D5223B" w:rsidRPr="00CE23AE">
        <w:rPr>
          <w:lang w:val="en-US"/>
        </w:rPr>
        <w:t>sexual orientation</w:t>
      </w:r>
      <w:r w:rsidR="003E7B49" w:rsidRPr="00CE23AE">
        <w:rPr>
          <w:lang w:val="en-US"/>
        </w:rPr>
        <w:t xml:space="preserve"> in employment in the public and private sector, applicable to </w:t>
      </w:r>
      <w:r w:rsidR="009C5D46" w:rsidRPr="00CE23AE">
        <w:rPr>
          <w:lang w:val="en-US"/>
        </w:rPr>
        <w:t xml:space="preserve">the </w:t>
      </w:r>
      <w:r w:rsidR="00AC18A9" w:rsidRPr="00CE23AE">
        <w:rPr>
          <w:lang w:val="en-US"/>
        </w:rPr>
        <w:t>armed forces.</w:t>
      </w:r>
      <w:r w:rsidR="00005015" w:rsidRPr="00CE23AE">
        <w:rPr>
          <w:rStyle w:val="Refdenotaalpie"/>
          <w:lang w:val="en-US"/>
        </w:rPr>
        <w:footnoteReference w:id="195"/>
      </w:r>
      <w:r w:rsidR="00005015" w:rsidRPr="00CE23AE">
        <w:rPr>
          <w:lang w:val="en-US"/>
        </w:rPr>
        <w:t xml:space="preserve"> </w:t>
      </w:r>
      <w:r w:rsidR="00AC18A9" w:rsidRPr="00CE23AE">
        <w:rPr>
          <w:lang w:val="en-US"/>
        </w:rPr>
        <w:t>Meanwhile</w:t>
      </w:r>
      <w:r w:rsidR="00005015" w:rsidRPr="00CE23AE">
        <w:rPr>
          <w:lang w:val="en-US"/>
        </w:rPr>
        <w:t xml:space="preserve">, </w:t>
      </w:r>
      <w:r w:rsidR="00F06712" w:rsidRPr="00CE23AE">
        <w:rPr>
          <w:lang w:val="en-US"/>
        </w:rPr>
        <w:t>the North Atlantic Treaty Organization</w:t>
      </w:r>
      <w:r w:rsidR="00005015" w:rsidRPr="00CE23AE">
        <w:rPr>
          <w:lang w:val="en-US"/>
        </w:rPr>
        <w:t xml:space="preserve"> (</w:t>
      </w:r>
      <w:r w:rsidR="00F06712" w:rsidRPr="00CE23AE">
        <w:rPr>
          <w:lang w:val="en-US"/>
        </w:rPr>
        <w:t>NATO</w:t>
      </w:r>
      <w:r w:rsidR="00005015" w:rsidRPr="00CE23AE">
        <w:rPr>
          <w:lang w:val="en-US"/>
        </w:rPr>
        <w:t>) opera</w:t>
      </w:r>
      <w:r w:rsidR="003E7B49" w:rsidRPr="00CE23AE">
        <w:rPr>
          <w:lang w:val="en-US"/>
        </w:rPr>
        <w:t xml:space="preserve">tes under an “Equal opportunity and diversity policy” for international staff and military personnel, under which it expresses its “firm aim to maintain a work environment that is free from discrimination or harassment and provides equality of opportunity regardless of sex, race or ethnic origin, </w:t>
      </w:r>
      <w:r w:rsidR="00522A39" w:rsidRPr="00CE23AE">
        <w:rPr>
          <w:lang w:val="en-US"/>
        </w:rPr>
        <w:t>nationality</w:t>
      </w:r>
      <w:r w:rsidR="003E7B49" w:rsidRPr="00CE23AE">
        <w:rPr>
          <w:lang w:val="en-US"/>
        </w:rPr>
        <w:t xml:space="preserve">, disability, age or </w:t>
      </w:r>
      <w:r w:rsidR="00D5223B" w:rsidRPr="00CE23AE">
        <w:rPr>
          <w:lang w:val="en-US"/>
        </w:rPr>
        <w:t xml:space="preserve">sexual </w:t>
      </w:r>
      <w:r w:rsidR="003E7B49" w:rsidRPr="00CE23AE">
        <w:rPr>
          <w:lang w:val="en-US"/>
        </w:rPr>
        <w:t>orientation.</w:t>
      </w:r>
      <w:r w:rsidR="00005015" w:rsidRPr="00CE23AE">
        <w:rPr>
          <w:vertAlign w:val="superscript"/>
          <w:lang w:val="en-US"/>
        </w:rPr>
        <w:footnoteReference w:id="196"/>
      </w:r>
      <w:r w:rsidR="00005015" w:rsidRPr="00CE23AE">
        <w:rPr>
          <w:lang w:val="en-US"/>
        </w:rPr>
        <w:t xml:space="preserve"> </w:t>
      </w:r>
    </w:p>
    <w:p w14:paraId="2D1118A8" w14:textId="77777777" w:rsidR="00005015" w:rsidRPr="00CE23AE" w:rsidRDefault="00005015" w:rsidP="00005015">
      <w:pPr>
        <w:pStyle w:val="PrrafodeSentencia"/>
        <w:numPr>
          <w:ilvl w:val="0"/>
          <w:numId w:val="0"/>
        </w:numPr>
        <w:rPr>
          <w:color w:val="4F81BD" w:themeColor="accent1"/>
          <w:lang w:val="en-US"/>
        </w:rPr>
      </w:pPr>
    </w:p>
    <w:p w14:paraId="03EBA387" w14:textId="35E85EFF" w:rsidR="00005015" w:rsidRPr="00CE23AE" w:rsidRDefault="003E7B49" w:rsidP="00005015">
      <w:pPr>
        <w:pStyle w:val="PrrafodeSentencia"/>
        <w:rPr>
          <w:lang w:val="en-US"/>
        </w:rPr>
      </w:pPr>
      <w:r w:rsidRPr="00CE23AE">
        <w:rPr>
          <w:lang w:val="en-US"/>
        </w:rPr>
        <w:t xml:space="preserve">In addition, the right to </w:t>
      </w:r>
      <w:r w:rsidR="00FA0123" w:rsidRPr="00CE23AE">
        <w:rPr>
          <w:lang w:val="en-US"/>
        </w:rPr>
        <w:t>non-discrimination</w:t>
      </w:r>
      <w:r w:rsidR="00005015" w:rsidRPr="00CE23AE">
        <w:rPr>
          <w:lang w:val="en-US"/>
        </w:rPr>
        <w:t xml:space="preserve"> </w:t>
      </w:r>
      <w:r w:rsidRPr="00CE23AE">
        <w:rPr>
          <w:lang w:val="en-US"/>
        </w:rPr>
        <w:t>based on</w:t>
      </w:r>
      <w:r w:rsidR="00005015" w:rsidRPr="00CE23AE">
        <w:rPr>
          <w:lang w:val="en-US"/>
        </w:rPr>
        <w:t xml:space="preserve"> </w:t>
      </w:r>
      <w:r w:rsidR="00D5223B" w:rsidRPr="00CE23AE">
        <w:rPr>
          <w:lang w:val="en-US"/>
        </w:rPr>
        <w:t>sexual orientation</w:t>
      </w:r>
      <w:r w:rsidR="00005015" w:rsidRPr="00CE23AE">
        <w:rPr>
          <w:lang w:val="en-US"/>
        </w:rPr>
        <w:t xml:space="preserve"> </w:t>
      </w:r>
      <w:r w:rsidRPr="00CE23AE">
        <w:rPr>
          <w:lang w:val="en-US"/>
        </w:rPr>
        <w:t>i</w:t>
      </w:r>
      <w:r w:rsidR="00005015" w:rsidRPr="00CE23AE">
        <w:rPr>
          <w:lang w:val="en-US"/>
        </w:rPr>
        <w:t xml:space="preserve">n </w:t>
      </w:r>
      <w:r w:rsidR="009C5D46" w:rsidRPr="00CE23AE">
        <w:rPr>
          <w:lang w:val="en-US"/>
        </w:rPr>
        <w:t>the Armed Forces</w:t>
      </w:r>
      <w:r w:rsidR="00005015" w:rsidRPr="00CE23AE">
        <w:rPr>
          <w:lang w:val="en-US"/>
        </w:rPr>
        <w:t xml:space="preserve"> </w:t>
      </w:r>
      <w:r w:rsidR="005E5C65" w:rsidRPr="00CE23AE">
        <w:rPr>
          <w:lang w:val="en-US"/>
        </w:rPr>
        <w:t>has also been recognized in the laws and case law of s</w:t>
      </w:r>
      <w:r w:rsidR="008C4B10" w:rsidRPr="00CE23AE">
        <w:rPr>
          <w:lang w:val="en-US"/>
        </w:rPr>
        <w:t>everal</w:t>
      </w:r>
      <w:r w:rsidR="005E5C65" w:rsidRPr="00CE23AE">
        <w:rPr>
          <w:lang w:val="en-US"/>
        </w:rPr>
        <w:t xml:space="preserve"> countries of the region. Thus, for example: in </w:t>
      </w:r>
      <w:r w:rsidR="00005015" w:rsidRPr="00CE23AE">
        <w:rPr>
          <w:lang w:val="en-US"/>
        </w:rPr>
        <w:t>Argentina</w:t>
      </w:r>
      <w:r w:rsidR="005E5C65" w:rsidRPr="00CE23AE">
        <w:rPr>
          <w:lang w:val="en-US"/>
        </w:rPr>
        <w:t>, in 2008, the law that penalized members of the Army for committing homosexual acts was repealed;</w:t>
      </w:r>
      <w:r w:rsidR="00005015" w:rsidRPr="00CE23AE">
        <w:rPr>
          <w:rStyle w:val="Refdenotaalpie"/>
          <w:lang w:val="en-US"/>
        </w:rPr>
        <w:footnoteReference w:id="197"/>
      </w:r>
      <w:r w:rsidR="00005015" w:rsidRPr="00CE23AE">
        <w:rPr>
          <w:lang w:val="en-US"/>
        </w:rPr>
        <w:t xml:space="preserve"> </w:t>
      </w:r>
      <w:r w:rsidR="005E5C65" w:rsidRPr="00CE23AE">
        <w:rPr>
          <w:lang w:val="en-US"/>
        </w:rPr>
        <w:t>i</w:t>
      </w:r>
      <w:r w:rsidR="00005015" w:rsidRPr="00CE23AE">
        <w:rPr>
          <w:lang w:val="en-US"/>
        </w:rPr>
        <w:t>n Chile</w:t>
      </w:r>
      <w:r w:rsidR="005E5C65" w:rsidRPr="00CE23AE">
        <w:rPr>
          <w:lang w:val="en-US"/>
        </w:rPr>
        <w:t xml:space="preserve">, in 2013, the </w:t>
      </w:r>
      <w:r w:rsidR="00522A39" w:rsidRPr="00CE23AE">
        <w:rPr>
          <w:lang w:val="en-US"/>
        </w:rPr>
        <w:t>inclusion</w:t>
      </w:r>
      <w:r w:rsidR="005E5C65" w:rsidRPr="00CE23AE">
        <w:rPr>
          <w:lang w:val="en-US"/>
        </w:rPr>
        <w:t xml:space="preserve"> of homosexuality and lesbianism as psychiatric reasons for denying entry into the armed forces was amended</w:t>
      </w:r>
      <w:r w:rsidR="00005015" w:rsidRPr="00CE23AE">
        <w:rPr>
          <w:rStyle w:val="Refdenotaalpie"/>
          <w:lang w:val="en-US"/>
        </w:rPr>
        <w:footnoteReference w:id="198"/>
      </w:r>
      <w:r w:rsidR="00C561DF" w:rsidRPr="00CE23AE">
        <w:rPr>
          <w:lang w:val="en-US"/>
        </w:rPr>
        <w:t xml:space="preserve"> and</w:t>
      </w:r>
      <w:r w:rsidR="005E5C65" w:rsidRPr="00CE23AE">
        <w:rPr>
          <w:lang w:val="en-US"/>
        </w:rPr>
        <w:t>, in the United States of America, in 2010, the policy of “</w:t>
      </w:r>
      <w:r w:rsidR="00005015" w:rsidRPr="00CE23AE">
        <w:rPr>
          <w:lang w:val="en-US"/>
        </w:rPr>
        <w:t>Don’t ask, don’t tell” ap</w:t>
      </w:r>
      <w:r w:rsidR="005E5C65" w:rsidRPr="00CE23AE">
        <w:rPr>
          <w:lang w:val="en-US"/>
        </w:rPr>
        <w:t xml:space="preserve">plied to </w:t>
      </w:r>
      <w:r w:rsidR="009C5D46" w:rsidRPr="00CE23AE">
        <w:rPr>
          <w:lang w:val="en-US"/>
        </w:rPr>
        <w:t>the</w:t>
      </w:r>
      <w:r w:rsidR="005E5C65" w:rsidRPr="00CE23AE">
        <w:rPr>
          <w:lang w:val="en-US"/>
        </w:rPr>
        <w:t xml:space="preserve"> United States</w:t>
      </w:r>
      <w:r w:rsidR="009C5D46" w:rsidRPr="00CE23AE">
        <w:rPr>
          <w:lang w:val="en-US"/>
        </w:rPr>
        <w:t xml:space="preserve"> Armed Forces</w:t>
      </w:r>
      <w:r w:rsidR="005E5C65" w:rsidRPr="00CE23AE">
        <w:rPr>
          <w:lang w:val="en-US"/>
        </w:rPr>
        <w:t xml:space="preserve"> was annulled; this policy</w:t>
      </w:r>
      <w:r w:rsidR="00005015" w:rsidRPr="00CE23AE">
        <w:rPr>
          <w:lang w:val="en-US"/>
        </w:rPr>
        <w:t xml:space="preserve"> </w:t>
      </w:r>
      <w:r w:rsidR="00AC18A9" w:rsidRPr="00CE23AE">
        <w:rPr>
          <w:lang w:val="en-US"/>
        </w:rPr>
        <w:t>established that</w:t>
      </w:r>
      <w:r w:rsidR="00005015" w:rsidRPr="00CE23AE">
        <w:rPr>
          <w:lang w:val="en-US"/>
        </w:rPr>
        <w:t xml:space="preserve"> LGBTI</w:t>
      </w:r>
      <w:r w:rsidR="005E5C65" w:rsidRPr="00CE23AE">
        <w:rPr>
          <w:lang w:val="en-US"/>
        </w:rPr>
        <w:t xml:space="preserve"> persons were forbidden from revealing their </w:t>
      </w:r>
      <w:r w:rsidR="00D5223B" w:rsidRPr="00CE23AE">
        <w:rPr>
          <w:lang w:val="en-US"/>
        </w:rPr>
        <w:t>sexual orientation</w:t>
      </w:r>
      <w:r w:rsidR="00C561DF" w:rsidRPr="00CE23AE">
        <w:rPr>
          <w:lang w:val="en-US"/>
        </w:rPr>
        <w:t xml:space="preserve"> and </w:t>
      </w:r>
      <w:r w:rsidR="005E5C65" w:rsidRPr="00CE23AE">
        <w:rPr>
          <w:lang w:val="en-US"/>
        </w:rPr>
        <w:t>question</w:t>
      </w:r>
      <w:r w:rsidR="008C4B10" w:rsidRPr="00CE23AE">
        <w:rPr>
          <w:lang w:val="en-US"/>
        </w:rPr>
        <w:t>s</w:t>
      </w:r>
      <w:r w:rsidR="005E5C65" w:rsidRPr="00CE23AE">
        <w:rPr>
          <w:lang w:val="en-US"/>
        </w:rPr>
        <w:t xml:space="preserve"> on their </w:t>
      </w:r>
      <w:r w:rsidR="00D5223B" w:rsidRPr="00CE23AE">
        <w:rPr>
          <w:lang w:val="en-US"/>
        </w:rPr>
        <w:t>sexual orientation</w:t>
      </w:r>
      <w:r w:rsidR="005E5C65" w:rsidRPr="00CE23AE">
        <w:rPr>
          <w:lang w:val="en-US"/>
        </w:rPr>
        <w:t xml:space="preserve"> were prohibited.</w:t>
      </w:r>
      <w:r w:rsidR="00005015" w:rsidRPr="00CE23AE">
        <w:rPr>
          <w:rStyle w:val="Refdenotaalpie"/>
          <w:lang w:val="en-US"/>
        </w:rPr>
        <w:footnoteReference w:id="199"/>
      </w:r>
    </w:p>
    <w:p w14:paraId="01ED11E4" w14:textId="77777777" w:rsidR="00005015" w:rsidRPr="00CE23AE" w:rsidRDefault="00005015" w:rsidP="00005015">
      <w:pPr>
        <w:pStyle w:val="Prrafodelista"/>
        <w:rPr>
          <w:color w:val="4F81BD" w:themeColor="accent1"/>
          <w:lang w:val="en-US"/>
        </w:rPr>
      </w:pPr>
    </w:p>
    <w:p w14:paraId="7ED412DE" w14:textId="712951A9" w:rsidR="00005015" w:rsidRPr="00CE23AE" w:rsidRDefault="00D31B92" w:rsidP="00D31B92">
      <w:pPr>
        <w:pStyle w:val="PrrafodeSentencia"/>
        <w:rPr>
          <w:lang w:val="en-US"/>
        </w:rPr>
      </w:pPr>
      <w:r w:rsidRPr="00CE23AE">
        <w:rPr>
          <w:lang w:val="en-US"/>
        </w:rPr>
        <w:t>The Court also highlights the rulings of high courts of</w:t>
      </w:r>
      <w:r w:rsidR="00005015" w:rsidRPr="00CE23AE">
        <w:rPr>
          <w:lang w:val="en-US"/>
        </w:rPr>
        <w:t xml:space="preserve"> Colombia, </w:t>
      </w:r>
      <w:r w:rsidRPr="00CE23AE">
        <w:rPr>
          <w:lang w:val="en-US"/>
        </w:rPr>
        <w:t>Brazil</w:t>
      </w:r>
      <w:r w:rsidR="00C561DF" w:rsidRPr="00CE23AE">
        <w:rPr>
          <w:lang w:val="en-US"/>
        </w:rPr>
        <w:t xml:space="preserve"> and </w:t>
      </w:r>
      <w:r w:rsidR="009B35E7" w:rsidRPr="00CE23AE">
        <w:rPr>
          <w:lang w:val="en-US"/>
        </w:rPr>
        <w:t>Peru</w:t>
      </w:r>
      <w:r w:rsidR="00005015" w:rsidRPr="00CE23AE">
        <w:rPr>
          <w:lang w:val="en-US"/>
        </w:rPr>
        <w:t xml:space="preserve">. </w:t>
      </w:r>
      <w:r w:rsidRPr="00CE23AE">
        <w:rPr>
          <w:lang w:val="en-US"/>
        </w:rPr>
        <w:t xml:space="preserve">In </w:t>
      </w:r>
      <w:r w:rsidR="00005015" w:rsidRPr="00CE23AE">
        <w:rPr>
          <w:lang w:val="en-US"/>
        </w:rPr>
        <w:t xml:space="preserve">Colombia, </w:t>
      </w:r>
      <w:r w:rsidR="00C561DF" w:rsidRPr="00CE23AE">
        <w:rPr>
          <w:lang w:val="en-US"/>
        </w:rPr>
        <w:t xml:space="preserve">the </w:t>
      </w:r>
      <w:r w:rsidR="000366A6" w:rsidRPr="00CE23AE">
        <w:rPr>
          <w:lang w:val="en-US"/>
        </w:rPr>
        <w:t>Constitutional Court</w:t>
      </w:r>
      <w:r w:rsidR="00005015" w:rsidRPr="00CE23AE">
        <w:rPr>
          <w:lang w:val="en-US"/>
        </w:rPr>
        <w:t xml:space="preserve"> ha</w:t>
      </w:r>
      <w:r w:rsidRPr="00CE23AE">
        <w:rPr>
          <w:lang w:val="en-US"/>
        </w:rPr>
        <w:t>s decided several cases on the issue.</w:t>
      </w:r>
      <w:r w:rsidR="00005015" w:rsidRPr="00CE23AE">
        <w:rPr>
          <w:rStyle w:val="Refdenotaalpie"/>
          <w:lang w:val="en-US"/>
        </w:rPr>
        <w:footnoteReference w:id="200"/>
      </w:r>
      <w:r w:rsidR="00005015" w:rsidRPr="00CE23AE">
        <w:rPr>
          <w:lang w:val="en-US"/>
        </w:rPr>
        <w:t xml:space="preserve"> </w:t>
      </w:r>
      <w:r w:rsidRPr="00CE23AE">
        <w:rPr>
          <w:lang w:val="en-US"/>
        </w:rPr>
        <w:t>I</w:t>
      </w:r>
      <w:r w:rsidR="00005015" w:rsidRPr="00CE23AE">
        <w:rPr>
          <w:lang w:val="en-US"/>
        </w:rPr>
        <w:t xml:space="preserve">n particular, </w:t>
      </w:r>
      <w:r w:rsidRPr="00CE23AE">
        <w:rPr>
          <w:lang w:val="en-US"/>
        </w:rPr>
        <w:t>in judgment</w:t>
      </w:r>
      <w:r w:rsidR="00005015" w:rsidRPr="00CE23AE">
        <w:rPr>
          <w:lang w:val="en-US"/>
        </w:rPr>
        <w:t xml:space="preserve"> C-507/99</w:t>
      </w:r>
      <w:r w:rsidRPr="00CE23AE">
        <w:rPr>
          <w:lang w:val="en-US"/>
        </w:rPr>
        <w:t>, it analyzed an article of the armed forces</w:t>
      </w:r>
      <w:r w:rsidR="008C4B10" w:rsidRPr="00CE23AE">
        <w:rPr>
          <w:lang w:val="en-US"/>
        </w:rPr>
        <w:t xml:space="preserve">’ disciplinary regulations </w:t>
      </w:r>
      <w:r w:rsidRPr="00CE23AE">
        <w:rPr>
          <w:lang w:val="en-US"/>
        </w:rPr>
        <w:t xml:space="preserve">that established as an “offense against military honor” “[t]o carry out acts of homosexuality or to practice or encourage prostitution.” In this regard, the Colombian Constitutional Court indicated that this article “stigmatizes the homosexual option and, at the same time, ignores aspects that correspond to an individual’s </w:t>
      </w:r>
      <w:r w:rsidR="00155266" w:rsidRPr="00CE23AE">
        <w:rPr>
          <w:lang w:val="en-US"/>
        </w:rPr>
        <w:t xml:space="preserve">most </w:t>
      </w:r>
      <w:r w:rsidRPr="00CE23AE">
        <w:rPr>
          <w:lang w:val="en-US"/>
        </w:rPr>
        <w:t>intimate sphere, which, if they are exercised responsibly and strictly in private, have no reason to interfere in his condition as a soldier.</w:t>
      </w:r>
      <w:r w:rsidR="00005015" w:rsidRPr="00CE23AE">
        <w:rPr>
          <w:bdr w:val="none" w:sz="0" w:space="0" w:color="auto" w:frame="1"/>
          <w:lang w:val="en-US"/>
        </w:rPr>
        <w:t>”</w:t>
      </w:r>
      <w:r w:rsidR="00005015" w:rsidRPr="00CE23AE">
        <w:rPr>
          <w:rStyle w:val="Refdenotaalpie"/>
          <w:bdr w:val="none" w:sz="0" w:space="0" w:color="auto" w:frame="1"/>
          <w:lang w:val="en-US"/>
        </w:rPr>
        <w:footnoteReference w:id="201"/>
      </w:r>
      <w:r w:rsidRPr="00CE23AE">
        <w:rPr>
          <w:bdr w:val="none" w:sz="0" w:space="0" w:color="auto" w:frame="1"/>
          <w:lang w:val="en-US"/>
        </w:rPr>
        <w:t xml:space="preserve"> It also indicated that</w:t>
      </w:r>
      <w:r w:rsidR="00005015" w:rsidRPr="00CE23AE">
        <w:rPr>
          <w:shd w:val="clear" w:color="auto" w:fill="FFFFFF"/>
          <w:lang w:val="en-US"/>
        </w:rPr>
        <w:t>:</w:t>
      </w:r>
    </w:p>
    <w:p w14:paraId="28E4D3F3" w14:textId="77777777" w:rsidR="00005015" w:rsidRPr="00CE23AE" w:rsidRDefault="00005015" w:rsidP="00005015">
      <w:pPr>
        <w:widowControl/>
        <w:shd w:val="clear" w:color="auto" w:fill="FFFFFF"/>
        <w:adjustRightInd/>
        <w:spacing w:line="240" w:lineRule="auto"/>
        <w:ind w:right="615"/>
        <w:rPr>
          <w:rFonts w:cs="Arial"/>
          <w:sz w:val="18"/>
          <w:szCs w:val="18"/>
          <w:lang w:val="en-US"/>
        </w:rPr>
      </w:pPr>
    </w:p>
    <w:p w14:paraId="6B4588B2" w14:textId="59F33B84" w:rsidR="00D31B92" w:rsidRPr="00CE23AE" w:rsidRDefault="008C4B10" w:rsidP="00005015">
      <w:pPr>
        <w:widowControl/>
        <w:shd w:val="clear" w:color="auto" w:fill="FFFFFF"/>
        <w:adjustRightInd/>
        <w:spacing w:line="240" w:lineRule="auto"/>
        <w:ind w:left="567" w:right="615"/>
        <w:rPr>
          <w:sz w:val="18"/>
          <w:szCs w:val="18"/>
          <w:bdr w:val="none" w:sz="0" w:space="0" w:color="auto" w:frame="1"/>
          <w:lang w:val="en-US"/>
        </w:rPr>
      </w:pPr>
      <w:r w:rsidRPr="00CE23AE">
        <w:rPr>
          <w:sz w:val="18"/>
          <w:szCs w:val="18"/>
          <w:bdr w:val="none" w:sz="0" w:space="0" w:color="auto" w:frame="1"/>
          <w:lang w:val="en-US"/>
        </w:rPr>
        <w:t>I</w:t>
      </w:r>
      <w:r w:rsidR="00005015" w:rsidRPr="00CE23AE">
        <w:rPr>
          <w:sz w:val="18"/>
          <w:szCs w:val="18"/>
          <w:bdr w:val="none" w:sz="0" w:space="0" w:color="auto" w:frame="1"/>
          <w:lang w:val="en-US"/>
        </w:rPr>
        <w:t>n reali</w:t>
      </w:r>
      <w:r w:rsidR="00D31B92" w:rsidRPr="00CE23AE">
        <w:rPr>
          <w:sz w:val="18"/>
          <w:szCs w:val="18"/>
          <w:bdr w:val="none" w:sz="0" w:space="0" w:color="auto" w:frame="1"/>
          <w:lang w:val="en-US"/>
        </w:rPr>
        <w:t xml:space="preserve">ty, what it is sought to penalize by the contested expression – to carry out acts of homosexuality – [is] the human condition of homosexual and the legitimate exercise of this preference, which has severe effects on the right of the individual to manage freely something that is so </w:t>
      </w:r>
      <w:r w:rsidR="005244C8" w:rsidRPr="00CE23AE">
        <w:rPr>
          <w:sz w:val="18"/>
          <w:szCs w:val="18"/>
          <w:bdr w:val="none" w:sz="0" w:space="0" w:color="auto" w:frame="1"/>
          <w:lang w:val="en-US"/>
        </w:rPr>
        <w:t>intrinsic, which is his sexuality. […]</w:t>
      </w:r>
      <w:r w:rsidR="00D31B92" w:rsidRPr="00CE23AE">
        <w:rPr>
          <w:sz w:val="18"/>
          <w:szCs w:val="18"/>
          <w:bdr w:val="none" w:sz="0" w:space="0" w:color="auto" w:frame="1"/>
          <w:lang w:val="en-US"/>
        </w:rPr>
        <w:t xml:space="preserve"> </w:t>
      </w:r>
    </w:p>
    <w:p w14:paraId="42FE80E6" w14:textId="77777777" w:rsidR="00005015" w:rsidRPr="00CE23AE" w:rsidRDefault="00005015" w:rsidP="00005015">
      <w:pPr>
        <w:widowControl/>
        <w:shd w:val="clear" w:color="auto" w:fill="FFFFFF"/>
        <w:adjustRightInd/>
        <w:spacing w:line="240" w:lineRule="auto"/>
        <w:ind w:left="567" w:right="615"/>
        <w:rPr>
          <w:sz w:val="18"/>
          <w:szCs w:val="18"/>
          <w:bdr w:val="none" w:sz="0" w:space="0" w:color="auto" w:frame="1"/>
          <w:lang w:val="en-US"/>
        </w:rPr>
      </w:pPr>
    </w:p>
    <w:p w14:paraId="38A3E015" w14:textId="6FE1A1EC" w:rsidR="00005015" w:rsidRPr="00CE23AE" w:rsidRDefault="005244C8" w:rsidP="005244C8">
      <w:pPr>
        <w:pStyle w:val="bodytext21"/>
        <w:shd w:val="clear" w:color="auto" w:fill="FFFFFF"/>
        <w:spacing w:before="0" w:beforeAutospacing="0" w:after="0" w:afterAutospacing="0"/>
        <w:ind w:left="567" w:right="615"/>
        <w:jc w:val="both"/>
        <w:textAlignment w:val="baseline"/>
        <w:rPr>
          <w:rFonts w:ascii="Verdana" w:hAnsi="Verdana"/>
          <w:sz w:val="18"/>
          <w:szCs w:val="18"/>
          <w:bdr w:val="none" w:sz="0" w:space="0" w:color="auto" w:frame="1"/>
          <w:lang w:val="en-US"/>
        </w:rPr>
      </w:pPr>
      <w:r w:rsidRPr="00CE23AE">
        <w:rPr>
          <w:rFonts w:ascii="Verdana" w:hAnsi="Verdana"/>
          <w:sz w:val="18"/>
          <w:szCs w:val="18"/>
          <w:bdr w:val="none" w:sz="0" w:space="0" w:color="auto" w:frame="1"/>
          <w:lang w:val="en-US"/>
        </w:rPr>
        <w:t xml:space="preserve">That said, it is fairly clear that the sexuality of the individual and, particularly their homosexual behavior, cannot be subjected to private or institutional stigmatization and, therefore, the participation that the individual, as a social being, may have in the life of the State, cannot in any way be conditioned by his sexual development and preference. As already indicated, the Constitution, by considering that those rights that protect the private sphere of the individual are fundamental, is admitting that anyone who plays an active role in the community life of the country – including in the military – is not renouncing the right to have a private life and, therefore, to enjoy full autonomy to act in his private life in accordance with his </w:t>
      </w:r>
      <w:r w:rsidR="008C4B10" w:rsidRPr="00CE23AE">
        <w:rPr>
          <w:rFonts w:ascii="Verdana" w:hAnsi="Verdana"/>
          <w:sz w:val="18"/>
          <w:szCs w:val="18"/>
          <w:bdr w:val="none" w:sz="0" w:space="0" w:color="auto" w:frame="1"/>
          <w:lang w:val="en-US"/>
        </w:rPr>
        <w:t>personal</w:t>
      </w:r>
      <w:r w:rsidRPr="00CE23AE">
        <w:rPr>
          <w:rFonts w:ascii="Verdana" w:hAnsi="Verdana"/>
          <w:sz w:val="18"/>
          <w:szCs w:val="18"/>
          <w:bdr w:val="none" w:sz="0" w:space="0" w:color="auto" w:frame="1"/>
          <w:lang w:val="en-US"/>
        </w:rPr>
        <w:t xml:space="preserve"> preferences provided that, objectively, he does not prejudice society.</w:t>
      </w:r>
      <w:r w:rsidR="00005015" w:rsidRPr="00CE23AE">
        <w:rPr>
          <w:rStyle w:val="Refdenotaalpie"/>
          <w:rFonts w:ascii="Verdana" w:hAnsi="Verdana"/>
          <w:sz w:val="18"/>
          <w:szCs w:val="18"/>
          <w:bdr w:val="none" w:sz="0" w:space="0" w:color="auto" w:frame="1"/>
          <w:lang w:val="en-US"/>
        </w:rPr>
        <w:footnoteReference w:id="202"/>
      </w:r>
      <w:r w:rsidR="00005015" w:rsidRPr="00CE23AE">
        <w:rPr>
          <w:rStyle w:val="Refdenotaalpie"/>
          <w:sz w:val="18"/>
          <w:szCs w:val="18"/>
          <w:bdr w:val="none" w:sz="0" w:space="0" w:color="auto" w:frame="1"/>
          <w:lang w:val="en-US"/>
        </w:rPr>
        <w:t xml:space="preserve"> </w:t>
      </w:r>
    </w:p>
    <w:p w14:paraId="01D84805" w14:textId="77777777" w:rsidR="00005015" w:rsidRPr="00CE23AE" w:rsidRDefault="00005015" w:rsidP="00005015">
      <w:pPr>
        <w:pStyle w:val="bodytext21"/>
        <w:shd w:val="clear" w:color="auto" w:fill="FFFFFF"/>
        <w:spacing w:before="0" w:beforeAutospacing="0" w:after="0" w:afterAutospacing="0"/>
        <w:ind w:left="567" w:right="615"/>
        <w:jc w:val="both"/>
        <w:textAlignment w:val="baseline"/>
        <w:rPr>
          <w:rFonts w:ascii="Verdana" w:hAnsi="Verdana" w:cs="Arial"/>
          <w:sz w:val="18"/>
          <w:szCs w:val="18"/>
          <w:lang w:val="en-US"/>
        </w:rPr>
      </w:pPr>
    </w:p>
    <w:p w14:paraId="614F98BE" w14:textId="3C6BACEC" w:rsidR="00005015" w:rsidRPr="00CE23AE" w:rsidRDefault="00C561DF" w:rsidP="005244C8">
      <w:pPr>
        <w:pStyle w:val="PrrafodeSentencia"/>
        <w:rPr>
          <w:rFonts w:cs="Arial"/>
          <w:lang w:val="en-US"/>
        </w:rPr>
      </w:pPr>
      <w:r w:rsidRPr="00CE23AE">
        <w:rPr>
          <w:bdr w:val="none" w:sz="0" w:space="0" w:color="auto" w:frame="1"/>
          <w:lang w:val="en-US"/>
        </w:rPr>
        <w:t>The</w:t>
      </w:r>
      <w:r w:rsidR="005244C8" w:rsidRPr="00CE23AE">
        <w:rPr>
          <w:bdr w:val="none" w:sz="0" w:space="0" w:color="auto" w:frame="1"/>
          <w:lang w:val="en-US"/>
        </w:rPr>
        <w:t xml:space="preserve"> Colombian</w:t>
      </w:r>
      <w:r w:rsidRPr="00CE23AE">
        <w:rPr>
          <w:bdr w:val="none" w:sz="0" w:space="0" w:color="auto" w:frame="1"/>
          <w:lang w:val="en-US"/>
        </w:rPr>
        <w:t xml:space="preserve"> </w:t>
      </w:r>
      <w:r w:rsidR="000366A6" w:rsidRPr="00CE23AE">
        <w:rPr>
          <w:bdr w:val="none" w:sz="0" w:space="0" w:color="auto" w:frame="1"/>
          <w:lang w:val="en-US"/>
        </w:rPr>
        <w:t>Constitutional Court</w:t>
      </w:r>
      <w:r w:rsidR="004B2124" w:rsidRPr="00CE23AE">
        <w:rPr>
          <w:bdr w:val="none" w:sz="0" w:space="0" w:color="auto" w:frame="1"/>
          <w:lang w:val="en-US"/>
        </w:rPr>
        <w:t xml:space="preserve"> c</w:t>
      </w:r>
      <w:r w:rsidR="005244C8" w:rsidRPr="00CE23AE">
        <w:rPr>
          <w:bdr w:val="none" w:sz="0" w:space="0" w:color="auto" w:frame="1"/>
          <w:lang w:val="en-US"/>
        </w:rPr>
        <w:t xml:space="preserve">larified that this did not mean that “sexual acts, whether homosexual or heterosexual, </w:t>
      </w:r>
      <w:r w:rsidR="00404D41" w:rsidRPr="00CE23AE">
        <w:rPr>
          <w:bdr w:val="none" w:sz="0" w:space="0" w:color="auto" w:frame="1"/>
          <w:lang w:val="en-US"/>
        </w:rPr>
        <w:t>performed</w:t>
      </w:r>
      <w:r w:rsidR="005244C8" w:rsidRPr="00CE23AE">
        <w:rPr>
          <w:bdr w:val="none" w:sz="0" w:space="0" w:color="auto" w:frame="1"/>
          <w:lang w:val="en-US"/>
        </w:rPr>
        <w:t xml:space="preserve"> publicly, or when executing activities of the service, or on military premises and that, therefore, compromise the basic objectives of the military activity and discipline [are permitted], because it is evident that they must be subject to the corresponding penalties.</w:t>
      </w:r>
      <w:r w:rsidR="00005015" w:rsidRPr="00CE23AE">
        <w:rPr>
          <w:bdr w:val="none" w:sz="0" w:space="0" w:color="auto" w:frame="1"/>
          <w:lang w:val="en-US"/>
        </w:rPr>
        <w:t>”</w:t>
      </w:r>
      <w:r w:rsidR="00005015" w:rsidRPr="00CE23AE">
        <w:rPr>
          <w:bdr w:val="none" w:sz="0" w:space="0" w:color="auto" w:frame="1"/>
          <w:vertAlign w:val="superscript"/>
          <w:lang w:val="en-US"/>
        </w:rPr>
        <w:footnoteReference w:id="203"/>
      </w:r>
    </w:p>
    <w:p w14:paraId="45A3A251" w14:textId="77777777" w:rsidR="00005015" w:rsidRPr="00CE23AE" w:rsidRDefault="00005015" w:rsidP="00005015">
      <w:pPr>
        <w:pStyle w:val="PrrafodeSentencia"/>
        <w:numPr>
          <w:ilvl w:val="0"/>
          <w:numId w:val="0"/>
        </w:numPr>
        <w:rPr>
          <w:b/>
          <w:lang w:val="en-US"/>
        </w:rPr>
      </w:pPr>
    </w:p>
    <w:p w14:paraId="3196E07B" w14:textId="5C8DAB47" w:rsidR="00005015" w:rsidRPr="00CE23AE" w:rsidRDefault="00AC18A9" w:rsidP="00005015">
      <w:pPr>
        <w:pStyle w:val="PrrafodeSentencia"/>
        <w:rPr>
          <w:lang w:val="en-US"/>
        </w:rPr>
      </w:pPr>
      <w:r w:rsidRPr="00CE23AE">
        <w:rPr>
          <w:lang w:val="en-US"/>
        </w:rPr>
        <w:t>Similarly, according to the Brazilian Military Criminal Code</w:t>
      </w:r>
      <w:r w:rsidR="00005015" w:rsidRPr="00CE23AE">
        <w:rPr>
          <w:lang w:val="en-US"/>
        </w:rPr>
        <w:t xml:space="preserve"> </w:t>
      </w:r>
      <w:r w:rsidR="00404D41" w:rsidRPr="00CE23AE">
        <w:rPr>
          <w:lang w:val="en-US"/>
        </w:rPr>
        <w:t>to engage in or permit soldiers to engage in lewd acts, whether homosexual or not, in a place subject to military administration was penalized with detention of six months to a year, under the heading of “pederasty or other lewd acts.</w:t>
      </w:r>
      <w:r w:rsidR="00005015" w:rsidRPr="00CE23AE">
        <w:rPr>
          <w:lang w:val="en-US"/>
        </w:rPr>
        <w:t>”</w:t>
      </w:r>
      <w:r w:rsidR="00005015" w:rsidRPr="00CE23AE">
        <w:rPr>
          <w:rStyle w:val="Refdenotaalpie"/>
          <w:lang w:val="en-US"/>
        </w:rPr>
        <w:footnoteReference w:id="204"/>
      </w:r>
      <w:r w:rsidR="00005015" w:rsidRPr="00CE23AE">
        <w:rPr>
          <w:lang w:val="en-US"/>
        </w:rPr>
        <w:t xml:space="preserve"> </w:t>
      </w:r>
      <w:r w:rsidR="00404D41" w:rsidRPr="00CE23AE">
        <w:rPr>
          <w:lang w:val="en-US"/>
        </w:rPr>
        <w:t>In 2015, t</w:t>
      </w:r>
      <w:r w:rsidR="00C561DF" w:rsidRPr="00CE23AE">
        <w:rPr>
          <w:lang w:val="en-US"/>
        </w:rPr>
        <w:t xml:space="preserve">he </w:t>
      </w:r>
      <w:r w:rsidRPr="00CE23AE">
        <w:rPr>
          <w:lang w:val="en-US"/>
        </w:rPr>
        <w:t>Federal Supreme Court</w:t>
      </w:r>
      <w:r w:rsidR="00005015" w:rsidRPr="00CE23AE">
        <w:rPr>
          <w:lang w:val="en-US"/>
        </w:rPr>
        <w:t xml:space="preserve"> </w:t>
      </w:r>
      <w:r w:rsidRPr="00CE23AE">
        <w:rPr>
          <w:lang w:val="en-US"/>
        </w:rPr>
        <w:t>declared that the expre</w:t>
      </w:r>
      <w:r w:rsidR="00404D41" w:rsidRPr="00CE23AE">
        <w:rPr>
          <w:lang w:val="en-US"/>
        </w:rPr>
        <w:t>ssion</w:t>
      </w:r>
      <w:r w:rsidRPr="00CE23AE">
        <w:rPr>
          <w:lang w:val="en-US"/>
        </w:rPr>
        <w:t xml:space="preserve"> “homosexual or not” was unconstitutional.</w:t>
      </w:r>
      <w:r w:rsidR="00005015" w:rsidRPr="00CE23AE">
        <w:rPr>
          <w:rStyle w:val="Refdenotaalpie"/>
          <w:lang w:val="en-US"/>
        </w:rPr>
        <w:footnoteReference w:id="205"/>
      </w:r>
      <w:r w:rsidR="00005015" w:rsidRPr="00CE23AE">
        <w:rPr>
          <w:lang w:val="en-US"/>
        </w:rPr>
        <w:t xml:space="preserve"> </w:t>
      </w:r>
      <w:r w:rsidRPr="00CE23AE">
        <w:rPr>
          <w:lang w:val="en-US"/>
        </w:rPr>
        <w:t>In this regard, the opini</w:t>
      </w:r>
      <w:r w:rsidR="00155266" w:rsidRPr="00CE23AE">
        <w:rPr>
          <w:lang w:val="en-US"/>
        </w:rPr>
        <w:t>o</w:t>
      </w:r>
      <w:r w:rsidRPr="00CE23AE">
        <w:rPr>
          <w:lang w:val="en-US"/>
        </w:rPr>
        <w:t xml:space="preserve">n of the Justice Rapporteur </w:t>
      </w:r>
      <w:r w:rsidR="009E0CD2" w:rsidRPr="00CE23AE">
        <w:rPr>
          <w:lang w:val="en-US"/>
        </w:rPr>
        <w:t>establishe</w:t>
      </w:r>
      <w:r w:rsidR="008C4B10" w:rsidRPr="00CE23AE">
        <w:rPr>
          <w:lang w:val="en-US"/>
        </w:rPr>
        <w:t>d</w:t>
      </w:r>
      <w:r w:rsidR="009E0CD2" w:rsidRPr="00CE23AE">
        <w:rPr>
          <w:lang w:val="en-US"/>
        </w:rPr>
        <w:t xml:space="preserve"> that</w:t>
      </w:r>
      <w:r w:rsidR="00005015" w:rsidRPr="00CE23AE">
        <w:rPr>
          <w:lang w:val="en-US"/>
        </w:rPr>
        <w:t>:</w:t>
      </w:r>
    </w:p>
    <w:p w14:paraId="042EAD79" w14:textId="77777777" w:rsidR="00005015" w:rsidRPr="00CE23AE" w:rsidRDefault="00005015" w:rsidP="00005015">
      <w:pPr>
        <w:pStyle w:val="Prrafodelista"/>
        <w:rPr>
          <w:lang w:val="en-US"/>
        </w:rPr>
      </w:pPr>
    </w:p>
    <w:p w14:paraId="6E512666" w14:textId="41DD17EF" w:rsidR="00F2027F" w:rsidRPr="00CE23AE" w:rsidRDefault="00F2027F" w:rsidP="00005015">
      <w:pPr>
        <w:pStyle w:val="PrrafodeSentencia"/>
        <w:numPr>
          <w:ilvl w:val="0"/>
          <w:numId w:val="0"/>
        </w:numPr>
        <w:ind w:left="567" w:right="615"/>
        <w:rPr>
          <w:sz w:val="18"/>
          <w:szCs w:val="18"/>
          <w:lang w:val="en-US"/>
        </w:rPr>
      </w:pPr>
      <w:r w:rsidRPr="00CE23AE">
        <w:rPr>
          <w:sz w:val="18"/>
          <w:szCs w:val="18"/>
          <w:lang w:val="en-US"/>
        </w:rPr>
        <w:t>The law cannot be allowed to use pejorative and discriminatory expressions when recognizing the right to freedom of sexual orientation as an existential freedom of the individual</w:t>
      </w:r>
      <w:r w:rsidR="008C4B10" w:rsidRPr="00CE23AE">
        <w:rPr>
          <w:sz w:val="18"/>
          <w:szCs w:val="18"/>
          <w:lang w:val="en-US"/>
        </w:rPr>
        <w:t>; a</w:t>
      </w:r>
      <w:r w:rsidRPr="00CE23AE">
        <w:rPr>
          <w:sz w:val="18"/>
          <w:szCs w:val="18"/>
          <w:lang w:val="en-US"/>
        </w:rPr>
        <w:t>n inadmissible manifestation of intolerance that affects groups that have traditionally been marginalized. […]</w:t>
      </w:r>
    </w:p>
    <w:p w14:paraId="590318DE" w14:textId="77777777" w:rsidR="00005015" w:rsidRPr="00CE23AE" w:rsidRDefault="00005015" w:rsidP="00005015">
      <w:pPr>
        <w:pStyle w:val="PrrafodeSentencia"/>
        <w:numPr>
          <w:ilvl w:val="0"/>
          <w:numId w:val="0"/>
        </w:numPr>
        <w:ind w:left="567" w:right="615"/>
        <w:rPr>
          <w:sz w:val="18"/>
          <w:szCs w:val="18"/>
          <w:lang w:val="en-US"/>
        </w:rPr>
      </w:pPr>
    </w:p>
    <w:p w14:paraId="66DDE399" w14:textId="315FE544" w:rsidR="00005015" w:rsidRPr="00CE23AE" w:rsidRDefault="00F2027F" w:rsidP="00F2027F">
      <w:pPr>
        <w:pStyle w:val="PrrafodeSentencia"/>
        <w:numPr>
          <w:ilvl w:val="0"/>
          <w:numId w:val="0"/>
        </w:numPr>
        <w:ind w:left="567" w:right="615"/>
        <w:rPr>
          <w:sz w:val="18"/>
          <w:szCs w:val="18"/>
          <w:lang w:val="en-US"/>
        </w:rPr>
      </w:pPr>
      <w:r w:rsidRPr="00CE23AE">
        <w:rPr>
          <w:sz w:val="18"/>
          <w:szCs w:val="18"/>
          <w:lang w:val="en-US"/>
        </w:rPr>
        <w:t xml:space="preserve">The </w:t>
      </w:r>
      <w:r w:rsidR="00522A39" w:rsidRPr="00CE23AE">
        <w:rPr>
          <w:sz w:val="18"/>
          <w:szCs w:val="18"/>
          <w:lang w:val="en-US"/>
        </w:rPr>
        <w:t>inclusion</w:t>
      </w:r>
      <w:r w:rsidRPr="00CE23AE">
        <w:rPr>
          <w:sz w:val="18"/>
          <w:szCs w:val="18"/>
          <w:lang w:val="en-US"/>
        </w:rPr>
        <w:t xml:space="preserve"> of the </w:t>
      </w:r>
      <w:r w:rsidR="00005015" w:rsidRPr="00CE23AE">
        <w:rPr>
          <w:i/>
          <w:sz w:val="18"/>
          <w:szCs w:val="18"/>
          <w:lang w:val="en-US"/>
        </w:rPr>
        <w:t>nomen iuris</w:t>
      </w:r>
      <w:r w:rsidR="00005015" w:rsidRPr="00CE23AE">
        <w:rPr>
          <w:sz w:val="18"/>
          <w:szCs w:val="18"/>
          <w:lang w:val="en-US"/>
        </w:rPr>
        <w:t xml:space="preserve"> “pederast</w:t>
      </w:r>
      <w:r w:rsidRPr="00CE23AE">
        <w:rPr>
          <w:sz w:val="18"/>
          <w:szCs w:val="18"/>
          <w:lang w:val="en-US"/>
        </w:rPr>
        <w:t>y or other lewd acts” and the expression “homosexual or not” […] reveal, unequivocally, the purpose of the norm; to prohibit access</w:t>
      </w:r>
      <w:r w:rsidR="008C4B10" w:rsidRPr="00CE23AE">
        <w:rPr>
          <w:sz w:val="18"/>
          <w:szCs w:val="18"/>
          <w:lang w:val="en-US"/>
        </w:rPr>
        <w:t xml:space="preserve"> to</w:t>
      </w:r>
      <w:r w:rsidRPr="00CE23AE">
        <w:rPr>
          <w:sz w:val="18"/>
          <w:szCs w:val="18"/>
          <w:lang w:val="en-US"/>
        </w:rPr>
        <w:t xml:space="preserve"> and expel homosexual men from </w:t>
      </w:r>
      <w:r w:rsidR="0005476C" w:rsidRPr="00CE23AE">
        <w:rPr>
          <w:sz w:val="18"/>
          <w:szCs w:val="18"/>
          <w:lang w:val="en-US"/>
        </w:rPr>
        <w:t xml:space="preserve">the </w:t>
      </w:r>
      <w:r w:rsidR="009C5D46" w:rsidRPr="00CE23AE">
        <w:rPr>
          <w:sz w:val="18"/>
          <w:szCs w:val="18"/>
          <w:lang w:val="en-US"/>
        </w:rPr>
        <w:t>Armed Forces</w:t>
      </w:r>
      <w:r w:rsidR="00005015" w:rsidRPr="00CE23AE">
        <w:rPr>
          <w:sz w:val="18"/>
          <w:szCs w:val="18"/>
          <w:lang w:val="en-US"/>
        </w:rPr>
        <w:t>. […]</w:t>
      </w:r>
    </w:p>
    <w:p w14:paraId="69715473" w14:textId="77777777" w:rsidR="00005015" w:rsidRPr="00CE23AE" w:rsidRDefault="00005015" w:rsidP="00005015">
      <w:pPr>
        <w:pStyle w:val="PrrafodeSentencia"/>
        <w:numPr>
          <w:ilvl w:val="0"/>
          <w:numId w:val="0"/>
        </w:numPr>
        <w:ind w:left="567" w:right="615"/>
        <w:rPr>
          <w:sz w:val="18"/>
          <w:szCs w:val="18"/>
          <w:lang w:val="en-US"/>
        </w:rPr>
      </w:pPr>
    </w:p>
    <w:p w14:paraId="3BC1A0E3" w14:textId="53C5AE2A" w:rsidR="00005015" w:rsidRPr="00CE23AE" w:rsidRDefault="00005015" w:rsidP="00F2027F">
      <w:pPr>
        <w:pStyle w:val="PrrafodeSentencia"/>
        <w:numPr>
          <w:ilvl w:val="0"/>
          <w:numId w:val="0"/>
        </w:numPr>
        <w:ind w:left="567" w:right="615"/>
        <w:rPr>
          <w:sz w:val="18"/>
          <w:szCs w:val="18"/>
          <w:lang w:val="en-US"/>
        </w:rPr>
      </w:pPr>
      <w:r w:rsidRPr="00CE23AE">
        <w:rPr>
          <w:sz w:val="18"/>
          <w:szCs w:val="18"/>
          <w:lang w:val="en-US"/>
        </w:rPr>
        <w:t>Prohibi</w:t>
      </w:r>
      <w:r w:rsidR="00F2027F" w:rsidRPr="00CE23AE">
        <w:rPr>
          <w:sz w:val="18"/>
          <w:szCs w:val="18"/>
          <w:lang w:val="en-US"/>
        </w:rPr>
        <w:t xml:space="preserve">ting access to or expelling homosexual </w:t>
      </w:r>
      <w:r w:rsidR="008C4B10" w:rsidRPr="00CE23AE">
        <w:rPr>
          <w:sz w:val="18"/>
          <w:szCs w:val="18"/>
          <w:lang w:val="en-US"/>
        </w:rPr>
        <w:t xml:space="preserve">men </w:t>
      </w:r>
      <w:r w:rsidR="00F2027F" w:rsidRPr="00CE23AE">
        <w:rPr>
          <w:sz w:val="18"/>
          <w:szCs w:val="18"/>
          <w:lang w:val="en-US"/>
        </w:rPr>
        <w:t xml:space="preserve">from </w:t>
      </w:r>
      <w:r w:rsidR="0005476C" w:rsidRPr="00CE23AE">
        <w:rPr>
          <w:sz w:val="18"/>
          <w:szCs w:val="18"/>
          <w:lang w:val="en-US"/>
        </w:rPr>
        <w:t xml:space="preserve">the </w:t>
      </w:r>
      <w:r w:rsidR="009C5D46" w:rsidRPr="00CE23AE">
        <w:rPr>
          <w:sz w:val="18"/>
          <w:szCs w:val="18"/>
          <w:lang w:val="en-US"/>
        </w:rPr>
        <w:t>Armed Forces</w:t>
      </w:r>
      <w:r w:rsidRPr="00CE23AE">
        <w:rPr>
          <w:sz w:val="18"/>
          <w:szCs w:val="18"/>
          <w:lang w:val="en-US"/>
        </w:rPr>
        <w:t xml:space="preserve"> </w:t>
      </w:r>
      <w:r w:rsidR="00F2027F" w:rsidRPr="00CE23AE">
        <w:rPr>
          <w:sz w:val="18"/>
          <w:szCs w:val="18"/>
          <w:lang w:val="en-US"/>
        </w:rPr>
        <w:t xml:space="preserve">based on a supposed “physiological or moral degeneration,” or even on contravening “God’s law,” </w:t>
      </w:r>
      <w:r w:rsidR="008C4B10" w:rsidRPr="00CE23AE">
        <w:rPr>
          <w:sz w:val="18"/>
          <w:szCs w:val="18"/>
          <w:lang w:val="en-US"/>
        </w:rPr>
        <w:t>belongs to</w:t>
      </w:r>
      <w:r w:rsidR="00F2027F" w:rsidRPr="00CE23AE">
        <w:rPr>
          <w:sz w:val="18"/>
          <w:szCs w:val="18"/>
          <w:lang w:val="en-US"/>
        </w:rPr>
        <w:t xml:space="preserve"> a discourse that cannot be accepted in the public sphere, at the risk even</w:t>
      </w:r>
      <w:r w:rsidR="008C4B10" w:rsidRPr="00CE23AE">
        <w:rPr>
          <w:sz w:val="18"/>
          <w:szCs w:val="18"/>
          <w:lang w:val="en-US"/>
        </w:rPr>
        <w:t xml:space="preserve"> </w:t>
      </w:r>
      <w:r w:rsidR="00F2027F" w:rsidRPr="00CE23AE">
        <w:rPr>
          <w:sz w:val="18"/>
          <w:szCs w:val="18"/>
          <w:lang w:val="en-US"/>
        </w:rPr>
        <w:t>of violating the secular nature of the State. The supposed absence of energy or of virility is another argument that lacks empirical proof, and is based on a preconceived image of the “ideal warrior.”</w:t>
      </w:r>
      <w:r w:rsidRPr="00CE23AE">
        <w:rPr>
          <w:rStyle w:val="Refdenotaalpie"/>
          <w:sz w:val="18"/>
          <w:szCs w:val="18"/>
          <w:lang w:val="en-US"/>
        </w:rPr>
        <w:footnoteReference w:id="206"/>
      </w:r>
    </w:p>
    <w:p w14:paraId="0E45E787" w14:textId="1C168314" w:rsidR="00005015" w:rsidRPr="00CE23AE" w:rsidRDefault="00005015" w:rsidP="00005015">
      <w:pPr>
        <w:pStyle w:val="PrrafodeSentencia"/>
        <w:numPr>
          <w:ilvl w:val="0"/>
          <w:numId w:val="0"/>
        </w:numPr>
        <w:rPr>
          <w:lang w:val="en-US"/>
        </w:rPr>
      </w:pPr>
    </w:p>
    <w:p w14:paraId="2ACFEF53" w14:textId="40795A95" w:rsidR="00005015" w:rsidRPr="00CE23AE" w:rsidRDefault="00005015" w:rsidP="00293D47">
      <w:pPr>
        <w:pStyle w:val="PrrafodeSentencia"/>
        <w:rPr>
          <w:lang w:val="en-US"/>
        </w:rPr>
      </w:pPr>
      <w:r w:rsidRPr="00CE23AE">
        <w:rPr>
          <w:lang w:val="en-US"/>
        </w:rPr>
        <w:t>Ad</w:t>
      </w:r>
      <w:r w:rsidR="00F2027F" w:rsidRPr="00CE23AE">
        <w:rPr>
          <w:lang w:val="en-US"/>
        </w:rPr>
        <w:t xml:space="preserve">ditionally, in Peru in 2004, </w:t>
      </w:r>
      <w:r w:rsidR="00C561DF" w:rsidRPr="00CE23AE">
        <w:rPr>
          <w:lang w:val="en-US"/>
        </w:rPr>
        <w:t xml:space="preserve">the </w:t>
      </w:r>
      <w:r w:rsidR="000366A6" w:rsidRPr="00CE23AE">
        <w:rPr>
          <w:lang w:val="en-US"/>
        </w:rPr>
        <w:t>Constitutional Court</w:t>
      </w:r>
      <w:r w:rsidRPr="00CE23AE">
        <w:rPr>
          <w:lang w:val="en-US"/>
        </w:rPr>
        <w:t xml:space="preserve"> </w:t>
      </w:r>
      <w:r w:rsidR="00F2027F" w:rsidRPr="00CE23AE">
        <w:rPr>
          <w:lang w:val="en-US"/>
        </w:rPr>
        <w:t>decl</w:t>
      </w:r>
      <w:r w:rsidR="00293D47" w:rsidRPr="00CE23AE">
        <w:rPr>
          <w:lang w:val="en-US"/>
        </w:rPr>
        <w:t>ared</w:t>
      </w:r>
      <w:r w:rsidR="00F2027F" w:rsidRPr="00CE23AE">
        <w:rPr>
          <w:lang w:val="en-US"/>
        </w:rPr>
        <w:t xml:space="preserve"> unconstitutional an article of the Code of Military Justice </w:t>
      </w:r>
      <w:r w:rsidR="00293D47" w:rsidRPr="00CE23AE">
        <w:rPr>
          <w:lang w:val="en-US"/>
        </w:rPr>
        <w:t>which</w:t>
      </w:r>
      <w:r w:rsidRPr="00CE23AE">
        <w:rPr>
          <w:lang w:val="en-US"/>
        </w:rPr>
        <w:t xml:space="preserve"> </w:t>
      </w:r>
      <w:r w:rsidR="00AC18A9" w:rsidRPr="00CE23AE">
        <w:rPr>
          <w:lang w:val="en-US"/>
        </w:rPr>
        <w:t>established that</w:t>
      </w:r>
      <w:r w:rsidRPr="00CE23AE">
        <w:rPr>
          <w:lang w:val="en-US"/>
        </w:rPr>
        <w:t xml:space="preserve"> “[</w:t>
      </w:r>
      <w:r w:rsidR="00293D47" w:rsidRPr="00CE23AE">
        <w:rPr>
          <w:lang w:val="en-US"/>
        </w:rPr>
        <w:t>t</w:t>
      </w:r>
      <w:r w:rsidRPr="00CE23AE">
        <w:rPr>
          <w:lang w:val="en-US"/>
        </w:rPr>
        <w:t>]</w:t>
      </w:r>
      <w:r w:rsidR="00293D47" w:rsidRPr="00CE23AE">
        <w:rPr>
          <w:lang w:val="en-US"/>
        </w:rPr>
        <w:t xml:space="preserve">he soldier who performs indecent or unnatural acts with persons of the same sex, within or outside military premises, shall be punished by expulsion </w:t>
      </w:r>
      <w:r w:rsidR="00293D47" w:rsidRPr="00CE23AE">
        <w:rPr>
          <w:lang w:val="en-US"/>
        </w:rPr>
        <w:lastRenderedPageBreak/>
        <w:t>from the armed forces if he is an officer and with prison if he is an ordinary soldier.</w:t>
      </w:r>
      <w:r w:rsidRPr="00CE23AE">
        <w:rPr>
          <w:lang w:val="en-US"/>
        </w:rPr>
        <w:t>”</w:t>
      </w:r>
      <w:r w:rsidRPr="00CE23AE">
        <w:rPr>
          <w:rStyle w:val="Refdenotaalpie"/>
          <w:lang w:val="en-US"/>
        </w:rPr>
        <w:footnoteReference w:id="207"/>
      </w:r>
      <w:r w:rsidR="00293D47" w:rsidRPr="00CE23AE">
        <w:rPr>
          <w:lang w:val="en-US"/>
        </w:rPr>
        <w:t xml:space="preserve"> Among other arguments, t</w:t>
      </w:r>
      <w:r w:rsidR="00C561DF" w:rsidRPr="00CE23AE">
        <w:rPr>
          <w:lang w:val="en-US"/>
        </w:rPr>
        <w:t xml:space="preserve">he </w:t>
      </w:r>
      <w:r w:rsidR="00293D47" w:rsidRPr="00CE23AE">
        <w:rPr>
          <w:lang w:val="en-US"/>
        </w:rPr>
        <w:t xml:space="preserve">Peruvian </w:t>
      </w:r>
      <w:r w:rsidR="000366A6" w:rsidRPr="00CE23AE">
        <w:rPr>
          <w:lang w:val="en-US"/>
        </w:rPr>
        <w:t>Constitutional Court</w:t>
      </w:r>
      <w:r w:rsidRPr="00CE23AE">
        <w:rPr>
          <w:lang w:val="en-US"/>
        </w:rPr>
        <w:t xml:space="preserve"> </w:t>
      </w:r>
      <w:r w:rsidR="00293D47" w:rsidRPr="00CE23AE">
        <w:rPr>
          <w:lang w:val="en-US"/>
        </w:rPr>
        <w:t>indicated that:</w:t>
      </w:r>
    </w:p>
    <w:p w14:paraId="061D0F5C" w14:textId="77777777" w:rsidR="00005015" w:rsidRPr="00CE23AE" w:rsidRDefault="00005015" w:rsidP="00005015">
      <w:pPr>
        <w:pStyle w:val="PrrafodeSentencia"/>
        <w:numPr>
          <w:ilvl w:val="0"/>
          <w:numId w:val="0"/>
        </w:numPr>
        <w:rPr>
          <w:lang w:val="en-US"/>
        </w:rPr>
      </w:pPr>
    </w:p>
    <w:p w14:paraId="23E2E57C" w14:textId="71FB6A27" w:rsidR="00005015" w:rsidRPr="00CE23AE" w:rsidRDefault="00005015" w:rsidP="00293D47">
      <w:pPr>
        <w:pStyle w:val="PrrafodeSentencia"/>
        <w:numPr>
          <w:ilvl w:val="0"/>
          <w:numId w:val="0"/>
        </w:numPr>
        <w:tabs>
          <w:tab w:val="left" w:pos="9639"/>
        </w:tabs>
        <w:ind w:left="567" w:right="615"/>
        <w:rPr>
          <w:sz w:val="18"/>
          <w:szCs w:val="16"/>
          <w:lang w:val="en-US"/>
        </w:rPr>
      </w:pPr>
      <w:r w:rsidRPr="00CE23AE">
        <w:rPr>
          <w:sz w:val="18"/>
          <w:szCs w:val="16"/>
          <w:lang w:val="en-US"/>
        </w:rPr>
        <w:t>[</w:t>
      </w:r>
      <w:r w:rsidR="00293D47" w:rsidRPr="00CE23AE">
        <w:rPr>
          <w:sz w:val="18"/>
          <w:szCs w:val="16"/>
          <w:lang w:val="en-US"/>
        </w:rPr>
        <w:t>I</w:t>
      </w:r>
      <w:r w:rsidRPr="00CE23AE">
        <w:rPr>
          <w:sz w:val="18"/>
          <w:szCs w:val="16"/>
          <w:lang w:val="en-US"/>
        </w:rPr>
        <w:t>]</w:t>
      </w:r>
      <w:r w:rsidR="00293D47" w:rsidRPr="00CE23AE">
        <w:rPr>
          <w:sz w:val="18"/>
          <w:szCs w:val="16"/>
          <w:lang w:val="en-US"/>
        </w:rPr>
        <w:t>t is unconstitutional</w:t>
      </w:r>
      <w:r w:rsidR="007E4054" w:rsidRPr="00CE23AE">
        <w:rPr>
          <w:sz w:val="18"/>
          <w:szCs w:val="16"/>
          <w:lang w:val="en-US"/>
        </w:rPr>
        <w:t>,</w:t>
      </w:r>
      <w:r w:rsidR="00293D47" w:rsidRPr="00CE23AE">
        <w:rPr>
          <w:sz w:val="18"/>
          <w:szCs w:val="16"/>
          <w:lang w:val="en-US"/>
        </w:rPr>
        <w:t xml:space="preserve"> because it affects the principle of equality that only the practice of an indecent act against a person of the same sex has been established as an unlawful conduct and not, to the contrary, and with equal justification, indecent conduct against a person of a different sex. If the unlawful act is the practice of an indecent act, there is no objective reason or reasonable basis for only indecent acts between persons of the same sex to be penalized.</w:t>
      </w:r>
      <w:r w:rsidRPr="00CE23AE">
        <w:rPr>
          <w:rStyle w:val="Refdenotaalpie"/>
          <w:sz w:val="18"/>
          <w:szCs w:val="16"/>
          <w:lang w:val="en-US"/>
        </w:rPr>
        <w:footnoteReference w:id="208"/>
      </w:r>
    </w:p>
    <w:p w14:paraId="528A8E34" w14:textId="77777777" w:rsidR="00005015" w:rsidRPr="00CE23AE" w:rsidRDefault="00005015" w:rsidP="00005015">
      <w:pPr>
        <w:pStyle w:val="PrrafodeSentencia"/>
        <w:numPr>
          <w:ilvl w:val="0"/>
          <w:numId w:val="0"/>
        </w:numPr>
        <w:rPr>
          <w:b/>
          <w:color w:val="4F81BD" w:themeColor="accent1"/>
          <w:lang w:val="en-US"/>
        </w:rPr>
      </w:pPr>
    </w:p>
    <w:p w14:paraId="287E37A9" w14:textId="25C98DED" w:rsidR="00005015" w:rsidRPr="00CE23AE" w:rsidRDefault="00C561DF" w:rsidP="007231DC">
      <w:pPr>
        <w:pStyle w:val="PrrafodeSentencia"/>
        <w:rPr>
          <w:strike/>
          <w:lang w:val="en-US"/>
        </w:rPr>
      </w:pPr>
      <w:r w:rsidRPr="00CE23AE">
        <w:rPr>
          <w:lang w:val="en-US"/>
        </w:rPr>
        <w:t>Th</w:t>
      </w:r>
      <w:r w:rsidR="007E4054" w:rsidRPr="00CE23AE">
        <w:rPr>
          <w:lang w:val="en-US"/>
        </w:rPr>
        <w:t>is</w:t>
      </w:r>
      <w:r w:rsidRPr="00CE23AE">
        <w:rPr>
          <w:lang w:val="en-US"/>
        </w:rPr>
        <w:t xml:space="preserve"> Court</w:t>
      </w:r>
      <w:r w:rsidR="00005015" w:rsidRPr="00CE23AE">
        <w:rPr>
          <w:lang w:val="en-US"/>
        </w:rPr>
        <w:t xml:space="preserve"> consider</w:t>
      </w:r>
      <w:r w:rsidR="00293D47" w:rsidRPr="00CE23AE">
        <w:rPr>
          <w:lang w:val="en-US"/>
        </w:rPr>
        <w:t xml:space="preserve">s that the prohibition of </w:t>
      </w:r>
      <w:r w:rsidR="00FA0123" w:rsidRPr="00CE23AE">
        <w:rPr>
          <w:lang w:val="en-US"/>
        </w:rPr>
        <w:t>discrimination</w:t>
      </w:r>
      <w:r w:rsidR="00005015" w:rsidRPr="00CE23AE">
        <w:rPr>
          <w:lang w:val="en-US"/>
        </w:rPr>
        <w:t xml:space="preserve"> </w:t>
      </w:r>
      <w:r w:rsidR="00293D47" w:rsidRPr="00CE23AE">
        <w:rPr>
          <w:lang w:val="en-US"/>
        </w:rPr>
        <w:t>by reason of</w:t>
      </w:r>
      <w:r w:rsidR="00005015" w:rsidRPr="00CE23AE">
        <w:rPr>
          <w:lang w:val="en-US"/>
        </w:rPr>
        <w:t xml:space="preserve"> </w:t>
      </w:r>
      <w:r w:rsidR="00D5223B" w:rsidRPr="00CE23AE">
        <w:rPr>
          <w:lang w:val="en-US"/>
        </w:rPr>
        <w:t>sexual orientation</w:t>
      </w:r>
      <w:r w:rsidR="00005015" w:rsidRPr="00CE23AE">
        <w:rPr>
          <w:lang w:val="en-US"/>
        </w:rPr>
        <w:t xml:space="preserve">, </w:t>
      </w:r>
      <w:r w:rsidR="00293D47" w:rsidRPr="00CE23AE">
        <w:rPr>
          <w:lang w:val="en-US"/>
        </w:rPr>
        <w:t xml:space="preserve">as it has </w:t>
      </w:r>
      <w:r w:rsidR="007231DC" w:rsidRPr="00CE23AE">
        <w:rPr>
          <w:lang w:val="en-US"/>
        </w:rPr>
        <w:t xml:space="preserve">interpreted in the past, encompasses and extends to all spheres of </w:t>
      </w:r>
      <w:r w:rsidR="00673461" w:rsidRPr="00CE23AE">
        <w:rPr>
          <w:lang w:val="en-US"/>
        </w:rPr>
        <w:t xml:space="preserve">the </w:t>
      </w:r>
      <w:r w:rsidR="007231DC" w:rsidRPr="00CE23AE">
        <w:rPr>
          <w:lang w:val="en-US"/>
        </w:rPr>
        <w:t xml:space="preserve">personal development </w:t>
      </w:r>
      <w:r w:rsidR="00673461" w:rsidRPr="00CE23AE">
        <w:rPr>
          <w:lang w:val="en-US"/>
        </w:rPr>
        <w:t xml:space="preserve">of those </w:t>
      </w:r>
      <w:r w:rsidR="007231DC" w:rsidRPr="00CE23AE">
        <w:rPr>
          <w:lang w:val="en-US"/>
        </w:rPr>
        <w:t xml:space="preserve">subject to the jurisdiction of a State Party to the Convention. Therefore, the exclusion of an individual from the </w:t>
      </w:r>
      <w:r w:rsidR="009C5D46" w:rsidRPr="00CE23AE">
        <w:rPr>
          <w:lang w:val="en-US"/>
        </w:rPr>
        <w:t>Armed Forces</w:t>
      </w:r>
      <w:r w:rsidR="00005015" w:rsidRPr="00CE23AE">
        <w:rPr>
          <w:lang w:val="en-US"/>
        </w:rPr>
        <w:t xml:space="preserve"> </w:t>
      </w:r>
      <w:r w:rsidR="00673461" w:rsidRPr="00CE23AE">
        <w:rPr>
          <w:lang w:val="en-US"/>
        </w:rPr>
        <w:t>based on</w:t>
      </w:r>
      <w:r w:rsidR="007231DC" w:rsidRPr="00CE23AE">
        <w:rPr>
          <w:lang w:val="en-US"/>
        </w:rPr>
        <w:t xml:space="preserve"> his</w:t>
      </w:r>
      <w:r w:rsidR="00005015" w:rsidRPr="00CE23AE">
        <w:rPr>
          <w:lang w:val="en-US"/>
        </w:rPr>
        <w:t xml:space="preserve"> </w:t>
      </w:r>
      <w:r w:rsidR="00D5223B" w:rsidRPr="00CE23AE">
        <w:rPr>
          <w:lang w:val="en-US"/>
        </w:rPr>
        <w:t>sexual orientation</w:t>
      </w:r>
      <w:r w:rsidR="00005015" w:rsidRPr="00CE23AE">
        <w:rPr>
          <w:lang w:val="en-US"/>
        </w:rPr>
        <w:t xml:space="preserve">, </w:t>
      </w:r>
      <w:r w:rsidR="007231DC" w:rsidRPr="00CE23AE">
        <w:rPr>
          <w:lang w:val="en-US"/>
        </w:rPr>
        <w:t xml:space="preserve">whether </w:t>
      </w:r>
      <w:r w:rsidR="004570C1" w:rsidRPr="00CE23AE">
        <w:rPr>
          <w:lang w:val="en-US"/>
        </w:rPr>
        <w:t>actual or perceived</w:t>
      </w:r>
      <w:r w:rsidR="00005015" w:rsidRPr="00CE23AE">
        <w:rPr>
          <w:lang w:val="en-US"/>
        </w:rPr>
        <w:t>,</w:t>
      </w:r>
      <w:r w:rsidR="007231DC" w:rsidRPr="00CE23AE">
        <w:rPr>
          <w:lang w:val="en-US"/>
        </w:rPr>
        <w:t xml:space="preserve"> is contrary to </w:t>
      </w:r>
      <w:r w:rsidRPr="00CE23AE">
        <w:rPr>
          <w:lang w:val="en-US"/>
        </w:rPr>
        <w:t>the American Convention</w:t>
      </w:r>
      <w:r w:rsidR="00005015" w:rsidRPr="00CE23AE">
        <w:rPr>
          <w:lang w:val="en-US"/>
        </w:rPr>
        <w:t xml:space="preserve">. </w:t>
      </w:r>
    </w:p>
    <w:p w14:paraId="0D2A0EE9" w14:textId="77777777" w:rsidR="00005015" w:rsidRPr="00CE23AE" w:rsidRDefault="00005015" w:rsidP="00005015">
      <w:pPr>
        <w:rPr>
          <w:strike/>
          <w:lang w:val="en-US"/>
        </w:rPr>
      </w:pPr>
    </w:p>
    <w:p w14:paraId="218AC32F" w14:textId="26C8BCC3" w:rsidR="00005015" w:rsidRPr="00CE23AE" w:rsidRDefault="007231DC" w:rsidP="00D82F61">
      <w:pPr>
        <w:pStyle w:val="PrrafodeSentencia"/>
        <w:rPr>
          <w:lang w:val="en-US"/>
        </w:rPr>
      </w:pPr>
      <w:r w:rsidRPr="00CE23AE">
        <w:rPr>
          <w:lang w:val="en-US"/>
        </w:rPr>
        <w:t>In the instant case</w:t>
      </w:r>
      <w:r w:rsidR="00005015" w:rsidRPr="00CE23AE">
        <w:rPr>
          <w:lang w:val="en-US"/>
        </w:rPr>
        <w:t xml:space="preserve">, </w:t>
      </w:r>
      <w:r w:rsidR="00C561DF" w:rsidRPr="00CE23AE">
        <w:rPr>
          <w:lang w:val="en-US"/>
        </w:rPr>
        <w:t>the Court</w:t>
      </w:r>
      <w:r w:rsidR="00005015" w:rsidRPr="00CE23AE">
        <w:rPr>
          <w:lang w:val="en-US"/>
        </w:rPr>
        <w:t xml:space="preserve"> </w:t>
      </w:r>
      <w:r w:rsidRPr="00CE23AE">
        <w:rPr>
          <w:lang w:val="en-US"/>
        </w:rPr>
        <w:t>has noted that there was an evident difference between the regulations applicable to “unlawful sexual acts” and “acts of homosexuality,” owing to the disparity in the punishments applicable to the two types of acts, as well as to the fact that the “acts of homosexuality” were punished, even if they were committed outside the service. Owing to the presumed homosexual nature of the acts for which Mr. Flor Freire was disciplined, he was a victim of a difference in treatment.</w:t>
      </w:r>
      <w:r w:rsidR="00D82F61" w:rsidRPr="00CE23AE">
        <w:rPr>
          <w:lang w:val="en-US"/>
        </w:rPr>
        <w:t xml:space="preserve"> Committing non-homosexual sexual acts on military premises would not have led to the discharge of </w:t>
      </w:r>
      <w:r w:rsidR="00000AE1" w:rsidRPr="00CE23AE">
        <w:rPr>
          <w:lang w:val="en-US"/>
        </w:rPr>
        <w:t>Mr.</w:t>
      </w:r>
      <w:r w:rsidR="00F5102B" w:rsidRPr="00CE23AE">
        <w:rPr>
          <w:lang w:val="en-US"/>
        </w:rPr>
        <w:t xml:space="preserve"> Flor</w:t>
      </w:r>
      <w:r w:rsidR="00005015" w:rsidRPr="00CE23AE">
        <w:rPr>
          <w:lang w:val="en-US"/>
        </w:rPr>
        <w:t xml:space="preserve"> Freire.</w:t>
      </w:r>
      <w:r w:rsidR="00D82F61" w:rsidRPr="00CE23AE">
        <w:rPr>
          <w:lang w:val="en-US"/>
        </w:rPr>
        <w:t xml:space="preserve"> If this had been the case, he would have received the m</w:t>
      </w:r>
      <w:r w:rsidR="00BA17DE" w:rsidRPr="00CE23AE">
        <w:rPr>
          <w:lang w:val="en-US"/>
        </w:rPr>
        <w:t>a</w:t>
      </w:r>
      <w:r w:rsidR="00D82F61" w:rsidRPr="00CE23AE">
        <w:rPr>
          <w:lang w:val="en-US"/>
        </w:rPr>
        <w:t>ximum penalty of 15 days’ arrest or 30 days’ suspension</w:t>
      </w:r>
      <w:r w:rsidR="00005015" w:rsidRPr="00CE23AE">
        <w:rPr>
          <w:lang w:val="en-US"/>
        </w:rPr>
        <w:t xml:space="preserve"> (</w:t>
      </w:r>
      <w:r w:rsidR="00005015" w:rsidRPr="00CE23AE">
        <w:rPr>
          <w:i/>
          <w:lang w:val="en-US"/>
        </w:rPr>
        <w:t>supra</w:t>
      </w:r>
      <w:r w:rsidR="00005015" w:rsidRPr="00CE23AE">
        <w:rPr>
          <w:lang w:val="en-US"/>
        </w:rPr>
        <w:t xml:space="preserve"> </w:t>
      </w:r>
      <w:r w:rsidR="005C743F" w:rsidRPr="00CE23AE">
        <w:rPr>
          <w:lang w:val="en-US"/>
        </w:rPr>
        <w:t>para.</w:t>
      </w:r>
      <w:r w:rsidR="00005015" w:rsidRPr="00CE23AE">
        <w:rPr>
          <w:lang w:val="en-US"/>
        </w:rPr>
        <w:t xml:space="preserve"> </w:t>
      </w:r>
      <w:r w:rsidR="00005015" w:rsidRPr="00CE23AE">
        <w:rPr>
          <w:lang w:val="en-US"/>
        </w:rPr>
        <w:fldChar w:fldCharType="begin"/>
      </w:r>
      <w:r w:rsidR="00005015" w:rsidRPr="00CE23AE">
        <w:rPr>
          <w:lang w:val="en-US"/>
        </w:rPr>
        <w:instrText xml:space="preserve"> REF _Ref453609455 \r \h </w:instrText>
      </w:r>
      <w:r w:rsidR="00CE23AE">
        <w:rPr>
          <w:lang w:val="en-US"/>
        </w:rPr>
        <w:instrText xml:space="preserve"> \* MERGEFORMAT </w:instrText>
      </w:r>
      <w:r w:rsidR="00005015" w:rsidRPr="00CE23AE">
        <w:rPr>
          <w:lang w:val="en-US"/>
        </w:rPr>
      </w:r>
      <w:r w:rsidR="00005015" w:rsidRPr="00CE23AE">
        <w:rPr>
          <w:lang w:val="en-US"/>
        </w:rPr>
        <w:fldChar w:fldCharType="separate"/>
      </w:r>
      <w:r w:rsidR="00BC2953" w:rsidRPr="00CE23AE">
        <w:rPr>
          <w:lang w:val="en-US"/>
        </w:rPr>
        <w:t>115</w:t>
      </w:r>
      <w:r w:rsidR="00005015" w:rsidRPr="00CE23AE">
        <w:rPr>
          <w:lang w:val="en-US"/>
        </w:rPr>
        <w:fldChar w:fldCharType="end"/>
      </w:r>
      <w:r w:rsidR="00005015" w:rsidRPr="00CE23AE">
        <w:rPr>
          <w:lang w:val="en-US"/>
        </w:rPr>
        <w:t xml:space="preserve">). </w:t>
      </w:r>
      <w:r w:rsidR="00BA17DE" w:rsidRPr="00CE23AE">
        <w:rPr>
          <w:lang w:val="en-US"/>
        </w:rPr>
        <w:t xml:space="preserve">However, owing to the </w:t>
      </w:r>
      <w:r w:rsidR="00D5223B" w:rsidRPr="00CE23AE">
        <w:rPr>
          <w:lang w:val="en-US"/>
        </w:rPr>
        <w:t>sexual orientation</w:t>
      </w:r>
      <w:r w:rsidR="00BA17DE" w:rsidRPr="00CE23AE">
        <w:rPr>
          <w:lang w:val="en-US"/>
        </w:rPr>
        <w:t xml:space="preserve"> attributed to him, </w:t>
      </w:r>
      <w:r w:rsidR="00F5102B" w:rsidRPr="00CE23AE">
        <w:rPr>
          <w:lang w:val="en-US"/>
        </w:rPr>
        <w:t>Mr. Flor</w:t>
      </w:r>
      <w:r w:rsidR="00005015" w:rsidRPr="00CE23AE">
        <w:rPr>
          <w:lang w:val="en-US"/>
        </w:rPr>
        <w:t xml:space="preserve"> Freire </w:t>
      </w:r>
      <w:r w:rsidR="00BA17DE" w:rsidRPr="00CE23AE">
        <w:rPr>
          <w:lang w:val="en-US"/>
        </w:rPr>
        <w:t>was separated from</w:t>
      </w:r>
      <w:r w:rsidR="0005476C" w:rsidRPr="00CE23AE">
        <w:rPr>
          <w:lang w:val="en-US"/>
        </w:rPr>
        <w:t xml:space="preserve"> the</w:t>
      </w:r>
      <w:r w:rsidR="00BA17DE" w:rsidRPr="00CE23AE">
        <w:rPr>
          <w:lang w:val="en-US"/>
        </w:rPr>
        <w:t xml:space="preserve"> Ecuadorian</w:t>
      </w:r>
      <w:r w:rsidR="0005476C" w:rsidRPr="00CE23AE">
        <w:rPr>
          <w:lang w:val="en-US"/>
        </w:rPr>
        <w:t xml:space="preserve"> </w:t>
      </w:r>
      <w:r w:rsidR="009C5D46" w:rsidRPr="00CE23AE">
        <w:rPr>
          <w:lang w:val="en-US"/>
        </w:rPr>
        <w:t>Armed Forces</w:t>
      </w:r>
      <w:r w:rsidR="00BA17DE" w:rsidRPr="00CE23AE">
        <w:rPr>
          <w:lang w:val="en-US"/>
        </w:rPr>
        <w:t xml:space="preserve"> without the State providing the required arguments and evidence to establish objective and reasonable justification to support this difference in treatment.</w:t>
      </w:r>
    </w:p>
    <w:p w14:paraId="636EA0F0" w14:textId="77777777" w:rsidR="00005015" w:rsidRPr="00CE23AE" w:rsidRDefault="00005015" w:rsidP="00005015">
      <w:pPr>
        <w:pStyle w:val="PrrafodeSentencia"/>
        <w:numPr>
          <w:ilvl w:val="0"/>
          <w:numId w:val="0"/>
        </w:numPr>
        <w:rPr>
          <w:color w:val="4F81BD" w:themeColor="accent1"/>
          <w:lang w:val="en-US"/>
        </w:rPr>
      </w:pPr>
    </w:p>
    <w:p w14:paraId="2621003D" w14:textId="15BFD113" w:rsidR="00005015" w:rsidRPr="00CE23AE" w:rsidRDefault="00BA17DE" w:rsidP="00005015">
      <w:pPr>
        <w:pStyle w:val="PrrafodeSentencia"/>
        <w:rPr>
          <w:lang w:val="en-US"/>
        </w:rPr>
      </w:pPr>
      <w:r w:rsidRPr="00CE23AE">
        <w:rPr>
          <w:lang w:val="en-US"/>
        </w:rPr>
        <w:t>Therefore, this Court considers that the greater penalty for homosexual sexual acts that was applied to</w:t>
      </w:r>
      <w:r w:rsidR="00E94B97" w:rsidRPr="00CE23AE">
        <w:rPr>
          <w:lang w:val="en-US"/>
        </w:rPr>
        <w:t xml:space="preserve"> </w:t>
      </w:r>
      <w:r w:rsidR="008B76F3" w:rsidRPr="00CE23AE">
        <w:rPr>
          <w:lang w:val="en-US"/>
        </w:rPr>
        <w:t>Mr.</w:t>
      </w:r>
      <w:r w:rsidR="00E94B97" w:rsidRPr="00CE23AE">
        <w:rPr>
          <w:lang w:val="en-US"/>
        </w:rPr>
        <w:t xml:space="preserve"> Flor Freire</w:t>
      </w:r>
      <w:r w:rsidR="00C561DF" w:rsidRPr="00CE23AE">
        <w:rPr>
          <w:lang w:val="en-US"/>
        </w:rPr>
        <w:t xml:space="preserve"> and </w:t>
      </w:r>
      <w:r w:rsidRPr="00CE23AE">
        <w:rPr>
          <w:lang w:val="en-US"/>
        </w:rPr>
        <w:t>the fac</w:t>
      </w:r>
      <w:r w:rsidR="007E4054" w:rsidRPr="00CE23AE">
        <w:rPr>
          <w:lang w:val="en-US"/>
        </w:rPr>
        <w:t>t</w:t>
      </w:r>
      <w:r w:rsidRPr="00CE23AE">
        <w:rPr>
          <w:lang w:val="en-US"/>
        </w:rPr>
        <w:t xml:space="preserve"> that such acts were punished even if committed outside the service constitute discriminatory distinctions and denote the objective of excluding homosexuals from </w:t>
      </w:r>
      <w:r w:rsidR="0005476C" w:rsidRPr="00CE23AE">
        <w:rPr>
          <w:lang w:val="en-US"/>
        </w:rPr>
        <w:t xml:space="preserve">the </w:t>
      </w:r>
      <w:r w:rsidR="009C5D46" w:rsidRPr="00CE23AE">
        <w:rPr>
          <w:lang w:val="en-US"/>
        </w:rPr>
        <w:t>Armed Forces</w:t>
      </w:r>
      <w:r w:rsidR="00005015" w:rsidRPr="00CE23AE">
        <w:rPr>
          <w:lang w:val="en-US"/>
        </w:rPr>
        <w:t xml:space="preserve">. </w:t>
      </w:r>
    </w:p>
    <w:p w14:paraId="5B12F0F6" w14:textId="77777777" w:rsidR="00005015" w:rsidRPr="00CE23AE" w:rsidRDefault="00005015" w:rsidP="00005015">
      <w:pPr>
        <w:pStyle w:val="Prrafodelista"/>
        <w:rPr>
          <w:lang w:val="en-US"/>
        </w:rPr>
      </w:pPr>
    </w:p>
    <w:p w14:paraId="00B2EE2E" w14:textId="7A242834" w:rsidR="00005015" w:rsidRPr="00CE23AE" w:rsidRDefault="00BA17DE" w:rsidP="00871A42">
      <w:pPr>
        <w:pStyle w:val="PrrafodeSentencia"/>
        <w:rPr>
          <w:lang w:val="en-US"/>
        </w:rPr>
      </w:pPr>
      <w:bookmarkStart w:id="350" w:name="_Ref453707282"/>
      <w:r w:rsidRPr="00CE23AE">
        <w:rPr>
          <w:lang w:val="en-US"/>
        </w:rPr>
        <w:t>Furthermore</w:t>
      </w:r>
      <w:r w:rsidR="00005015" w:rsidRPr="00CE23AE">
        <w:rPr>
          <w:lang w:val="en-US"/>
        </w:rPr>
        <w:t xml:space="preserve">, </w:t>
      </w:r>
      <w:r w:rsidR="00C561DF" w:rsidRPr="00CE23AE">
        <w:rPr>
          <w:lang w:val="en-US"/>
        </w:rPr>
        <w:t>Article</w:t>
      </w:r>
      <w:r w:rsidR="00005015" w:rsidRPr="00CE23AE">
        <w:rPr>
          <w:lang w:val="en-US"/>
        </w:rPr>
        <w:t xml:space="preserve"> 2</w:t>
      </w:r>
      <w:r w:rsidR="00005015" w:rsidRPr="00CE23AE">
        <w:rPr>
          <w:rStyle w:val="Refdenotaalpie"/>
          <w:lang w:val="en-US"/>
        </w:rPr>
        <w:footnoteReference w:id="209"/>
      </w:r>
      <w:r w:rsidR="00C561DF" w:rsidRPr="00CE23AE">
        <w:rPr>
          <w:lang w:val="en-US"/>
        </w:rPr>
        <w:t xml:space="preserve"> of the Convention</w:t>
      </w:r>
      <w:r w:rsidR="00005015" w:rsidRPr="00CE23AE">
        <w:rPr>
          <w:lang w:val="en-US"/>
        </w:rPr>
        <w:t xml:space="preserve"> oblig</w:t>
      </w:r>
      <w:r w:rsidRPr="00CE23AE">
        <w:rPr>
          <w:lang w:val="en-US"/>
        </w:rPr>
        <w:t xml:space="preserve">es States Parties to adopt, </w:t>
      </w:r>
      <w:r w:rsidRPr="00CE23AE">
        <w:rPr>
          <w:spacing w:val="-3"/>
          <w:lang w:val="en-US"/>
        </w:rPr>
        <w:t>in accordance with their constitutional processes and the provisions of th</w:t>
      </w:r>
      <w:r w:rsidR="007E4054" w:rsidRPr="00CE23AE">
        <w:rPr>
          <w:spacing w:val="-3"/>
          <w:lang w:val="en-US"/>
        </w:rPr>
        <w:t>e</w:t>
      </w:r>
      <w:r w:rsidRPr="00CE23AE">
        <w:rPr>
          <w:spacing w:val="-3"/>
          <w:lang w:val="en-US"/>
        </w:rPr>
        <w:t xml:space="preserve"> Convention, such legislative or other measures as may be necessary to give effect to the rights or freedoms protected by </w:t>
      </w:r>
      <w:r w:rsidR="00C561DF" w:rsidRPr="00CE23AE">
        <w:rPr>
          <w:lang w:val="en-US"/>
        </w:rPr>
        <w:t>the Convention</w:t>
      </w:r>
      <w:r w:rsidRPr="00CE23AE">
        <w:rPr>
          <w:lang w:val="en-US"/>
        </w:rPr>
        <w:t>.</w:t>
      </w:r>
      <w:r w:rsidR="00005015" w:rsidRPr="00CE23AE">
        <w:rPr>
          <w:vertAlign w:val="superscript"/>
          <w:lang w:val="en-US"/>
        </w:rPr>
        <w:footnoteReference w:id="210"/>
      </w:r>
      <w:r w:rsidR="00005015" w:rsidRPr="00CE23AE">
        <w:rPr>
          <w:lang w:val="en-US"/>
        </w:rPr>
        <w:t xml:space="preserve"> </w:t>
      </w:r>
      <w:r w:rsidR="00C561DF" w:rsidRPr="00CE23AE">
        <w:rPr>
          <w:lang w:val="en-US"/>
        </w:rPr>
        <w:t>The Court</w:t>
      </w:r>
      <w:r w:rsidR="00005015" w:rsidRPr="00CE23AE">
        <w:rPr>
          <w:lang w:val="en-US"/>
        </w:rPr>
        <w:t xml:space="preserve"> t</w:t>
      </w:r>
      <w:r w:rsidRPr="00CE23AE">
        <w:rPr>
          <w:lang w:val="en-US"/>
        </w:rPr>
        <w:t xml:space="preserve">akes note that, on December 15, 2008, </w:t>
      </w:r>
      <w:r w:rsidR="00005015" w:rsidRPr="00CE23AE">
        <w:rPr>
          <w:lang w:val="en-US"/>
        </w:rPr>
        <w:t xml:space="preserve">Ecuador </w:t>
      </w:r>
      <w:r w:rsidR="00871A42" w:rsidRPr="00CE23AE">
        <w:rPr>
          <w:lang w:val="en-US"/>
        </w:rPr>
        <w:t>adopted new</w:t>
      </w:r>
      <w:r w:rsidR="00005015" w:rsidRPr="00CE23AE">
        <w:rPr>
          <w:lang w:val="en-US"/>
        </w:rPr>
        <w:t xml:space="preserve"> </w:t>
      </w:r>
      <w:r w:rsidR="00AC18A9" w:rsidRPr="00CE23AE">
        <w:rPr>
          <w:lang w:val="en-US"/>
        </w:rPr>
        <w:t>Military Discipline Regulations</w:t>
      </w:r>
      <w:r w:rsidR="00005015" w:rsidRPr="00CE23AE">
        <w:rPr>
          <w:lang w:val="en-US"/>
        </w:rPr>
        <w:t xml:space="preserve"> </w:t>
      </w:r>
      <w:r w:rsidR="00871A42" w:rsidRPr="00CE23AE">
        <w:rPr>
          <w:lang w:val="en-US"/>
        </w:rPr>
        <w:t>that eliminated the distinction between homosexual and non-homosexual sexual relations.</w:t>
      </w:r>
      <w:r w:rsidR="00005015" w:rsidRPr="00CE23AE">
        <w:rPr>
          <w:rStyle w:val="Refdenotaalpie"/>
          <w:lang w:val="en-US"/>
        </w:rPr>
        <w:footnoteReference w:id="211"/>
      </w:r>
      <w:r w:rsidR="00871A42" w:rsidRPr="00CE23AE">
        <w:rPr>
          <w:lang w:val="en-US"/>
        </w:rPr>
        <w:t xml:space="preserve"> However, it also notes that, at the time of the facts, the 1998</w:t>
      </w:r>
      <w:r w:rsidR="00005015" w:rsidRPr="00CE23AE">
        <w:rPr>
          <w:lang w:val="en-US"/>
        </w:rPr>
        <w:t xml:space="preserve"> </w:t>
      </w:r>
      <w:r w:rsidR="009C5D46" w:rsidRPr="00CE23AE">
        <w:rPr>
          <w:lang w:val="en-US"/>
        </w:rPr>
        <w:t>Military Discipline Regulations</w:t>
      </w:r>
      <w:r w:rsidR="00005015" w:rsidRPr="00CE23AE">
        <w:rPr>
          <w:lang w:val="en-US"/>
        </w:rPr>
        <w:t xml:space="preserve"> </w:t>
      </w:r>
      <w:r w:rsidR="00871A42" w:rsidRPr="00CE23AE">
        <w:rPr>
          <w:lang w:val="en-US"/>
        </w:rPr>
        <w:t>were in force. It was these regulations that were applied to</w:t>
      </w:r>
      <w:r w:rsidR="00005015" w:rsidRPr="00CE23AE">
        <w:rPr>
          <w:lang w:val="en-US"/>
        </w:rPr>
        <w:t xml:space="preserve"> </w:t>
      </w:r>
      <w:r w:rsidR="008B76F3" w:rsidRPr="00CE23AE">
        <w:rPr>
          <w:lang w:val="en-US"/>
        </w:rPr>
        <w:t>Mr.</w:t>
      </w:r>
      <w:r w:rsidR="00005015" w:rsidRPr="00CE23AE">
        <w:rPr>
          <w:lang w:val="en-US"/>
        </w:rPr>
        <w:t xml:space="preserve"> Flor Freire</w:t>
      </w:r>
      <w:r w:rsidR="00C561DF" w:rsidRPr="00CE23AE">
        <w:rPr>
          <w:lang w:val="en-US"/>
        </w:rPr>
        <w:t xml:space="preserve"> and </w:t>
      </w:r>
      <w:r w:rsidR="00871A42" w:rsidRPr="00CE23AE">
        <w:rPr>
          <w:lang w:val="en-US"/>
        </w:rPr>
        <w:t xml:space="preserve">they established this distinction, as analyzed above. Even though </w:t>
      </w:r>
      <w:r w:rsidR="007E4054" w:rsidRPr="00CE23AE">
        <w:rPr>
          <w:lang w:val="en-US"/>
        </w:rPr>
        <w:t>it</w:t>
      </w:r>
      <w:r w:rsidR="00871A42" w:rsidRPr="00CE23AE">
        <w:rPr>
          <w:lang w:val="en-US"/>
        </w:rPr>
        <w:t xml:space="preserve"> appreciates the changes that Ecuador has made to these regulations, it considers that it is not incumbent on the Court to analyze the law introduced subsequently when determining the </w:t>
      </w:r>
      <w:r w:rsidR="00000AE1" w:rsidRPr="00CE23AE">
        <w:rPr>
          <w:lang w:val="en-US"/>
        </w:rPr>
        <w:t>international responsibility</w:t>
      </w:r>
      <w:r w:rsidR="00C561DF" w:rsidRPr="00CE23AE">
        <w:rPr>
          <w:lang w:val="en-US"/>
        </w:rPr>
        <w:t xml:space="preserve"> of the State</w:t>
      </w:r>
      <w:r w:rsidR="00005015" w:rsidRPr="00CE23AE">
        <w:rPr>
          <w:lang w:val="en-US"/>
        </w:rPr>
        <w:t xml:space="preserve"> </w:t>
      </w:r>
      <w:r w:rsidR="00871A42" w:rsidRPr="00CE23AE">
        <w:rPr>
          <w:lang w:val="en-US"/>
        </w:rPr>
        <w:t xml:space="preserve">in this case, because this change did not </w:t>
      </w:r>
      <w:r w:rsidR="00871A42" w:rsidRPr="00CE23AE">
        <w:rPr>
          <w:lang w:val="en-US"/>
        </w:rPr>
        <w:lastRenderedPageBreak/>
        <w:t xml:space="preserve">affect the specific case </w:t>
      </w:r>
      <w:r w:rsidR="00000AE1" w:rsidRPr="00CE23AE">
        <w:rPr>
          <w:lang w:val="en-US"/>
        </w:rPr>
        <w:t>of Mr.</w:t>
      </w:r>
      <w:r w:rsidR="00F5102B" w:rsidRPr="00CE23AE">
        <w:rPr>
          <w:lang w:val="en-US"/>
        </w:rPr>
        <w:t xml:space="preserve"> Flor</w:t>
      </w:r>
      <w:r w:rsidR="00005015" w:rsidRPr="00CE23AE">
        <w:rPr>
          <w:lang w:val="en-US"/>
        </w:rPr>
        <w:t xml:space="preserve"> Freire. </w:t>
      </w:r>
      <w:r w:rsidR="00871A42" w:rsidRPr="00CE23AE">
        <w:rPr>
          <w:lang w:val="en-US"/>
        </w:rPr>
        <w:t xml:space="preserve">Given that the discriminatory treatment in this case occurred as a result of the application </w:t>
      </w:r>
      <w:r w:rsidR="00996128" w:rsidRPr="00CE23AE">
        <w:rPr>
          <w:lang w:val="en-US"/>
        </w:rPr>
        <w:t xml:space="preserve">of </w:t>
      </w:r>
      <w:r w:rsidR="00871A42" w:rsidRPr="00CE23AE">
        <w:rPr>
          <w:lang w:val="en-US"/>
        </w:rPr>
        <w:t>a</w:t>
      </w:r>
      <w:r w:rsidR="00996128" w:rsidRPr="00CE23AE">
        <w:rPr>
          <w:lang w:val="en-US"/>
        </w:rPr>
        <w:t>rticle</w:t>
      </w:r>
      <w:r w:rsidR="00005015" w:rsidRPr="00CE23AE">
        <w:rPr>
          <w:lang w:val="en-US"/>
        </w:rPr>
        <w:t xml:space="preserve"> 117</w:t>
      </w:r>
      <w:r w:rsidR="00C561DF" w:rsidRPr="00CE23AE">
        <w:rPr>
          <w:lang w:val="en-US"/>
        </w:rPr>
        <w:t xml:space="preserve"> of the </w:t>
      </w:r>
      <w:r w:rsidR="00871A42" w:rsidRPr="00CE23AE">
        <w:rPr>
          <w:lang w:val="en-US"/>
        </w:rPr>
        <w:t xml:space="preserve">1998 </w:t>
      </w:r>
      <w:r w:rsidR="009C5D46" w:rsidRPr="00CE23AE">
        <w:rPr>
          <w:lang w:val="en-US"/>
        </w:rPr>
        <w:t>Military Discipline Regulations</w:t>
      </w:r>
      <w:r w:rsidR="00005015" w:rsidRPr="00CE23AE">
        <w:rPr>
          <w:lang w:val="en-US"/>
        </w:rPr>
        <w:t xml:space="preserve">, </w:t>
      </w:r>
      <w:r w:rsidR="00871A42" w:rsidRPr="00CE23AE">
        <w:rPr>
          <w:lang w:val="en-US"/>
        </w:rPr>
        <w:t xml:space="preserve">in force at the time of the facts, the Court finds that the State also failed to comply with its obligation to adapt its legislation to ensure equality before the law. </w:t>
      </w:r>
      <w:bookmarkEnd w:id="350"/>
    </w:p>
    <w:p w14:paraId="6B6801E5" w14:textId="77777777" w:rsidR="00005015" w:rsidRPr="00CE23AE" w:rsidRDefault="00005015" w:rsidP="00005015">
      <w:pPr>
        <w:pStyle w:val="PrrafodeSentencia"/>
        <w:numPr>
          <w:ilvl w:val="0"/>
          <w:numId w:val="0"/>
        </w:numPr>
        <w:rPr>
          <w:color w:val="00B050"/>
          <w:lang w:val="en-US"/>
        </w:rPr>
      </w:pPr>
    </w:p>
    <w:p w14:paraId="101DAE53" w14:textId="78745047" w:rsidR="00005015" w:rsidRPr="00CE23AE" w:rsidRDefault="00005015" w:rsidP="00005015">
      <w:pPr>
        <w:pStyle w:val="Ttulo3"/>
        <w:rPr>
          <w:lang w:val="en-US"/>
        </w:rPr>
      </w:pPr>
      <w:bookmarkStart w:id="351" w:name="_Toc460398545"/>
      <w:bookmarkStart w:id="352" w:name="_Toc460398714"/>
      <w:bookmarkStart w:id="353" w:name="_Toc464474998"/>
      <w:bookmarkStart w:id="354" w:name="_Toc46388385"/>
      <w:r w:rsidRPr="00CE23AE">
        <w:rPr>
          <w:lang w:val="en-US"/>
        </w:rPr>
        <w:t xml:space="preserve">B.3 </w:t>
      </w:r>
      <w:r w:rsidR="00F74B6F" w:rsidRPr="00CE23AE">
        <w:rPr>
          <w:lang w:val="en-US"/>
        </w:rPr>
        <w:t>Conclusion</w:t>
      </w:r>
      <w:bookmarkEnd w:id="351"/>
      <w:bookmarkEnd w:id="352"/>
      <w:bookmarkEnd w:id="353"/>
      <w:bookmarkEnd w:id="354"/>
    </w:p>
    <w:p w14:paraId="5DB55608" w14:textId="77777777" w:rsidR="00005015" w:rsidRPr="00CE23AE" w:rsidRDefault="00005015" w:rsidP="00005015">
      <w:pPr>
        <w:pStyle w:val="PrrafodeSentencia"/>
        <w:numPr>
          <w:ilvl w:val="0"/>
          <w:numId w:val="0"/>
        </w:numPr>
        <w:rPr>
          <w:lang w:val="en-US"/>
        </w:rPr>
      </w:pPr>
    </w:p>
    <w:p w14:paraId="38F84453" w14:textId="2BFCBB78" w:rsidR="005F3480" w:rsidRPr="00CE23AE" w:rsidRDefault="000056E4" w:rsidP="000056E4">
      <w:pPr>
        <w:pStyle w:val="PrrafodeSentencia"/>
        <w:rPr>
          <w:lang w:val="en-US"/>
        </w:rPr>
      </w:pPr>
      <w:bookmarkStart w:id="355" w:name="_Ref453868596"/>
      <w:r w:rsidRPr="00CE23AE">
        <w:rPr>
          <w:lang w:val="en-US"/>
        </w:rPr>
        <w:t xml:space="preserve">Based on the above, the Court concludes that the application to </w:t>
      </w:r>
      <w:r w:rsidR="008B76F3" w:rsidRPr="00CE23AE">
        <w:rPr>
          <w:lang w:val="en-US"/>
        </w:rPr>
        <w:t>Mr.</w:t>
      </w:r>
      <w:r w:rsidR="00005015" w:rsidRPr="00CE23AE">
        <w:rPr>
          <w:lang w:val="en-US"/>
        </w:rPr>
        <w:t xml:space="preserve"> Flor Freire </w:t>
      </w:r>
      <w:r w:rsidR="00996128" w:rsidRPr="00CE23AE">
        <w:rPr>
          <w:lang w:val="en-US"/>
        </w:rPr>
        <w:t xml:space="preserve">of </w:t>
      </w:r>
      <w:r w:rsidRPr="00CE23AE">
        <w:rPr>
          <w:lang w:val="en-US"/>
        </w:rPr>
        <w:t>a</w:t>
      </w:r>
      <w:r w:rsidR="00996128" w:rsidRPr="00CE23AE">
        <w:rPr>
          <w:lang w:val="en-US"/>
        </w:rPr>
        <w:t>rticle</w:t>
      </w:r>
      <w:r w:rsidR="00005015" w:rsidRPr="00CE23AE">
        <w:rPr>
          <w:lang w:val="en-US"/>
        </w:rPr>
        <w:t xml:space="preserve"> 117</w:t>
      </w:r>
      <w:r w:rsidR="00C561DF" w:rsidRPr="00CE23AE">
        <w:rPr>
          <w:lang w:val="en-US"/>
        </w:rPr>
        <w:t xml:space="preserve"> of the </w:t>
      </w:r>
      <w:r w:rsidR="009C5D46" w:rsidRPr="00CE23AE">
        <w:rPr>
          <w:lang w:val="en-US"/>
        </w:rPr>
        <w:t>Military Discipline Regulations</w:t>
      </w:r>
      <w:r w:rsidR="00005015" w:rsidRPr="00CE23AE">
        <w:rPr>
          <w:lang w:val="en-US"/>
        </w:rPr>
        <w:t xml:space="preserve"> </w:t>
      </w:r>
      <w:r w:rsidRPr="00CE23AE">
        <w:rPr>
          <w:lang w:val="en-US"/>
        </w:rPr>
        <w:t>that penalized “acts of homosexuality” in the most severe manner</w:t>
      </w:r>
      <w:r w:rsidR="007E4054" w:rsidRPr="00CE23AE">
        <w:rPr>
          <w:lang w:val="en-US"/>
        </w:rPr>
        <w:t xml:space="preserve"> </w:t>
      </w:r>
      <w:r w:rsidRPr="00CE23AE">
        <w:rPr>
          <w:lang w:val="en-US"/>
        </w:rPr>
        <w:t xml:space="preserve">constituted a discriminatory act. Therefore, the State is responsible for the violation of the right to equality before the law and the prohibition of discrimination recognized in </w:t>
      </w:r>
      <w:r w:rsidR="00C561DF" w:rsidRPr="00CE23AE">
        <w:rPr>
          <w:lang w:val="en-US"/>
        </w:rPr>
        <w:t>Article</w:t>
      </w:r>
      <w:r w:rsidR="00005015" w:rsidRPr="00CE23AE">
        <w:rPr>
          <w:lang w:val="en-US"/>
        </w:rPr>
        <w:t xml:space="preserve"> 24</w:t>
      </w:r>
      <w:r w:rsidR="00C561DF" w:rsidRPr="00CE23AE">
        <w:rPr>
          <w:lang w:val="en-US"/>
        </w:rPr>
        <w:t xml:space="preserve"> of the Convention</w:t>
      </w:r>
      <w:r w:rsidR="00005015" w:rsidRPr="00CE23AE">
        <w:rPr>
          <w:lang w:val="en-US"/>
        </w:rPr>
        <w:t xml:space="preserve">, </w:t>
      </w:r>
      <w:r w:rsidR="00871A42" w:rsidRPr="00CE23AE">
        <w:rPr>
          <w:lang w:val="en-US"/>
        </w:rPr>
        <w:t>in relation to</w:t>
      </w:r>
      <w:r w:rsidR="00005015" w:rsidRPr="00CE23AE">
        <w:rPr>
          <w:lang w:val="en-US"/>
        </w:rPr>
        <w:t xml:space="preserve"> </w:t>
      </w:r>
      <w:r w:rsidR="00C561DF" w:rsidRPr="00CE23AE">
        <w:rPr>
          <w:lang w:val="en-US"/>
        </w:rPr>
        <w:t xml:space="preserve">Articles 1(1) and </w:t>
      </w:r>
      <w:r w:rsidR="00005015" w:rsidRPr="00CE23AE">
        <w:rPr>
          <w:lang w:val="en-US"/>
        </w:rPr>
        <w:t>2</w:t>
      </w:r>
      <w:r w:rsidR="00C561DF" w:rsidRPr="00CE23AE">
        <w:rPr>
          <w:lang w:val="en-US"/>
        </w:rPr>
        <w:t xml:space="preserve"> of </w:t>
      </w:r>
      <w:r w:rsidRPr="00CE23AE">
        <w:rPr>
          <w:lang w:val="en-US"/>
        </w:rPr>
        <w:t>this instrument</w:t>
      </w:r>
      <w:r w:rsidR="00005015" w:rsidRPr="00CE23AE">
        <w:rPr>
          <w:lang w:val="en-US"/>
        </w:rPr>
        <w:t xml:space="preserve">, </w:t>
      </w:r>
      <w:r w:rsidR="00C561DF" w:rsidRPr="00CE23AE">
        <w:rPr>
          <w:lang w:val="en-US"/>
        </w:rPr>
        <w:t>to the detriment of</w:t>
      </w:r>
      <w:r w:rsidR="00005015" w:rsidRPr="00CE23AE">
        <w:rPr>
          <w:lang w:val="en-US"/>
        </w:rPr>
        <w:t xml:space="preserve"> </w:t>
      </w:r>
      <w:r w:rsidR="00CF3E39" w:rsidRPr="00CE23AE">
        <w:rPr>
          <w:lang w:val="en-US"/>
        </w:rPr>
        <w:t>Mr. Flor</w:t>
      </w:r>
      <w:r w:rsidR="00005015" w:rsidRPr="00CE23AE">
        <w:rPr>
          <w:lang w:val="en-US"/>
        </w:rPr>
        <w:t xml:space="preserve"> Freire</w:t>
      </w:r>
      <w:r w:rsidR="00FC085C" w:rsidRPr="00CE23AE">
        <w:rPr>
          <w:lang w:val="en-US"/>
        </w:rPr>
        <w:t>,</w:t>
      </w:r>
      <w:r w:rsidR="00005015" w:rsidRPr="00CE23AE">
        <w:rPr>
          <w:lang w:val="en-US"/>
        </w:rPr>
        <w:t xml:space="preserve"> </w:t>
      </w:r>
      <w:r w:rsidRPr="00CE23AE">
        <w:rPr>
          <w:lang w:val="en-US"/>
        </w:rPr>
        <w:t xml:space="preserve">owing to the discrimination suffered based on perceived </w:t>
      </w:r>
      <w:r w:rsidR="00D5223B" w:rsidRPr="00CE23AE">
        <w:rPr>
          <w:lang w:val="en-US"/>
        </w:rPr>
        <w:t>sexual orientation</w:t>
      </w:r>
      <w:r w:rsidR="00005015" w:rsidRPr="00CE23AE">
        <w:rPr>
          <w:lang w:val="en-US"/>
        </w:rPr>
        <w:t>.</w:t>
      </w:r>
      <w:bookmarkEnd w:id="355"/>
      <w:r w:rsidR="00005015" w:rsidRPr="00CE23AE">
        <w:rPr>
          <w:lang w:val="en-US"/>
        </w:rPr>
        <w:t xml:space="preserve"> </w:t>
      </w:r>
      <w:r w:rsidR="0085145F" w:rsidRPr="00CE23AE">
        <w:rPr>
          <w:lang w:val="en-US"/>
        </w:rPr>
        <w:t xml:space="preserve"> </w:t>
      </w:r>
    </w:p>
    <w:p w14:paraId="2761FE98" w14:textId="77777777" w:rsidR="0085145F" w:rsidRPr="00CE23AE" w:rsidRDefault="0085145F" w:rsidP="0085145F">
      <w:pPr>
        <w:pStyle w:val="PrrafodeSentencia"/>
        <w:numPr>
          <w:ilvl w:val="0"/>
          <w:numId w:val="0"/>
        </w:numPr>
        <w:rPr>
          <w:color w:val="4F81BD" w:themeColor="accent1"/>
          <w:lang w:val="en-US"/>
        </w:rPr>
      </w:pPr>
    </w:p>
    <w:p w14:paraId="7570C9E8" w14:textId="761BF64B" w:rsidR="008C2572" w:rsidRPr="00CE23AE" w:rsidRDefault="007172E6" w:rsidP="008C2572">
      <w:pPr>
        <w:pStyle w:val="Ttulo1"/>
        <w:rPr>
          <w:lang w:val="en-US"/>
        </w:rPr>
      </w:pPr>
      <w:bookmarkStart w:id="356" w:name="_Toc464474999"/>
      <w:bookmarkStart w:id="357" w:name="_Toc46388386"/>
      <w:bookmarkStart w:id="358" w:name="_Toc453874342"/>
      <w:bookmarkStart w:id="359" w:name="_Toc454891503"/>
      <w:bookmarkStart w:id="360" w:name="_Toc457840606"/>
      <w:r w:rsidRPr="00CE23AE">
        <w:rPr>
          <w:lang w:val="en-US"/>
        </w:rPr>
        <w:t>VIII-2</w:t>
      </w:r>
      <w:bookmarkEnd w:id="356"/>
      <w:bookmarkEnd w:id="357"/>
      <w:r w:rsidRPr="00CE23AE">
        <w:rPr>
          <w:lang w:val="en-US"/>
        </w:rPr>
        <w:t xml:space="preserve"> </w:t>
      </w:r>
      <w:bookmarkEnd w:id="358"/>
      <w:bookmarkEnd w:id="359"/>
      <w:bookmarkEnd w:id="360"/>
    </w:p>
    <w:p w14:paraId="02FECE6F" w14:textId="5E5F102A" w:rsidR="008C2572" w:rsidRPr="00CE23AE" w:rsidRDefault="00AC18A9" w:rsidP="008C2572">
      <w:pPr>
        <w:pStyle w:val="Ttulo1"/>
        <w:rPr>
          <w:lang w:val="en-US"/>
        </w:rPr>
      </w:pPr>
      <w:bookmarkStart w:id="361" w:name="_Toc453874343"/>
      <w:bookmarkStart w:id="362" w:name="_Toc453874613"/>
      <w:bookmarkStart w:id="363" w:name="_Toc454891504"/>
      <w:bookmarkStart w:id="364" w:name="_Toc454891581"/>
      <w:bookmarkStart w:id="365" w:name="_Toc455439044"/>
      <w:bookmarkStart w:id="366" w:name="_Toc457840607"/>
      <w:bookmarkStart w:id="367" w:name="_Toc457844732"/>
      <w:bookmarkStart w:id="368" w:name="_Toc460398716"/>
      <w:bookmarkStart w:id="369" w:name="_Toc464475000"/>
      <w:bookmarkStart w:id="370" w:name="_Toc464475100"/>
      <w:bookmarkStart w:id="371" w:name="_Toc464479750"/>
      <w:bookmarkStart w:id="372" w:name="_Toc46388387"/>
      <w:r w:rsidRPr="00CE23AE">
        <w:rPr>
          <w:lang w:val="en-US"/>
        </w:rPr>
        <w:t>PRINCIPLE OF LEGALITY AND PROTECTION OF HONOR AND DIGNITY</w:t>
      </w:r>
      <w:r w:rsidR="008C2572" w:rsidRPr="00CE23AE">
        <w:rPr>
          <w:lang w:val="en-US"/>
        </w:rPr>
        <w:t xml:space="preserve">, </w:t>
      </w:r>
      <w:r w:rsidRPr="00CE23AE">
        <w:rPr>
          <w:lang w:val="en-US"/>
        </w:rPr>
        <w:t>IN RELATION TO THE OBLIGATION TO RESPECT AND TO ENSURE RIGHTS</w:t>
      </w:r>
      <w:bookmarkEnd w:id="361"/>
      <w:bookmarkEnd w:id="362"/>
      <w:bookmarkEnd w:id="363"/>
      <w:bookmarkEnd w:id="364"/>
      <w:bookmarkEnd w:id="365"/>
      <w:bookmarkEnd w:id="366"/>
      <w:bookmarkEnd w:id="367"/>
      <w:bookmarkEnd w:id="368"/>
      <w:bookmarkEnd w:id="369"/>
      <w:bookmarkEnd w:id="370"/>
      <w:bookmarkEnd w:id="371"/>
      <w:bookmarkEnd w:id="372"/>
      <w:r w:rsidR="008C2572" w:rsidRPr="00CE23AE">
        <w:rPr>
          <w:lang w:val="en-US"/>
        </w:rPr>
        <w:t xml:space="preserve"> </w:t>
      </w:r>
    </w:p>
    <w:p w14:paraId="04422343" w14:textId="77777777" w:rsidR="008C2572" w:rsidRPr="00CE23AE" w:rsidRDefault="008C2572" w:rsidP="008C2572">
      <w:pPr>
        <w:suppressAutoHyphens/>
        <w:spacing w:line="240" w:lineRule="auto"/>
        <w:contextualSpacing/>
        <w:rPr>
          <w:szCs w:val="20"/>
          <w:lang w:val="en-US"/>
        </w:rPr>
      </w:pPr>
    </w:p>
    <w:p w14:paraId="5FFB2185" w14:textId="4775BEBC" w:rsidR="00CA52FC" w:rsidRPr="00CE23AE" w:rsidRDefault="00AC18A9" w:rsidP="00CA52FC">
      <w:pPr>
        <w:pStyle w:val="PrrafodeSentencia"/>
        <w:rPr>
          <w:lang w:val="en-US"/>
        </w:rPr>
      </w:pPr>
      <w:r w:rsidRPr="00CE23AE">
        <w:rPr>
          <w:lang w:val="en-US"/>
        </w:rPr>
        <w:t>In this chapter,</w:t>
      </w:r>
      <w:r w:rsidR="00CA52FC" w:rsidRPr="00CE23AE">
        <w:rPr>
          <w:lang w:val="en-US"/>
        </w:rPr>
        <w:t xml:space="preserve"> </w:t>
      </w:r>
      <w:r w:rsidR="00C561DF" w:rsidRPr="00CE23AE">
        <w:rPr>
          <w:lang w:val="en-US"/>
        </w:rPr>
        <w:t>the Court</w:t>
      </w:r>
      <w:r w:rsidR="00CA52FC" w:rsidRPr="00CE23AE">
        <w:rPr>
          <w:lang w:val="en-US"/>
        </w:rPr>
        <w:t xml:space="preserve"> </w:t>
      </w:r>
      <w:r w:rsidRPr="00CE23AE">
        <w:rPr>
          <w:lang w:val="en-US"/>
        </w:rPr>
        <w:t xml:space="preserve">will examine the violations alleged by the </w:t>
      </w:r>
      <w:r w:rsidR="00C561DF" w:rsidRPr="00CE23AE">
        <w:rPr>
          <w:lang w:val="en-US"/>
        </w:rPr>
        <w:t>representative</w:t>
      </w:r>
      <w:r w:rsidR="00CA52FC" w:rsidRPr="00CE23AE">
        <w:rPr>
          <w:lang w:val="en-US"/>
        </w:rPr>
        <w:t xml:space="preserve"> </w:t>
      </w:r>
      <w:r w:rsidRPr="00CE23AE">
        <w:rPr>
          <w:lang w:val="en-US"/>
        </w:rPr>
        <w:t>in relation to the principle of legality</w:t>
      </w:r>
      <w:r w:rsidR="00CA52FC" w:rsidRPr="00CE23AE">
        <w:rPr>
          <w:rStyle w:val="Refdenotaalpie"/>
          <w:lang w:val="en-US"/>
        </w:rPr>
        <w:footnoteReference w:id="212"/>
      </w:r>
      <w:r w:rsidR="00C561DF" w:rsidRPr="00CE23AE">
        <w:rPr>
          <w:lang w:val="en-US"/>
        </w:rPr>
        <w:t xml:space="preserve"> and </w:t>
      </w:r>
      <w:r w:rsidRPr="00CE23AE">
        <w:rPr>
          <w:lang w:val="en-US"/>
        </w:rPr>
        <w:t>the protection of honor and dignity,</w:t>
      </w:r>
      <w:r w:rsidR="00CA52FC" w:rsidRPr="00CE23AE">
        <w:rPr>
          <w:rStyle w:val="Refdenotaalpie"/>
          <w:rFonts w:eastAsia="Times New Roman"/>
          <w:lang w:val="en-US" w:eastAsia="es-CR"/>
        </w:rPr>
        <w:footnoteReference w:id="213"/>
      </w:r>
      <w:r w:rsidRPr="00CE23AE">
        <w:rPr>
          <w:lang w:val="en-US"/>
        </w:rPr>
        <w:t xml:space="preserve"> as well as the</w:t>
      </w:r>
      <w:r w:rsidR="00CA52FC" w:rsidRPr="00CE23AE">
        <w:rPr>
          <w:lang w:val="en-US"/>
        </w:rPr>
        <w:t xml:space="preserve"> </w:t>
      </w:r>
      <w:r w:rsidR="00C50413" w:rsidRPr="00CE23AE">
        <w:rPr>
          <w:lang w:val="en-US"/>
        </w:rPr>
        <w:t>a</w:t>
      </w:r>
      <w:r w:rsidRPr="00CE23AE">
        <w:rPr>
          <w:lang w:val="en-US"/>
        </w:rPr>
        <w:t>rguments</w:t>
      </w:r>
      <w:r w:rsidR="00C561DF" w:rsidRPr="00CE23AE">
        <w:rPr>
          <w:lang w:val="en-US"/>
        </w:rPr>
        <w:t xml:space="preserve"> of the State and the Commission</w:t>
      </w:r>
      <w:r w:rsidR="00CA52FC" w:rsidRPr="00CE23AE">
        <w:rPr>
          <w:lang w:val="en-US"/>
        </w:rPr>
        <w:t xml:space="preserve"> </w:t>
      </w:r>
      <w:r w:rsidRPr="00CE23AE">
        <w:rPr>
          <w:lang w:val="en-US"/>
        </w:rPr>
        <w:t>in this regard</w:t>
      </w:r>
      <w:r w:rsidR="00CA52FC" w:rsidRPr="00CE23AE">
        <w:rPr>
          <w:lang w:val="en-US"/>
        </w:rPr>
        <w:t>.</w:t>
      </w:r>
    </w:p>
    <w:p w14:paraId="1BB7394B" w14:textId="77777777" w:rsidR="008C2572" w:rsidRPr="00CE23AE" w:rsidRDefault="008C2572" w:rsidP="008C2572">
      <w:pPr>
        <w:suppressAutoHyphens/>
        <w:spacing w:line="240" w:lineRule="auto"/>
        <w:contextualSpacing/>
        <w:rPr>
          <w:szCs w:val="20"/>
          <w:lang w:val="en-US"/>
        </w:rPr>
      </w:pPr>
    </w:p>
    <w:p w14:paraId="5F1DA3EC" w14:textId="317739AD" w:rsidR="009009F9" w:rsidRPr="00CE23AE" w:rsidRDefault="009009F9" w:rsidP="0064320A">
      <w:pPr>
        <w:pStyle w:val="Ttulo2"/>
        <w:numPr>
          <w:ilvl w:val="0"/>
          <w:numId w:val="12"/>
        </w:numPr>
        <w:ind w:left="1134"/>
        <w:rPr>
          <w:lang w:val="en-US"/>
        </w:rPr>
      </w:pPr>
      <w:bookmarkStart w:id="373" w:name="_Toc453874344"/>
      <w:bookmarkStart w:id="374" w:name="_Toc454891505"/>
      <w:r w:rsidRPr="00CE23AE">
        <w:rPr>
          <w:lang w:val="en-US"/>
        </w:rPr>
        <w:t xml:space="preserve"> </w:t>
      </w:r>
      <w:bookmarkStart w:id="375" w:name="_Toc457840608"/>
      <w:bookmarkStart w:id="376" w:name="_Toc464475001"/>
      <w:bookmarkStart w:id="377" w:name="_Toc46388388"/>
      <w:r w:rsidR="00AC18A9" w:rsidRPr="00CE23AE">
        <w:rPr>
          <w:lang w:val="en-US"/>
        </w:rPr>
        <w:t>Alleged violation of the principle of legality</w:t>
      </w:r>
      <w:bookmarkStart w:id="378" w:name="_Toc453874347"/>
      <w:bookmarkStart w:id="379" w:name="_Toc454891508"/>
      <w:bookmarkEnd w:id="373"/>
      <w:bookmarkEnd w:id="374"/>
      <w:bookmarkEnd w:id="375"/>
      <w:bookmarkEnd w:id="376"/>
      <w:bookmarkEnd w:id="377"/>
    </w:p>
    <w:p w14:paraId="0F267EFC" w14:textId="77777777" w:rsidR="009009F9" w:rsidRPr="00CE23AE" w:rsidRDefault="009009F9" w:rsidP="009009F9">
      <w:pPr>
        <w:rPr>
          <w:lang w:val="en-US" w:eastAsia="es-MX"/>
        </w:rPr>
      </w:pPr>
    </w:p>
    <w:p w14:paraId="52E252C0" w14:textId="429F7829" w:rsidR="009009F9" w:rsidRPr="00CE23AE" w:rsidRDefault="009009F9" w:rsidP="009009F9">
      <w:pPr>
        <w:pStyle w:val="Ttulo3"/>
        <w:rPr>
          <w:lang w:val="en-US"/>
        </w:rPr>
      </w:pPr>
      <w:bookmarkStart w:id="380" w:name="_Toc453874345"/>
      <w:bookmarkStart w:id="381" w:name="_Toc454891506"/>
      <w:bookmarkStart w:id="382" w:name="_Toc457840609"/>
      <w:bookmarkStart w:id="383" w:name="_Toc460398546"/>
      <w:bookmarkStart w:id="384" w:name="_Toc464475002"/>
      <w:bookmarkStart w:id="385" w:name="_Toc46388389"/>
      <w:r w:rsidRPr="00CE23AE">
        <w:rPr>
          <w:lang w:val="en-US"/>
        </w:rPr>
        <w:t xml:space="preserve">A.1 </w:t>
      </w:r>
      <w:r w:rsidR="00E10780" w:rsidRPr="00CE23AE">
        <w:rPr>
          <w:lang w:val="en-US"/>
        </w:rPr>
        <w:t>Arguments of the parties</w:t>
      </w:r>
      <w:r w:rsidR="00C561DF" w:rsidRPr="00CE23AE">
        <w:rPr>
          <w:lang w:val="en-US"/>
        </w:rPr>
        <w:t xml:space="preserve"> and of the Commission</w:t>
      </w:r>
      <w:bookmarkEnd w:id="380"/>
      <w:bookmarkEnd w:id="381"/>
      <w:bookmarkEnd w:id="382"/>
      <w:bookmarkEnd w:id="383"/>
      <w:bookmarkEnd w:id="384"/>
      <w:bookmarkEnd w:id="385"/>
    </w:p>
    <w:p w14:paraId="4F8D7B59" w14:textId="77777777" w:rsidR="009009F9" w:rsidRPr="00CE23AE" w:rsidRDefault="009009F9" w:rsidP="009009F9">
      <w:pPr>
        <w:pStyle w:val="PrrafodeSentencia"/>
        <w:numPr>
          <w:ilvl w:val="0"/>
          <w:numId w:val="0"/>
        </w:numPr>
        <w:rPr>
          <w:lang w:val="en-US"/>
        </w:rPr>
      </w:pPr>
    </w:p>
    <w:p w14:paraId="01C1D8E2" w14:textId="18077858" w:rsidR="009009F9" w:rsidRPr="00CE23AE" w:rsidRDefault="00C561DF" w:rsidP="00871A42">
      <w:pPr>
        <w:widowControl/>
        <w:numPr>
          <w:ilvl w:val="0"/>
          <w:numId w:val="6"/>
        </w:numPr>
        <w:tabs>
          <w:tab w:val="num" w:pos="709"/>
        </w:tabs>
        <w:suppressAutoHyphens/>
        <w:adjustRightInd/>
        <w:spacing w:line="240" w:lineRule="auto"/>
        <w:contextualSpacing/>
        <w:textAlignment w:val="auto"/>
        <w:rPr>
          <w:szCs w:val="20"/>
          <w:lang w:val="en-US"/>
        </w:rPr>
      </w:pPr>
      <w:r w:rsidRPr="00CE23AE">
        <w:rPr>
          <w:szCs w:val="20"/>
          <w:lang w:val="en-US"/>
        </w:rPr>
        <w:t xml:space="preserve">The </w:t>
      </w:r>
      <w:r w:rsidRPr="00CE23AE">
        <w:rPr>
          <w:b/>
          <w:bCs/>
          <w:i/>
          <w:iCs/>
          <w:szCs w:val="20"/>
          <w:lang w:val="en-US"/>
        </w:rPr>
        <w:t>representative</w:t>
      </w:r>
      <w:r w:rsidR="00CA52FC" w:rsidRPr="00CE23AE">
        <w:rPr>
          <w:szCs w:val="20"/>
          <w:lang w:val="en-US"/>
        </w:rPr>
        <w:t xml:space="preserve"> a</w:t>
      </w:r>
      <w:r w:rsidR="00871A42" w:rsidRPr="00CE23AE">
        <w:rPr>
          <w:szCs w:val="20"/>
          <w:lang w:val="en-US"/>
        </w:rPr>
        <w:t xml:space="preserve">rgued that, at the time of the facts, a legal reserve existed for the establishment of offenses and penalties in Ecuador, referring to the 1998 Constitution of Ecuador. He argued that, despite this, “[t]he </w:t>
      </w:r>
      <w:r w:rsidR="00216912" w:rsidRPr="00CE23AE">
        <w:rPr>
          <w:szCs w:val="20"/>
          <w:lang w:val="en-US"/>
        </w:rPr>
        <w:t xml:space="preserve">offense for which Mr. Flor was tried and </w:t>
      </w:r>
      <w:r w:rsidR="00AF714A" w:rsidRPr="00CE23AE">
        <w:rPr>
          <w:szCs w:val="20"/>
          <w:lang w:val="en-US"/>
        </w:rPr>
        <w:t>convicted</w:t>
      </w:r>
      <w:r w:rsidR="00216912" w:rsidRPr="00CE23AE">
        <w:rPr>
          <w:szCs w:val="20"/>
          <w:lang w:val="en-US"/>
        </w:rPr>
        <w:t xml:space="preserve"> [was] established in the Regulations adopted by the Minister of National Defense.” Consequently, he affirmed that the “sentence, founded on both the discriminatory norm and on the existing tolerated practice of discrimination based on the perception of sexual orientation, [was] so arbitrary that even the norm that imposed the penalty was not included in a law […], but rather in a secondary regulation, so that even the penalty [was] arbitrary because it was not legal.” He also argued that, if homosexuality w</w:t>
      </w:r>
      <w:r w:rsidR="00DC3687" w:rsidRPr="00CE23AE">
        <w:rPr>
          <w:szCs w:val="20"/>
          <w:lang w:val="en-US"/>
        </w:rPr>
        <w:t>ere</w:t>
      </w:r>
      <w:r w:rsidR="00216912" w:rsidRPr="00CE23AE">
        <w:rPr>
          <w:szCs w:val="20"/>
          <w:lang w:val="en-US"/>
        </w:rPr>
        <w:t xml:space="preserve"> not a crime o</w:t>
      </w:r>
      <w:r w:rsidR="00AF714A" w:rsidRPr="00CE23AE">
        <w:rPr>
          <w:szCs w:val="20"/>
          <w:lang w:val="en-US"/>
        </w:rPr>
        <w:t>r</w:t>
      </w:r>
      <w:r w:rsidR="00216912" w:rsidRPr="00CE23AE">
        <w:rPr>
          <w:szCs w:val="20"/>
          <w:lang w:val="en-US"/>
        </w:rPr>
        <w:t xml:space="preserve"> offense of any kin</w:t>
      </w:r>
      <w:r w:rsidR="00DC3687" w:rsidRPr="00CE23AE">
        <w:rPr>
          <w:szCs w:val="20"/>
          <w:lang w:val="en-US"/>
        </w:rPr>
        <w:t>d</w:t>
      </w:r>
      <w:r w:rsidR="00216912" w:rsidRPr="00CE23AE">
        <w:rPr>
          <w:szCs w:val="20"/>
          <w:lang w:val="en-US"/>
        </w:rPr>
        <w:t xml:space="preserve"> according to the Constitution and the law, </w:t>
      </w:r>
      <w:r w:rsidR="00F5102B" w:rsidRPr="00CE23AE">
        <w:rPr>
          <w:szCs w:val="20"/>
          <w:lang w:val="en-US"/>
        </w:rPr>
        <w:t>Mr. Flor</w:t>
      </w:r>
      <w:r w:rsidR="00CA52FC" w:rsidRPr="00CE23AE">
        <w:rPr>
          <w:szCs w:val="20"/>
          <w:lang w:val="en-US"/>
        </w:rPr>
        <w:t xml:space="preserve"> Freire </w:t>
      </w:r>
      <w:r w:rsidR="00216912" w:rsidRPr="00CE23AE">
        <w:rPr>
          <w:szCs w:val="20"/>
          <w:lang w:val="en-US"/>
        </w:rPr>
        <w:t>could not be tried and convicted as occurred.</w:t>
      </w:r>
    </w:p>
    <w:p w14:paraId="04A9F786" w14:textId="77777777" w:rsidR="009009F9" w:rsidRPr="00CE23AE" w:rsidRDefault="009009F9" w:rsidP="009009F9">
      <w:pPr>
        <w:suppressAutoHyphens/>
        <w:spacing w:line="240" w:lineRule="auto"/>
        <w:contextualSpacing/>
        <w:rPr>
          <w:szCs w:val="20"/>
          <w:lang w:val="en-US"/>
        </w:rPr>
      </w:pPr>
    </w:p>
    <w:p w14:paraId="48AF9384" w14:textId="6B217A8C" w:rsidR="0063312C" w:rsidRPr="00CE23AE" w:rsidRDefault="00C561DF" w:rsidP="00216912">
      <w:pPr>
        <w:widowControl/>
        <w:numPr>
          <w:ilvl w:val="0"/>
          <w:numId w:val="6"/>
        </w:numPr>
        <w:tabs>
          <w:tab w:val="num" w:pos="709"/>
        </w:tabs>
        <w:suppressAutoHyphens/>
        <w:adjustRightInd/>
        <w:spacing w:line="240" w:lineRule="auto"/>
        <w:contextualSpacing/>
        <w:textAlignment w:val="auto"/>
        <w:rPr>
          <w:szCs w:val="20"/>
          <w:lang w:val="en-US"/>
        </w:rPr>
      </w:pPr>
      <w:bookmarkStart w:id="386" w:name="_Ref464476493"/>
      <w:r w:rsidRPr="00CE23AE">
        <w:rPr>
          <w:szCs w:val="20"/>
          <w:lang w:val="en-US"/>
        </w:rPr>
        <w:t xml:space="preserve">The </w:t>
      </w:r>
      <w:r w:rsidRPr="00CE23AE">
        <w:rPr>
          <w:b/>
          <w:bCs/>
          <w:i/>
          <w:iCs/>
          <w:szCs w:val="20"/>
          <w:lang w:val="en-US"/>
        </w:rPr>
        <w:t>Commission</w:t>
      </w:r>
      <w:r w:rsidR="0063312C" w:rsidRPr="00CE23AE">
        <w:rPr>
          <w:szCs w:val="20"/>
          <w:lang w:val="en-US"/>
        </w:rPr>
        <w:t xml:space="preserve"> </w:t>
      </w:r>
      <w:r w:rsidR="00216912" w:rsidRPr="00CE23AE">
        <w:rPr>
          <w:szCs w:val="20"/>
          <w:lang w:val="en-US"/>
        </w:rPr>
        <w:t>did not examine the</w:t>
      </w:r>
      <w:r w:rsidR="0063312C" w:rsidRPr="00CE23AE">
        <w:rPr>
          <w:szCs w:val="20"/>
          <w:lang w:val="en-US"/>
        </w:rPr>
        <w:t xml:space="preserve"> </w:t>
      </w:r>
      <w:r w:rsidR="00AC18A9" w:rsidRPr="00CE23AE">
        <w:rPr>
          <w:szCs w:val="20"/>
          <w:lang w:val="en-US"/>
        </w:rPr>
        <w:t>alleged violation of the principle of legality</w:t>
      </w:r>
      <w:r w:rsidR="0063312C" w:rsidRPr="00CE23AE">
        <w:rPr>
          <w:szCs w:val="20"/>
          <w:lang w:val="en-US"/>
        </w:rPr>
        <w:t xml:space="preserve"> </w:t>
      </w:r>
      <w:r w:rsidR="00216912" w:rsidRPr="00CE23AE">
        <w:rPr>
          <w:szCs w:val="20"/>
          <w:lang w:val="en-US"/>
        </w:rPr>
        <w:t>in its</w:t>
      </w:r>
      <w:r w:rsidR="0063312C" w:rsidRPr="00CE23AE">
        <w:rPr>
          <w:szCs w:val="20"/>
          <w:lang w:val="en-US"/>
        </w:rPr>
        <w:t xml:space="preserve"> </w:t>
      </w:r>
      <w:r w:rsidRPr="00CE23AE">
        <w:rPr>
          <w:szCs w:val="20"/>
          <w:lang w:val="en-US"/>
        </w:rPr>
        <w:t>Merits Report</w:t>
      </w:r>
      <w:r w:rsidR="0063312C" w:rsidRPr="00CE23AE">
        <w:rPr>
          <w:szCs w:val="20"/>
          <w:lang w:val="en-US"/>
        </w:rPr>
        <w:t xml:space="preserve">, </w:t>
      </w:r>
      <w:r w:rsidR="00216912" w:rsidRPr="00CE23AE">
        <w:rPr>
          <w:szCs w:val="20"/>
          <w:lang w:val="en-US"/>
        </w:rPr>
        <w:t>because, in its</w:t>
      </w:r>
      <w:r w:rsidR="0063312C" w:rsidRPr="00CE23AE">
        <w:rPr>
          <w:szCs w:val="20"/>
          <w:lang w:val="en-US"/>
        </w:rPr>
        <w:t xml:space="preserve"> </w:t>
      </w:r>
      <w:r w:rsidRPr="00CE23AE">
        <w:rPr>
          <w:szCs w:val="20"/>
          <w:lang w:val="en-US"/>
        </w:rPr>
        <w:t>Admissibility Report</w:t>
      </w:r>
      <w:r w:rsidR="0063312C" w:rsidRPr="00CE23AE">
        <w:rPr>
          <w:szCs w:val="20"/>
          <w:lang w:val="en-US"/>
        </w:rPr>
        <w:t xml:space="preserve"> </w:t>
      </w:r>
      <w:r w:rsidR="00216912" w:rsidRPr="00CE23AE">
        <w:rPr>
          <w:szCs w:val="20"/>
          <w:lang w:val="en-US"/>
        </w:rPr>
        <w:t>on the case, it had indicated:</w:t>
      </w:r>
      <w:r w:rsidR="0063312C" w:rsidRPr="00CE23AE">
        <w:rPr>
          <w:szCs w:val="20"/>
          <w:lang w:val="en-US"/>
        </w:rPr>
        <w:t xml:space="preserve"> “[</w:t>
      </w:r>
      <w:r w:rsidR="00216912" w:rsidRPr="00CE23AE">
        <w:rPr>
          <w:szCs w:val="20"/>
          <w:lang w:val="en-US"/>
        </w:rPr>
        <w:t>r</w:t>
      </w:r>
      <w:r w:rsidR="0063312C" w:rsidRPr="00CE23AE">
        <w:rPr>
          <w:szCs w:val="20"/>
          <w:lang w:val="en-US"/>
        </w:rPr>
        <w:t>]</w:t>
      </w:r>
      <w:r w:rsidR="00216912" w:rsidRPr="00CE23AE">
        <w:rPr>
          <w:szCs w:val="20"/>
          <w:lang w:val="en-US"/>
        </w:rPr>
        <w:t>egarding the petitioners’ claim concerning the presumed violation of</w:t>
      </w:r>
      <w:r w:rsidR="0063312C" w:rsidRPr="00CE23AE">
        <w:rPr>
          <w:szCs w:val="20"/>
          <w:lang w:val="en-US"/>
        </w:rPr>
        <w:t xml:space="preserve"> </w:t>
      </w:r>
      <w:r w:rsidRPr="00CE23AE">
        <w:rPr>
          <w:szCs w:val="20"/>
          <w:lang w:val="en-US"/>
        </w:rPr>
        <w:t>Articles</w:t>
      </w:r>
      <w:r w:rsidR="0063312C" w:rsidRPr="00CE23AE">
        <w:rPr>
          <w:szCs w:val="20"/>
          <w:lang w:val="en-US"/>
        </w:rPr>
        <w:t xml:space="preserve"> 9</w:t>
      </w:r>
      <w:r w:rsidRPr="00CE23AE">
        <w:rPr>
          <w:szCs w:val="20"/>
          <w:lang w:val="en-US"/>
        </w:rPr>
        <w:t xml:space="preserve"> and </w:t>
      </w:r>
      <w:r w:rsidR="0063312C" w:rsidRPr="00CE23AE">
        <w:rPr>
          <w:szCs w:val="20"/>
          <w:lang w:val="en-US"/>
        </w:rPr>
        <w:t>11</w:t>
      </w:r>
      <w:r w:rsidRPr="00CE23AE">
        <w:rPr>
          <w:szCs w:val="20"/>
          <w:lang w:val="en-US"/>
        </w:rPr>
        <w:t xml:space="preserve"> of the Convention</w:t>
      </w:r>
      <w:r w:rsidR="0063312C" w:rsidRPr="00CE23AE">
        <w:rPr>
          <w:szCs w:val="20"/>
          <w:lang w:val="en-US"/>
        </w:rPr>
        <w:t xml:space="preserve"> […] </w:t>
      </w:r>
      <w:r w:rsidR="00216912" w:rsidRPr="00CE23AE">
        <w:rPr>
          <w:szCs w:val="20"/>
          <w:lang w:val="en-US"/>
        </w:rPr>
        <w:t>it is observed that the petitioners did not provide sufficient evidence on their presumed violation</w:t>
      </w:r>
      <w:r w:rsidR="00AF714A" w:rsidRPr="00CE23AE">
        <w:rPr>
          <w:szCs w:val="20"/>
          <w:lang w:val="en-US"/>
        </w:rPr>
        <w:t>; therefore,</w:t>
      </w:r>
      <w:r w:rsidR="00216912" w:rsidRPr="00CE23AE">
        <w:rPr>
          <w:szCs w:val="20"/>
          <w:lang w:val="en-US"/>
        </w:rPr>
        <w:t xml:space="preserve"> these claims cannot be declared admissible.” The </w:t>
      </w:r>
      <w:r w:rsidR="00216912" w:rsidRPr="00CE23AE">
        <w:rPr>
          <w:b/>
          <w:bCs/>
          <w:i/>
          <w:iCs/>
          <w:szCs w:val="20"/>
          <w:lang w:val="en-US"/>
        </w:rPr>
        <w:t>State</w:t>
      </w:r>
      <w:r w:rsidR="00216912" w:rsidRPr="00CE23AE">
        <w:rPr>
          <w:szCs w:val="20"/>
          <w:lang w:val="en-US"/>
        </w:rPr>
        <w:t xml:space="preserve"> did not refer to the alleged violation of this right considering that it fell outside the </w:t>
      </w:r>
      <w:r w:rsidR="005C743F" w:rsidRPr="00CE23AE">
        <w:rPr>
          <w:szCs w:val="20"/>
          <w:lang w:val="en-US"/>
        </w:rPr>
        <w:t>factual framework</w:t>
      </w:r>
      <w:r w:rsidR="00BA2952" w:rsidRPr="00CE23AE">
        <w:rPr>
          <w:szCs w:val="20"/>
          <w:lang w:val="en-US"/>
        </w:rPr>
        <w:t>.</w:t>
      </w:r>
      <w:bookmarkEnd w:id="386"/>
      <w:r w:rsidR="0063312C" w:rsidRPr="00CE23AE">
        <w:rPr>
          <w:szCs w:val="20"/>
          <w:lang w:val="en-US"/>
        </w:rPr>
        <w:t xml:space="preserve"> </w:t>
      </w:r>
      <w:r w:rsidR="0063312C" w:rsidRPr="00CE23AE">
        <w:rPr>
          <w:b/>
          <w:szCs w:val="20"/>
          <w:lang w:val="en-US"/>
        </w:rPr>
        <w:t xml:space="preserve"> </w:t>
      </w:r>
    </w:p>
    <w:p w14:paraId="28BE1BCE" w14:textId="77777777" w:rsidR="009009F9" w:rsidRPr="00CE23AE" w:rsidRDefault="009009F9" w:rsidP="009009F9">
      <w:pPr>
        <w:suppressAutoHyphens/>
        <w:spacing w:line="240" w:lineRule="auto"/>
        <w:contextualSpacing/>
        <w:rPr>
          <w:szCs w:val="20"/>
          <w:lang w:val="en-US"/>
        </w:rPr>
      </w:pPr>
    </w:p>
    <w:p w14:paraId="203D86C8" w14:textId="35C7FB9A" w:rsidR="009009F9" w:rsidRPr="00CE23AE" w:rsidRDefault="009009F9" w:rsidP="009009F9">
      <w:pPr>
        <w:pStyle w:val="Ttulo3"/>
        <w:rPr>
          <w:lang w:val="en-US"/>
        </w:rPr>
      </w:pPr>
      <w:bookmarkStart w:id="387" w:name="_Toc453874346"/>
      <w:bookmarkStart w:id="388" w:name="_Toc454891507"/>
      <w:bookmarkStart w:id="389" w:name="_Toc457840610"/>
      <w:bookmarkStart w:id="390" w:name="_Toc460398547"/>
      <w:bookmarkStart w:id="391" w:name="_Toc464475003"/>
      <w:bookmarkStart w:id="392" w:name="_Toc46388390"/>
      <w:r w:rsidRPr="00CE23AE">
        <w:rPr>
          <w:lang w:val="en-US"/>
        </w:rPr>
        <w:t xml:space="preserve">A.2 </w:t>
      </w:r>
      <w:r w:rsidR="005024E2" w:rsidRPr="00CE23AE">
        <w:rPr>
          <w:lang w:val="en-US"/>
        </w:rPr>
        <w:t>Considerations</w:t>
      </w:r>
      <w:r w:rsidR="00C561DF" w:rsidRPr="00CE23AE">
        <w:rPr>
          <w:lang w:val="en-US"/>
        </w:rPr>
        <w:t xml:space="preserve"> of the Court</w:t>
      </w:r>
      <w:bookmarkEnd w:id="387"/>
      <w:bookmarkEnd w:id="388"/>
      <w:bookmarkEnd w:id="389"/>
      <w:bookmarkEnd w:id="390"/>
      <w:bookmarkEnd w:id="391"/>
      <w:bookmarkEnd w:id="392"/>
    </w:p>
    <w:p w14:paraId="73686212" w14:textId="77777777" w:rsidR="009009F9" w:rsidRPr="00CE23AE" w:rsidRDefault="009009F9" w:rsidP="009009F9">
      <w:pPr>
        <w:pStyle w:val="Prrafodelista"/>
        <w:suppressAutoHyphens/>
        <w:spacing w:line="240" w:lineRule="auto"/>
        <w:ind w:left="720"/>
        <w:rPr>
          <w:b/>
          <w:i/>
          <w:szCs w:val="20"/>
          <w:lang w:val="en-US"/>
        </w:rPr>
      </w:pPr>
    </w:p>
    <w:p w14:paraId="28D0024F" w14:textId="4B9B21CB" w:rsidR="005621E0" w:rsidRPr="00CE23AE" w:rsidRDefault="00000AD5" w:rsidP="005621E0">
      <w:pPr>
        <w:widowControl/>
        <w:numPr>
          <w:ilvl w:val="0"/>
          <w:numId w:val="6"/>
        </w:numPr>
        <w:tabs>
          <w:tab w:val="num" w:pos="709"/>
        </w:tabs>
        <w:suppressAutoHyphens/>
        <w:adjustRightInd/>
        <w:spacing w:line="240" w:lineRule="auto"/>
        <w:contextualSpacing/>
        <w:textAlignment w:val="auto"/>
        <w:rPr>
          <w:szCs w:val="20"/>
          <w:lang w:val="en-US"/>
        </w:rPr>
      </w:pPr>
      <w:bookmarkStart w:id="393" w:name="_Ref455671665"/>
      <w:r w:rsidRPr="00CE23AE">
        <w:rPr>
          <w:szCs w:val="20"/>
          <w:lang w:val="en-US"/>
        </w:rPr>
        <w:t>Th</w:t>
      </w:r>
      <w:r w:rsidR="00AF714A" w:rsidRPr="00CE23AE">
        <w:rPr>
          <w:szCs w:val="20"/>
          <w:lang w:val="en-US"/>
        </w:rPr>
        <w:t>e</w:t>
      </w:r>
      <w:r w:rsidRPr="00CE23AE">
        <w:rPr>
          <w:szCs w:val="20"/>
          <w:lang w:val="en-US"/>
        </w:rPr>
        <w:t xml:space="preserve"> Court</w:t>
      </w:r>
      <w:r w:rsidR="005621E0" w:rsidRPr="00CE23AE">
        <w:rPr>
          <w:szCs w:val="20"/>
          <w:lang w:val="en-US"/>
        </w:rPr>
        <w:t xml:space="preserve"> rec</w:t>
      </w:r>
      <w:r w:rsidR="00216912" w:rsidRPr="00CE23AE">
        <w:rPr>
          <w:szCs w:val="20"/>
          <w:lang w:val="en-US"/>
        </w:rPr>
        <w:t xml:space="preserve">alls its consistent case law, that the presumed victims and their representatives may cite the violation of rights other than those included in the </w:t>
      </w:r>
      <w:r w:rsidR="00C561DF" w:rsidRPr="00CE23AE">
        <w:rPr>
          <w:szCs w:val="20"/>
          <w:lang w:val="en-US"/>
        </w:rPr>
        <w:t>Merits Report</w:t>
      </w:r>
      <w:r w:rsidR="005621E0" w:rsidRPr="00CE23AE">
        <w:rPr>
          <w:szCs w:val="20"/>
          <w:lang w:val="en-US"/>
        </w:rPr>
        <w:t xml:space="preserve">, </w:t>
      </w:r>
      <w:r w:rsidR="00216912" w:rsidRPr="00CE23AE">
        <w:rPr>
          <w:szCs w:val="20"/>
          <w:lang w:val="en-US"/>
        </w:rPr>
        <w:t>provided these relate to the facts contained in that document, because the presumed victims are holders of all the rights established in</w:t>
      </w:r>
      <w:r w:rsidR="005621E0" w:rsidRPr="00CE23AE">
        <w:rPr>
          <w:szCs w:val="20"/>
          <w:lang w:val="en-US"/>
        </w:rPr>
        <w:t xml:space="preserve"> </w:t>
      </w:r>
      <w:r w:rsidR="00C561DF" w:rsidRPr="00CE23AE">
        <w:rPr>
          <w:szCs w:val="20"/>
          <w:lang w:val="en-US"/>
        </w:rPr>
        <w:t>the Convention</w:t>
      </w:r>
      <w:r w:rsidR="00216912" w:rsidRPr="00CE23AE">
        <w:rPr>
          <w:szCs w:val="20"/>
          <w:lang w:val="en-US"/>
        </w:rPr>
        <w:t>.</w:t>
      </w:r>
      <w:r w:rsidR="005621E0" w:rsidRPr="00CE23AE">
        <w:rPr>
          <w:rStyle w:val="Refdenotaalpie"/>
          <w:lang w:val="en-US"/>
        </w:rPr>
        <w:footnoteReference w:id="214"/>
      </w:r>
      <w:bookmarkEnd w:id="393"/>
    </w:p>
    <w:p w14:paraId="4EF5625F" w14:textId="77777777" w:rsidR="005621E0" w:rsidRPr="00CE23AE" w:rsidRDefault="005621E0" w:rsidP="005621E0">
      <w:pPr>
        <w:suppressAutoHyphens/>
        <w:spacing w:line="240" w:lineRule="auto"/>
        <w:contextualSpacing/>
        <w:rPr>
          <w:szCs w:val="20"/>
          <w:lang w:val="en-US"/>
        </w:rPr>
      </w:pPr>
    </w:p>
    <w:p w14:paraId="36CBAFE7" w14:textId="196C389F" w:rsidR="005621E0" w:rsidRPr="00CE23AE" w:rsidRDefault="00216912" w:rsidP="005621E0">
      <w:pPr>
        <w:widowControl/>
        <w:numPr>
          <w:ilvl w:val="0"/>
          <w:numId w:val="6"/>
        </w:numPr>
        <w:tabs>
          <w:tab w:val="num" w:pos="709"/>
        </w:tabs>
        <w:suppressAutoHyphens/>
        <w:adjustRightInd/>
        <w:spacing w:line="240" w:lineRule="auto"/>
        <w:contextualSpacing/>
        <w:textAlignment w:val="auto"/>
        <w:rPr>
          <w:szCs w:val="20"/>
          <w:lang w:val="en-US"/>
        </w:rPr>
      </w:pPr>
      <w:r w:rsidRPr="00CE23AE">
        <w:rPr>
          <w:szCs w:val="20"/>
          <w:lang w:val="en-US"/>
        </w:rPr>
        <w:t>In the instant case</w:t>
      </w:r>
      <w:r w:rsidR="005621E0" w:rsidRPr="00CE23AE">
        <w:rPr>
          <w:szCs w:val="20"/>
          <w:lang w:val="en-US"/>
        </w:rPr>
        <w:t xml:space="preserve">, </w:t>
      </w:r>
      <w:r w:rsidR="00C561DF" w:rsidRPr="00CE23AE">
        <w:rPr>
          <w:szCs w:val="20"/>
          <w:lang w:val="en-US"/>
        </w:rPr>
        <w:t>the representative</w:t>
      </w:r>
      <w:r w:rsidR="005621E0" w:rsidRPr="00CE23AE">
        <w:rPr>
          <w:szCs w:val="20"/>
          <w:lang w:val="en-US"/>
        </w:rPr>
        <w:t xml:space="preserve"> ha</w:t>
      </w:r>
      <w:r w:rsidRPr="00CE23AE">
        <w:rPr>
          <w:szCs w:val="20"/>
          <w:lang w:val="en-US"/>
        </w:rPr>
        <w:t>s alleged a violation</w:t>
      </w:r>
      <w:r w:rsidR="005621E0" w:rsidRPr="00CE23AE">
        <w:rPr>
          <w:szCs w:val="20"/>
          <w:lang w:val="en-US"/>
        </w:rPr>
        <w:t xml:space="preserve"> </w:t>
      </w:r>
      <w:r w:rsidR="00AC18A9" w:rsidRPr="00CE23AE">
        <w:rPr>
          <w:szCs w:val="20"/>
          <w:lang w:val="en-US"/>
        </w:rPr>
        <w:t>of the principle of legality</w:t>
      </w:r>
      <w:r w:rsidR="005621E0" w:rsidRPr="00CE23AE">
        <w:rPr>
          <w:szCs w:val="20"/>
          <w:lang w:val="en-US"/>
        </w:rPr>
        <w:t xml:space="preserve"> </w:t>
      </w:r>
      <w:r w:rsidR="001E60E2" w:rsidRPr="00CE23AE">
        <w:rPr>
          <w:szCs w:val="20"/>
          <w:lang w:val="en-US"/>
        </w:rPr>
        <w:t>based on</w:t>
      </w:r>
      <w:r w:rsidRPr="00CE23AE">
        <w:rPr>
          <w:szCs w:val="20"/>
          <w:lang w:val="en-US"/>
        </w:rPr>
        <w:t xml:space="preserve"> two a</w:t>
      </w:r>
      <w:r w:rsidR="005F350B" w:rsidRPr="00CE23AE">
        <w:rPr>
          <w:szCs w:val="20"/>
          <w:lang w:val="en-US"/>
        </w:rPr>
        <w:t>rguments</w:t>
      </w:r>
      <w:r w:rsidR="005621E0" w:rsidRPr="00CE23AE">
        <w:rPr>
          <w:szCs w:val="20"/>
          <w:lang w:val="en-US"/>
        </w:rPr>
        <w:t xml:space="preserve">: (i) </w:t>
      </w:r>
      <w:r w:rsidR="0061424A" w:rsidRPr="00CE23AE">
        <w:rPr>
          <w:szCs w:val="20"/>
          <w:lang w:val="en-US"/>
        </w:rPr>
        <w:t>that the norm applied to</w:t>
      </w:r>
      <w:r w:rsidR="005621E0" w:rsidRPr="00CE23AE">
        <w:rPr>
          <w:szCs w:val="20"/>
          <w:lang w:val="en-US"/>
        </w:rPr>
        <w:t xml:space="preserve"> </w:t>
      </w:r>
      <w:r w:rsidR="008B76F3" w:rsidRPr="00CE23AE">
        <w:rPr>
          <w:szCs w:val="20"/>
          <w:lang w:val="en-US"/>
        </w:rPr>
        <w:t>Mr.</w:t>
      </w:r>
      <w:r w:rsidR="005621E0" w:rsidRPr="00CE23AE">
        <w:rPr>
          <w:szCs w:val="20"/>
          <w:lang w:val="en-US"/>
        </w:rPr>
        <w:t xml:space="preserve"> Flor Freire </w:t>
      </w:r>
      <w:r w:rsidR="0061424A" w:rsidRPr="00CE23AE">
        <w:rPr>
          <w:szCs w:val="20"/>
          <w:lang w:val="en-US"/>
        </w:rPr>
        <w:t xml:space="preserve">was not legal because it did not comply with the principle of legal reserve established in the domestic sphere for administrative offenses, </w:t>
      </w:r>
      <w:r w:rsidR="00C561DF" w:rsidRPr="00CE23AE">
        <w:rPr>
          <w:szCs w:val="20"/>
          <w:lang w:val="en-US"/>
        </w:rPr>
        <w:t xml:space="preserve">and </w:t>
      </w:r>
      <w:r w:rsidR="005621E0" w:rsidRPr="00CE23AE">
        <w:rPr>
          <w:szCs w:val="20"/>
          <w:lang w:val="en-US"/>
        </w:rPr>
        <w:t xml:space="preserve">(ii) </w:t>
      </w:r>
      <w:r w:rsidR="0061424A" w:rsidRPr="00CE23AE">
        <w:rPr>
          <w:szCs w:val="20"/>
          <w:lang w:val="en-US"/>
        </w:rPr>
        <w:t>that</w:t>
      </w:r>
      <w:r w:rsidR="005621E0" w:rsidRPr="00CE23AE">
        <w:rPr>
          <w:szCs w:val="20"/>
          <w:lang w:val="en-US"/>
        </w:rPr>
        <w:t xml:space="preserve"> </w:t>
      </w:r>
      <w:r w:rsidR="00F5102B" w:rsidRPr="00CE23AE">
        <w:rPr>
          <w:szCs w:val="20"/>
          <w:lang w:val="en-US"/>
        </w:rPr>
        <w:t>Mr. Flor</w:t>
      </w:r>
      <w:r w:rsidR="005621E0" w:rsidRPr="00CE23AE">
        <w:rPr>
          <w:szCs w:val="20"/>
          <w:lang w:val="en-US"/>
        </w:rPr>
        <w:t xml:space="preserve"> Freire </w:t>
      </w:r>
      <w:r w:rsidR="0061424A" w:rsidRPr="00CE23AE">
        <w:rPr>
          <w:szCs w:val="20"/>
          <w:lang w:val="en-US"/>
        </w:rPr>
        <w:t xml:space="preserve">should not have been penalized administratively for a conduct that had been decriminalized in </w:t>
      </w:r>
      <w:r w:rsidR="005621E0" w:rsidRPr="00CE23AE">
        <w:rPr>
          <w:szCs w:val="20"/>
          <w:lang w:val="en-US"/>
        </w:rPr>
        <w:t>Ecuador</w:t>
      </w:r>
      <w:r w:rsidR="0061424A" w:rsidRPr="00CE23AE">
        <w:rPr>
          <w:szCs w:val="20"/>
          <w:lang w:val="en-US"/>
        </w:rPr>
        <w:t>.</w:t>
      </w:r>
      <w:r w:rsidR="005621E0" w:rsidRPr="00CE23AE">
        <w:rPr>
          <w:rStyle w:val="Refdenotaalpie"/>
          <w:szCs w:val="20"/>
          <w:lang w:val="en-US"/>
        </w:rPr>
        <w:footnoteReference w:id="215"/>
      </w:r>
      <w:r w:rsidR="005621E0" w:rsidRPr="00CE23AE">
        <w:rPr>
          <w:szCs w:val="20"/>
          <w:lang w:val="en-US"/>
        </w:rPr>
        <w:t xml:space="preserve"> </w:t>
      </w:r>
    </w:p>
    <w:p w14:paraId="3F27FF25" w14:textId="77777777" w:rsidR="005621E0" w:rsidRPr="00CE23AE" w:rsidRDefault="005621E0" w:rsidP="005621E0">
      <w:pPr>
        <w:pStyle w:val="PrrafodeSentencia"/>
        <w:numPr>
          <w:ilvl w:val="0"/>
          <w:numId w:val="0"/>
        </w:numPr>
        <w:rPr>
          <w:lang w:val="en-US"/>
        </w:rPr>
      </w:pPr>
    </w:p>
    <w:p w14:paraId="7C73FA31" w14:textId="1E3B08A5" w:rsidR="005621E0" w:rsidRPr="00CE23AE" w:rsidRDefault="00AC18A9" w:rsidP="0061424A">
      <w:pPr>
        <w:pStyle w:val="PrrafodeSentencia"/>
        <w:rPr>
          <w:b/>
          <w:lang w:val="en-US"/>
        </w:rPr>
      </w:pPr>
      <w:r w:rsidRPr="00CE23AE">
        <w:rPr>
          <w:lang w:val="en-US"/>
        </w:rPr>
        <w:t>The principle of legality</w:t>
      </w:r>
      <w:r w:rsidR="005621E0" w:rsidRPr="00CE23AE">
        <w:rPr>
          <w:lang w:val="en-US"/>
        </w:rPr>
        <w:t xml:space="preserve"> constitu</w:t>
      </w:r>
      <w:r w:rsidR="0061424A" w:rsidRPr="00CE23AE">
        <w:rPr>
          <w:lang w:val="en-US"/>
        </w:rPr>
        <w:t>tes one of the central elements of criminal prosecution in a democratic society and presides over the actions of all the organs of the State, in their respective jurisdictions, particularly when exercising punitive powers.</w:t>
      </w:r>
      <w:r w:rsidR="005621E0" w:rsidRPr="00CE23AE">
        <w:rPr>
          <w:rStyle w:val="Refdenotaalpie"/>
          <w:lang w:val="en-US"/>
        </w:rPr>
        <w:footnoteReference w:id="216"/>
      </w:r>
      <w:r w:rsidR="005621E0" w:rsidRPr="00CE23AE">
        <w:rPr>
          <w:lang w:val="en-US"/>
        </w:rPr>
        <w:t xml:space="preserve"> </w:t>
      </w:r>
      <w:r w:rsidR="0061424A" w:rsidRPr="00CE23AE">
        <w:rPr>
          <w:lang w:val="en-US"/>
        </w:rPr>
        <w:t>This</w:t>
      </w:r>
      <w:r w:rsidR="00000AD5" w:rsidRPr="00CE23AE">
        <w:rPr>
          <w:lang w:val="en-US"/>
        </w:rPr>
        <w:t xml:space="preserve"> Court</w:t>
      </w:r>
      <w:r w:rsidR="005621E0" w:rsidRPr="00CE23AE">
        <w:rPr>
          <w:lang w:val="en-US"/>
        </w:rPr>
        <w:t xml:space="preserve"> ha</w:t>
      </w:r>
      <w:r w:rsidR="0061424A" w:rsidRPr="00CE23AE">
        <w:rPr>
          <w:lang w:val="en-US"/>
        </w:rPr>
        <w:t>s also</w:t>
      </w:r>
      <w:r w:rsidR="005621E0" w:rsidRPr="00CE23AE">
        <w:rPr>
          <w:lang w:val="en-US"/>
        </w:rPr>
        <w:t xml:space="preserve"> establ</w:t>
      </w:r>
      <w:r w:rsidR="0061424A" w:rsidRPr="00CE23AE">
        <w:rPr>
          <w:lang w:val="en-US"/>
        </w:rPr>
        <w:t xml:space="preserve">ished that </w:t>
      </w:r>
      <w:r w:rsidRPr="00CE23AE">
        <w:rPr>
          <w:lang w:val="en-US"/>
        </w:rPr>
        <w:t>the principle of legality</w:t>
      </w:r>
      <w:r w:rsidR="005621E0" w:rsidRPr="00CE23AE">
        <w:rPr>
          <w:lang w:val="en-US"/>
        </w:rPr>
        <w:t xml:space="preserve"> </w:t>
      </w:r>
      <w:r w:rsidR="0061424A" w:rsidRPr="00CE23AE">
        <w:rPr>
          <w:lang w:val="en-US"/>
        </w:rPr>
        <w:t>i</w:t>
      </w:r>
      <w:r w:rsidR="005621E0" w:rsidRPr="00CE23AE">
        <w:rPr>
          <w:lang w:val="en-US"/>
        </w:rPr>
        <w:t>s ap</w:t>
      </w:r>
      <w:r w:rsidR="0061424A" w:rsidRPr="00CE23AE">
        <w:rPr>
          <w:lang w:val="en-US"/>
        </w:rPr>
        <w:t>p</w:t>
      </w:r>
      <w:r w:rsidR="005621E0" w:rsidRPr="00CE23AE">
        <w:rPr>
          <w:lang w:val="en-US"/>
        </w:rPr>
        <w:t xml:space="preserve">licable </w:t>
      </w:r>
      <w:r w:rsidR="0061424A" w:rsidRPr="00CE23AE">
        <w:rPr>
          <w:lang w:val="en-US"/>
        </w:rPr>
        <w:t>in disciplinary matters.</w:t>
      </w:r>
      <w:r w:rsidR="005621E0" w:rsidRPr="00CE23AE">
        <w:rPr>
          <w:rStyle w:val="Refdenotaalpie"/>
          <w:rFonts w:eastAsia="Times New Roman"/>
          <w:lang w:val="en-US" w:eastAsia="es-CR"/>
        </w:rPr>
        <w:footnoteReference w:id="217"/>
      </w:r>
      <w:r w:rsidR="0061424A" w:rsidRPr="00CE23AE">
        <w:rPr>
          <w:lang w:val="en-US"/>
        </w:rPr>
        <w:t xml:space="preserve"> In this regard, it is necessary to take into account that, as in the case of criminal sanctions, disciplinary sanctions are an expression of the punitive powers of the State and, at times, they are similar to the former because they both entail impairment, deprivation or alteration of an individual’s rights.</w:t>
      </w:r>
      <w:r w:rsidR="005621E0" w:rsidRPr="00CE23AE">
        <w:rPr>
          <w:rStyle w:val="Refdenotaalpie"/>
          <w:rFonts w:eastAsia="Times New Roman"/>
          <w:lang w:val="en-US" w:eastAsia="es-CR"/>
        </w:rPr>
        <w:footnoteReference w:id="218"/>
      </w:r>
      <w:r w:rsidR="005621E0" w:rsidRPr="00CE23AE">
        <w:rPr>
          <w:lang w:val="en-US"/>
        </w:rPr>
        <w:t xml:space="preserve"> </w:t>
      </w:r>
      <w:r w:rsidR="0061424A" w:rsidRPr="00CE23AE">
        <w:rPr>
          <w:lang w:val="en-US"/>
        </w:rPr>
        <w:t xml:space="preserve">Consequently, in a democratic system, it is necessary to take special care to ensure that such measures are adopted with strict respect for the basic rights of the individual and to </w:t>
      </w:r>
      <w:r w:rsidR="00804342" w:rsidRPr="00CE23AE">
        <w:rPr>
          <w:lang w:val="en-US"/>
        </w:rPr>
        <w:t>verify carefully</w:t>
      </w:r>
      <w:r w:rsidR="0061424A" w:rsidRPr="00CE23AE">
        <w:rPr>
          <w:lang w:val="en-US"/>
        </w:rPr>
        <w:t xml:space="preserve"> the effective existence of the unlawful conduct.</w:t>
      </w:r>
      <w:r w:rsidR="005621E0" w:rsidRPr="00CE23AE">
        <w:rPr>
          <w:rStyle w:val="Refdenotaalpie"/>
          <w:rFonts w:eastAsia="Times New Roman"/>
          <w:lang w:val="en-US" w:eastAsia="es-CR"/>
        </w:rPr>
        <w:footnoteReference w:id="219"/>
      </w:r>
      <w:r w:rsidR="0061424A" w:rsidRPr="00CE23AE">
        <w:rPr>
          <w:lang w:val="en-US"/>
        </w:rPr>
        <w:t xml:space="preserve"> Also, to ensure legal certainty, it is essential that the disciplinary norm exists and is known, or can be known, before the</w:t>
      </w:r>
      <w:r w:rsidR="00804342" w:rsidRPr="00CE23AE">
        <w:rPr>
          <w:lang w:val="en-US"/>
        </w:rPr>
        <w:t xml:space="preserve"> occurrence of the</w:t>
      </w:r>
      <w:r w:rsidR="0061424A" w:rsidRPr="00CE23AE">
        <w:rPr>
          <w:lang w:val="en-US"/>
        </w:rPr>
        <w:t xml:space="preserve"> act or omission that contravenes it</w:t>
      </w:r>
      <w:r w:rsidR="00804342" w:rsidRPr="00CE23AE">
        <w:rPr>
          <w:lang w:val="en-US"/>
        </w:rPr>
        <w:t xml:space="preserve"> </w:t>
      </w:r>
      <w:r w:rsidR="0061424A" w:rsidRPr="00CE23AE">
        <w:rPr>
          <w:lang w:val="en-US"/>
        </w:rPr>
        <w:t>and that it is intended to punish.</w:t>
      </w:r>
      <w:r w:rsidR="005621E0" w:rsidRPr="00CE23AE">
        <w:rPr>
          <w:rStyle w:val="Refdenotaalpie"/>
          <w:lang w:val="en-US"/>
        </w:rPr>
        <w:footnoteReference w:id="220"/>
      </w:r>
      <w:r w:rsidR="005621E0" w:rsidRPr="00CE23AE">
        <w:rPr>
          <w:lang w:val="en-US"/>
        </w:rPr>
        <w:t xml:space="preserve"> </w:t>
      </w:r>
      <w:r w:rsidR="0061424A" w:rsidRPr="00CE23AE">
        <w:rPr>
          <w:lang w:val="en-US"/>
        </w:rPr>
        <w:t xml:space="preserve">Nevertheless, although the Court considers that </w:t>
      </w:r>
      <w:r w:rsidRPr="00CE23AE">
        <w:rPr>
          <w:lang w:val="en-US"/>
        </w:rPr>
        <w:t>the principle of legality</w:t>
      </w:r>
      <w:r w:rsidR="005621E0" w:rsidRPr="00CE23AE">
        <w:rPr>
          <w:lang w:val="en-US"/>
        </w:rPr>
        <w:t xml:space="preserve"> </w:t>
      </w:r>
      <w:r w:rsidR="0061424A" w:rsidRPr="00CE23AE">
        <w:rPr>
          <w:lang w:val="en-US"/>
        </w:rPr>
        <w:t>is valid in disciplinary matters, its scope will depend to a great extent on the matter regulated.</w:t>
      </w:r>
      <w:r w:rsidR="005621E0" w:rsidRPr="00CE23AE">
        <w:rPr>
          <w:vertAlign w:val="superscript"/>
          <w:lang w:val="en-US"/>
        </w:rPr>
        <w:footnoteReference w:id="221"/>
      </w:r>
      <w:r w:rsidR="0061424A" w:rsidRPr="00CE23AE">
        <w:rPr>
          <w:lang w:val="en-US"/>
        </w:rPr>
        <w:t xml:space="preserve"> The precisi</w:t>
      </w:r>
      <w:r w:rsidR="001850DE" w:rsidRPr="00CE23AE">
        <w:rPr>
          <w:lang w:val="en-US"/>
        </w:rPr>
        <w:t>o</w:t>
      </w:r>
      <w:r w:rsidR="0061424A" w:rsidRPr="00CE23AE">
        <w:rPr>
          <w:lang w:val="en-US"/>
        </w:rPr>
        <w:t xml:space="preserve">n of a disciplinary norm may be different from that required by </w:t>
      </w:r>
      <w:r w:rsidRPr="00CE23AE">
        <w:rPr>
          <w:lang w:val="en-US"/>
        </w:rPr>
        <w:t>the principle of legality</w:t>
      </w:r>
      <w:r w:rsidR="005621E0" w:rsidRPr="00CE23AE">
        <w:rPr>
          <w:lang w:val="en-US"/>
        </w:rPr>
        <w:t xml:space="preserve"> </w:t>
      </w:r>
      <w:r w:rsidR="0061424A" w:rsidRPr="00CE23AE">
        <w:rPr>
          <w:lang w:val="en-US"/>
        </w:rPr>
        <w:t xml:space="preserve">in criminal matters, owing to the nature of the </w:t>
      </w:r>
      <w:r w:rsidR="001850DE" w:rsidRPr="00CE23AE">
        <w:rPr>
          <w:lang w:val="en-US"/>
        </w:rPr>
        <w:t xml:space="preserve">disputes </w:t>
      </w:r>
      <w:r w:rsidR="0061424A" w:rsidRPr="00CE23AE">
        <w:rPr>
          <w:lang w:val="en-US"/>
        </w:rPr>
        <w:t xml:space="preserve">that each of them is </w:t>
      </w:r>
      <w:r w:rsidR="001850DE" w:rsidRPr="00CE23AE">
        <w:rPr>
          <w:lang w:val="en-US"/>
        </w:rPr>
        <w:t>designed to resolve.</w:t>
      </w:r>
      <w:r w:rsidR="005621E0" w:rsidRPr="00CE23AE">
        <w:rPr>
          <w:rStyle w:val="Refdenotaalpie"/>
          <w:rFonts w:eastAsia="Times New Roman"/>
          <w:lang w:val="en-US" w:eastAsia="es-CR"/>
        </w:rPr>
        <w:footnoteReference w:id="222"/>
      </w:r>
      <w:r w:rsidR="005621E0" w:rsidRPr="00CE23AE">
        <w:rPr>
          <w:lang w:val="en-US"/>
        </w:rPr>
        <w:t xml:space="preserve"> </w:t>
      </w:r>
    </w:p>
    <w:p w14:paraId="08521C25" w14:textId="77777777" w:rsidR="005621E0" w:rsidRPr="00CE23AE" w:rsidRDefault="005621E0" w:rsidP="005621E0">
      <w:pPr>
        <w:pStyle w:val="PrrafodeSentencia"/>
        <w:numPr>
          <w:ilvl w:val="0"/>
          <w:numId w:val="0"/>
        </w:numPr>
        <w:rPr>
          <w:b/>
          <w:lang w:val="en-US"/>
        </w:rPr>
      </w:pPr>
    </w:p>
    <w:p w14:paraId="510E71F6" w14:textId="73C51507" w:rsidR="005621E0" w:rsidRPr="00CE23AE" w:rsidRDefault="00802EF5" w:rsidP="005621E0">
      <w:pPr>
        <w:pStyle w:val="PrrafodeSentencia"/>
        <w:rPr>
          <w:b/>
          <w:lang w:val="en-US"/>
        </w:rPr>
      </w:pPr>
      <w:r w:rsidRPr="00CE23AE">
        <w:rPr>
          <w:lang w:val="en-US"/>
        </w:rPr>
        <w:t>In the instant</w:t>
      </w:r>
      <w:r w:rsidR="005621E0" w:rsidRPr="00CE23AE">
        <w:rPr>
          <w:lang w:val="en-US"/>
        </w:rPr>
        <w:t xml:space="preserve"> cas</w:t>
      </w:r>
      <w:r w:rsidRPr="00CE23AE">
        <w:rPr>
          <w:lang w:val="en-US"/>
        </w:rPr>
        <w:t>e</w:t>
      </w:r>
      <w:r w:rsidR="005621E0" w:rsidRPr="00CE23AE">
        <w:rPr>
          <w:lang w:val="en-US"/>
        </w:rPr>
        <w:t>,</w:t>
      </w:r>
      <w:r w:rsidRPr="00CE23AE">
        <w:rPr>
          <w:lang w:val="en-US"/>
        </w:rPr>
        <w:t xml:space="preserve"> the specific conduct for which </w:t>
      </w:r>
      <w:r w:rsidR="00F5102B" w:rsidRPr="00CE23AE">
        <w:rPr>
          <w:lang w:val="en-US"/>
        </w:rPr>
        <w:t>Mr. Flor</w:t>
      </w:r>
      <w:r w:rsidR="005621E0" w:rsidRPr="00CE23AE">
        <w:rPr>
          <w:lang w:val="en-US"/>
        </w:rPr>
        <w:t xml:space="preserve"> Freire </w:t>
      </w:r>
      <w:r w:rsidRPr="00CE23AE">
        <w:rPr>
          <w:lang w:val="en-US"/>
        </w:rPr>
        <w:t xml:space="preserve">was punished was defined as an offense in an </w:t>
      </w:r>
      <w:r w:rsidR="005621E0" w:rsidRPr="00CE23AE">
        <w:rPr>
          <w:i/>
          <w:lang w:val="en-US"/>
        </w:rPr>
        <w:t>infra</w:t>
      </w:r>
      <w:r w:rsidR="005621E0" w:rsidRPr="00CE23AE">
        <w:rPr>
          <w:lang w:val="en-US"/>
        </w:rPr>
        <w:t xml:space="preserve"> legal</w:t>
      </w:r>
      <w:r w:rsidRPr="00CE23AE">
        <w:rPr>
          <w:lang w:val="en-US"/>
        </w:rPr>
        <w:t xml:space="preserve"> norm contain in </w:t>
      </w:r>
      <w:r w:rsidR="00C561DF" w:rsidRPr="00CE23AE">
        <w:rPr>
          <w:lang w:val="en-US"/>
        </w:rPr>
        <w:t xml:space="preserve">the </w:t>
      </w:r>
      <w:r w:rsidR="009C5D46" w:rsidRPr="00CE23AE">
        <w:rPr>
          <w:lang w:val="en-US"/>
        </w:rPr>
        <w:t>Military Discipline Regulations</w:t>
      </w:r>
      <w:r w:rsidR="005621E0" w:rsidRPr="00CE23AE">
        <w:rPr>
          <w:lang w:val="en-US"/>
        </w:rPr>
        <w:t xml:space="preserve"> (</w:t>
      </w:r>
      <w:r w:rsidR="005621E0" w:rsidRPr="00CE23AE">
        <w:rPr>
          <w:i/>
          <w:lang w:val="en-US"/>
        </w:rPr>
        <w:t>supra</w:t>
      </w:r>
      <w:r w:rsidR="005621E0" w:rsidRPr="00CE23AE">
        <w:rPr>
          <w:lang w:val="en-US"/>
        </w:rPr>
        <w:t xml:space="preserve"> </w:t>
      </w:r>
      <w:r w:rsidR="005C743F" w:rsidRPr="00CE23AE">
        <w:rPr>
          <w:lang w:val="en-US"/>
        </w:rPr>
        <w:t>paras.</w:t>
      </w:r>
      <w:r w:rsidR="005621E0" w:rsidRPr="00CE23AE">
        <w:rPr>
          <w:lang w:val="en-US"/>
        </w:rPr>
        <w:t xml:space="preserve"> </w:t>
      </w:r>
      <w:r w:rsidR="005621E0" w:rsidRPr="00CE23AE">
        <w:rPr>
          <w:lang w:val="en-US"/>
        </w:rPr>
        <w:fldChar w:fldCharType="begin"/>
      </w:r>
      <w:r w:rsidR="005621E0" w:rsidRPr="00CE23AE">
        <w:rPr>
          <w:lang w:val="en-US"/>
        </w:rPr>
        <w:instrText xml:space="preserve"> REF _Ref451448477 \r \h </w:instrText>
      </w:r>
      <w:r w:rsidR="00CE23AE">
        <w:rPr>
          <w:lang w:val="en-US"/>
        </w:rPr>
        <w:instrText xml:space="preserve"> \* MERGEFORMAT </w:instrText>
      </w:r>
      <w:r w:rsidR="005621E0" w:rsidRPr="00CE23AE">
        <w:rPr>
          <w:lang w:val="en-US"/>
        </w:rPr>
      </w:r>
      <w:r w:rsidR="005621E0" w:rsidRPr="00CE23AE">
        <w:rPr>
          <w:lang w:val="en-US"/>
        </w:rPr>
        <w:fldChar w:fldCharType="separate"/>
      </w:r>
      <w:r w:rsidR="00BC2953" w:rsidRPr="00CE23AE">
        <w:rPr>
          <w:lang w:val="en-US"/>
        </w:rPr>
        <w:t>60</w:t>
      </w:r>
      <w:r w:rsidR="005621E0" w:rsidRPr="00CE23AE">
        <w:rPr>
          <w:lang w:val="en-US"/>
        </w:rPr>
        <w:fldChar w:fldCharType="end"/>
      </w:r>
      <w:r w:rsidR="00C561DF" w:rsidRPr="00CE23AE">
        <w:rPr>
          <w:lang w:val="en-US"/>
        </w:rPr>
        <w:t xml:space="preserve"> and </w:t>
      </w:r>
      <w:r w:rsidR="005621E0" w:rsidRPr="00CE23AE">
        <w:rPr>
          <w:lang w:val="en-US"/>
        </w:rPr>
        <w:fldChar w:fldCharType="begin"/>
      </w:r>
      <w:r w:rsidR="005621E0" w:rsidRPr="00CE23AE">
        <w:rPr>
          <w:lang w:val="en-US"/>
        </w:rPr>
        <w:instrText xml:space="preserve"> REF _Ref453869545 \r \h </w:instrText>
      </w:r>
      <w:r w:rsidR="00CE23AE">
        <w:rPr>
          <w:lang w:val="en-US"/>
        </w:rPr>
        <w:instrText xml:space="preserve"> \* MERGEFORMAT </w:instrText>
      </w:r>
      <w:r w:rsidR="005621E0" w:rsidRPr="00CE23AE">
        <w:rPr>
          <w:lang w:val="en-US"/>
        </w:rPr>
      </w:r>
      <w:r w:rsidR="005621E0" w:rsidRPr="00CE23AE">
        <w:rPr>
          <w:lang w:val="en-US"/>
        </w:rPr>
        <w:fldChar w:fldCharType="separate"/>
      </w:r>
      <w:r w:rsidR="00BC2953" w:rsidRPr="00CE23AE">
        <w:rPr>
          <w:lang w:val="en-US"/>
        </w:rPr>
        <w:t>75</w:t>
      </w:r>
      <w:r w:rsidR="005621E0" w:rsidRPr="00CE23AE">
        <w:rPr>
          <w:lang w:val="en-US"/>
        </w:rPr>
        <w:fldChar w:fldCharType="end"/>
      </w:r>
      <w:r w:rsidR="005621E0" w:rsidRPr="00CE23AE">
        <w:rPr>
          <w:lang w:val="en-US"/>
        </w:rPr>
        <w:t xml:space="preserve">). </w:t>
      </w:r>
      <w:r w:rsidRPr="00CE23AE">
        <w:rPr>
          <w:lang w:val="en-US"/>
        </w:rPr>
        <w:t xml:space="preserve">However, this norm and the punishment consequently imposed were established based on a more general legal norm contained in </w:t>
      </w:r>
      <w:r w:rsidR="00C820FA" w:rsidRPr="00CE23AE">
        <w:rPr>
          <w:lang w:val="en-US"/>
        </w:rPr>
        <w:t>a</w:t>
      </w:r>
      <w:r w:rsidR="00C561DF" w:rsidRPr="00CE23AE">
        <w:rPr>
          <w:lang w:val="en-US"/>
        </w:rPr>
        <w:t>rticles</w:t>
      </w:r>
      <w:r w:rsidR="005621E0" w:rsidRPr="00CE23AE">
        <w:rPr>
          <w:lang w:val="en-US"/>
        </w:rPr>
        <w:t xml:space="preserve"> 76</w:t>
      </w:r>
      <w:r w:rsidR="00C561DF" w:rsidRPr="00CE23AE">
        <w:rPr>
          <w:lang w:val="en-US"/>
        </w:rPr>
        <w:t xml:space="preserve"> and </w:t>
      </w:r>
      <w:r w:rsidR="005621E0" w:rsidRPr="00CE23AE">
        <w:rPr>
          <w:lang w:val="en-US"/>
        </w:rPr>
        <w:t>87</w:t>
      </w:r>
      <w:r w:rsidR="008B76F3" w:rsidRPr="00CE23AE">
        <w:rPr>
          <w:lang w:val="en-US"/>
        </w:rPr>
        <w:t xml:space="preserve"> of the Law on Armed Forces Personnel</w:t>
      </w:r>
      <w:r w:rsidR="005621E0" w:rsidRPr="00CE23AE">
        <w:rPr>
          <w:lang w:val="en-US"/>
        </w:rPr>
        <w:t xml:space="preserve">, </w:t>
      </w:r>
      <w:r w:rsidRPr="00CE23AE">
        <w:rPr>
          <w:lang w:val="en-US"/>
        </w:rPr>
        <w:t>which regulated discharge and paid leave due to “misconduct” when “this was for the good of the service,” expressly delegating the determination of those circumstances</w:t>
      </w:r>
      <w:r w:rsidR="00AB6242" w:rsidRPr="00CE23AE">
        <w:rPr>
          <w:lang w:val="en-US"/>
        </w:rPr>
        <w:t xml:space="preserve"> to the “corresponding regulations”</w:t>
      </w:r>
      <w:r w:rsidR="00FC085C" w:rsidRPr="00CE23AE">
        <w:rPr>
          <w:rStyle w:val="Refdenotaalpie"/>
          <w:lang w:val="en-US"/>
        </w:rPr>
        <w:footnoteReference w:id="223"/>
      </w:r>
      <w:r w:rsidR="00FC085C" w:rsidRPr="00CE23AE">
        <w:rPr>
          <w:lang w:val="en-US"/>
        </w:rPr>
        <w:t xml:space="preserve"> </w:t>
      </w:r>
      <w:r w:rsidR="005621E0" w:rsidRPr="00CE23AE">
        <w:rPr>
          <w:lang w:val="en-US"/>
        </w:rPr>
        <w:t>(</w:t>
      </w:r>
      <w:r w:rsidR="005621E0" w:rsidRPr="00CE23AE">
        <w:rPr>
          <w:i/>
          <w:lang w:val="en-US"/>
        </w:rPr>
        <w:t>supra</w:t>
      </w:r>
      <w:r w:rsidR="005621E0" w:rsidRPr="00CE23AE">
        <w:rPr>
          <w:lang w:val="en-US"/>
        </w:rPr>
        <w:t xml:space="preserve"> </w:t>
      </w:r>
      <w:r w:rsidR="005C743F" w:rsidRPr="00CE23AE">
        <w:rPr>
          <w:lang w:val="en-US"/>
        </w:rPr>
        <w:t>para.</w:t>
      </w:r>
      <w:r w:rsidR="005621E0" w:rsidRPr="00CE23AE">
        <w:rPr>
          <w:lang w:val="en-US"/>
        </w:rPr>
        <w:t xml:space="preserve"> </w:t>
      </w:r>
      <w:r w:rsidR="005621E0" w:rsidRPr="00CE23AE">
        <w:rPr>
          <w:lang w:val="en-US"/>
        </w:rPr>
        <w:fldChar w:fldCharType="begin"/>
      </w:r>
      <w:r w:rsidR="005621E0" w:rsidRPr="00CE23AE">
        <w:rPr>
          <w:lang w:val="en-US"/>
        </w:rPr>
        <w:instrText xml:space="preserve"> REF _Ref453869567 \r \h </w:instrText>
      </w:r>
      <w:r w:rsidR="00CE23AE">
        <w:rPr>
          <w:lang w:val="en-US"/>
        </w:rPr>
        <w:instrText xml:space="preserve"> \* MERGEFORMAT </w:instrText>
      </w:r>
      <w:r w:rsidR="005621E0" w:rsidRPr="00CE23AE">
        <w:rPr>
          <w:lang w:val="en-US"/>
        </w:rPr>
      </w:r>
      <w:r w:rsidR="005621E0" w:rsidRPr="00CE23AE">
        <w:rPr>
          <w:lang w:val="en-US"/>
        </w:rPr>
        <w:fldChar w:fldCharType="separate"/>
      </w:r>
      <w:r w:rsidR="00BC2953" w:rsidRPr="00CE23AE">
        <w:rPr>
          <w:lang w:val="en-US"/>
        </w:rPr>
        <w:t>67</w:t>
      </w:r>
      <w:r w:rsidR="005621E0" w:rsidRPr="00CE23AE">
        <w:rPr>
          <w:lang w:val="en-US"/>
        </w:rPr>
        <w:fldChar w:fldCharType="end"/>
      </w:r>
      <w:r w:rsidR="005621E0" w:rsidRPr="00CE23AE">
        <w:rPr>
          <w:lang w:val="en-US"/>
        </w:rPr>
        <w:t xml:space="preserve">). </w:t>
      </w:r>
      <w:r w:rsidRPr="00CE23AE">
        <w:rPr>
          <w:lang w:val="en-US"/>
        </w:rPr>
        <w:t xml:space="preserve">Therefore, contrary to the arguments of </w:t>
      </w:r>
      <w:r w:rsidR="00C561DF" w:rsidRPr="00CE23AE">
        <w:rPr>
          <w:lang w:val="en-US"/>
        </w:rPr>
        <w:t>the representative</w:t>
      </w:r>
      <w:r w:rsidR="005621E0" w:rsidRPr="00CE23AE">
        <w:rPr>
          <w:lang w:val="en-US"/>
        </w:rPr>
        <w:t xml:space="preserve">, </w:t>
      </w:r>
      <w:r w:rsidR="00F5102B" w:rsidRPr="00CE23AE">
        <w:rPr>
          <w:lang w:val="en-US"/>
        </w:rPr>
        <w:t>Mr. Flor</w:t>
      </w:r>
      <w:r w:rsidR="005621E0" w:rsidRPr="00CE23AE">
        <w:rPr>
          <w:lang w:val="en-US"/>
        </w:rPr>
        <w:t xml:space="preserve"> Freire </w:t>
      </w:r>
      <w:r w:rsidRPr="00CE23AE">
        <w:rPr>
          <w:lang w:val="en-US"/>
        </w:rPr>
        <w:t xml:space="preserve">was not punished based exclusively on a regulatory norm. </w:t>
      </w:r>
      <w:r w:rsidR="00F5102B" w:rsidRPr="00CE23AE">
        <w:rPr>
          <w:lang w:val="en-US"/>
        </w:rPr>
        <w:t>Mr. Flor</w:t>
      </w:r>
      <w:r w:rsidR="005621E0" w:rsidRPr="00CE23AE">
        <w:rPr>
          <w:lang w:val="en-US"/>
        </w:rPr>
        <w:t xml:space="preserve"> Freire </w:t>
      </w:r>
      <w:r w:rsidRPr="00CE23AE">
        <w:rPr>
          <w:lang w:val="en-US"/>
        </w:rPr>
        <w:t>was punished based on</w:t>
      </w:r>
      <w:r w:rsidR="005621E0" w:rsidRPr="00CE23AE">
        <w:rPr>
          <w:lang w:val="en-US"/>
        </w:rPr>
        <w:t xml:space="preserve"> </w:t>
      </w:r>
      <w:r w:rsidR="00C820FA" w:rsidRPr="00CE23AE">
        <w:rPr>
          <w:lang w:val="en-US"/>
        </w:rPr>
        <w:t>a</w:t>
      </w:r>
      <w:r w:rsidR="00C561DF" w:rsidRPr="00CE23AE">
        <w:rPr>
          <w:lang w:val="en-US"/>
        </w:rPr>
        <w:t>rticle</w:t>
      </w:r>
      <w:r w:rsidR="005621E0" w:rsidRPr="00CE23AE">
        <w:rPr>
          <w:lang w:val="en-US"/>
        </w:rPr>
        <w:t xml:space="preserve"> 117</w:t>
      </w:r>
      <w:r w:rsidR="00C561DF" w:rsidRPr="00CE23AE">
        <w:rPr>
          <w:lang w:val="en-US"/>
        </w:rPr>
        <w:t xml:space="preserve"> of the </w:t>
      </w:r>
      <w:r w:rsidR="009C5D46" w:rsidRPr="00CE23AE">
        <w:rPr>
          <w:lang w:val="en-US"/>
        </w:rPr>
        <w:t>Military Discipline Regulations</w:t>
      </w:r>
      <w:r w:rsidR="005621E0" w:rsidRPr="00CE23AE">
        <w:rPr>
          <w:lang w:val="en-US"/>
        </w:rPr>
        <w:t xml:space="preserve">, </w:t>
      </w:r>
      <w:r w:rsidRPr="00CE23AE">
        <w:rPr>
          <w:lang w:val="en-US"/>
        </w:rPr>
        <w:t>combined with</w:t>
      </w:r>
      <w:r w:rsidR="005621E0" w:rsidRPr="00CE23AE">
        <w:rPr>
          <w:lang w:val="en-US"/>
        </w:rPr>
        <w:t xml:space="preserve"> </w:t>
      </w:r>
      <w:r w:rsidR="00C820FA" w:rsidRPr="00CE23AE">
        <w:rPr>
          <w:lang w:val="en-US"/>
        </w:rPr>
        <w:t>a</w:t>
      </w:r>
      <w:r w:rsidR="00C561DF" w:rsidRPr="00CE23AE">
        <w:rPr>
          <w:lang w:val="en-US"/>
        </w:rPr>
        <w:t>rticles</w:t>
      </w:r>
      <w:r w:rsidR="005621E0" w:rsidRPr="00CE23AE">
        <w:rPr>
          <w:lang w:val="en-US"/>
        </w:rPr>
        <w:t xml:space="preserve"> 76</w:t>
      </w:r>
      <w:r w:rsidR="00C561DF" w:rsidRPr="00CE23AE">
        <w:rPr>
          <w:lang w:val="en-US"/>
        </w:rPr>
        <w:t xml:space="preserve"> and </w:t>
      </w:r>
      <w:r w:rsidR="005621E0" w:rsidRPr="00CE23AE">
        <w:rPr>
          <w:lang w:val="en-US"/>
        </w:rPr>
        <w:t>87</w:t>
      </w:r>
      <w:r w:rsidR="008B76F3" w:rsidRPr="00CE23AE">
        <w:rPr>
          <w:lang w:val="en-US"/>
        </w:rPr>
        <w:t xml:space="preserve"> of the Law on Armed Forces Personnel</w:t>
      </w:r>
      <w:r w:rsidR="005621E0" w:rsidRPr="00CE23AE">
        <w:rPr>
          <w:lang w:val="en-US"/>
        </w:rPr>
        <w:t xml:space="preserve">, </w:t>
      </w:r>
      <w:r w:rsidRPr="00CE23AE">
        <w:rPr>
          <w:lang w:val="en-US"/>
        </w:rPr>
        <w:t xml:space="preserve">among other norms, as revealed by the </w:t>
      </w:r>
      <w:r w:rsidR="0013582A" w:rsidRPr="00CE23AE">
        <w:rPr>
          <w:lang w:val="en-US"/>
        </w:rPr>
        <w:t>decision of the Court of Law</w:t>
      </w:r>
      <w:r w:rsidR="005621E0" w:rsidRPr="00CE23AE">
        <w:rPr>
          <w:lang w:val="en-US"/>
        </w:rPr>
        <w:t xml:space="preserve"> (</w:t>
      </w:r>
      <w:r w:rsidR="005621E0" w:rsidRPr="00CE23AE">
        <w:rPr>
          <w:i/>
          <w:lang w:val="en-US"/>
        </w:rPr>
        <w:t>supra</w:t>
      </w:r>
      <w:r w:rsidR="005621E0" w:rsidRPr="00CE23AE">
        <w:rPr>
          <w:lang w:val="en-US"/>
        </w:rPr>
        <w:t xml:space="preserve"> </w:t>
      </w:r>
      <w:r w:rsidR="005C743F" w:rsidRPr="00CE23AE">
        <w:rPr>
          <w:lang w:val="en-US"/>
        </w:rPr>
        <w:t>para.</w:t>
      </w:r>
      <w:r w:rsidR="005621E0" w:rsidRPr="00CE23AE">
        <w:rPr>
          <w:lang w:val="en-US"/>
        </w:rPr>
        <w:t xml:space="preserve"> </w:t>
      </w:r>
      <w:r w:rsidR="005621E0" w:rsidRPr="00CE23AE">
        <w:rPr>
          <w:lang w:val="en-US"/>
        </w:rPr>
        <w:fldChar w:fldCharType="begin"/>
      </w:r>
      <w:r w:rsidR="005621E0" w:rsidRPr="00CE23AE">
        <w:rPr>
          <w:lang w:val="en-US"/>
        </w:rPr>
        <w:instrText xml:space="preserve"> REF _Ref453869088 \r \h  \* MERGEFORMAT </w:instrText>
      </w:r>
      <w:r w:rsidR="005621E0" w:rsidRPr="00CE23AE">
        <w:rPr>
          <w:lang w:val="en-US"/>
        </w:rPr>
      </w:r>
      <w:r w:rsidR="005621E0" w:rsidRPr="00CE23AE">
        <w:rPr>
          <w:lang w:val="en-US"/>
        </w:rPr>
        <w:fldChar w:fldCharType="separate"/>
      </w:r>
      <w:r w:rsidR="00BC2953" w:rsidRPr="00CE23AE">
        <w:rPr>
          <w:lang w:val="en-US"/>
        </w:rPr>
        <w:t>77</w:t>
      </w:r>
      <w:r w:rsidR="005621E0" w:rsidRPr="00CE23AE">
        <w:rPr>
          <w:lang w:val="en-US"/>
        </w:rPr>
        <w:fldChar w:fldCharType="end"/>
      </w:r>
      <w:r w:rsidR="005621E0" w:rsidRPr="00CE23AE">
        <w:rPr>
          <w:lang w:val="en-US"/>
        </w:rPr>
        <w:t xml:space="preserve">). </w:t>
      </w:r>
    </w:p>
    <w:p w14:paraId="3236BEE3" w14:textId="77777777" w:rsidR="005621E0" w:rsidRPr="00CE23AE" w:rsidRDefault="005621E0" w:rsidP="005621E0">
      <w:pPr>
        <w:pStyle w:val="PrrafodeSentencia"/>
        <w:numPr>
          <w:ilvl w:val="0"/>
          <w:numId w:val="0"/>
        </w:numPr>
        <w:rPr>
          <w:lang w:val="en-US"/>
        </w:rPr>
      </w:pPr>
    </w:p>
    <w:p w14:paraId="7945E01B" w14:textId="59C70EF1" w:rsidR="005621E0" w:rsidRPr="00CE23AE" w:rsidRDefault="00C561DF" w:rsidP="00802EF5">
      <w:pPr>
        <w:pStyle w:val="PrrafodeSentencia"/>
        <w:rPr>
          <w:b/>
          <w:lang w:val="en-US"/>
        </w:rPr>
      </w:pPr>
      <w:r w:rsidRPr="00CE23AE">
        <w:rPr>
          <w:lang w:val="en-US"/>
        </w:rPr>
        <w:t>Th</w:t>
      </w:r>
      <w:r w:rsidR="00802EF5" w:rsidRPr="00CE23AE">
        <w:rPr>
          <w:lang w:val="en-US"/>
        </w:rPr>
        <w:t>is</w:t>
      </w:r>
      <w:r w:rsidRPr="00CE23AE">
        <w:rPr>
          <w:lang w:val="en-US"/>
        </w:rPr>
        <w:t xml:space="preserve"> Court</w:t>
      </w:r>
      <w:r w:rsidR="005621E0" w:rsidRPr="00CE23AE">
        <w:rPr>
          <w:lang w:val="en-US"/>
        </w:rPr>
        <w:t xml:space="preserve"> ha</w:t>
      </w:r>
      <w:r w:rsidR="00802EF5" w:rsidRPr="00CE23AE">
        <w:rPr>
          <w:lang w:val="en-US"/>
        </w:rPr>
        <w:t>s established that, in the case of disciplinary sanctions, the interpretation or content of certain open or indeterminate conducts, such as “misconduct,” may be specified by regulations or case law in order to avoid excessive discretionality in the use of such concepts.</w:t>
      </w:r>
      <w:r w:rsidR="005621E0" w:rsidRPr="00CE23AE">
        <w:rPr>
          <w:rStyle w:val="Refdenotaalpie"/>
          <w:lang w:val="en-US"/>
        </w:rPr>
        <w:footnoteReference w:id="224"/>
      </w:r>
      <w:r w:rsidR="00802EF5" w:rsidRPr="00CE23AE">
        <w:rPr>
          <w:lang w:val="en-US"/>
        </w:rPr>
        <w:t xml:space="preserve"> Consequently, the Court does not find that the mere fact that the conduct penalized was defined in </w:t>
      </w:r>
      <w:r w:rsidR="005621E0" w:rsidRPr="00CE23AE">
        <w:rPr>
          <w:b/>
          <w:lang w:val="en-US"/>
        </w:rPr>
        <w:t xml:space="preserve"> </w:t>
      </w:r>
      <w:r w:rsidRPr="00CE23AE">
        <w:rPr>
          <w:lang w:val="en-US"/>
        </w:rPr>
        <w:t xml:space="preserve">the </w:t>
      </w:r>
      <w:r w:rsidR="009C5D46" w:rsidRPr="00CE23AE">
        <w:rPr>
          <w:lang w:val="en-US"/>
        </w:rPr>
        <w:t>Military Discipline Regulations</w:t>
      </w:r>
      <w:r w:rsidR="005621E0" w:rsidRPr="00CE23AE">
        <w:rPr>
          <w:lang w:val="en-US"/>
        </w:rPr>
        <w:t xml:space="preserve"> infr</w:t>
      </w:r>
      <w:r w:rsidR="00802EF5" w:rsidRPr="00CE23AE">
        <w:rPr>
          <w:lang w:val="en-US"/>
        </w:rPr>
        <w:t>inged</w:t>
      </w:r>
      <w:r w:rsidR="005621E0" w:rsidRPr="00CE23AE">
        <w:rPr>
          <w:lang w:val="en-US"/>
        </w:rPr>
        <w:t xml:space="preserve"> </w:t>
      </w:r>
      <w:r w:rsidR="00AC18A9" w:rsidRPr="00CE23AE">
        <w:rPr>
          <w:lang w:val="en-US"/>
        </w:rPr>
        <w:t>the principle of legality</w:t>
      </w:r>
      <w:r w:rsidR="005621E0" w:rsidRPr="00CE23AE">
        <w:rPr>
          <w:lang w:val="en-US"/>
        </w:rPr>
        <w:t xml:space="preserve">. </w:t>
      </w:r>
    </w:p>
    <w:p w14:paraId="08B35D41" w14:textId="77777777" w:rsidR="005621E0" w:rsidRPr="00CE23AE" w:rsidRDefault="005621E0" w:rsidP="005621E0">
      <w:pPr>
        <w:pStyle w:val="PrrafodeSentencia"/>
        <w:numPr>
          <w:ilvl w:val="0"/>
          <w:numId w:val="0"/>
        </w:numPr>
        <w:rPr>
          <w:b/>
          <w:lang w:val="en-US"/>
        </w:rPr>
      </w:pPr>
    </w:p>
    <w:p w14:paraId="640D3A3D" w14:textId="01A81666" w:rsidR="005621E0" w:rsidRPr="00CE23AE" w:rsidRDefault="000279C7" w:rsidP="0009196A">
      <w:pPr>
        <w:pStyle w:val="PrrafodeSentencia"/>
        <w:rPr>
          <w:b/>
          <w:lang w:val="en-US"/>
        </w:rPr>
      </w:pPr>
      <w:r w:rsidRPr="00CE23AE">
        <w:rPr>
          <w:lang w:val="en-US"/>
        </w:rPr>
        <w:t>That said, according to</w:t>
      </w:r>
      <w:r w:rsidR="005621E0" w:rsidRPr="00CE23AE">
        <w:rPr>
          <w:lang w:val="en-US"/>
        </w:rPr>
        <w:t xml:space="preserve"> </w:t>
      </w:r>
      <w:r w:rsidR="00C561DF" w:rsidRPr="00CE23AE">
        <w:rPr>
          <w:lang w:val="en-US"/>
        </w:rPr>
        <w:t>Article</w:t>
      </w:r>
      <w:r w:rsidR="005621E0" w:rsidRPr="00CE23AE">
        <w:rPr>
          <w:lang w:val="en-US"/>
        </w:rPr>
        <w:t xml:space="preserve"> 29</w:t>
      </w:r>
      <w:r w:rsidRPr="00CE23AE">
        <w:rPr>
          <w:lang w:val="en-US"/>
        </w:rPr>
        <w:t>(</w:t>
      </w:r>
      <w:r w:rsidR="005621E0" w:rsidRPr="00CE23AE">
        <w:rPr>
          <w:lang w:val="en-US"/>
        </w:rPr>
        <w:t>b</w:t>
      </w:r>
      <w:r w:rsidRPr="00CE23AE">
        <w:rPr>
          <w:lang w:val="en-US"/>
        </w:rPr>
        <w:t>)</w:t>
      </w:r>
      <w:r w:rsidR="00C561DF" w:rsidRPr="00CE23AE">
        <w:rPr>
          <w:lang w:val="en-US"/>
        </w:rPr>
        <w:t xml:space="preserve"> of the Convention</w:t>
      </w:r>
      <w:r w:rsidR="005621E0" w:rsidRPr="00CE23AE">
        <w:rPr>
          <w:lang w:val="en-US"/>
        </w:rPr>
        <w:t xml:space="preserve">, </w:t>
      </w:r>
      <w:r w:rsidRPr="00CE23AE">
        <w:rPr>
          <w:lang w:val="en-US"/>
        </w:rPr>
        <w:t xml:space="preserve">no provision </w:t>
      </w:r>
      <w:r w:rsidR="00C561DF" w:rsidRPr="00CE23AE">
        <w:rPr>
          <w:lang w:val="en-US"/>
        </w:rPr>
        <w:t>of the Convention</w:t>
      </w:r>
      <w:r w:rsidR="005621E0" w:rsidRPr="00CE23AE">
        <w:rPr>
          <w:lang w:val="en-US"/>
        </w:rPr>
        <w:t xml:space="preserve"> </w:t>
      </w:r>
      <w:r w:rsidRPr="00CE23AE">
        <w:rPr>
          <w:lang w:val="en-US"/>
        </w:rPr>
        <w:t>may be interpreted as “</w:t>
      </w:r>
      <w:r w:rsidRPr="00CE23AE">
        <w:rPr>
          <w:spacing w:val="-3"/>
          <w:lang w:val="en-US"/>
        </w:rPr>
        <w:t>restricting the enjoyment or exercise of any right or freedom recognized by virtue of the laws of any State Party” to the Convention. According to the representative, article 24(1)</w:t>
      </w:r>
      <w:r w:rsidR="005621E0" w:rsidRPr="00CE23AE">
        <w:rPr>
          <w:rStyle w:val="Refdenotaalpie"/>
          <w:rFonts w:eastAsia="Times New Roman"/>
          <w:lang w:val="en-US" w:eastAsia="es-CR"/>
        </w:rPr>
        <w:footnoteReference w:id="225"/>
      </w:r>
      <w:r w:rsidR="0005476C" w:rsidRPr="00CE23AE">
        <w:rPr>
          <w:lang w:val="en-US"/>
        </w:rPr>
        <w:t xml:space="preserve"> of the </w:t>
      </w:r>
      <w:r w:rsidRPr="00CE23AE">
        <w:rPr>
          <w:lang w:val="en-US"/>
        </w:rPr>
        <w:t xml:space="preserve">Ecuadorian </w:t>
      </w:r>
      <w:r w:rsidR="0005476C" w:rsidRPr="00CE23AE">
        <w:rPr>
          <w:lang w:val="en-US"/>
        </w:rPr>
        <w:t>Constitution</w:t>
      </w:r>
      <w:r w:rsidR="005621E0" w:rsidRPr="00CE23AE">
        <w:rPr>
          <w:lang w:val="en-US"/>
        </w:rPr>
        <w:t xml:space="preserve"> </w:t>
      </w:r>
      <w:r w:rsidRPr="00CE23AE">
        <w:rPr>
          <w:lang w:val="en-US"/>
        </w:rPr>
        <w:t>requires the offense established in a</w:t>
      </w:r>
      <w:r w:rsidR="00C561DF" w:rsidRPr="00CE23AE">
        <w:rPr>
          <w:lang w:val="en-US"/>
        </w:rPr>
        <w:t>rticle</w:t>
      </w:r>
      <w:r w:rsidR="005621E0" w:rsidRPr="00CE23AE">
        <w:rPr>
          <w:lang w:val="en-US"/>
        </w:rPr>
        <w:t xml:space="preserve"> 117</w:t>
      </w:r>
      <w:r w:rsidR="00C561DF" w:rsidRPr="00CE23AE">
        <w:rPr>
          <w:lang w:val="en-US"/>
        </w:rPr>
        <w:t xml:space="preserve"> of the </w:t>
      </w:r>
      <w:r w:rsidR="009C5D46" w:rsidRPr="00CE23AE">
        <w:rPr>
          <w:lang w:val="en-US"/>
        </w:rPr>
        <w:t>Military Discipline Regulations</w:t>
      </w:r>
      <w:r w:rsidR="005621E0" w:rsidRPr="00CE23AE">
        <w:rPr>
          <w:lang w:val="en-US"/>
        </w:rPr>
        <w:t xml:space="preserve"> </w:t>
      </w:r>
      <w:r w:rsidRPr="00CE23AE">
        <w:rPr>
          <w:lang w:val="en-US"/>
        </w:rPr>
        <w:t xml:space="preserve">to be formally defined in a law. However, this Court notes that </w:t>
      </w:r>
      <w:r w:rsidR="00C561DF" w:rsidRPr="00CE23AE">
        <w:rPr>
          <w:lang w:val="en-US"/>
        </w:rPr>
        <w:t>the representative</w:t>
      </w:r>
      <w:r w:rsidR="005621E0" w:rsidRPr="00CE23AE">
        <w:rPr>
          <w:lang w:val="en-US"/>
        </w:rPr>
        <w:t xml:space="preserve"> </w:t>
      </w:r>
      <w:r w:rsidR="00802EF5" w:rsidRPr="00CE23AE">
        <w:rPr>
          <w:lang w:val="en-US"/>
        </w:rPr>
        <w:t xml:space="preserve">has not provided evidence other than the text of this article as grounds for his assertion. The Court recalls that the international jurisdiction is </w:t>
      </w:r>
      <w:r w:rsidR="0009196A" w:rsidRPr="00CE23AE">
        <w:rPr>
          <w:lang w:val="en-US"/>
        </w:rPr>
        <w:t>comp</w:t>
      </w:r>
      <w:r w:rsidR="00802EF5" w:rsidRPr="00CE23AE">
        <w:rPr>
          <w:lang w:val="en-US"/>
        </w:rPr>
        <w:t>lementary</w:t>
      </w:r>
      <w:r w:rsidR="0009196A" w:rsidRPr="00CE23AE">
        <w:rPr>
          <w:lang w:val="en-US"/>
        </w:rPr>
        <w:t xml:space="preserve"> and auxiliary</w:t>
      </w:r>
      <w:r w:rsidR="00802EF5" w:rsidRPr="00CE23AE">
        <w:rPr>
          <w:lang w:val="en-US"/>
        </w:rPr>
        <w:t xml:space="preserve"> in nature</w:t>
      </w:r>
      <w:r w:rsidR="0009196A" w:rsidRPr="00CE23AE">
        <w:rPr>
          <w:lang w:val="en-US"/>
        </w:rPr>
        <w:t>,</w:t>
      </w:r>
      <w:r w:rsidR="005621E0" w:rsidRPr="00CE23AE">
        <w:rPr>
          <w:rStyle w:val="Refdenotaalpie"/>
          <w:rFonts w:eastAsia="Times New Roman"/>
          <w:lang w:val="en-US" w:eastAsia="es-CR"/>
        </w:rPr>
        <w:footnoteReference w:id="226"/>
      </w:r>
      <w:r w:rsidR="005621E0" w:rsidRPr="00CE23AE">
        <w:rPr>
          <w:rFonts w:eastAsia="Times New Roman"/>
          <w:lang w:val="en-US" w:eastAsia="es-CR"/>
        </w:rPr>
        <w:t xml:space="preserve"> </w:t>
      </w:r>
      <w:r w:rsidR="0009196A" w:rsidRPr="00CE23AE">
        <w:rPr>
          <w:rFonts w:eastAsia="Times New Roman"/>
          <w:lang w:val="en-US" w:eastAsia="es-CR"/>
        </w:rPr>
        <w:t>and it is not incumbent on</w:t>
      </w:r>
      <w:r w:rsidR="004A2025" w:rsidRPr="00CE23AE">
        <w:rPr>
          <w:rFonts w:eastAsia="Times New Roman"/>
          <w:lang w:val="en-US" w:eastAsia="es-CR"/>
        </w:rPr>
        <w:t xml:space="preserve"> </w:t>
      </w:r>
      <w:r w:rsidR="00000AD5" w:rsidRPr="00CE23AE">
        <w:rPr>
          <w:rFonts w:eastAsia="Times New Roman"/>
          <w:lang w:val="en-US" w:eastAsia="es-CR"/>
        </w:rPr>
        <w:t>this Court</w:t>
      </w:r>
      <w:r w:rsidR="004A2025" w:rsidRPr="00CE23AE">
        <w:rPr>
          <w:rFonts w:eastAsia="Times New Roman"/>
          <w:lang w:val="en-US" w:eastAsia="es-CR"/>
        </w:rPr>
        <w:t xml:space="preserve"> </w:t>
      </w:r>
      <w:r w:rsidR="0009196A" w:rsidRPr="00CE23AE">
        <w:rPr>
          <w:rFonts w:eastAsia="Times New Roman"/>
          <w:lang w:val="en-US" w:eastAsia="es-CR"/>
        </w:rPr>
        <w:t>to rule on the legal effects of domestic laws in the domestic or national sphere,</w:t>
      </w:r>
      <w:r w:rsidR="005621E0" w:rsidRPr="00CE23AE">
        <w:rPr>
          <w:rStyle w:val="Refdenotaalpie"/>
          <w:rFonts w:eastAsia="Times New Roman"/>
          <w:lang w:val="en-US" w:eastAsia="es-CR"/>
        </w:rPr>
        <w:footnoteReference w:id="227"/>
      </w:r>
      <w:r w:rsidR="0009196A" w:rsidRPr="00CE23AE">
        <w:rPr>
          <w:rFonts w:eastAsia="Times New Roman"/>
          <w:lang w:val="en-US" w:eastAsia="es-CR"/>
        </w:rPr>
        <w:t xml:space="preserve"> or to interpret them. That is the exclusive role of the domestic courts and must be decided pursuant to their own laws.</w:t>
      </w:r>
      <w:r w:rsidR="005621E0" w:rsidRPr="00CE23AE">
        <w:rPr>
          <w:rStyle w:val="Refdenotaalpie"/>
          <w:rFonts w:eastAsia="Times New Roman"/>
          <w:lang w:val="en-US" w:eastAsia="es-CR"/>
        </w:rPr>
        <w:footnoteReference w:id="228"/>
      </w:r>
      <w:r w:rsidR="005621E0" w:rsidRPr="00CE23AE">
        <w:rPr>
          <w:rFonts w:eastAsia="Times New Roman"/>
          <w:lang w:val="en-US" w:eastAsia="es-CR"/>
        </w:rPr>
        <w:t xml:space="preserve"> </w:t>
      </w:r>
      <w:r w:rsidR="0009196A" w:rsidRPr="00CE23AE">
        <w:rPr>
          <w:rFonts w:eastAsia="Times New Roman"/>
          <w:lang w:val="en-US" w:eastAsia="es-CR"/>
        </w:rPr>
        <w:t xml:space="preserve">Consequently, the burden of proof corresponded to the representative to substantiate that the interpretation corresponding to </w:t>
      </w:r>
      <w:r w:rsidRPr="00CE23AE">
        <w:rPr>
          <w:rFonts w:eastAsia="Times New Roman"/>
          <w:lang w:val="en-US" w:eastAsia="es-CR"/>
        </w:rPr>
        <w:t>a</w:t>
      </w:r>
      <w:r w:rsidR="00C561DF" w:rsidRPr="00CE23AE">
        <w:rPr>
          <w:rFonts w:eastAsia="Times New Roman"/>
          <w:lang w:val="en-US" w:eastAsia="es-CR"/>
        </w:rPr>
        <w:t>rticle</w:t>
      </w:r>
      <w:r w:rsidR="005621E0" w:rsidRPr="00CE23AE">
        <w:rPr>
          <w:rFonts w:eastAsia="Times New Roman"/>
          <w:lang w:val="en-US" w:eastAsia="es-CR"/>
        </w:rPr>
        <w:t xml:space="preserve"> 24</w:t>
      </w:r>
      <w:r w:rsidRPr="00CE23AE">
        <w:rPr>
          <w:rFonts w:eastAsia="Times New Roman"/>
          <w:lang w:val="en-US" w:eastAsia="es-CR"/>
        </w:rPr>
        <w:t>(</w:t>
      </w:r>
      <w:r w:rsidR="005621E0" w:rsidRPr="00CE23AE">
        <w:rPr>
          <w:rFonts w:eastAsia="Times New Roman"/>
          <w:lang w:val="en-US" w:eastAsia="es-CR"/>
        </w:rPr>
        <w:t>1</w:t>
      </w:r>
      <w:r w:rsidRPr="00CE23AE">
        <w:rPr>
          <w:rFonts w:eastAsia="Times New Roman"/>
          <w:lang w:val="en-US" w:eastAsia="es-CR"/>
        </w:rPr>
        <w:t>)</w:t>
      </w:r>
      <w:r w:rsidR="0005476C" w:rsidRPr="00CE23AE">
        <w:rPr>
          <w:rFonts w:eastAsia="Times New Roman"/>
          <w:lang w:val="en-US" w:eastAsia="es-CR"/>
        </w:rPr>
        <w:t xml:space="preserve"> of the </w:t>
      </w:r>
      <w:r w:rsidRPr="00CE23AE">
        <w:rPr>
          <w:rFonts w:eastAsia="Times New Roman"/>
          <w:lang w:val="en-US" w:eastAsia="es-CR"/>
        </w:rPr>
        <w:t xml:space="preserve">1998 Ecuadorian </w:t>
      </w:r>
      <w:r w:rsidR="0005476C" w:rsidRPr="00CE23AE">
        <w:rPr>
          <w:rFonts w:eastAsia="Times New Roman"/>
          <w:lang w:val="en-US" w:eastAsia="es-CR"/>
        </w:rPr>
        <w:t>Constitution</w:t>
      </w:r>
      <w:r w:rsidR="005621E0" w:rsidRPr="00CE23AE">
        <w:rPr>
          <w:rFonts w:eastAsia="Times New Roman"/>
          <w:lang w:val="en-US" w:eastAsia="es-CR"/>
        </w:rPr>
        <w:t xml:space="preserve">, </w:t>
      </w:r>
      <w:r w:rsidR="0009196A" w:rsidRPr="00CE23AE">
        <w:rPr>
          <w:rFonts w:eastAsia="Times New Roman"/>
          <w:lang w:val="en-US" w:eastAsia="es-CR"/>
        </w:rPr>
        <w:t>as it was applied under the domestic legal system, is th</w:t>
      </w:r>
      <w:r w:rsidR="00AB6242" w:rsidRPr="00CE23AE">
        <w:rPr>
          <w:rFonts w:eastAsia="Times New Roman"/>
          <w:lang w:val="en-US" w:eastAsia="es-CR"/>
        </w:rPr>
        <w:t>e one that</w:t>
      </w:r>
      <w:r w:rsidR="0009196A" w:rsidRPr="00CE23AE">
        <w:rPr>
          <w:rFonts w:eastAsia="Times New Roman"/>
          <w:lang w:val="en-US" w:eastAsia="es-CR"/>
        </w:rPr>
        <w:t xml:space="preserve"> he has argued before this Court. However, </w:t>
      </w:r>
      <w:r w:rsidR="00C561DF" w:rsidRPr="00CE23AE">
        <w:rPr>
          <w:rFonts w:eastAsia="Times New Roman"/>
          <w:lang w:val="en-US" w:eastAsia="es-CR"/>
        </w:rPr>
        <w:t>the representative</w:t>
      </w:r>
      <w:r w:rsidR="005621E0" w:rsidRPr="00CE23AE">
        <w:rPr>
          <w:rFonts w:eastAsia="Times New Roman"/>
          <w:lang w:val="en-US" w:eastAsia="es-CR"/>
        </w:rPr>
        <w:t xml:space="preserve"> </w:t>
      </w:r>
      <w:r w:rsidR="0009196A" w:rsidRPr="00CE23AE">
        <w:rPr>
          <w:rFonts w:eastAsia="Times New Roman"/>
          <w:lang w:val="en-US" w:eastAsia="es-CR"/>
        </w:rPr>
        <w:t>did not provide this substantiation.</w:t>
      </w:r>
    </w:p>
    <w:p w14:paraId="6A8015C4" w14:textId="77777777" w:rsidR="005621E0" w:rsidRPr="00CE23AE" w:rsidRDefault="005621E0" w:rsidP="005621E0">
      <w:pPr>
        <w:pStyle w:val="PrrafodeSentencia"/>
        <w:numPr>
          <w:ilvl w:val="0"/>
          <w:numId w:val="0"/>
        </w:numPr>
        <w:rPr>
          <w:b/>
          <w:lang w:val="en-US"/>
        </w:rPr>
      </w:pPr>
    </w:p>
    <w:p w14:paraId="4ECFF7B7" w14:textId="16E2A335" w:rsidR="005621E0" w:rsidRPr="00CE23AE" w:rsidRDefault="0009196A" w:rsidP="00912D9A">
      <w:pPr>
        <w:pStyle w:val="PrrafodeSentencia"/>
        <w:rPr>
          <w:b/>
          <w:lang w:val="en-US"/>
        </w:rPr>
      </w:pPr>
      <w:bookmarkStart w:id="394" w:name="_Ref464476804"/>
      <w:r w:rsidRPr="00CE23AE">
        <w:rPr>
          <w:lang w:val="en-US"/>
        </w:rPr>
        <w:t xml:space="preserve">Regarding the representative’s second argument, according to which </w:t>
      </w:r>
      <w:r w:rsidR="00F5102B" w:rsidRPr="00CE23AE">
        <w:rPr>
          <w:lang w:val="en-US"/>
        </w:rPr>
        <w:t>Mr. Flor</w:t>
      </w:r>
      <w:r w:rsidR="005621E0" w:rsidRPr="00CE23AE">
        <w:rPr>
          <w:lang w:val="en-US"/>
        </w:rPr>
        <w:t xml:space="preserve"> Freire </w:t>
      </w:r>
      <w:r w:rsidRPr="00CE23AE">
        <w:rPr>
          <w:lang w:val="en-US"/>
        </w:rPr>
        <w:t>should not have received a disciplinary sanction for a conduct that had been decriminalized, the Court notes that there is no Convention-based obligation establishing that it is not possible to issue a disciplinary sanction for conduct</w:t>
      </w:r>
      <w:r w:rsidR="00AB6242" w:rsidRPr="00CE23AE">
        <w:rPr>
          <w:lang w:val="en-US"/>
        </w:rPr>
        <w:t>s</w:t>
      </w:r>
      <w:r w:rsidRPr="00CE23AE">
        <w:rPr>
          <w:lang w:val="en-US"/>
        </w:rPr>
        <w:t xml:space="preserve"> that are not criminal offenses. The purpose of disciplinary control is to assess </w:t>
      </w:r>
      <w:r w:rsidR="00AB6242" w:rsidRPr="00CE23AE">
        <w:rPr>
          <w:lang w:val="en-US"/>
        </w:rPr>
        <w:lastRenderedPageBreak/>
        <w:t>a person’s</w:t>
      </w:r>
      <w:r w:rsidRPr="00CE23AE">
        <w:rPr>
          <w:lang w:val="en-US"/>
        </w:rPr>
        <w:t xml:space="preserve"> conduct, suitability and performance for a position or function as a public official.</w:t>
      </w:r>
      <w:r w:rsidR="005621E0" w:rsidRPr="00CE23AE">
        <w:rPr>
          <w:rStyle w:val="Refdenotaalpie"/>
          <w:lang w:val="en-US"/>
        </w:rPr>
        <w:footnoteReference w:id="229"/>
      </w:r>
      <w:r w:rsidRPr="00CE23AE">
        <w:rPr>
          <w:lang w:val="en-US"/>
        </w:rPr>
        <w:t xml:space="preserve"> The purpose of criminal control is to punish conducts that harm legal rights and interests and that the legislator finds it reasonable and proportionate to condemn in the interest of the proper functioning of society. Although they are both an expression of the State’s punitive powers,</w:t>
      </w:r>
      <w:r w:rsidRPr="00CE23AE">
        <w:rPr>
          <w:rStyle w:val="Refdenotaalpie"/>
          <w:lang w:val="en-US"/>
        </w:rPr>
        <w:footnoteReference w:id="230"/>
      </w:r>
      <w:r w:rsidRPr="00CE23AE">
        <w:rPr>
          <w:lang w:val="en-US"/>
        </w:rPr>
        <w:t xml:space="preserve"> </w:t>
      </w:r>
      <w:r w:rsidR="00912D9A" w:rsidRPr="00CE23AE">
        <w:rPr>
          <w:lang w:val="en-US"/>
        </w:rPr>
        <w:t>they do not necessarily coincide</w:t>
      </w:r>
      <w:r w:rsidR="00AB6242" w:rsidRPr="00CE23AE">
        <w:rPr>
          <w:lang w:val="en-US"/>
        </w:rPr>
        <w:t>,</w:t>
      </w:r>
      <w:r w:rsidR="00912D9A" w:rsidRPr="00CE23AE">
        <w:rPr>
          <w:lang w:val="en-US"/>
        </w:rPr>
        <w:t xml:space="preserve"> nor do they have to coincide. Therefore, the Court does not consider that the decriminalization of the “offense of homosexuality” in Ecuador means that Mr. Flor Freire could not receive a disciplinary sanction for presumably executing homosexual sexual acts on military premises, without prejudice to this Court’s </w:t>
      </w:r>
      <w:r w:rsidR="00C561DF" w:rsidRPr="00CE23AE">
        <w:rPr>
          <w:lang w:val="en-US"/>
        </w:rPr>
        <w:t>conclusions</w:t>
      </w:r>
      <w:r w:rsidR="005621E0" w:rsidRPr="00CE23AE">
        <w:rPr>
          <w:lang w:val="en-US"/>
        </w:rPr>
        <w:t xml:space="preserve"> </w:t>
      </w:r>
      <w:r w:rsidR="00912D9A" w:rsidRPr="00CE23AE">
        <w:rPr>
          <w:lang w:val="en-US"/>
        </w:rPr>
        <w:t xml:space="preserve">on the discriminatory </w:t>
      </w:r>
      <w:r w:rsidR="00522A39" w:rsidRPr="00CE23AE">
        <w:rPr>
          <w:lang w:val="en-US"/>
        </w:rPr>
        <w:t>nature</w:t>
      </w:r>
      <w:r w:rsidR="00912D9A" w:rsidRPr="00CE23AE">
        <w:rPr>
          <w:lang w:val="en-US"/>
        </w:rPr>
        <w:t xml:space="preserve"> of the sanction due to the greater gravity associated with homosexual sexual acts </w:t>
      </w:r>
      <w:r w:rsidR="005621E0" w:rsidRPr="00CE23AE">
        <w:rPr>
          <w:lang w:val="en-US"/>
        </w:rPr>
        <w:t>(</w:t>
      </w:r>
      <w:r w:rsidR="005621E0" w:rsidRPr="00CE23AE">
        <w:rPr>
          <w:i/>
          <w:lang w:val="en-US"/>
        </w:rPr>
        <w:t>supra</w:t>
      </w:r>
      <w:r w:rsidR="005621E0" w:rsidRPr="00CE23AE">
        <w:rPr>
          <w:lang w:val="en-US"/>
        </w:rPr>
        <w:t xml:space="preserve"> </w:t>
      </w:r>
      <w:r w:rsidR="005C743F" w:rsidRPr="00CE23AE">
        <w:rPr>
          <w:lang w:val="en-US"/>
        </w:rPr>
        <w:t>paras.</w:t>
      </w:r>
      <w:r w:rsidR="005621E0" w:rsidRPr="00CE23AE">
        <w:rPr>
          <w:lang w:val="en-US"/>
        </w:rPr>
        <w:t xml:space="preserve"> </w:t>
      </w:r>
      <w:r w:rsidR="005621E0" w:rsidRPr="00CE23AE">
        <w:rPr>
          <w:lang w:val="en-US"/>
        </w:rPr>
        <w:fldChar w:fldCharType="begin"/>
      </w:r>
      <w:r w:rsidR="005621E0" w:rsidRPr="00CE23AE">
        <w:rPr>
          <w:lang w:val="en-US"/>
        </w:rPr>
        <w:instrText xml:space="preserve"> REF _Ref455483917 \r \h </w:instrText>
      </w:r>
      <w:r w:rsidR="00CE23AE">
        <w:rPr>
          <w:lang w:val="en-US"/>
        </w:rPr>
        <w:instrText xml:space="preserve"> \* MERGEFORMAT </w:instrText>
      </w:r>
      <w:r w:rsidR="005621E0" w:rsidRPr="00CE23AE">
        <w:rPr>
          <w:lang w:val="en-US"/>
        </w:rPr>
      </w:r>
      <w:r w:rsidR="005621E0" w:rsidRPr="00CE23AE">
        <w:rPr>
          <w:lang w:val="en-US"/>
        </w:rPr>
        <w:fldChar w:fldCharType="separate"/>
      </w:r>
      <w:r w:rsidR="00BC2953" w:rsidRPr="00CE23AE">
        <w:rPr>
          <w:lang w:val="en-US"/>
        </w:rPr>
        <w:t>108</w:t>
      </w:r>
      <w:r w:rsidR="005621E0" w:rsidRPr="00CE23AE">
        <w:rPr>
          <w:lang w:val="en-US"/>
        </w:rPr>
        <w:fldChar w:fldCharType="end"/>
      </w:r>
      <w:r w:rsidR="005621E0" w:rsidRPr="00CE23AE">
        <w:rPr>
          <w:lang w:val="en-US"/>
        </w:rPr>
        <w:t xml:space="preserve"> </w:t>
      </w:r>
      <w:r w:rsidR="00912D9A" w:rsidRPr="00CE23AE">
        <w:rPr>
          <w:lang w:val="en-US"/>
        </w:rPr>
        <w:t>to</w:t>
      </w:r>
      <w:r w:rsidR="005621E0" w:rsidRPr="00CE23AE">
        <w:rPr>
          <w:lang w:val="en-US"/>
        </w:rPr>
        <w:t xml:space="preserve"> </w:t>
      </w:r>
      <w:r w:rsidR="005621E0" w:rsidRPr="00CE23AE">
        <w:rPr>
          <w:lang w:val="en-US"/>
        </w:rPr>
        <w:fldChar w:fldCharType="begin"/>
      </w:r>
      <w:r w:rsidR="005621E0" w:rsidRPr="00CE23AE">
        <w:rPr>
          <w:lang w:val="en-US"/>
        </w:rPr>
        <w:instrText xml:space="preserve"> REF _Ref453868596 \r \h </w:instrText>
      </w:r>
      <w:r w:rsidR="00CE23AE">
        <w:rPr>
          <w:lang w:val="en-US"/>
        </w:rPr>
        <w:instrText xml:space="preserve"> \* MERGEFORMAT </w:instrText>
      </w:r>
      <w:r w:rsidR="005621E0" w:rsidRPr="00CE23AE">
        <w:rPr>
          <w:lang w:val="en-US"/>
        </w:rPr>
      </w:r>
      <w:r w:rsidR="005621E0" w:rsidRPr="00CE23AE">
        <w:rPr>
          <w:lang w:val="en-US"/>
        </w:rPr>
        <w:fldChar w:fldCharType="separate"/>
      </w:r>
      <w:r w:rsidR="00BC2953" w:rsidRPr="00CE23AE">
        <w:rPr>
          <w:lang w:val="en-US"/>
        </w:rPr>
        <w:t>140</w:t>
      </w:r>
      <w:r w:rsidR="005621E0" w:rsidRPr="00CE23AE">
        <w:rPr>
          <w:lang w:val="en-US"/>
        </w:rPr>
        <w:fldChar w:fldCharType="end"/>
      </w:r>
      <w:r w:rsidR="005621E0" w:rsidRPr="00CE23AE">
        <w:rPr>
          <w:lang w:val="en-US"/>
        </w:rPr>
        <w:t>).</w:t>
      </w:r>
      <w:bookmarkEnd w:id="394"/>
    </w:p>
    <w:p w14:paraId="1B5EF675" w14:textId="77777777" w:rsidR="005621E0" w:rsidRPr="00CE23AE" w:rsidRDefault="005621E0" w:rsidP="005621E0">
      <w:pPr>
        <w:pStyle w:val="PrrafodeSentencia"/>
        <w:numPr>
          <w:ilvl w:val="0"/>
          <w:numId w:val="0"/>
        </w:numPr>
        <w:rPr>
          <w:b/>
          <w:lang w:val="en-US"/>
        </w:rPr>
      </w:pPr>
    </w:p>
    <w:p w14:paraId="68569F31" w14:textId="1FEA26CF" w:rsidR="009009F9" w:rsidRPr="00CE23AE" w:rsidRDefault="00912D9A" w:rsidP="005621E0">
      <w:pPr>
        <w:pStyle w:val="PrrafodeSentencia"/>
        <w:rPr>
          <w:b/>
          <w:lang w:val="en-US"/>
        </w:rPr>
      </w:pPr>
      <w:bookmarkStart w:id="395" w:name="_Ref455671667"/>
      <w:r w:rsidRPr="00CE23AE">
        <w:rPr>
          <w:lang w:val="en-US"/>
        </w:rPr>
        <w:t>Based on</w:t>
      </w:r>
      <w:r w:rsidR="000279C7" w:rsidRPr="00CE23AE">
        <w:rPr>
          <w:lang w:val="en-US"/>
        </w:rPr>
        <w:t xml:space="preserve"> the above, the Court concludes that the Ecuadorian regulations on which the punishment of </w:t>
      </w:r>
      <w:r w:rsidR="00000AE1" w:rsidRPr="00CE23AE">
        <w:rPr>
          <w:rFonts w:eastAsia="Times New Roman"/>
          <w:lang w:val="en-US" w:eastAsia="es-CR"/>
        </w:rPr>
        <w:t>Mr.</w:t>
      </w:r>
      <w:r w:rsidR="00F5102B" w:rsidRPr="00CE23AE">
        <w:rPr>
          <w:rFonts w:eastAsia="Times New Roman"/>
          <w:lang w:val="en-US" w:eastAsia="es-CR"/>
        </w:rPr>
        <w:t xml:space="preserve"> Flor</w:t>
      </w:r>
      <w:r w:rsidR="005621E0" w:rsidRPr="00CE23AE">
        <w:rPr>
          <w:rFonts w:eastAsia="Times New Roman"/>
          <w:lang w:val="en-US" w:eastAsia="es-CR"/>
        </w:rPr>
        <w:t xml:space="preserve"> Freire</w:t>
      </w:r>
      <w:r w:rsidR="000279C7" w:rsidRPr="00CE23AE">
        <w:rPr>
          <w:rFonts w:eastAsia="Times New Roman"/>
          <w:lang w:val="en-US" w:eastAsia="es-CR"/>
        </w:rPr>
        <w:t xml:space="preserve"> was based do not infringe the Convention</w:t>
      </w:r>
      <w:r w:rsidR="00AB6242" w:rsidRPr="00CE23AE">
        <w:rPr>
          <w:rFonts w:eastAsia="Times New Roman"/>
          <w:lang w:val="en-US" w:eastAsia="es-CR"/>
        </w:rPr>
        <w:t>-based</w:t>
      </w:r>
      <w:r w:rsidR="000279C7" w:rsidRPr="00CE23AE">
        <w:rPr>
          <w:rFonts w:eastAsia="Times New Roman"/>
          <w:lang w:val="en-US" w:eastAsia="es-CR"/>
        </w:rPr>
        <w:t xml:space="preserve"> standards for </w:t>
      </w:r>
      <w:r w:rsidR="00AC18A9" w:rsidRPr="00CE23AE">
        <w:rPr>
          <w:rFonts w:eastAsia="Times New Roman"/>
          <w:lang w:val="en-US" w:eastAsia="es-CR"/>
        </w:rPr>
        <w:t>the principle of legality</w:t>
      </w:r>
      <w:r w:rsidR="005621E0" w:rsidRPr="00CE23AE">
        <w:rPr>
          <w:rFonts w:eastAsia="Times New Roman"/>
          <w:lang w:val="en-US" w:eastAsia="es-CR"/>
        </w:rPr>
        <w:t xml:space="preserve"> </w:t>
      </w:r>
      <w:r w:rsidR="000279C7" w:rsidRPr="00CE23AE">
        <w:rPr>
          <w:rFonts w:eastAsia="Times New Roman"/>
          <w:lang w:val="en-US" w:eastAsia="es-CR"/>
        </w:rPr>
        <w:t>in disciplinary matters</w:t>
      </w:r>
      <w:r w:rsidR="00AB6242" w:rsidRPr="00CE23AE">
        <w:rPr>
          <w:rFonts w:eastAsia="Times New Roman"/>
          <w:lang w:val="en-US" w:eastAsia="es-CR"/>
        </w:rPr>
        <w:t>.</w:t>
      </w:r>
      <w:r w:rsidR="000279C7" w:rsidRPr="00CE23AE">
        <w:rPr>
          <w:rFonts w:eastAsia="Times New Roman"/>
          <w:lang w:val="en-US" w:eastAsia="es-CR"/>
        </w:rPr>
        <w:t xml:space="preserve"> </w:t>
      </w:r>
      <w:r w:rsidR="00AB6242" w:rsidRPr="00CE23AE">
        <w:rPr>
          <w:rFonts w:eastAsia="Times New Roman"/>
          <w:lang w:val="en-US" w:eastAsia="es-CR"/>
        </w:rPr>
        <w:t>M</w:t>
      </w:r>
      <w:r w:rsidR="000279C7" w:rsidRPr="00CE23AE">
        <w:rPr>
          <w:rFonts w:eastAsia="Times New Roman"/>
          <w:lang w:val="en-US" w:eastAsia="es-CR"/>
        </w:rPr>
        <w:t>oreover</w:t>
      </w:r>
      <w:r w:rsidR="00AB6242" w:rsidRPr="00CE23AE">
        <w:rPr>
          <w:rFonts w:eastAsia="Times New Roman"/>
          <w:lang w:val="en-US" w:eastAsia="es-CR"/>
        </w:rPr>
        <w:t>,</w:t>
      </w:r>
      <w:r w:rsidR="000279C7" w:rsidRPr="00CE23AE">
        <w:rPr>
          <w:rFonts w:eastAsia="Times New Roman"/>
          <w:lang w:val="en-US" w:eastAsia="es-CR"/>
        </w:rPr>
        <w:t xml:space="preserve"> the Court does not have sufficient evidence to consider that the Ecuadorian Constitution establishes a right of legal reserve for all aspects of a disciplinary offense. Therefore, the State did not violate </w:t>
      </w:r>
      <w:r w:rsidR="00C561DF" w:rsidRPr="00CE23AE">
        <w:rPr>
          <w:rFonts w:eastAsia="Times New Roman"/>
          <w:lang w:val="en-US" w:eastAsia="es-CR"/>
        </w:rPr>
        <w:t>Article</w:t>
      </w:r>
      <w:r w:rsidR="005621E0" w:rsidRPr="00CE23AE">
        <w:rPr>
          <w:rFonts w:eastAsia="Times New Roman"/>
          <w:lang w:val="en-US" w:eastAsia="es-CR"/>
        </w:rPr>
        <w:t xml:space="preserve"> 9</w:t>
      </w:r>
      <w:r w:rsidR="00C561DF" w:rsidRPr="00CE23AE">
        <w:rPr>
          <w:rFonts w:eastAsia="Times New Roman"/>
          <w:lang w:val="en-US" w:eastAsia="es-CR"/>
        </w:rPr>
        <w:t xml:space="preserve"> of the American Convention</w:t>
      </w:r>
      <w:r w:rsidR="005621E0" w:rsidRPr="00CE23AE">
        <w:rPr>
          <w:rFonts w:eastAsia="Times New Roman"/>
          <w:lang w:val="en-US" w:eastAsia="es-CR"/>
        </w:rPr>
        <w:t xml:space="preserve"> </w:t>
      </w:r>
      <w:r w:rsidR="00C561DF" w:rsidRPr="00CE23AE">
        <w:rPr>
          <w:rFonts w:eastAsia="Times New Roman"/>
          <w:lang w:val="en-US" w:eastAsia="es-CR"/>
        </w:rPr>
        <w:t>to the detriment of</w:t>
      </w:r>
      <w:r w:rsidR="005621E0" w:rsidRPr="00CE23AE">
        <w:rPr>
          <w:rFonts w:eastAsia="Times New Roman"/>
          <w:lang w:val="en-US" w:eastAsia="es-CR"/>
        </w:rPr>
        <w:t xml:space="preserve"> Homero Flor Freire. </w:t>
      </w:r>
      <w:r w:rsidR="000279C7" w:rsidRPr="00CE23AE">
        <w:rPr>
          <w:rFonts w:eastAsia="Times New Roman"/>
          <w:lang w:val="en-US" w:eastAsia="es-CR"/>
        </w:rPr>
        <w:t xml:space="preserve">This is without prejudice to the discriminatory nature of the said norms that were examined in Chapter </w:t>
      </w:r>
      <w:r w:rsidR="005621E0" w:rsidRPr="00CE23AE">
        <w:rPr>
          <w:rFonts w:eastAsia="Times New Roman"/>
          <w:lang w:val="en-US" w:eastAsia="es-CR"/>
        </w:rPr>
        <w:t xml:space="preserve">VIII-1 </w:t>
      </w:r>
      <w:bookmarkEnd w:id="395"/>
      <w:r w:rsidR="000279C7" w:rsidRPr="00CE23AE">
        <w:rPr>
          <w:rFonts w:eastAsia="Times New Roman"/>
          <w:lang w:val="en-US" w:eastAsia="es-CR"/>
        </w:rPr>
        <w:t>of this judgment.</w:t>
      </w:r>
    </w:p>
    <w:p w14:paraId="5E2610F6" w14:textId="77777777" w:rsidR="009009F9" w:rsidRPr="00CE23AE" w:rsidRDefault="009009F9" w:rsidP="009009F9">
      <w:pPr>
        <w:rPr>
          <w:lang w:val="en-US" w:eastAsia="es-MX"/>
        </w:rPr>
      </w:pPr>
    </w:p>
    <w:p w14:paraId="7565985D" w14:textId="28197B53" w:rsidR="008C2572" w:rsidRPr="00CE23AE" w:rsidRDefault="009009F9" w:rsidP="00261F63">
      <w:pPr>
        <w:pStyle w:val="Ttulo2"/>
        <w:numPr>
          <w:ilvl w:val="0"/>
          <w:numId w:val="12"/>
        </w:numPr>
        <w:ind w:left="1134"/>
        <w:rPr>
          <w:lang w:val="en-US"/>
        </w:rPr>
      </w:pPr>
      <w:r w:rsidRPr="00CE23AE">
        <w:rPr>
          <w:lang w:val="en-US"/>
        </w:rPr>
        <w:t xml:space="preserve"> </w:t>
      </w:r>
      <w:bookmarkStart w:id="396" w:name="_Toc46388391"/>
      <w:r w:rsidR="00D020FF" w:rsidRPr="00CE23AE">
        <w:rPr>
          <w:lang w:val="en-US"/>
        </w:rPr>
        <w:t>Right to honor and dignity</w:t>
      </w:r>
      <w:bookmarkEnd w:id="378"/>
      <w:bookmarkEnd w:id="379"/>
      <w:bookmarkEnd w:id="396"/>
    </w:p>
    <w:p w14:paraId="5593104F" w14:textId="77777777" w:rsidR="008C2572" w:rsidRPr="00CE23AE" w:rsidRDefault="008C2572" w:rsidP="008C2572">
      <w:pPr>
        <w:pStyle w:val="PrrafodeSentencia"/>
        <w:numPr>
          <w:ilvl w:val="0"/>
          <w:numId w:val="0"/>
        </w:numPr>
        <w:suppressAutoHyphens/>
        <w:rPr>
          <w:rFonts w:eastAsia="Times New Roman"/>
          <w:lang w:val="en-US" w:eastAsia="es-CR"/>
        </w:rPr>
      </w:pPr>
    </w:p>
    <w:p w14:paraId="47DCA013" w14:textId="0F9BE71F" w:rsidR="00C01517" w:rsidRPr="00CE23AE" w:rsidRDefault="00C561DF" w:rsidP="00C01517">
      <w:pPr>
        <w:widowControl/>
        <w:numPr>
          <w:ilvl w:val="0"/>
          <w:numId w:val="6"/>
        </w:numPr>
        <w:tabs>
          <w:tab w:val="num" w:pos="709"/>
        </w:tabs>
        <w:suppressAutoHyphens/>
        <w:adjustRightInd/>
        <w:spacing w:line="240" w:lineRule="auto"/>
        <w:contextualSpacing/>
        <w:textAlignment w:val="auto"/>
        <w:rPr>
          <w:szCs w:val="20"/>
          <w:lang w:val="en-US"/>
        </w:rPr>
      </w:pPr>
      <w:bookmarkStart w:id="397" w:name="_Ref460348721"/>
      <w:bookmarkStart w:id="398" w:name="_Ref455672046"/>
      <w:r w:rsidRPr="00CE23AE">
        <w:rPr>
          <w:szCs w:val="20"/>
          <w:lang w:val="en-US"/>
        </w:rPr>
        <w:t xml:space="preserve">The </w:t>
      </w:r>
      <w:r w:rsidRPr="00CE23AE">
        <w:rPr>
          <w:b/>
          <w:bCs/>
          <w:i/>
          <w:iCs/>
          <w:szCs w:val="20"/>
          <w:lang w:val="en-US"/>
        </w:rPr>
        <w:t>representative</w:t>
      </w:r>
      <w:r w:rsidR="00C01517" w:rsidRPr="00CE23AE">
        <w:rPr>
          <w:szCs w:val="20"/>
          <w:lang w:val="en-US"/>
        </w:rPr>
        <w:t xml:space="preserve"> a</w:t>
      </w:r>
      <w:r w:rsidR="00912D9A" w:rsidRPr="00CE23AE">
        <w:rPr>
          <w:szCs w:val="20"/>
          <w:lang w:val="en-US"/>
        </w:rPr>
        <w:t xml:space="preserve">rgued that “the </w:t>
      </w:r>
      <w:r w:rsidR="00E5603C" w:rsidRPr="00CE23AE">
        <w:rPr>
          <w:szCs w:val="20"/>
          <w:lang w:val="en-US"/>
        </w:rPr>
        <w:t>opening</w:t>
      </w:r>
      <w:r w:rsidR="00912D9A" w:rsidRPr="00CE23AE">
        <w:rPr>
          <w:szCs w:val="20"/>
          <w:lang w:val="en-US"/>
        </w:rPr>
        <w:t xml:space="preserve"> and conclusion of a proce</w:t>
      </w:r>
      <w:r w:rsidR="00E5603C" w:rsidRPr="00CE23AE">
        <w:rPr>
          <w:szCs w:val="20"/>
          <w:lang w:val="en-US"/>
        </w:rPr>
        <w:t>dure</w:t>
      </w:r>
      <w:r w:rsidR="00912D9A" w:rsidRPr="00CE23AE">
        <w:rPr>
          <w:szCs w:val="20"/>
          <w:lang w:val="en-US"/>
        </w:rPr>
        <w:t xml:space="preserve"> with a sanction […] causes harm to honor.</w:t>
      </w:r>
      <w:r w:rsidR="00C01517" w:rsidRPr="00CE23AE">
        <w:rPr>
          <w:szCs w:val="20"/>
          <w:lang w:val="en-US"/>
        </w:rPr>
        <w:t>”</w:t>
      </w:r>
      <w:r w:rsidR="00C01517" w:rsidRPr="00CE23AE">
        <w:rPr>
          <w:rStyle w:val="Refdenotaalpie"/>
          <w:lang w:val="en-US"/>
        </w:rPr>
        <w:footnoteReference w:id="231"/>
      </w:r>
      <w:r w:rsidR="00C01517" w:rsidRPr="00CE23AE">
        <w:rPr>
          <w:szCs w:val="20"/>
          <w:lang w:val="en-US"/>
        </w:rPr>
        <w:t xml:space="preserve"> </w:t>
      </w:r>
      <w:r w:rsidRPr="00CE23AE">
        <w:rPr>
          <w:szCs w:val="20"/>
          <w:lang w:val="en-US"/>
        </w:rPr>
        <w:t xml:space="preserve">The </w:t>
      </w:r>
      <w:r w:rsidRPr="00CE23AE">
        <w:rPr>
          <w:b/>
          <w:bCs/>
          <w:i/>
          <w:iCs/>
          <w:szCs w:val="20"/>
          <w:lang w:val="en-US"/>
        </w:rPr>
        <w:t>Commissi</w:t>
      </w:r>
      <w:r w:rsidRPr="00CE23AE">
        <w:rPr>
          <w:szCs w:val="20"/>
          <w:lang w:val="en-US"/>
        </w:rPr>
        <w:t>on</w:t>
      </w:r>
      <w:r w:rsidR="00912D9A" w:rsidRPr="00CE23AE">
        <w:rPr>
          <w:szCs w:val="20"/>
          <w:lang w:val="en-US"/>
        </w:rPr>
        <w:t xml:space="preserve"> did not analyze this right in the </w:t>
      </w:r>
      <w:r w:rsidRPr="00CE23AE">
        <w:rPr>
          <w:szCs w:val="20"/>
          <w:lang w:val="en-US"/>
        </w:rPr>
        <w:t>Merits Report</w:t>
      </w:r>
      <w:r w:rsidR="00C01517" w:rsidRPr="00CE23AE">
        <w:rPr>
          <w:szCs w:val="20"/>
          <w:lang w:val="en-US"/>
        </w:rPr>
        <w:t xml:space="preserve"> </w:t>
      </w:r>
      <w:r w:rsidR="00912D9A" w:rsidRPr="00CE23AE">
        <w:rPr>
          <w:szCs w:val="20"/>
          <w:lang w:val="en-US"/>
        </w:rPr>
        <w:t>because it had declared it inadmissible</w:t>
      </w:r>
      <w:r w:rsidR="00E5603C" w:rsidRPr="00CE23AE">
        <w:rPr>
          <w:szCs w:val="20"/>
          <w:lang w:val="en-US"/>
        </w:rPr>
        <w:t xml:space="preserve"> in</w:t>
      </w:r>
      <w:r w:rsidR="00912D9A" w:rsidRPr="00CE23AE">
        <w:rPr>
          <w:szCs w:val="20"/>
          <w:lang w:val="en-US"/>
        </w:rPr>
        <w:t xml:space="preserve"> its</w:t>
      </w:r>
      <w:r w:rsidR="00C01517" w:rsidRPr="00CE23AE">
        <w:rPr>
          <w:szCs w:val="20"/>
          <w:lang w:val="en-US"/>
        </w:rPr>
        <w:t xml:space="preserve"> </w:t>
      </w:r>
      <w:r w:rsidRPr="00CE23AE">
        <w:rPr>
          <w:szCs w:val="20"/>
          <w:lang w:val="en-US"/>
        </w:rPr>
        <w:t>Admissibility Report</w:t>
      </w:r>
      <w:r w:rsidR="00912D9A" w:rsidRPr="00CE23AE">
        <w:rPr>
          <w:szCs w:val="20"/>
          <w:lang w:val="en-US"/>
        </w:rPr>
        <w:t xml:space="preserve"> for the reasons mentioned in relation to the </w:t>
      </w:r>
      <w:r w:rsidR="00AC18A9" w:rsidRPr="00CE23AE">
        <w:rPr>
          <w:szCs w:val="20"/>
          <w:lang w:val="en-US"/>
        </w:rPr>
        <w:t>alleged violation of the principle of legality</w:t>
      </w:r>
      <w:r w:rsidR="00C01517" w:rsidRPr="00CE23AE">
        <w:rPr>
          <w:szCs w:val="20"/>
          <w:lang w:val="en-US"/>
        </w:rPr>
        <w:t xml:space="preserve"> (</w:t>
      </w:r>
      <w:r w:rsidR="00C01517" w:rsidRPr="00CE23AE">
        <w:rPr>
          <w:i/>
          <w:szCs w:val="20"/>
          <w:lang w:val="en-US"/>
        </w:rPr>
        <w:t>supra</w:t>
      </w:r>
      <w:r w:rsidR="00C01517" w:rsidRPr="00CE23AE">
        <w:rPr>
          <w:szCs w:val="20"/>
          <w:lang w:val="en-US"/>
        </w:rPr>
        <w:t xml:space="preserve"> </w:t>
      </w:r>
      <w:r w:rsidR="005C743F" w:rsidRPr="00CE23AE">
        <w:rPr>
          <w:szCs w:val="20"/>
          <w:lang w:val="en-US"/>
        </w:rPr>
        <w:t>para.</w:t>
      </w:r>
      <w:r w:rsidR="00085557" w:rsidRPr="00CE23AE">
        <w:rPr>
          <w:szCs w:val="20"/>
          <w:lang w:val="en-US"/>
        </w:rPr>
        <w:t xml:space="preserve"> </w:t>
      </w:r>
      <w:r w:rsidR="00085557" w:rsidRPr="00CE23AE">
        <w:rPr>
          <w:szCs w:val="20"/>
          <w:lang w:val="en-US"/>
        </w:rPr>
        <w:fldChar w:fldCharType="begin"/>
      </w:r>
      <w:r w:rsidR="00085557" w:rsidRPr="00CE23AE">
        <w:rPr>
          <w:szCs w:val="20"/>
          <w:lang w:val="en-US"/>
        </w:rPr>
        <w:instrText xml:space="preserve"> REF _Ref464476493 \r \h </w:instrText>
      </w:r>
      <w:r w:rsidR="00CE23AE">
        <w:rPr>
          <w:szCs w:val="20"/>
          <w:lang w:val="en-US"/>
        </w:rPr>
        <w:instrText xml:space="preserve"> \* MERGEFORMAT </w:instrText>
      </w:r>
      <w:r w:rsidR="00085557" w:rsidRPr="00CE23AE">
        <w:rPr>
          <w:szCs w:val="20"/>
          <w:lang w:val="en-US"/>
        </w:rPr>
      </w:r>
      <w:r w:rsidR="00085557" w:rsidRPr="00CE23AE">
        <w:rPr>
          <w:szCs w:val="20"/>
          <w:lang w:val="en-US"/>
        </w:rPr>
        <w:fldChar w:fldCharType="separate"/>
      </w:r>
      <w:r w:rsidR="00BC2953" w:rsidRPr="00CE23AE">
        <w:rPr>
          <w:szCs w:val="20"/>
          <w:lang w:val="en-US"/>
        </w:rPr>
        <w:t>143</w:t>
      </w:r>
      <w:r w:rsidR="00085557" w:rsidRPr="00CE23AE">
        <w:rPr>
          <w:szCs w:val="20"/>
          <w:lang w:val="en-US"/>
        </w:rPr>
        <w:fldChar w:fldCharType="end"/>
      </w:r>
      <w:r w:rsidR="00C01517" w:rsidRPr="00CE23AE">
        <w:rPr>
          <w:szCs w:val="20"/>
          <w:lang w:val="en-US"/>
        </w:rPr>
        <w:t xml:space="preserve">). </w:t>
      </w:r>
      <w:r w:rsidRPr="00CE23AE">
        <w:rPr>
          <w:szCs w:val="20"/>
          <w:lang w:val="en-US"/>
        </w:rPr>
        <w:t xml:space="preserve">The </w:t>
      </w:r>
      <w:r w:rsidRPr="00CE23AE">
        <w:rPr>
          <w:b/>
          <w:bCs/>
          <w:i/>
          <w:iCs/>
          <w:szCs w:val="20"/>
          <w:lang w:val="en-US"/>
        </w:rPr>
        <w:t>State</w:t>
      </w:r>
      <w:r w:rsidR="000279C7" w:rsidRPr="00CE23AE">
        <w:rPr>
          <w:szCs w:val="20"/>
          <w:lang w:val="en-US"/>
        </w:rPr>
        <w:t xml:space="preserve"> did not refer to the alleged violation of this right, because it considered that it exc</w:t>
      </w:r>
      <w:r w:rsidR="00912D9A" w:rsidRPr="00CE23AE">
        <w:rPr>
          <w:szCs w:val="20"/>
          <w:lang w:val="en-US"/>
        </w:rPr>
        <w:t>e</w:t>
      </w:r>
      <w:r w:rsidR="000279C7" w:rsidRPr="00CE23AE">
        <w:rPr>
          <w:szCs w:val="20"/>
          <w:lang w:val="en-US"/>
        </w:rPr>
        <w:t xml:space="preserve">eded the </w:t>
      </w:r>
      <w:r w:rsidR="005C743F" w:rsidRPr="00CE23AE">
        <w:rPr>
          <w:szCs w:val="20"/>
          <w:lang w:val="en-US"/>
        </w:rPr>
        <w:t>factual framework</w:t>
      </w:r>
      <w:r w:rsidR="00C01517" w:rsidRPr="00CE23AE">
        <w:rPr>
          <w:szCs w:val="20"/>
          <w:lang w:val="en-US"/>
        </w:rPr>
        <w:t>.</w:t>
      </w:r>
      <w:bookmarkStart w:id="399" w:name="_Ref370754675"/>
      <w:bookmarkEnd w:id="397"/>
    </w:p>
    <w:p w14:paraId="75F5C673" w14:textId="77777777" w:rsidR="00C01517" w:rsidRPr="00CE23AE" w:rsidRDefault="00C01517" w:rsidP="00C01517">
      <w:pPr>
        <w:widowControl/>
        <w:suppressAutoHyphens/>
        <w:adjustRightInd/>
        <w:spacing w:line="240" w:lineRule="auto"/>
        <w:contextualSpacing/>
        <w:textAlignment w:val="auto"/>
        <w:rPr>
          <w:szCs w:val="20"/>
          <w:lang w:val="en-US"/>
        </w:rPr>
      </w:pPr>
    </w:p>
    <w:p w14:paraId="70CB29E7" w14:textId="71FE47B6" w:rsidR="00C01517" w:rsidRPr="00CE23AE" w:rsidRDefault="00C561DF" w:rsidP="00912D9A">
      <w:pPr>
        <w:widowControl/>
        <w:numPr>
          <w:ilvl w:val="0"/>
          <w:numId w:val="6"/>
        </w:numPr>
        <w:tabs>
          <w:tab w:val="num" w:pos="709"/>
        </w:tabs>
        <w:suppressAutoHyphens/>
        <w:adjustRightInd/>
        <w:spacing w:line="240" w:lineRule="auto"/>
        <w:contextualSpacing/>
        <w:textAlignment w:val="auto"/>
        <w:rPr>
          <w:szCs w:val="20"/>
          <w:lang w:val="en-US"/>
        </w:rPr>
      </w:pPr>
      <w:bookmarkStart w:id="400" w:name="_Ref464741780"/>
      <w:r w:rsidRPr="00CE23AE">
        <w:rPr>
          <w:spacing w:val="-2"/>
          <w:lang w:val="en-US"/>
        </w:rPr>
        <w:t>The Court</w:t>
      </w:r>
      <w:r w:rsidR="00C01517" w:rsidRPr="00CE23AE">
        <w:rPr>
          <w:spacing w:val="-2"/>
          <w:lang w:val="en-US"/>
        </w:rPr>
        <w:t xml:space="preserve"> </w:t>
      </w:r>
      <w:r w:rsidR="00912D9A" w:rsidRPr="00CE23AE">
        <w:rPr>
          <w:spacing w:val="-2"/>
          <w:lang w:val="en-US"/>
        </w:rPr>
        <w:t>has indicated that</w:t>
      </w:r>
      <w:r w:rsidR="00C01517" w:rsidRPr="00CE23AE">
        <w:rPr>
          <w:spacing w:val="-2"/>
          <w:lang w:val="en-US"/>
        </w:rPr>
        <w:t xml:space="preserve"> </w:t>
      </w:r>
      <w:r w:rsidRPr="00CE23AE">
        <w:rPr>
          <w:spacing w:val="-2"/>
          <w:lang w:val="en-US"/>
        </w:rPr>
        <w:t>Article</w:t>
      </w:r>
      <w:r w:rsidR="00C01517" w:rsidRPr="00CE23AE">
        <w:rPr>
          <w:spacing w:val="-2"/>
          <w:lang w:val="en-US"/>
        </w:rPr>
        <w:t xml:space="preserve"> 11</w:t>
      </w:r>
      <w:r w:rsidRPr="00CE23AE">
        <w:rPr>
          <w:spacing w:val="-2"/>
          <w:lang w:val="en-US"/>
        </w:rPr>
        <w:t xml:space="preserve"> of the Convention</w:t>
      </w:r>
      <w:r w:rsidR="00C01517" w:rsidRPr="00CE23AE">
        <w:rPr>
          <w:spacing w:val="-2"/>
          <w:lang w:val="en-US"/>
        </w:rPr>
        <w:t xml:space="preserve"> reco</w:t>
      </w:r>
      <w:r w:rsidR="00912D9A" w:rsidRPr="00CE23AE">
        <w:rPr>
          <w:spacing w:val="-2"/>
          <w:lang w:val="en-US"/>
        </w:rPr>
        <w:t>gnizes that ev</w:t>
      </w:r>
      <w:r w:rsidR="003250AC" w:rsidRPr="00CE23AE">
        <w:rPr>
          <w:spacing w:val="-2"/>
          <w:lang w:val="en-US"/>
        </w:rPr>
        <w:t>eryone has the right to have his honor respected, prohibits any unlawful attack on</w:t>
      </w:r>
      <w:r w:rsidR="00E5603C" w:rsidRPr="00CE23AE">
        <w:rPr>
          <w:spacing w:val="-2"/>
          <w:lang w:val="en-US"/>
        </w:rPr>
        <w:t xml:space="preserve"> a person’s</w:t>
      </w:r>
      <w:r w:rsidR="003250AC" w:rsidRPr="00CE23AE">
        <w:rPr>
          <w:spacing w:val="-2"/>
          <w:lang w:val="en-US"/>
        </w:rPr>
        <w:t xml:space="preserve"> honor or reputation</w:t>
      </w:r>
      <w:r w:rsidR="00E5603C" w:rsidRPr="00CE23AE">
        <w:rPr>
          <w:spacing w:val="-2"/>
          <w:lang w:val="en-US"/>
        </w:rPr>
        <w:t>,</w:t>
      </w:r>
      <w:r w:rsidR="003250AC" w:rsidRPr="00CE23AE">
        <w:rPr>
          <w:spacing w:val="-2"/>
          <w:lang w:val="en-US"/>
        </w:rPr>
        <w:t xml:space="preserve"> and imposes on the States the obligation to provide the protection of the law against such attacks. In general, this Court has indicated that the right to honor is related to self-esteem and self-worth, while reputation refers to the opinion that others have of a person.</w:t>
      </w:r>
      <w:r w:rsidR="00C01517" w:rsidRPr="00CE23AE">
        <w:rPr>
          <w:rStyle w:val="Refdenotaalpie"/>
          <w:rFonts w:eastAsia="Calibri"/>
          <w:lang w:val="en-US"/>
        </w:rPr>
        <w:footnoteReference w:id="232"/>
      </w:r>
      <w:bookmarkEnd w:id="399"/>
      <w:bookmarkEnd w:id="400"/>
    </w:p>
    <w:p w14:paraId="3D1373FC" w14:textId="77777777" w:rsidR="00C01517" w:rsidRPr="00CE23AE" w:rsidRDefault="00C01517" w:rsidP="00C01517">
      <w:pPr>
        <w:widowControl/>
        <w:suppressAutoHyphens/>
        <w:adjustRightInd/>
        <w:spacing w:line="240" w:lineRule="auto"/>
        <w:contextualSpacing/>
        <w:textAlignment w:val="auto"/>
        <w:rPr>
          <w:color w:val="2D2D2D"/>
          <w:szCs w:val="28"/>
          <w:bdr w:val="none" w:sz="0" w:space="0" w:color="auto" w:frame="1"/>
          <w:lang w:val="en-US" w:eastAsia="es-ES_tradnl"/>
        </w:rPr>
      </w:pPr>
    </w:p>
    <w:p w14:paraId="5B3D56A5" w14:textId="1FD3E6B7" w:rsidR="003250AC" w:rsidRPr="00CE23AE" w:rsidRDefault="003250AC" w:rsidP="00C01517">
      <w:pPr>
        <w:widowControl/>
        <w:numPr>
          <w:ilvl w:val="0"/>
          <w:numId w:val="6"/>
        </w:numPr>
        <w:tabs>
          <w:tab w:val="num" w:pos="709"/>
        </w:tabs>
        <w:suppressAutoHyphens/>
        <w:adjustRightInd/>
        <w:spacing w:line="240" w:lineRule="auto"/>
        <w:contextualSpacing/>
        <w:textAlignment w:val="auto"/>
        <w:rPr>
          <w:szCs w:val="20"/>
          <w:lang w:val="en-US"/>
        </w:rPr>
      </w:pPr>
      <w:r w:rsidRPr="00CE23AE">
        <w:rPr>
          <w:szCs w:val="28"/>
          <w:bdr w:val="none" w:sz="0" w:space="0" w:color="auto" w:frame="1"/>
          <w:lang w:val="en-US" w:eastAsia="es-ES_tradnl"/>
        </w:rPr>
        <w:t>Accordingly, the right to honor is related to the es</w:t>
      </w:r>
      <w:r w:rsidR="00E5603C" w:rsidRPr="00CE23AE">
        <w:rPr>
          <w:szCs w:val="28"/>
          <w:bdr w:val="none" w:sz="0" w:space="0" w:color="auto" w:frame="1"/>
          <w:lang w:val="en-US" w:eastAsia="es-ES_tradnl"/>
        </w:rPr>
        <w:t>teem</w:t>
      </w:r>
      <w:r w:rsidRPr="00CE23AE">
        <w:rPr>
          <w:szCs w:val="28"/>
          <w:bdr w:val="none" w:sz="0" w:space="0" w:color="auto" w:frame="1"/>
          <w:lang w:val="en-US" w:eastAsia="es-ES_tradnl"/>
        </w:rPr>
        <w:t xml:space="preserve"> or deference with which each person should be treated by the other members of the collectivity who know him and interact with him, based on his human dignity. It is a right that should be protected so as not to impair the intrinsic value of the individual in relation to society and in relation to himself, and to ensure the adequate consideration and appraisal of the individual within the collectivity.</w:t>
      </w:r>
    </w:p>
    <w:p w14:paraId="1D88B52C" w14:textId="77777777" w:rsidR="00C01517" w:rsidRPr="00CE23AE" w:rsidRDefault="00C01517" w:rsidP="00C01517">
      <w:pPr>
        <w:widowControl/>
        <w:suppressAutoHyphens/>
        <w:adjustRightInd/>
        <w:spacing w:line="240" w:lineRule="auto"/>
        <w:contextualSpacing/>
        <w:textAlignment w:val="auto"/>
        <w:rPr>
          <w:szCs w:val="25"/>
          <w:bdr w:val="none" w:sz="0" w:space="0" w:color="auto" w:frame="1"/>
          <w:lang w:val="en-US" w:eastAsia="es-ES_tradnl"/>
        </w:rPr>
      </w:pPr>
    </w:p>
    <w:p w14:paraId="209B2424" w14:textId="61DEE2C5" w:rsidR="00C01517" w:rsidRPr="00CE23AE" w:rsidRDefault="003250AC" w:rsidP="003250AC">
      <w:pPr>
        <w:widowControl/>
        <w:numPr>
          <w:ilvl w:val="0"/>
          <w:numId w:val="6"/>
        </w:numPr>
        <w:tabs>
          <w:tab w:val="num" w:pos="709"/>
        </w:tabs>
        <w:suppressAutoHyphens/>
        <w:adjustRightInd/>
        <w:spacing w:line="240" w:lineRule="auto"/>
        <w:contextualSpacing/>
        <w:textAlignment w:val="auto"/>
        <w:rPr>
          <w:szCs w:val="20"/>
          <w:lang w:val="en-US"/>
        </w:rPr>
      </w:pPr>
      <w:r w:rsidRPr="00CE23AE">
        <w:rPr>
          <w:szCs w:val="25"/>
          <w:bdr w:val="none" w:sz="0" w:space="0" w:color="auto" w:frame="1"/>
          <w:lang w:val="en-US" w:eastAsia="es-ES_tradnl"/>
        </w:rPr>
        <w:t xml:space="preserve">Meanwhile, reputation may be harmed as a result of false or erroneous information that is disseminated without </w:t>
      </w:r>
      <w:r w:rsidR="00E5603C" w:rsidRPr="00CE23AE">
        <w:rPr>
          <w:szCs w:val="25"/>
          <w:bdr w:val="none" w:sz="0" w:space="0" w:color="auto" w:frame="1"/>
          <w:lang w:val="en-US" w:eastAsia="es-ES_tradnl"/>
        </w:rPr>
        <w:t>justification</w:t>
      </w:r>
      <w:r w:rsidRPr="00CE23AE">
        <w:rPr>
          <w:szCs w:val="25"/>
          <w:bdr w:val="none" w:sz="0" w:space="0" w:color="auto" w:frame="1"/>
          <w:lang w:val="en-US" w:eastAsia="es-ES_tradnl"/>
        </w:rPr>
        <w:t xml:space="preserve"> and that distorts the public opinion of an individual. </w:t>
      </w:r>
      <w:r w:rsidR="001A0213" w:rsidRPr="00CE23AE">
        <w:rPr>
          <w:szCs w:val="25"/>
          <w:bdr w:val="none" w:sz="0" w:space="0" w:color="auto" w:frame="1"/>
          <w:lang w:val="en-US" w:eastAsia="es-ES_tradnl"/>
        </w:rPr>
        <w:t>Therefore, it is closely related to human dignity insofar as it protects the individual against attacks that restrict the</w:t>
      </w:r>
      <w:r w:rsidR="00C01517" w:rsidRPr="00CE23AE">
        <w:rPr>
          <w:szCs w:val="25"/>
          <w:bdr w:val="none" w:sz="0" w:space="0" w:color="auto" w:frame="1"/>
          <w:lang w:val="en-US" w:eastAsia="es-ES_tradnl"/>
        </w:rPr>
        <w:t xml:space="preserve"> </w:t>
      </w:r>
      <w:r w:rsidR="001A0213" w:rsidRPr="00CE23AE">
        <w:rPr>
          <w:szCs w:val="25"/>
          <w:bdr w:val="none" w:sz="0" w:space="0" w:color="auto" w:frame="1"/>
          <w:lang w:val="en-US" w:eastAsia="es-ES_tradnl"/>
        </w:rPr>
        <w:t>individual</w:t>
      </w:r>
      <w:r w:rsidR="00E5603C" w:rsidRPr="00CE23AE">
        <w:rPr>
          <w:szCs w:val="25"/>
          <w:bdr w:val="none" w:sz="0" w:space="0" w:color="auto" w:frame="1"/>
          <w:lang w:val="en-US" w:eastAsia="es-ES_tradnl"/>
        </w:rPr>
        <w:t>’s status</w:t>
      </w:r>
      <w:r w:rsidR="001A0213" w:rsidRPr="00CE23AE">
        <w:rPr>
          <w:szCs w:val="25"/>
          <w:bdr w:val="none" w:sz="0" w:space="0" w:color="auto" w:frame="1"/>
          <w:lang w:val="en-US" w:eastAsia="es-ES_tradnl"/>
        </w:rPr>
        <w:t xml:space="preserve"> in the public or collective sphere.</w:t>
      </w:r>
    </w:p>
    <w:p w14:paraId="7AC633AB" w14:textId="77777777" w:rsidR="00C01517" w:rsidRPr="00CE23AE" w:rsidRDefault="00C01517" w:rsidP="00C01517">
      <w:pPr>
        <w:widowControl/>
        <w:suppressAutoHyphens/>
        <w:adjustRightInd/>
        <w:spacing w:line="240" w:lineRule="auto"/>
        <w:contextualSpacing/>
        <w:textAlignment w:val="auto"/>
        <w:rPr>
          <w:szCs w:val="28"/>
          <w:bdr w:val="none" w:sz="0" w:space="0" w:color="auto" w:frame="1"/>
          <w:lang w:val="en-US" w:eastAsia="es-ES_tradnl"/>
        </w:rPr>
      </w:pPr>
    </w:p>
    <w:p w14:paraId="20B928F9" w14:textId="14E342C2" w:rsidR="00C01517" w:rsidRPr="00CE23AE" w:rsidRDefault="001A0213" w:rsidP="00C01517">
      <w:pPr>
        <w:widowControl/>
        <w:numPr>
          <w:ilvl w:val="0"/>
          <w:numId w:val="6"/>
        </w:numPr>
        <w:tabs>
          <w:tab w:val="num" w:pos="709"/>
        </w:tabs>
        <w:suppressAutoHyphens/>
        <w:adjustRightInd/>
        <w:spacing w:line="240" w:lineRule="auto"/>
        <w:contextualSpacing/>
        <w:textAlignment w:val="auto"/>
        <w:rPr>
          <w:szCs w:val="28"/>
          <w:bdr w:val="none" w:sz="0" w:space="0" w:color="auto" w:frame="1"/>
          <w:lang w:val="en-US" w:eastAsia="es-ES_tradnl"/>
        </w:rPr>
      </w:pPr>
      <w:r w:rsidRPr="00CE23AE">
        <w:rPr>
          <w:szCs w:val="28"/>
          <w:bdr w:val="none" w:sz="0" w:space="0" w:color="auto" w:frame="1"/>
          <w:lang w:val="en-US" w:eastAsia="es-ES_tradnl"/>
        </w:rPr>
        <w:t xml:space="preserve">Based on the facts of the case and </w:t>
      </w:r>
      <w:r w:rsidR="00E5603C" w:rsidRPr="00CE23AE">
        <w:rPr>
          <w:szCs w:val="28"/>
          <w:bdr w:val="none" w:sz="0" w:space="0" w:color="auto" w:frame="1"/>
          <w:lang w:val="en-US" w:eastAsia="es-ES_tradnl"/>
        </w:rPr>
        <w:t>his</w:t>
      </w:r>
      <w:r w:rsidRPr="00CE23AE">
        <w:rPr>
          <w:szCs w:val="28"/>
          <w:bdr w:val="none" w:sz="0" w:space="0" w:color="auto" w:frame="1"/>
          <w:lang w:val="en-US" w:eastAsia="es-ES_tradnl"/>
        </w:rPr>
        <w:t xml:space="preserve"> statement</w:t>
      </w:r>
      <w:r w:rsidR="00E5603C" w:rsidRPr="00CE23AE">
        <w:rPr>
          <w:szCs w:val="28"/>
          <w:bdr w:val="none" w:sz="0" w:space="0" w:color="auto" w:frame="1"/>
          <w:lang w:val="en-US" w:eastAsia="es-ES_tradnl"/>
        </w:rPr>
        <w:t xml:space="preserve"> </w:t>
      </w:r>
      <w:r w:rsidRPr="00CE23AE">
        <w:rPr>
          <w:szCs w:val="28"/>
          <w:bdr w:val="none" w:sz="0" w:space="0" w:color="auto" w:frame="1"/>
          <w:lang w:val="en-US" w:eastAsia="es-ES_tradnl"/>
        </w:rPr>
        <w:t xml:space="preserve">during the </w:t>
      </w:r>
      <w:r w:rsidR="005C743F" w:rsidRPr="00CE23AE">
        <w:rPr>
          <w:szCs w:val="28"/>
          <w:bdr w:val="none" w:sz="0" w:space="0" w:color="auto" w:frame="1"/>
          <w:lang w:val="en-US" w:eastAsia="es-ES_tradnl"/>
        </w:rPr>
        <w:t>public hearing</w:t>
      </w:r>
      <w:r w:rsidRPr="00CE23AE">
        <w:rPr>
          <w:szCs w:val="28"/>
          <w:bdr w:val="none" w:sz="0" w:space="0" w:color="auto" w:frame="1"/>
          <w:lang w:val="en-US" w:eastAsia="es-ES_tradnl"/>
        </w:rPr>
        <w:t>,</w:t>
      </w:r>
      <w:r w:rsidR="00FC085C" w:rsidRPr="00CE23AE">
        <w:rPr>
          <w:rStyle w:val="Refdenotaalpie"/>
          <w:rFonts w:eastAsia="Calibri"/>
          <w:szCs w:val="28"/>
          <w:bdr w:val="none" w:sz="0" w:space="0" w:color="auto" w:frame="1"/>
          <w:lang w:val="en-US" w:eastAsia="es-ES_tradnl"/>
        </w:rPr>
        <w:footnoteReference w:id="233"/>
      </w:r>
      <w:r w:rsidR="00C01517" w:rsidRPr="00CE23AE">
        <w:rPr>
          <w:szCs w:val="28"/>
          <w:bdr w:val="none" w:sz="0" w:space="0" w:color="auto" w:frame="1"/>
          <w:lang w:val="en-US" w:eastAsia="es-ES_tradnl"/>
        </w:rPr>
        <w:t xml:space="preserve"> </w:t>
      </w:r>
      <w:r w:rsidR="00000AD5" w:rsidRPr="00CE23AE">
        <w:rPr>
          <w:szCs w:val="28"/>
          <w:bdr w:val="none" w:sz="0" w:space="0" w:color="auto" w:frame="1"/>
          <w:lang w:val="en-US" w:eastAsia="es-ES_tradnl"/>
        </w:rPr>
        <w:t>th</w:t>
      </w:r>
      <w:r w:rsidR="00E5603C" w:rsidRPr="00CE23AE">
        <w:rPr>
          <w:szCs w:val="28"/>
          <w:bdr w:val="none" w:sz="0" w:space="0" w:color="auto" w:frame="1"/>
          <w:lang w:val="en-US" w:eastAsia="es-ES_tradnl"/>
        </w:rPr>
        <w:t>e</w:t>
      </w:r>
      <w:r w:rsidR="00000AD5" w:rsidRPr="00CE23AE">
        <w:rPr>
          <w:szCs w:val="28"/>
          <w:bdr w:val="none" w:sz="0" w:space="0" w:color="auto" w:frame="1"/>
          <w:lang w:val="en-US" w:eastAsia="es-ES_tradnl"/>
        </w:rPr>
        <w:t xml:space="preserve"> Court</w:t>
      </w:r>
      <w:r w:rsidR="00C01517" w:rsidRPr="00CE23AE">
        <w:rPr>
          <w:szCs w:val="28"/>
          <w:bdr w:val="none" w:sz="0" w:space="0" w:color="auto" w:frame="1"/>
          <w:lang w:val="en-US" w:eastAsia="es-ES_tradnl"/>
        </w:rPr>
        <w:t xml:space="preserve"> conclu</w:t>
      </w:r>
      <w:r w:rsidRPr="00CE23AE">
        <w:rPr>
          <w:szCs w:val="28"/>
          <w:bdr w:val="none" w:sz="0" w:space="0" w:color="auto" w:frame="1"/>
          <w:lang w:val="en-US" w:eastAsia="es-ES_tradnl"/>
        </w:rPr>
        <w:t>des that, as a result of the disciplinary proce</w:t>
      </w:r>
      <w:r w:rsidR="00E5603C" w:rsidRPr="00CE23AE">
        <w:rPr>
          <w:szCs w:val="28"/>
          <w:bdr w:val="none" w:sz="0" w:space="0" w:color="auto" w:frame="1"/>
          <w:lang w:val="en-US" w:eastAsia="es-ES_tradnl"/>
        </w:rPr>
        <w:t>dure</w:t>
      </w:r>
      <w:r w:rsidRPr="00CE23AE">
        <w:rPr>
          <w:szCs w:val="28"/>
          <w:bdr w:val="none" w:sz="0" w:space="0" w:color="auto" w:frame="1"/>
          <w:lang w:val="en-US" w:eastAsia="es-ES_tradnl"/>
        </w:rPr>
        <w:t xml:space="preserve"> against him, </w:t>
      </w:r>
      <w:r w:rsidR="00F5102B" w:rsidRPr="00CE23AE">
        <w:rPr>
          <w:szCs w:val="28"/>
          <w:bdr w:val="none" w:sz="0" w:space="0" w:color="auto" w:frame="1"/>
          <w:lang w:val="en-US" w:eastAsia="es-ES_tradnl"/>
        </w:rPr>
        <w:t>Mr. Flor</w:t>
      </w:r>
      <w:r w:rsidR="00C01517" w:rsidRPr="00CE23AE">
        <w:rPr>
          <w:szCs w:val="28"/>
          <w:bdr w:val="none" w:sz="0" w:space="0" w:color="auto" w:frame="1"/>
          <w:lang w:val="en-US" w:eastAsia="es-ES_tradnl"/>
        </w:rPr>
        <w:t xml:space="preserve"> Freire</w:t>
      </w:r>
      <w:r w:rsidRPr="00CE23AE">
        <w:rPr>
          <w:szCs w:val="28"/>
          <w:bdr w:val="none" w:sz="0" w:space="0" w:color="auto" w:frame="1"/>
          <w:lang w:val="en-US" w:eastAsia="es-ES_tradnl"/>
        </w:rPr>
        <w:t xml:space="preserve">’s right to honor was harmed because, owing to the social context in which he moved and the specific circumstances that resulted in his discharge from </w:t>
      </w:r>
      <w:r w:rsidR="008B76F3" w:rsidRPr="00CE23AE">
        <w:rPr>
          <w:szCs w:val="28"/>
          <w:bdr w:val="none" w:sz="0" w:space="0" w:color="auto" w:frame="1"/>
          <w:lang w:val="en-US" w:eastAsia="es-ES_tradnl"/>
        </w:rPr>
        <w:t>the Ground Forces</w:t>
      </w:r>
      <w:r w:rsidRPr="00CE23AE">
        <w:rPr>
          <w:szCs w:val="28"/>
          <w:bdr w:val="none" w:sz="0" w:space="0" w:color="auto" w:frame="1"/>
          <w:lang w:val="en-US" w:eastAsia="es-ES_tradnl"/>
        </w:rPr>
        <w:t>, his self-esteem and self-worth were violated.</w:t>
      </w:r>
    </w:p>
    <w:p w14:paraId="7A65AA0D" w14:textId="77777777" w:rsidR="00C01517" w:rsidRPr="00CE23AE" w:rsidRDefault="00C01517" w:rsidP="00C01517">
      <w:pPr>
        <w:widowControl/>
        <w:suppressAutoHyphens/>
        <w:adjustRightInd/>
        <w:spacing w:line="240" w:lineRule="auto"/>
        <w:contextualSpacing/>
        <w:textAlignment w:val="auto"/>
        <w:rPr>
          <w:szCs w:val="28"/>
          <w:bdr w:val="none" w:sz="0" w:space="0" w:color="auto" w:frame="1"/>
          <w:lang w:val="en-US" w:eastAsia="es-ES_tradnl"/>
        </w:rPr>
      </w:pPr>
    </w:p>
    <w:p w14:paraId="2939AD82" w14:textId="0BECF3CE" w:rsidR="00C01517" w:rsidRPr="00CE23AE" w:rsidRDefault="001A0213" w:rsidP="00C01517">
      <w:pPr>
        <w:widowControl/>
        <w:numPr>
          <w:ilvl w:val="0"/>
          <w:numId w:val="6"/>
        </w:numPr>
        <w:tabs>
          <w:tab w:val="num" w:pos="709"/>
        </w:tabs>
        <w:suppressAutoHyphens/>
        <w:adjustRightInd/>
        <w:spacing w:line="240" w:lineRule="auto"/>
        <w:contextualSpacing/>
        <w:textAlignment w:val="auto"/>
        <w:rPr>
          <w:szCs w:val="28"/>
          <w:bdr w:val="none" w:sz="0" w:space="0" w:color="auto" w:frame="1"/>
          <w:lang w:val="en-US" w:eastAsia="es-ES_tradnl"/>
        </w:rPr>
      </w:pPr>
      <w:r w:rsidRPr="00CE23AE">
        <w:rPr>
          <w:szCs w:val="28"/>
          <w:bdr w:val="none" w:sz="0" w:space="0" w:color="auto" w:frame="1"/>
          <w:lang w:val="en-US" w:eastAsia="es-ES_tradnl"/>
        </w:rPr>
        <w:t xml:space="preserve">His reputation was also harmed because he received a disciplinary sanction that was based on a discriminatory norm by reason of </w:t>
      </w:r>
      <w:r w:rsidR="00D5223B" w:rsidRPr="00CE23AE">
        <w:rPr>
          <w:szCs w:val="28"/>
          <w:bdr w:val="none" w:sz="0" w:space="0" w:color="auto" w:frame="1"/>
          <w:lang w:val="en-US" w:eastAsia="es-ES_tradnl"/>
        </w:rPr>
        <w:t>sexual orientation</w:t>
      </w:r>
      <w:r w:rsidR="00C01517" w:rsidRPr="00CE23AE">
        <w:rPr>
          <w:szCs w:val="28"/>
          <w:bdr w:val="none" w:sz="0" w:space="0" w:color="auto" w:frame="1"/>
          <w:lang w:val="en-US" w:eastAsia="es-ES_tradnl"/>
        </w:rPr>
        <w:t>,</w:t>
      </w:r>
      <w:r w:rsidRPr="00CE23AE">
        <w:rPr>
          <w:szCs w:val="28"/>
          <w:bdr w:val="none" w:sz="0" w:space="0" w:color="auto" w:frame="1"/>
          <w:lang w:val="en-US" w:eastAsia="es-ES_tradnl"/>
        </w:rPr>
        <w:t xml:space="preserve"> which distorted the general opinion that people had of him.</w:t>
      </w:r>
    </w:p>
    <w:p w14:paraId="24C22693" w14:textId="120F9264" w:rsidR="00C01517" w:rsidRPr="00CE23AE" w:rsidRDefault="00C01517" w:rsidP="00C01517">
      <w:pPr>
        <w:pStyle w:val="PrrafodeSentencia"/>
        <w:numPr>
          <w:ilvl w:val="0"/>
          <w:numId w:val="0"/>
        </w:numPr>
        <w:suppressAutoHyphens/>
        <w:rPr>
          <w:rFonts w:eastAsia="Times New Roman"/>
          <w:szCs w:val="24"/>
          <w:lang w:val="en-US" w:eastAsia="es-CR"/>
        </w:rPr>
      </w:pPr>
    </w:p>
    <w:p w14:paraId="54D22A3C" w14:textId="101B7854" w:rsidR="00A415F1" w:rsidRPr="00CE23AE" w:rsidRDefault="0069780E" w:rsidP="00C01517">
      <w:pPr>
        <w:pStyle w:val="PrrafodeSentencia"/>
        <w:suppressAutoHyphens/>
        <w:rPr>
          <w:rFonts w:eastAsia="Times New Roman"/>
          <w:szCs w:val="24"/>
          <w:lang w:val="en-US" w:eastAsia="es-CR"/>
        </w:rPr>
      </w:pPr>
      <w:bookmarkStart w:id="401" w:name="_Ref460348725"/>
      <w:r w:rsidRPr="00CE23AE">
        <w:rPr>
          <w:rFonts w:eastAsia="Times New Roman"/>
          <w:szCs w:val="24"/>
          <w:lang w:val="en-US" w:eastAsia="es-CR"/>
        </w:rPr>
        <w:t xml:space="preserve">Therefore, this Court concludes that </w:t>
      </w:r>
      <w:r w:rsidR="00C561DF" w:rsidRPr="00CE23AE">
        <w:rPr>
          <w:rFonts w:eastAsia="Times New Roman"/>
          <w:szCs w:val="24"/>
          <w:lang w:val="en-US" w:eastAsia="es-CR"/>
        </w:rPr>
        <w:t>the State</w:t>
      </w:r>
      <w:r w:rsidR="00C01517" w:rsidRPr="00CE23AE">
        <w:rPr>
          <w:rFonts w:eastAsia="Times New Roman"/>
          <w:szCs w:val="24"/>
          <w:lang w:val="en-US" w:eastAsia="es-CR"/>
        </w:rPr>
        <w:t xml:space="preserve"> </w:t>
      </w:r>
      <w:r w:rsidRPr="00CE23AE">
        <w:rPr>
          <w:rFonts w:eastAsia="Times New Roman"/>
          <w:szCs w:val="24"/>
          <w:lang w:val="en-US" w:eastAsia="es-CR"/>
        </w:rPr>
        <w:t xml:space="preserve">is responsible for a violation of the right to honor and dignity established in </w:t>
      </w:r>
      <w:r w:rsidR="00C561DF" w:rsidRPr="00CE23AE">
        <w:rPr>
          <w:rFonts w:eastAsia="Times New Roman"/>
          <w:szCs w:val="24"/>
          <w:lang w:val="en-US" w:eastAsia="es-CR"/>
        </w:rPr>
        <w:t>Article</w:t>
      </w:r>
      <w:r w:rsidR="00C01517" w:rsidRPr="00CE23AE">
        <w:rPr>
          <w:rFonts w:eastAsia="Times New Roman"/>
          <w:szCs w:val="24"/>
          <w:lang w:val="en-US" w:eastAsia="es-CR"/>
        </w:rPr>
        <w:t xml:space="preserve"> 11</w:t>
      </w:r>
      <w:r w:rsidRPr="00CE23AE">
        <w:rPr>
          <w:rFonts w:eastAsia="Times New Roman"/>
          <w:szCs w:val="24"/>
          <w:lang w:val="en-US" w:eastAsia="es-CR"/>
        </w:rPr>
        <w:t>(</w:t>
      </w:r>
      <w:r w:rsidR="00C01517" w:rsidRPr="00CE23AE">
        <w:rPr>
          <w:rFonts w:eastAsia="Times New Roman"/>
          <w:szCs w:val="24"/>
          <w:lang w:val="en-US" w:eastAsia="es-CR"/>
        </w:rPr>
        <w:t>1</w:t>
      </w:r>
      <w:r w:rsidRPr="00CE23AE">
        <w:rPr>
          <w:rFonts w:eastAsia="Times New Roman"/>
          <w:szCs w:val="24"/>
          <w:lang w:val="en-US" w:eastAsia="es-CR"/>
        </w:rPr>
        <w:t>)</w:t>
      </w:r>
      <w:r w:rsidR="00C561DF" w:rsidRPr="00CE23AE">
        <w:rPr>
          <w:rFonts w:eastAsia="Times New Roman"/>
          <w:szCs w:val="24"/>
          <w:lang w:val="en-US" w:eastAsia="es-CR"/>
        </w:rPr>
        <w:t xml:space="preserve"> of the Convention</w:t>
      </w:r>
      <w:r w:rsidR="00C01517" w:rsidRPr="00CE23AE">
        <w:rPr>
          <w:rFonts w:eastAsia="Times New Roman"/>
          <w:szCs w:val="24"/>
          <w:lang w:val="en-US" w:eastAsia="es-CR"/>
        </w:rPr>
        <w:t xml:space="preserve">, </w:t>
      </w:r>
      <w:r w:rsidRPr="00CE23AE">
        <w:rPr>
          <w:rFonts w:eastAsia="Times New Roman"/>
          <w:szCs w:val="24"/>
          <w:lang w:val="en-US" w:eastAsia="es-CR"/>
        </w:rPr>
        <w:t>in relation to</w:t>
      </w:r>
      <w:r w:rsidR="00C01517" w:rsidRPr="00CE23AE">
        <w:rPr>
          <w:rFonts w:eastAsia="Times New Roman"/>
          <w:szCs w:val="24"/>
          <w:lang w:val="en-US" w:eastAsia="es-CR"/>
        </w:rPr>
        <w:t xml:space="preserve"> </w:t>
      </w:r>
      <w:r w:rsidR="00C561DF" w:rsidRPr="00CE23AE">
        <w:rPr>
          <w:rFonts w:eastAsia="Times New Roman"/>
          <w:szCs w:val="24"/>
          <w:lang w:val="en-US" w:eastAsia="es-CR"/>
        </w:rPr>
        <w:t>Article 1(1)</w:t>
      </w:r>
      <w:r w:rsidR="00C01517" w:rsidRPr="00CE23AE">
        <w:rPr>
          <w:rFonts w:eastAsia="Times New Roman"/>
          <w:szCs w:val="24"/>
          <w:lang w:val="en-US" w:eastAsia="es-CR"/>
        </w:rPr>
        <w:t xml:space="preserve"> </w:t>
      </w:r>
      <w:r w:rsidR="00C561DF" w:rsidRPr="00CE23AE">
        <w:rPr>
          <w:rFonts w:eastAsia="Times New Roman"/>
          <w:szCs w:val="24"/>
          <w:lang w:val="en-US" w:eastAsia="es-CR"/>
        </w:rPr>
        <w:t>of this instrument</w:t>
      </w:r>
      <w:r w:rsidR="00C01517" w:rsidRPr="00CE23AE">
        <w:rPr>
          <w:rFonts w:eastAsia="Times New Roman"/>
          <w:szCs w:val="24"/>
          <w:lang w:val="en-US" w:eastAsia="es-CR"/>
        </w:rPr>
        <w:t xml:space="preserve">, </w:t>
      </w:r>
      <w:r w:rsidR="00C561DF" w:rsidRPr="00CE23AE">
        <w:rPr>
          <w:rFonts w:eastAsia="Times New Roman"/>
          <w:szCs w:val="24"/>
          <w:lang w:val="en-US" w:eastAsia="es-CR"/>
        </w:rPr>
        <w:t>to the detriment of</w:t>
      </w:r>
      <w:r w:rsidR="00C01517" w:rsidRPr="00CE23AE">
        <w:rPr>
          <w:rFonts w:eastAsia="Times New Roman"/>
          <w:szCs w:val="24"/>
          <w:lang w:val="en-US" w:eastAsia="es-CR"/>
        </w:rPr>
        <w:t xml:space="preserve"> </w:t>
      </w:r>
      <w:r w:rsidR="00CF3E39" w:rsidRPr="00CE23AE">
        <w:rPr>
          <w:rFonts w:eastAsia="Times New Roman"/>
          <w:szCs w:val="24"/>
          <w:lang w:val="en-US" w:eastAsia="es-CR"/>
        </w:rPr>
        <w:t>Mr. Flor</w:t>
      </w:r>
      <w:r w:rsidR="00C01517" w:rsidRPr="00CE23AE">
        <w:rPr>
          <w:rFonts w:eastAsia="Times New Roman"/>
          <w:szCs w:val="24"/>
          <w:lang w:val="en-US" w:eastAsia="es-CR"/>
        </w:rPr>
        <w:t xml:space="preserve"> Freire.</w:t>
      </w:r>
      <w:bookmarkEnd w:id="401"/>
      <w:r w:rsidR="00C01517" w:rsidRPr="00CE23AE">
        <w:rPr>
          <w:rFonts w:eastAsia="Times New Roman"/>
          <w:szCs w:val="24"/>
          <w:lang w:val="en-US" w:eastAsia="es-CR"/>
        </w:rPr>
        <w:t xml:space="preserve">  </w:t>
      </w:r>
      <w:r w:rsidR="00A415F1" w:rsidRPr="00CE23AE">
        <w:rPr>
          <w:rFonts w:eastAsia="Times New Roman"/>
          <w:szCs w:val="24"/>
          <w:lang w:val="en-US" w:eastAsia="es-CR"/>
        </w:rPr>
        <w:t xml:space="preserve">  </w:t>
      </w:r>
    </w:p>
    <w:bookmarkEnd w:id="398"/>
    <w:p w14:paraId="3D7136D9" w14:textId="2BE8C8B2" w:rsidR="00B42448" w:rsidRPr="00CE23AE" w:rsidRDefault="00B42448" w:rsidP="00582D8D">
      <w:pPr>
        <w:pStyle w:val="PrrafodeSentencia"/>
        <w:numPr>
          <w:ilvl w:val="0"/>
          <w:numId w:val="0"/>
        </w:numPr>
        <w:rPr>
          <w:lang w:val="en-US"/>
        </w:rPr>
      </w:pPr>
    </w:p>
    <w:p w14:paraId="3B520729" w14:textId="123DADE7" w:rsidR="00582D8D" w:rsidRPr="00CE23AE" w:rsidRDefault="002F5A11" w:rsidP="00582D8D">
      <w:pPr>
        <w:pStyle w:val="Ttulo1"/>
        <w:rPr>
          <w:lang w:val="en-US"/>
        </w:rPr>
      </w:pPr>
      <w:bookmarkStart w:id="402" w:name="_Toc464475005"/>
      <w:bookmarkStart w:id="403" w:name="_Toc46388392"/>
      <w:r w:rsidRPr="00CE23AE">
        <w:rPr>
          <w:caps w:val="0"/>
          <w:lang w:val="en-US"/>
        </w:rPr>
        <w:t>VIII-3</w:t>
      </w:r>
      <w:bookmarkEnd w:id="402"/>
      <w:bookmarkEnd w:id="403"/>
    </w:p>
    <w:p w14:paraId="54E9920D" w14:textId="2A711623" w:rsidR="00582D8D" w:rsidRPr="00CE23AE" w:rsidRDefault="00D020FF" w:rsidP="00582D8D">
      <w:pPr>
        <w:pStyle w:val="Ttulo1"/>
        <w:rPr>
          <w:caps w:val="0"/>
          <w:lang w:val="en-US"/>
        </w:rPr>
      </w:pPr>
      <w:bookmarkStart w:id="404" w:name="_Toc454891510"/>
      <w:bookmarkStart w:id="405" w:name="_Toc454891587"/>
      <w:bookmarkStart w:id="406" w:name="_Toc455439050"/>
      <w:bookmarkStart w:id="407" w:name="_Toc457840613"/>
      <w:bookmarkStart w:id="408" w:name="_Toc457844738"/>
      <w:bookmarkStart w:id="409" w:name="_Toc460398722"/>
      <w:bookmarkStart w:id="410" w:name="_Toc464475006"/>
      <w:bookmarkStart w:id="411" w:name="_Toc464475106"/>
      <w:bookmarkStart w:id="412" w:name="_Toc464479756"/>
      <w:bookmarkStart w:id="413" w:name="_Toc46388393"/>
      <w:r w:rsidRPr="00CE23AE">
        <w:rPr>
          <w:caps w:val="0"/>
          <w:lang w:val="en-US"/>
        </w:rPr>
        <w:t>RIGHTS TO JUDICIAL GUARANTEES AND TO JUDICIAL PROTECTION</w:t>
      </w:r>
      <w:r w:rsidR="00582D8D" w:rsidRPr="00CE23AE">
        <w:rPr>
          <w:caps w:val="0"/>
          <w:lang w:val="en-US"/>
        </w:rPr>
        <w:t xml:space="preserve"> </w:t>
      </w:r>
      <w:r w:rsidR="00AC18A9" w:rsidRPr="00CE23AE">
        <w:rPr>
          <w:caps w:val="0"/>
          <w:lang w:val="en-US"/>
        </w:rPr>
        <w:t>IN RELATION TO THE OBLIGATION TO RESPECT AND TO ENSURE RIGHTS</w:t>
      </w:r>
      <w:r w:rsidR="00C561DF" w:rsidRPr="00CE23AE">
        <w:rPr>
          <w:caps w:val="0"/>
          <w:lang w:val="en-US"/>
        </w:rPr>
        <w:t xml:space="preserve"> </w:t>
      </w:r>
      <w:r w:rsidR="00CF3E39" w:rsidRPr="00CE23AE">
        <w:rPr>
          <w:caps w:val="0"/>
          <w:lang w:val="en-US"/>
        </w:rPr>
        <w:t>AND THE OBLIGATION TO ADOPT DOMESTIC LEGAL PROVISIONS</w:t>
      </w:r>
      <w:bookmarkEnd w:id="404"/>
      <w:bookmarkEnd w:id="405"/>
      <w:bookmarkEnd w:id="406"/>
      <w:bookmarkEnd w:id="407"/>
      <w:bookmarkEnd w:id="408"/>
      <w:bookmarkEnd w:id="409"/>
      <w:bookmarkEnd w:id="410"/>
      <w:bookmarkEnd w:id="411"/>
      <w:bookmarkEnd w:id="412"/>
      <w:bookmarkEnd w:id="413"/>
    </w:p>
    <w:p w14:paraId="1F94D49E" w14:textId="77777777" w:rsidR="00582D8D" w:rsidRPr="00CE23AE" w:rsidRDefault="00582D8D" w:rsidP="00582D8D">
      <w:pPr>
        <w:rPr>
          <w:lang w:val="en-US" w:eastAsia="es-ES"/>
        </w:rPr>
      </w:pPr>
    </w:p>
    <w:p w14:paraId="7E235956" w14:textId="3008AB44" w:rsidR="00C84937" w:rsidRPr="00CE23AE" w:rsidRDefault="00345AB7" w:rsidP="00C84937">
      <w:pPr>
        <w:pStyle w:val="PrrafodeSentencia"/>
        <w:rPr>
          <w:rFonts w:cs="Arial"/>
          <w:lang w:val="en-US"/>
        </w:rPr>
      </w:pPr>
      <w:r w:rsidRPr="00CE23AE">
        <w:rPr>
          <w:lang w:val="en-US"/>
        </w:rPr>
        <w:t>In this chapter</w:t>
      </w:r>
      <w:r w:rsidR="00C84937" w:rsidRPr="00CE23AE">
        <w:rPr>
          <w:lang w:val="en-US"/>
        </w:rPr>
        <w:t xml:space="preserve">, </w:t>
      </w:r>
      <w:r w:rsidR="00C561DF" w:rsidRPr="00CE23AE">
        <w:rPr>
          <w:lang w:val="en-US"/>
        </w:rPr>
        <w:t>the Court</w:t>
      </w:r>
      <w:r w:rsidR="00C84937" w:rsidRPr="00CE23AE">
        <w:rPr>
          <w:lang w:val="en-US"/>
        </w:rPr>
        <w:t xml:space="preserve"> </w:t>
      </w:r>
      <w:r w:rsidRPr="00CE23AE">
        <w:rPr>
          <w:lang w:val="en-US"/>
        </w:rPr>
        <w:t>will examine the</w:t>
      </w:r>
      <w:r w:rsidR="00C84937" w:rsidRPr="00CE23AE">
        <w:rPr>
          <w:lang w:val="en-US"/>
        </w:rPr>
        <w:t xml:space="preserve"> </w:t>
      </w:r>
      <w:r w:rsidR="00C50413" w:rsidRPr="00CE23AE">
        <w:rPr>
          <w:lang w:val="en-US"/>
        </w:rPr>
        <w:t>a</w:t>
      </w:r>
      <w:r w:rsidRPr="00CE23AE">
        <w:rPr>
          <w:lang w:val="en-US"/>
        </w:rPr>
        <w:t>rguments</w:t>
      </w:r>
      <w:r w:rsidR="00C561DF" w:rsidRPr="00CE23AE">
        <w:rPr>
          <w:lang w:val="en-US"/>
        </w:rPr>
        <w:t xml:space="preserve"> of the Commission and </w:t>
      </w:r>
      <w:r w:rsidR="005024E2" w:rsidRPr="00CE23AE">
        <w:rPr>
          <w:lang w:val="en-US"/>
        </w:rPr>
        <w:t>of the parties</w:t>
      </w:r>
      <w:r w:rsidR="00C84937" w:rsidRPr="00CE23AE">
        <w:rPr>
          <w:lang w:val="en-US"/>
        </w:rPr>
        <w:t xml:space="preserve"> </w:t>
      </w:r>
      <w:r w:rsidRPr="00CE23AE">
        <w:rPr>
          <w:lang w:val="en-US"/>
        </w:rPr>
        <w:t xml:space="preserve">concerning the presumed absence of impartiality and lack of reasoning of the rulings in the disciplinary </w:t>
      </w:r>
      <w:r w:rsidR="00A06577" w:rsidRPr="00CE23AE">
        <w:rPr>
          <w:lang w:val="en-US"/>
        </w:rPr>
        <w:t>summary inquiry</w:t>
      </w:r>
      <w:r w:rsidR="00E5603C" w:rsidRPr="00CE23AE">
        <w:rPr>
          <w:lang w:val="en-US"/>
        </w:rPr>
        <w:t xml:space="preserve"> procedure</w:t>
      </w:r>
      <w:r w:rsidR="00C84937" w:rsidRPr="00CE23AE">
        <w:rPr>
          <w:lang w:val="en-US"/>
        </w:rPr>
        <w:t>, as</w:t>
      </w:r>
      <w:r w:rsidRPr="00CE23AE">
        <w:rPr>
          <w:lang w:val="en-US"/>
        </w:rPr>
        <w:t xml:space="preserve"> well as the alleged absence of an effective remedy, in violation of judicial guarantees</w:t>
      </w:r>
      <w:r w:rsidR="00C84937" w:rsidRPr="00CE23AE">
        <w:rPr>
          <w:rStyle w:val="Refdenotaalpie"/>
          <w:lang w:val="en-US"/>
        </w:rPr>
        <w:footnoteReference w:id="234"/>
      </w:r>
      <w:r w:rsidR="00C561DF" w:rsidRPr="00CE23AE">
        <w:rPr>
          <w:lang w:val="en-US"/>
        </w:rPr>
        <w:t xml:space="preserve"> and </w:t>
      </w:r>
      <w:r w:rsidRPr="00CE23AE">
        <w:rPr>
          <w:lang w:val="en-US"/>
        </w:rPr>
        <w:t>the right to</w:t>
      </w:r>
      <w:r w:rsidR="00C84937" w:rsidRPr="00CE23AE">
        <w:rPr>
          <w:lang w:val="en-US"/>
        </w:rPr>
        <w:t xml:space="preserve"> judicial</w:t>
      </w:r>
      <w:r w:rsidRPr="00CE23AE">
        <w:rPr>
          <w:lang w:val="en-US"/>
        </w:rPr>
        <w:t xml:space="preserve"> protection.</w:t>
      </w:r>
      <w:r w:rsidR="00C84937" w:rsidRPr="00CE23AE">
        <w:rPr>
          <w:rStyle w:val="Refdenotaalpie"/>
          <w:lang w:val="en-US"/>
        </w:rPr>
        <w:footnoteReference w:id="235"/>
      </w:r>
    </w:p>
    <w:p w14:paraId="366292C8" w14:textId="77777777" w:rsidR="00582D8D" w:rsidRPr="00CE23AE" w:rsidRDefault="00582D8D" w:rsidP="00582D8D">
      <w:pPr>
        <w:pStyle w:val="PrrafodeSentencia"/>
        <w:numPr>
          <w:ilvl w:val="0"/>
          <w:numId w:val="0"/>
        </w:numPr>
        <w:rPr>
          <w:lang w:val="en-US"/>
        </w:rPr>
      </w:pPr>
    </w:p>
    <w:p w14:paraId="7EA5C723" w14:textId="525D9F3B" w:rsidR="00582D8D" w:rsidRPr="00CE23AE" w:rsidRDefault="00D020FF" w:rsidP="00261F63">
      <w:pPr>
        <w:pStyle w:val="Ttulo2"/>
        <w:numPr>
          <w:ilvl w:val="0"/>
          <w:numId w:val="25"/>
        </w:numPr>
        <w:ind w:left="1134"/>
        <w:rPr>
          <w:lang w:val="en-US"/>
        </w:rPr>
      </w:pPr>
      <w:bookmarkStart w:id="414" w:name="_Toc46388394"/>
      <w:r w:rsidRPr="00CE23AE">
        <w:rPr>
          <w:lang w:val="en-US"/>
        </w:rPr>
        <w:t>The guarantee of impartiality and the obligation to provide reasoning</w:t>
      </w:r>
      <w:bookmarkEnd w:id="414"/>
      <w:r w:rsidR="00582D8D" w:rsidRPr="00CE23AE">
        <w:rPr>
          <w:lang w:val="en-US"/>
        </w:rPr>
        <w:t xml:space="preserve"> </w:t>
      </w:r>
    </w:p>
    <w:p w14:paraId="38D58AAB" w14:textId="77777777" w:rsidR="009009F9" w:rsidRPr="00CE23AE" w:rsidRDefault="009009F9" w:rsidP="009009F9">
      <w:pPr>
        <w:rPr>
          <w:lang w:val="en-US" w:eastAsia="es-MX"/>
        </w:rPr>
      </w:pPr>
    </w:p>
    <w:p w14:paraId="73358CD2" w14:textId="7A56BA4F" w:rsidR="00582D8D" w:rsidRPr="00CE23AE" w:rsidRDefault="00582D8D" w:rsidP="00582D8D">
      <w:pPr>
        <w:pStyle w:val="Ttulo3"/>
        <w:rPr>
          <w:lang w:val="en-US"/>
        </w:rPr>
      </w:pPr>
      <w:bookmarkStart w:id="415" w:name="_Toc454891512"/>
      <w:bookmarkStart w:id="416" w:name="_Toc457840615"/>
      <w:bookmarkStart w:id="417" w:name="_Toc460398548"/>
      <w:bookmarkStart w:id="418" w:name="_Toc464475008"/>
      <w:bookmarkStart w:id="419" w:name="_Toc46388395"/>
      <w:r w:rsidRPr="00CE23AE">
        <w:rPr>
          <w:lang w:val="en-US"/>
        </w:rPr>
        <w:t xml:space="preserve">A.1 </w:t>
      </w:r>
      <w:r w:rsidR="00E10780" w:rsidRPr="00CE23AE">
        <w:rPr>
          <w:lang w:val="en-US"/>
        </w:rPr>
        <w:t>Arguments of the parties</w:t>
      </w:r>
      <w:r w:rsidR="00C561DF" w:rsidRPr="00CE23AE">
        <w:rPr>
          <w:lang w:val="en-US"/>
        </w:rPr>
        <w:t xml:space="preserve"> and of the Commission</w:t>
      </w:r>
      <w:bookmarkEnd w:id="415"/>
      <w:bookmarkEnd w:id="416"/>
      <w:bookmarkEnd w:id="417"/>
      <w:bookmarkEnd w:id="418"/>
      <w:bookmarkEnd w:id="419"/>
    </w:p>
    <w:p w14:paraId="68685829" w14:textId="77777777" w:rsidR="00582D8D" w:rsidRPr="00CE23AE" w:rsidRDefault="00582D8D" w:rsidP="00F22AD0">
      <w:pPr>
        <w:pStyle w:val="PrrafodeSentencia"/>
        <w:numPr>
          <w:ilvl w:val="0"/>
          <w:numId w:val="0"/>
        </w:numPr>
        <w:spacing w:after="120"/>
        <w:rPr>
          <w:rFonts w:cs="Arial"/>
          <w:lang w:val="en-US"/>
        </w:rPr>
      </w:pPr>
    </w:p>
    <w:p w14:paraId="0C1F6596" w14:textId="28836434" w:rsidR="00C84937" w:rsidRPr="00CE23AE" w:rsidRDefault="00C561DF" w:rsidP="005C4BF8">
      <w:pPr>
        <w:pStyle w:val="PrrafodeSentencia"/>
        <w:rPr>
          <w:rFonts w:cs="Arial"/>
          <w:lang w:val="en-US"/>
        </w:rPr>
      </w:pPr>
      <w:r w:rsidRPr="00CE23AE">
        <w:rPr>
          <w:lang w:val="en-US"/>
        </w:rPr>
        <w:t xml:space="preserve">The </w:t>
      </w:r>
      <w:r w:rsidRPr="00CE23AE">
        <w:rPr>
          <w:b/>
          <w:bCs/>
          <w:i/>
          <w:iCs/>
          <w:lang w:val="en-US"/>
        </w:rPr>
        <w:t>Commission</w:t>
      </w:r>
      <w:r w:rsidR="00C84937" w:rsidRPr="00CE23AE">
        <w:rPr>
          <w:lang w:val="en-US"/>
        </w:rPr>
        <w:t xml:space="preserve"> deter</w:t>
      </w:r>
      <w:r w:rsidR="0069780E" w:rsidRPr="00CE23AE">
        <w:rPr>
          <w:lang w:val="en-US"/>
        </w:rPr>
        <w:t xml:space="preserve">mined that </w:t>
      </w:r>
      <w:r w:rsidR="0078516C" w:rsidRPr="00CE23AE">
        <w:rPr>
          <w:lang w:val="en-US"/>
        </w:rPr>
        <w:t>the decision</w:t>
      </w:r>
      <w:r w:rsidR="000366A6" w:rsidRPr="00CE23AE">
        <w:rPr>
          <w:lang w:val="en-US"/>
        </w:rPr>
        <w:t xml:space="preserve"> of the </w:t>
      </w:r>
      <w:r w:rsidR="00A055CE" w:rsidRPr="00CE23AE">
        <w:rPr>
          <w:lang w:val="en-US"/>
        </w:rPr>
        <w:t>Court of Law</w:t>
      </w:r>
      <w:r w:rsidR="00C84937" w:rsidRPr="00CE23AE">
        <w:rPr>
          <w:lang w:val="en-US"/>
        </w:rPr>
        <w:t xml:space="preserve">, </w:t>
      </w:r>
      <w:r w:rsidR="004534D1" w:rsidRPr="00CE23AE">
        <w:rPr>
          <w:lang w:val="en-US"/>
        </w:rPr>
        <w:t>which was the only instance that examined the evidence during the disciplinary proceedings, violated the guarantee of impartiality contained in Article 8(1) of the Convention.</w:t>
      </w:r>
      <w:r w:rsidR="002B565E" w:rsidRPr="00CE23AE">
        <w:rPr>
          <w:lang w:val="en-US"/>
        </w:rPr>
        <w:t xml:space="preserve"> In this regard, it indicated that the</w:t>
      </w:r>
      <w:r w:rsidR="00C84937" w:rsidRPr="00CE23AE">
        <w:rPr>
          <w:rFonts w:eastAsiaTheme="minorHAnsi" w:cs="Arial"/>
          <w:lang w:val="en-US" w:eastAsia="en-US"/>
        </w:rPr>
        <w:t xml:space="preserve"> “</w:t>
      </w:r>
      <w:r w:rsidR="00A055CE" w:rsidRPr="00CE23AE">
        <w:rPr>
          <w:rFonts w:eastAsiaTheme="minorHAnsi" w:cs="Arial"/>
          <w:lang w:val="en-US" w:eastAsia="en-US"/>
        </w:rPr>
        <w:t>Judge of Law</w:t>
      </w:r>
      <w:r w:rsidR="00C84937" w:rsidRPr="00CE23AE">
        <w:rPr>
          <w:rFonts w:eastAsiaTheme="minorHAnsi" w:cs="Arial"/>
          <w:lang w:val="en-US" w:eastAsia="en-US"/>
        </w:rPr>
        <w:t xml:space="preserve"> </w:t>
      </w:r>
      <w:r w:rsidR="00FA2FA3" w:rsidRPr="00CE23AE">
        <w:rPr>
          <w:rFonts w:eastAsiaTheme="minorHAnsi" w:cs="Arial"/>
          <w:lang w:val="en-US" w:eastAsia="en-US"/>
        </w:rPr>
        <w:t xml:space="preserve">who handed down the judgment against </w:t>
      </w:r>
      <w:r w:rsidR="00000AE1" w:rsidRPr="00CE23AE">
        <w:rPr>
          <w:rFonts w:eastAsiaTheme="minorHAnsi" w:cs="Arial"/>
          <w:lang w:val="en-US" w:eastAsia="en-US"/>
        </w:rPr>
        <w:t>Mr.</w:t>
      </w:r>
      <w:r w:rsidR="00F5102B" w:rsidRPr="00CE23AE">
        <w:rPr>
          <w:rFonts w:eastAsiaTheme="minorHAnsi" w:cs="Arial"/>
          <w:lang w:val="en-US" w:eastAsia="en-US"/>
        </w:rPr>
        <w:t xml:space="preserve"> Flor</w:t>
      </w:r>
      <w:r w:rsidR="00C84937" w:rsidRPr="00CE23AE">
        <w:rPr>
          <w:rFonts w:eastAsiaTheme="minorHAnsi" w:cs="Arial"/>
          <w:lang w:val="en-US" w:eastAsia="en-US"/>
        </w:rPr>
        <w:t>, ha</w:t>
      </w:r>
      <w:r w:rsidR="00FA2FA3" w:rsidRPr="00CE23AE">
        <w:rPr>
          <w:rFonts w:eastAsiaTheme="minorHAnsi" w:cs="Arial"/>
          <w:lang w:val="en-US" w:eastAsia="en-US"/>
        </w:rPr>
        <w:t xml:space="preserve">d been involved in an initial phase of the investigation procedure when, in his capacity as Zone Commander, [and as Mr. Flor Freire’s ranking superior] he </w:t>
      </w:r>
      <w:r w:rsidR="00FA2FA3" w:rsidRPr="00CE23AE">
        <w:rPr>
          <w:rFonts w:eastAsiaTheme="minorHAnsi" w:cs="Arial"/>
          <w:lang w:val="en-US" w:eastAsia="en-US"/>
        </w:rPr>
        <w:lastRenderedPageBreak/>
        <w:t xml:space="preserve">had required [him] to </w:t>
      </w:r>
      <w:r w:rsidR="00A70E24" w:rsidRPr="00CE23AE">
        <w:rPr>
          <w:rFonts w:eastAsiaTheme="minorHAnsi" w:cs="Arial"/>
          <w:lang w:val="en-US" w:eastAsia="en-US"/>
        </w:rPr>
        <w:t xml:space="preserve">surrender </w:t>
      </w:r>
      <w:r w:rsidR="00FA2FA3" w:rsidRPr="00CE23AE">
        <w:rPr>
          <w:rFonts w:eastAsiaTheme="minorHAnsi" w:cs="Arial"/>
          <w:lang w:val="en-US" w:eastAsia="en-US"/>
        </w:rPr>
        <w:t xml:space="preserve">his responsibilities and his room.” Based on this, the Commission argued that “the decision of the </w:t>
      </w:r>
      <w:r w:rsidR="00A055CE" w:rsidRPr="00CE23AE">
        <w:rPr>
          <w:rFonts w:eastAsiaTheme="minorHAnsi" w:cs="Arial"/>
          <w:lang w:val="en-US" w:eastAsia="en-US"/>
        </w:rPr>
        <w:t>Court of Law</w:t>
      </w:r>
      <w:r w:rsidR="00FA2FA3" w:rsidRPr="00CE23AE">
        <w:rPr>
          <w:rFonts w:eastAsiaTheme="minorHAnsi" w:cs="Arial"/>
          <w:iCs/>
          <w:lang w:val="en-US" w:eastAsia="en-US"/>
        </w:rPr>
        <w:t xml:space="preserve"> was influenced by the judge having </w:t>
      </w:r>
      <w:r w:rsidR="00A70E24" w:rsidRPr="00CE23AE">
        <w:rPr>
          <w:rFonts w:eastAsiaTheme="minorHAnsi" w:cs="Arial"/>
          <w:iCs/>
          <w:lang w:val="en-US" w:eastAsia="en-US"/>
        </w:rPr>
        <w:t xml:space="preserve">had </w:t>
      </w:r>
      <w:r w:rsidR="00FA2FA3" w:rsidRPr="00CE23AE">
        <w:rPr>
          <w:rFonts w:eastAsiaTheme="minorHAnsi" w:cs="Arial"/>
          <w:iCs/>
          <w:lang w:val="en-US" w:eastAsia="en-US"/>
        </w:rPr>
        <w:t xml:space="preserve">a preconceived opinion of the matter in relation to Mr. Flor’s responsibility.” The Commission also indicated that neither the decision on the request for review decided by </w:t>
      </w:r>
      <w:r w:rsidR="008B76F3" w:rsidRPr="00CE23AE">
        <w:rPr>
          <w:lang w:val="en-US"/>
        </w:rPr>
        <w:t xml:space="preserve">the </w:t>
      </w:r>
      <w:r w:rsidR="00C347F4" w:rsidRPr="00CE23AE">
        <w:rPr>
          <w:lang w:val="en-US"/>
        </w:rPr>
        <w:t>Junior Officers Board</w:t>
      </w:r>
      <w:r w:rsidR="00C84937" w:rsidRPr="00CE23AE">
        <w:rPr>
          <w:lang w:val="en-US"/>
        </w:rPr>
        <w:t>, n</w:t>
      </w:r>
      <w:r w:rsidR="00FA2FA3" w:rsidRPr="00CE23AE">
        <w:rPr>
          <w:lang w:val="en-US"/>
        </w:rPr>
        <w:t xml:space="preserve">or the appeal decided by </w:t>
      </w:r>
      <w:r w:rsidR="008B76F3" w:rsidRPr="00CE23AE">
        <w:rPr>
          <w:lang w:val="en-US"/>
        </w:rPr>
        <w:t xml:space="preserve">the </w:t>
      </w:r>
      <w:r w:rsidR="00847B25" w:rsidRPr="00CE23AE">
        <w:rPr>
          <w:lang w:val="en-US"/>
        </w:rPr>
        <w:t>Senior Officers Board</w:t>
      </w:r>
      <w:r w:rsidR="00C84937" w:rsidRPr="00CE23AE">
        <w:rPr>
          <w:lang w:val="en-US"/>
        </w:rPr>
        <w:t xml:space="preserve"> </w:t>
      </w:r>
      <w:r w:rsidR="00FA2FA3" w:rsidRPr="00CE23AE">
        <w:rPr>
          <w:lang w:val="en-US"/>
        </w:rPr>
        <w:t xml:space="preserve">contained the reasoning, because they merely “referred briefly to what had been established previously by </w:t>
      </w:r>
      <w:r w:rsidR="00FA2FA3" w:rsidRPr="00CE23AE">
        <w:rPr>
          <w:rFonts w:eastAsiaTheme="minorHAnsi" w:cs="Arial"/>
          <w:lang w:val="en-US" w:eastAsia="en-US"/>
        </w:rPr>
        <w:t xml:space="preserve">the </w:t>
      </w:r>
      <w:r w:rsidR="00A055CE" w:rsidRPr="00CE23AE">
        <w:rPr>
          <w:rFonts w:eastAsiaTheme="minorHAnsi" w:cs="Arial"/>
          <w:lang w:val="en-US" w:eastAsia="en-US"/>
        </w:rPr>
        <w:t>Court of Law</w:t>
      </w:r>
      <w:r w:rsidR="00FA2FA3" w:rsidRPr="00CE23AE">
        <w:rPr>
          <w:rFonts w:eastAsiaTheme="minorHAnsi" w:cs="Arial"/>
          <w:i/>
          <w:lang w:val="en-US" w:eastAsia="en-US"/>
        </w:rPr>
        <w:t>,</w:t>
      </w:r>
      <w:r w:rsidR="00FA2FA3" w:rsidRPr="00CE23AE">
        <w:rPr>
          <w:rFonts w:eastAsiaTheme="minorHAnsi" w:cs="Arial"/>
          <w:lang w:val="en-US" w:eastAsia="en-US"/>
        </w:rPr>
        <w:t>” so that there was no ruling on the merits of the matter.</w:t>
      </w:r>
      <w:r w:rsidR="00FA2FA3" w:rsidRPr="00CE23AE">
        <w:rPr>
          <w:rFonts w:cs="Arial"/>
          <w:lang w:val="en-US"/>
        </w:rPr>
        <w:t xml:space="preserve"> </w:t>
      </w:r>
      <w:r w:rsidR="00345AB7" w:rsidRPr="00CE23AE">
        <w:rPr>
          <w:lang w:val="en-US"/>
        </w:rPr>
        <w:t>According to</w:t>
      </w:r>
      <w:r w:rsidR="00C84937" w:rsidRPr="00CE23AE">
        <w:rPr>
          <w:lang w:val="en-US"/>
        </w:rPr>
        <w:t xml:space="preserve"> </w:t>
      </w:r>
      <w:r w:rsidRPr="00CE23AE">
        <w:rPr>
          <w:lang w:val="en-US"/>
        </w:rPr>
        <w:t>the Commission</w:t>
      </w:r>
      <w:r w:rsidR="00C84937" w:rsidRPr="00CE23AE">
        <w:rPr>
          <w:lang w:val="en-US"/>
        </w:rPr>
        <w:t>,</w:t>
      </w:r>
      <w:r w:rsidR="00FA2FA3" w:rsidRPr="00CE23AE">
        <w:rPr>
          <w:lang w:val="en-US"/>
        </w:rPr>
        <w:t xml:space="preserve"> this failure to set out the reasoning had “had a negative effect on Mr. Flor’s exercise of his right to defend himself.” </w:t>
      </w:r>
      <w:r w:rsidR="00A70E24" w:rsidRPr="00CE23AE">
        <w:rPr>
          <w:lang w:val="en-US"/>
        </w:rPr>
        <w:t>Based on</w:t>
      </w:r>
      <w:r w:rsidR="005C4BF8" w:rsidRPr="00CE23AE">
        <w:rPr>
          <w:lang w:val="en-US"/>
        </w:rPr>
        <w:t xml:space="preserve"> the authority vested in the respected Officers’ Boards, it argued that this “demanded a </w:t>
      </w:r>
      <w:r w:rsidR="00A70E24" w:rsidRPr="00CE23AE">
        <w:rPr>
          <w:lang w:val="en-US"/>
        </w:rPr>
        <w:t>pronouncement</w:t>
      </w:r>
      <w:r w:rsidR="005C4BF8" w:rsidRPr="00CE23AE">
        <w:rPr>
          <w:lang w:val="en-US"/>
        </w:rPr>
        <w:t xml:space="preserve"> that would autonomously determine whether it was in order to apply the sanction called for based on the facts established by</w:t>
      </w:r>
      <w:r w:rsidR="00DE794A" w:rsidRPr="00CE23AE">
        <w:rPr>
          <w:lang w:val="en-US"/>
        </w:rPr>
        <w:t xml:space="preserve"> the</w:t>
      </w:r>
      <w:r w:rsidR="005C4BF8" w:rsidRPr="00CE23AE">
        <w:rPr>
          <w:lang w:val="en-US"/>
        </w:rPr>
        <w:t xml:space="preserve"> </w:t>
      </w:r>
      <w:r w:rsidR="00A055CE" w:rsidRPr="00CE23AE">
        <w:rPr>
          <w:lang w:val="en-US"/>
        </w:rPr>
        <w:t>Court of Law</w:t>
      </w:r>
      <w:r w:rsidR="005C4BF8" w:rsidRPr="00CE23AE">
        <w:rPr>
          <w:rFonts w:eastAsiaTheme="minorHAnsi" w:cs="Arial"/>
          <w:i/>
          <w:lang w:val="en-US" w:eastAsia="en-US"/>
        </w:rPr>
        <w:t>.</w:t>
      </w:r>
      <w:r w:rsidR="005C4BF8" w:rsidRPr="00CE23AE">
        <w:rPr>
          <w:rFonts w:eastAsiaTheme="minorHAnsi" w:cs="Arial"/>
          <w:lang w:val="en-US" w:eastAsia="en-US"/>
        </w:rPr>
        <w:t xml:space="preserve">” It mentioned that this “was also required by domestic law, pursuant to the provisions of </w:t>
      </w:r>
      <w:r w:rsidR="00345AB7" w:rsidRPr="00CE23AE">
        <w:rPr>
          <w:rFonts w:eastAsiaTheme="minorHAnsi" w:cs="Arial"/>
          <w:lang w:val="en-US" w:eastAsia="en-US"/>
        </w:rPr>
        <w:t>a</w:t>
      </w:r>
      <w:r w:rsidRPr="00CE23AE">
        <w:rPr>
          <w:rFonts w:eastAsiaTheme="minorHAnsi" w:cs="Arial"/>
          <w:lang w:val="en-US" w:eastAsia="en-US"/>
        </w:rPr>
        <w:t>rticle</w:t>
      </w:r>
      <w:r w:rsidR="00C84937" w:rsidRPr="00CE23AE">
        <w:rPr>
          <w:rFonts w:eastAsiaTheme="minorHAnsi" w:cs="Arial"/>
          <w:lang w:val="en-US" w:eastAsia="en-US"/>
        </w:rPr>
        <w:t xml:space="preserve"> 24.13</w:t>
      </w:r>
      <w:r w:rsidR="0005476C" w:rsidRPr="00CE23AE">
        <w:rPr>
          <w:rFonts w:eastAsiaTheme="minorHAnsi" w:cs="Arial"/>
          <w:lang w:val="en-US" w:eastAsia="en-US"/>
        </w:rPr>
        <w:t xml:space="preserve"> of the Constitution</w:t>
      </w:r>
      <w:r w:rsidR="00C84937" w:rsidRPr="00CE23AE">
        <w:rPr>
          <w:rFonts w:eastAsiaTheme="minorHAnsi" w:cs="Arial"/>
          <w:lang w:val="en-US" w:eastAsia="en-US"/>
        </w:rPr>
        <w:t xml:space="preserve"> </w:t>
      </w:r>
      <w:r w:rsidR="005C4BF8" w:rsidRPr="00CE23AE">
        <w:rPr>
          <w:rFonts w:eastAsiaTheme="minorHAnsi" w:cs="Arial"/>
          <w:lang w:val="en-US" w:eastAsia="en-US"/>
        </w:rPr>
        <w:t xml:space="preserve">then </w:t>
      </w:r>
      <w:r w:rsidR="00345AB7" w:rsidRPr="00CE23AE">
        <w:rPr>
          <w:rFonts w:eastAsiaTheme="minorHAnsi" w:cs="Arial"/>
          <w:lang w:val="en-US" w:eastAsia="en-US"/>
        </w:rPr>
        <w:t>in force</w:t>
      </w:r>
      <w:r w:rsidR="00C84937" w:rsidRPr="00CE23AE">
        <w:rPr>
          <w:rFonts w:eastAsiaTheme="minorHAnsi" w:cs="Arial"/>
          <w:lang w:val="en-US" w:eastAsia="en-US"/>
        </w:rPr>
        <w:t xml:space="preserve">, </w:t>
      </w:r>
      <w:r w:rsidR="005C4BF8" w:rsidRPr="00CE23AE">
        <w:rPr>
          <w:rFonts w:eastAsiaTheme="minorHAnsi" w:cs="Arial"/>
          <w:lang w:val="en-US" w:eastAsia="en-US"/>
        </w:rPr>
        <w:t>which established the duty to state the reasoning for resolutions of the public authorities that affect persons as a guarantee of the right to due process.</w:t>
      </w:r>
      <w:r w:rsidR="00C84937" w:rsidRPr="00CE23AE">
        <w:rPr>
          <w:rFonts w:eastAsiaTheme="minorHAnsi" w:cs="Arial"/>
          <w:lang w:val="en-US" w:eastAsia="en-US"/>
        </w:rPr>
        <w:t>”</w:t>
      </w:r>
      <w:r w:rsidR="005C4BF8" w:rsidRPr="00CE23AE">
        <w:rPr>
          <w:rFonts w:eastAsiaTheme="minorHAnsi" w:cs="Arial"/>
          <w:lang w:val="en-US" w:eastAsia="en-US"/>
        </w:rPr>
        <w:t xml:space="preserve"> It also argued that the reasoning was absent from the decision taken on </w:t>
      </w:r>
      <w:r w:rsidR="005C4BF8" w:rsidRPr="00CE23AE">
        <w:rPr>
          <w:lang w:val="en-US"/>
        </w:rPr>
        <w:t>Mr. Flor Freire’s</w:t>
      </w:r>
      <w:r w:rsidR="005C4BF8" w:rsidRPr="00CE23AE">
        <w:rPr>
          <w:rFonts w:eastAsiaTheme="minorHAnsi" w:cs="Arial"/>
          <w:lang w:val="en-US" w:eastAsia="en-US"/>
        </w:rPr>
        <w:t xml:space="preserve"> application for amparo by the two courts that intervened in the proceeding</w:t>
      </w:r>
      <w:r w:rsidR="005C4BF8" w:rsidRPr="00CE23AE">
        <w:rPr>
          <w:lang w:val="en-US"/>
        </w:rPr>
        <w:t>.</w:t>
      </w:r>
      <w:r w:rsidR="00EE6705" w:rsidRPr="00CE23AE">
        <w:rPr>
          <w:rStyle w:val="Refdenotaalpie"/>
          <w:lang w:val="en-US"/>
        </w:rPr>
        <w:footnoteReference w:id="236"/>
      </w:r>
      <w:r w:rsidR="00C84937" w:rsidRPr="00CE23AE">
        <w:rPr>
          <w:lang w:val="en-US"/>
        </w:rPr>
        <w:t xml:space="preserve"> </w:t>
      </w:r>
    </w:p>
    <w:p w14:paraId="2B88E6D6" w14:textId="77777777" w:rsidR="00C84937" w:rsidRPr="00CE23AE" w:rsidRDefault="00C84937" w:rsidP="00C84937">
      <w:pPr>
        <w:pStyle w:val="PrrafodeSentencia"/>
        <w:numPr>
          <w:ilvl w:val="0"/>
          <w:numId w:val="0"/>
        </w:numPr>
        <w:rPr>
          <w:b/>
          <w:lang w:val="en-US"/>
        </w:rPr>
      </w:pPr>
    </w:p>
    <w:p w14:paraId="3E0C7430" w14:textId="2A6B740B" w:rsidR="00C84937" w:rsidRPr="00CE23AE" w:rsidRDefault="00C561DF" w:rsidP="004A5B9A">
      <w:pPr>
        <w:pStyle w:val="PrrafodeSentencia"/>
        <w:suppressAutoHyphens/>
        <w:contextualSpacing/>
        <w:rPr>
          <w:lang w:val="en-US"/>
        </w:rPr>
      </w:pPr>
      <w:r w:rsidRPr="00CE23AE">
        <w:rPr>
          <w:lang w:val="en-US"/>
        </w:rPr>
        <w:t>The</w:t>
      </w:r>
      <w:r w:rsidRPr="00CE23AE">
        <w:rPr>
          <w:b/>
          <w:bCs/>
          <w:i/>
          <w:iCs/>
          <w:lang w:val="en-US"/>
        </w:rPr>
        <w:t xml:space="preserve"> representative</w:t>
      </w:r>
      <w:r w:rsidR="00C84937" w:rsidRPr="00CE23AE">
        <w:rPr>
          <w:lang w:val="en-US"/>
        </w:rPr>
        <w:t xml:space="preserve"> </w:t>
      </w:r>
      <w:r w:rsidR="005C4BF8" w:rsidRPr="00CE23AE">
        <w:rPr>
          <w:lang w:val="en-US"/>
        </w:rPr>
        <w:t>argued that</w:t>
      </w:r>
      <w:r w:rsidR="00C84937" w:rsidRPr="00CE23AE">
        <w:rPr>
          <w:lang w:val="en-US"/>
        </w:rPr>
        <w:t xml:space="preserve"> “</w:t>
      </w:r>
      <w:r w:rsidR="00F5102B" w:rsidRPr="00CE23AE">
        <w:rPr>
          <w:lang w:val="en-US"/>
        </w:rPr>
        <w:t>Mr. Flor</w:t>
      </w:r>
      <w:r w:rsidR="00C84937" w:rsidRPr="00CE23AE">
        <w:rPr>
          <w:lang w:val="en-US"/>
        </w:rPr>
        <w:t xml:space="preserve"> Freire </w:t>
      </w:r>
      <w:r w:rsidR="005C4BF8" w:rsidRPr="00CE23AE">
        <w:rPr>
          <w:lang w:val="en-US"/>
        </w:rPr>
        <w:t xml:space="preserve">never had an independent and impartial judge to decide on </w:t>
      </w:r>
      <w:r w:rsidR="00DE794A" w:rsidRPr="00CE23AE">
        <w:rPr>
          <w:lang w:val="en-US"/>
        </w:rPr>
        <w:t>whether</w:t>
      </w:r>
      <w:r w:rsidR="005C4BF8" w:rsidRPr="00CE23AE">
        <w:rPr>
          <w:lang w:val="en-US"/>
        </w:rPr>
        <w:t xml:space="preserve"> his rights</w:t>
      </w:r>
      <w:r w:rsidR="00DE794A" w:rsidRPr="00CE23AE">
        <w:rPr>
          <w:lang w:val="en-US"/>
        </w:rPr>
        <w:t xml:space="preserve"> had been violated</w:t>
      </w:r>
      <w:r w:rsidR="005C4BF8" w:rsidRPr="00CE23AE">
        <w:rPr>
          <w:lang w:val="en-US"/>
        </w:rPr>
        <w:t>.” According to the representative, owing to the hierarchic nature of the military institution, “the inappropriately named ‘</w:t>
      </w:r>
      <w:r w:rsidR="00A055CE" w:rsidRPr="00CE23AE">
        <w:rPr>
          <w:lang w:val="en-US"/>
        </w:rPr>
        <w:t>Judge of Law</w:t>
      </w:r>
      <w:r w:rsidR="005C4BF8" w:rsidRPr="00CE23AE">
        <w:rPr>
          <w:lang w:val="en-US"/>
        </w:rPr>
        <w:t xml:space="preserve">’” did not </w:t>
      </w:r>
      <w:r w:rsidR="004A5B9A" w:rsidRPr="00CE23AE">
        <w:rPr>
          <w:lang w:val="en-US"/>
        </w:rPr>
        <w:t xml:space="preserve">meet the conditions of independence and impartiality required by the </w:t>
      </w:r>
      <w:r w:rsidR="00DE794A" w:rsidRPr="00CE23AE">
        <w:rPr>
          <w:lang w:val="en-US"/>
        </w:rPr>
        <w:t>C</w:t>
      </w:r>
      <w:r w:rsidR="004A5B9A" w:rsidRPr="00CE23AE">
        <w:rPr>
          <w:lang w:val="en-US"/>
        </w:rPr>
        <w:t xml:space="preserve">onvention. He argued that “owing to the discriminatory practices that existed, [Mr. Flor Freire] was condemned […] from the very moment in which […] it was decided to open the disciplinary proceeding.” On that basis, he argued a violation of the right to judicial guarantees recognized in </w:t>
      </w:r>
      <w:r w:rsidRPr="00CE23AE">
        <w:rPr>
          <w:lang w:val="en-US"/>
        </w:rPr>
        <w:t>Article</w:t>
      </w:r>
      <w:r w:rsidR="00C84937" w:rsidRPr="00CE23AE">
        <w:rPr>
          <w:lang w:val="en-US"/>
        </w:rPr>
        <w:t xml:space="preserve"> 8</w:t>
      </w:r>
      <w:r w:rsidRPr="00CE23AE">
        <w:rPr>
          <w:lang w:val="en-US"/>
        </w:rPr>
        <w:t xml:space="preserve"> of the Convention</w:t>
      </w:r>
      <w:r w:rsidR="00C84937" w:rsidRPr="00CE23AE">
        <w:rPr>
          <w:lang w:val="en-US"/>
        </w:rPr>
        <w:t xml:space="preserve">. </w:t>
      </w:r>
    </w:p>
    <w:p w14:paraId="7ED2241C" w14:textId="77777777" w:rsidR="00C84937" w:rsidRPr="00CE23AE" w:rsidRDefault="00C84937" w:rsidP="00C84937">
      <w:pPr>
        <w:pStyle w:val="PrrafodeSentencia"/>
        <w:numPr>
          <w:ilvl w:val="0"/>
          <w:numId w:val="0"/>
        </w:numPr>
        <w:suppressAutoHyphens/>
        <w:contextualSpacing/>
        <w:rPr>
          <w:lang w:val="en-US"/>
        </w:rPr>
      </w:pPr>
    </w:p>
    <w:p w14:paraId="627E5424" w14:textId="52F5F04C" w:rsidR="00F22AD0" w:rsidRPr="00CE23AE" w:rsidRDefault="00C561DF" w:rsidP="008760F2">
      <w:pPr>
        <w:pStyle w:val="PrrafodeSentencia"/>
        <w:rPr>
          <w:lang w:val="en-US"/>
        </w:rPr>
      </w:pPr>
      <w:r w:rsidRPr="00CE23AE">
        <w:rPr>
          <w:lang w:val="en-US"/>
        </w:rPr>
        <w:t xml:space="preserve">The </w:t>
      </w:r>
      <w:r w:rsidRPr="00CE23AE">
        <w:rPr>
          <w:b/>
          <w:bCs/>
          <w:i/>
          <w:iCs/>
          <w:lang w:val="en-US"/>
        </w:rPr>
        <w:t>State</w:t>
      </w:r>
      <w:r w:rsidR="00C84937" w:rsidRPr="00CE23AE">
        <w:rPr>
          <w:lang w:val="en-US"/>
        </w:rPr>
        <w:t xml:space="preserve"> </w:t>
      </w:r>
      <w:r w:rsidR="004A5B9A" w:rsidRPr="00CE23AE">
        <w:rPr>
          <w:lang w:val="en-US"/>
        </w:rPr>
        <w:t xml:space="preserve">indicated that it had not been proved that </w:t>
      </w:r>
      <w:r w:rsidR="00C84937" w:rsidRPr="00CE23AE">
        <w:rPr>
          <w:lang w:val="en-US"/>
        </w:rPr>
        <w:t>“</w:t>
      </w:r>
      <w:r w:rsidR="004A5B9A" w:rsidRPr="00CE23AE">
        <w:rPr>
          <w:lang w:val="en-US"/>
        </w:rPr>
        <w:t>the</w:t>
      </w:r>
      <w:r w:rsidR="00C84937" w:rsidRPr="00CE23AE">
        <w:rPr>
          <w:lang w:val="en-US"/>
        </w:rPr>
        <w:t xml:space="preserve"> </w:t>
      </w:r>
      <w:r w:rsidRPr="00CE23AE">
        <w:rPr>
          <w:lang w:val="en-US"/>
        </w:rPr>
        <w:t>judge</w:t>
      </w:r>
      <w:r w:rsidR="00C84937" w:rsidRPr="00CE23AE">
        <w:rPr>
          <w:lang w:val="en-US"/>
        </w:rPr>
        <w:t xml:space="preserve"> </w:t>
      </w:r>
      <w:r w:rsidR="004A5B9A" w:rsidRPr="00CE23AE">
        <w:rPr>
          <w:lang w:val="en-US"/>
        </w:rPr>
        <w:t>who decided the</w:t>
      </w:r>
      <w:r w:rsidR="00C84937" w:rsidRPr="00CE23AE">
        <w:rPr>
          <w:lang w:val="en-US"/>
        </w:rPr>
        <w:t xml:space="preserve"> </w:t>
      </w:r>
      <w:r w:rsidR="00A06577" w:rsidRPr="00CE23AE">
        <w:rPr>
          <w:lang w:val="en-US"/>
        </w:rPr>
        <w:t>summary inquiry</w:t>
      </w:r>
      <w:r w:rsidR="00C84937" w:rsidRPr="00CE23AE">
        <w:rPr>
          <w:lang w:val="en-US"/>
        </w:rPr>
        <w:t xml:space="preserve"> ha</w:t>
      </w:r>
      <w:r w:rsidR="004A5B9A" w:rsidRPr="00CE23AE">
        <w:rPr>
          <w:lang w:val="en-US"/>
        </w:rPr>
        <w:t xml:space="preserve">d been subject to internal pressures within the Army”; also, it had “not been proved that any other </w:t>
      </w:r>
      <w:r w:rsidR="00DE794A" w:rsidRPr="00CE23AE">
        <w:rPr>
          <w:lang w:val="en-US"/>
        </w:rPr>
        <w:t xml:space="preserve">state </w:t>
      </w:r>
      <w:r w:rsidR="004A5B9A" w:rsidRPr="00CE23AE">
        <w:rPr>
          <w:lang w:val="en-US"/>
        </w:rPr>
        <w:t xml:space="preserve">function had influenced the judge; therefore, this dispensed with the arguments of violation of the principle of independence.” According to the State, the two elements required to establish the existence of impartiality </w:t>
      </w:r>
      <w:r w:rsidR="00DE794A" w:rsidRPr="00CE23AE">
        <w:rPr>
          <w:lang w:val="en-US"/>
        </w:rPr>
        <w:t xml:space="preserve">had not </w:t>
      </w:r>
      <w:r w:rsidR="004A5B9A" w:rsidRPr="00CE23AE">
        <w:rPr>
          <w:lang w:val="en-US"/>
        </w:rPr>
        <w:t>been proved</w:t>
      </w:r>
      <w:r w:rsidR="00DE794A" w:rsidRPr="00CE23AE">
        <w:rPr>
          <w:lang w:val="en-US"/>
        </w:rPr>
        <w:t xml:space="preserve"> either</w:t>
      </w:r>
      <w:r w:rsidR="004A5B9A" w:rsidRPr="00CE23AE">
        <w:rPr>
          <w:lang w:val="en-US"/>
        </w:rPr>
        <w:t xml:space="preserve">, namely: (i) </w:t>
      </w:r>
      <w:r w:rsidR="00DE794A" w:rsidRPr="00CE23AE">
        <w:rPr>
          <w:lang w:val="en-US"/>
        </w:rPr>
        <w:t xml:space="preserve">the </w:t>
      </w:r>
      <w:r w:rsidR="004A5B9A" w:rsidRPr="00CE23AE">
        <w:rPr>
          <w:lang w:val="en-US"/>
        </w:rPr>
        <w:t xml:space="preserve">anticipated knowledge or appraisal of the matter, and (ii) </w:t>
      </w:r>
      <w:r w:rsidR="00DE794A" w:rsidRPr="00CE23AE">
        <w:rPr>
          <w:lang w:val="en-US"/>
        </w:rPr>
        <w:t xml:space="preserve">an </w:t>
      </w:r>
      <w:r w:rsidR="004A5B9A" w:rsidRPr="00CE23AE">
        <w:rPr>
          <w:lang w:val="en-US"/>
        </w:rPr>
        <w:t>interest in the situation to be decided. It indicated that the military disciplinary procedure is conducted in compliance with all the guarantees of due process. On this point, the State argued that,</w:t>
      </w:r>
      <w:r w:rsidR="00C84937" w:rsidRPr="00CE23AE">
        <w:rPr>
          <w:lang w:val="en-US"/>
        </w:rPr>
        <w:t xml:space="preserve"> “</w:t>
      </w:r>
      <w:r w:rsidR="004A5B9A" w:rsidRPr="00CE23AE">
        <w:rPr>
          <w:lang w:val="en-US"/>
        </w:rPr>
        <w:t xml:space="preserve">when the events occurred, </w:t>
      </w:r>
      <w:r w:rsidRPr="00CE23AE">
        <w:rPr>
          <w:lang w:val="en-US"/>
        </w:rPr>
        <w:t>the presumed victim</w:t>
      </w:r>
      <w:r w:rsidR="004A5B9A" w:rsidRPr="00CE23AE">
        <w:rPr>
          <w:lang w:val="en-US"/>
        </w:rPr>
        <w:t xml:space="preserve"> belonged and was an active member</w:t>
      </w:r>
      <w:r w:rsidR="008B76F3" w:rsidRPr="00CE23AE">
        <w:rPr>
          <w:lang w:val="en-US"/>
        </w:rPr>
        <w:t xml:space="preserve"> of the </w:t>
      </w:r>
      <w:r w:rsidR="00CB4410" w:rsidRPr="00CE23AE">
        <w:rPr>
          <w:lang w:val="en-US"/>
        </w:rPr>
        <w:t>Ecuadorian Ground Forces</w:t>
      </w:r>
      <w:r w:rsidR="00C84937" w:rsidRPr="00CE23AE">
        <w:rPr>
          <w:lang w:val="en-US"/>
        </w:rPr>
        <w:t xml:space="preserve">, </w:t>
      </w:r>
      <w:r w:rsidR="004A5B9A" w:rsidRPr="00CE23AE">
        <w:rPr>
          <w:lang w:val="en-US"/>
        </w:rPr>
        <w:t>and for this reason he was subject to a special jurisdiction pursuant to a</w:t>
      </w:r>
      <w:r w:rsidRPr="00CE23AE">
        <w:rPr>
          <w:lang w:val="en-US"/>
        </w:rPr>
        <w:t>rticle</w:t>
      </w:r>
      <w:r w:rsidR="00C84937" w:rsidRPr="00CE23AE">
        <w:rPr>
          <w:lang w:val="en-US"/>
        </w:rPr>
        <w:t xml:space="preserve"> 187</w:t>
      </w:r>
      <w:r w:rsidR="0005476C" w:rsidRPr="00CE23AE">
        <w:rPr>
          <w:lang w:val="en-US"/>
        </w:rPr>
        <w:t xml:space="preserve"> of the </w:t>
      </w:r>
      <w:r w:rsidR="004A5B9A" w:rsidRPr="00CE23AE">
        <w:rPr>
          <w:lang w:val="en-US"/>
        </w:rPr>
        <w:t xml:space="preserve">Ecuadorian </w:t>
      </w:r>
      <w:r w:rsidR="00555204" w:rsidRPr="00CE23AE">
        <w:rPr>
          <w:lang w:val="en-US"/>
        </w:rPr>
        <w:t>Constitution</w:t>
      </w:r>
      <w:r w:rsidR="004A5B9A" w:rsidRPr="00CE23AE">
        <w:rPr>
          <w:lang w:val="en-US"/>
        </w:rPr>
        <w:t xml:space="preserve"> and to the provisions of the Law on Armed Forced Personnel; thus, his competent judge corresponded to the military jurisdiction.” </w:t>
      </w:r>
      <w:r w:rsidR="008760F2" w:rsidRPr="00CE23AE">
        <w:rPr>
          <w:lang w:val="en-US"/>
        </w:rPr>
        <w:t xml:space="preserve">In addition, regarding the processing of the </w:t>
      </w:r>
      <w:r w:rsidR="00A06577" w:rsidRPr="00CE23AE">
        <w:rPr>
          <w:lang w:val="en-US"/>
        </w:rPr>
        <w:t>summary inquiry</w:t>
      </w:r>
      <w:r w:rsidR="008760F2" w:rsidRPr="00CE23AE">
        <w:rPr>
          <w:lang w:val="en-US"/>
        </w:rPr>
        <w:t xml:space="preserve">, the State indicated that Mr. Flor Freire was heard by different military authorities, </w:t>
      </w:r>
      <w:r w:rsidR="00DE794A" w:rsidRPr="00CE23AE">
        <w:rPr>
          <w:lang w:val="en-US"/>
        </w:rPr>
        <w:t>and by</w:t>
      </w:r>
      <w:r w:rsidR="008760F2" w:rsidRPr="00CE23AE">
        <w:rPr>
          <w:lang w:val="en-US"/>
        </w:rPr>
        <w:t xml:space="preserve"> the presentation of different reports relating to the determination of the facts. It also argued that the principle of immediacy had been guaranteed because his unsworn statement was given before the Court </w:t>
      </w:r>
      <w:r w:rsidR="008B76F3" w:rsidRPr="00CE23AE">
        <w:rPr>
          <w:lang w:val="en-US"/>
        </w:rPr>
        <w:t xml:space="preserve">of the </w:t>
      </w:r>
      <w:r w:rsidR="0078516C" w:rsidRPr="00CE23AE">
        <w:rPr>
          <w:lang w:val="en-US"/>
        </w:rPr>
        <w:t>Fourth Military Zone</w:t>
      </w:r>
      <w:r w:rsidR="00C84937" w:rsidRPr="00CE23AE">
        <w:rPr>
          <w:lang w:val="en-US"/>
        </w:rPr>
        <w:t xml:space="preserve">, </w:t>
      </w:r>
      <w:r w:rsidR="008760F2" w:rsidRPr="00CE23AE">
        <w:rPr>
          <w:lang w:val="en-US"/>
        </w:rPr>
        <w:t xml:space="preserve">in the presence of his legal counsel, among other actions </w:t>
      </w:r>
      <w:r w:rsidR="00DE794A" w:rsidRPr="00CE23AE">
        <w:rPr>
          <w:lang w:val="en-US"/>
        </w:rPr>
        <w:t xml:space="preserve">to which </w:t>
      </w:r>
      <w:r w:rsidR="008760F2" w:rsidRPr="00CE23AE">
        <w:rPr>
          <w:lang w:val="en-US"/>
        </w:rPr>
        <w:t xml:space="preserve">he </w:t>
      </w:r>
      <w:r w:rsidR="00DE794A" w:rsidRPr="00CE23AE">
        <w:rPr>
          <w:lang w:val="en-US"/>
        </w:rPr>
        <w:t>had</w:t>
      </w:r>
      <w:r w:rsidR="008760F2" w:rsidRPr="00CE23AE">
        <w:rPr>
          <w:lang w:val="en-US"/>
        </w:rPr>
        <w:t xml:space="preserve"> access during the proce</w:t>
      </w:r>
      <w:r w:rsidR="00DE794A" w:rsidRPr="00CE23AE">
        <w:rPr>
          <w:lang w:val="en-US"/>
        </w:rPr>
        <w:t>edings.</w:t>
      </w:r>
      <w:r w:rsidR="00582D8D" w:rsidRPr="00CE23AE">
        <w:rPr>
          <w:b/>
          <w:lang w:val="en-US"/>
        </w:rPr>
        <w:t xml:space="preserve"> </w:t>
      </w:r>
    </w:p>
    <w:p w14:paraId="3ED93533" w14:textId="77777777" w:rsidR="00D020FF" w:rsidRPr="00CE23AE" w:rsidRDefault="00D020FF" w:rsidP="00D020FF">
      <w:pPr>
        <w:pStyle w:val="PrrafodeSentencia"/>
        <w:numPr>
          <w:ilvl w:val="0"/>
          <w:numId w:val="0"/>
        </w:numPr>
        <w:rPr>
          <w:lang w:val="en-US"/>
        </w:rPr>
      </w:pPr>
    </w:p>
    <w:p w14:paraId="6ADE6740" w14:textId="162F095C" w:rsidR="00582D8D" w:rsidRPr="00CE23AE" w:rsidRDefault="00582D8D" w:rsidP="00582D8D">
      <w:pPr>
        <w:pStyle w:val="Ttulo3"/>
        <w:rPr>
          <w:lang w:val="en-US"/>
        </w:rPr>
      </w:pPr>
      <w:bookmarkStart w:id="420" w:name="_Toc454891513"/>
      <w:bookmarkStart w:id="421" w:name="_Toc457840616"/>
      <w:bookmarkStart w:id="422" w:name="_Toc460398549"/>
      <w:bookmarkStart w:id="423" w:name="_Toc464475009"/>
      <w:bookmarkStart w:id="424" w:name="_Toc46388396"/>
      <w:r w:rsidRPr="00CE23AE">
        <w:rPr>
          <w:lang w:val="en-US"/>
        </w:rPr>
        <w:t xml:space="preserve">A.2 </w:t>
      </w:r>
      <w:r w:rsidR="005024E2" w:rsidRPr="00CE23AE">
        <w:rPr>
          <w:lang w:val="en-US"/>
        </w:rPr>
        <w:t>Considerations</w:t>
      </w:r>
      <w:r w:rsidR="00C561DF" w:rsidRPr="00CE23AE">
        <w:rPr>
          <w:lang w:val="en-US"/>
        </w:rPr>
        <w:t xml:space="preserve"> of the Court</w:t>
      </w:r>
      <w:bookmarkEnd w:id="420"/>
      <w:bookmarkEnd w:id="421"/>
      <w:bookmarkEnd w:id="422"/>
      <w:bookmarkEnd w:id="423"/>
      <w:bookmarkEnd w:id="424"/>
    </w:p>
    <w:p w14:paraId="712BEB12" w14:textId="77777777" w:rsidR="00582D8D" w:rsidRPr="00CE23AE" w:rsidRDefault="00582D8D" w:rsidP="00582D8D">
      <w:pPr>
        <w:rPr>
          <w:lang w:val="en-US"/>
        </w:rPr>
      </w:pPr>
    </w:p>
    <w:p w14:paraId="177564AC" w14:textId="39C10114" w:rsidR="002F2E88" w:rsidRPr="00CE23AE" w:rsidRDefault="00F5102B" w:rsidP="008937CF">
      <w:pPr>
        <w:pStyle w:val="PrrafodeSentencia"/>
        <w:rPr>
          <w:lang w:val="en-US"/>
        </w:rPr>
      </w:pPr>
      <w:bookmarkStart w:id="425" w:name="_Ref454242034"/>
      <w:r w:rsidRPr="00CE23AE">
        <w:rPr>
          <w:lang w:val="en-US"/>
        </w:rPr>
        <w:t>Mr. Flor</w:t>
      </w:r>
      <w:r w:rsidR="002F2E88" w:rsidRPr="00CE23AE">
        <w:rPr>
          <w:lang w:val="en-US"/>
        </w:rPr>
        <w:t xml:space="preserve"> Freire </w:t>
      </w:r>
      <w:r w:rsidR="008937CF" w:rsidRPr="00CE23AE">
        <w:rPr>
          <w:lang w:val="en-US"/>
        </w:rPr>
        <w:t xml:space="preserve">was subject to a disciplinary </w:t>
      </w:r>
      <w:r w:rsidR="00A06577" w:rsidRPr="00CE23AE">
        <w:rPr>
          <w:lang w:val="en-US"/>
        </w:rPr>
        <w:t>summary inquiry</w:t>
      </w:r>
      <w:r w:rsidR="008937CF" w:rsidRPr="00CE23AE">
        <w:rPr>
          <w:lang w:val="en-US"/>
        </w:rPr>
        <w:t xml:space="preserve"> procedure as a result of the events that occurred on </w:t>
      </w:r>
      <w:r w:rsidR="00CB4410" w:rsidRPr="00CE23AE">
        <w:rPr>
          <w:lang w:val="en-US"/>
        </w:rPr>
        <w:t>November 19,</w:t>
      </w:r>
      <w:r w:rsidR="002F2E88" w:rsidRPr="00CE23AE">
        <w:rPr>
          <w:lang w:val="en-US"/>
        </w:rPr>
        <w:t xml:space="preserve"> 2000 (</w:t>
      </w:r>
      <w:r w:rsidR="002F2E88" w:rsidRPr="00CE23AE">
        <w:rPr>
          <w:i/>
          <w:lang w:val="en-US"/>
        </w:rPr>
        <w:t xml:space="preserve">supra </w:t>
      </w:r>
      <w:r w:rsidR="005C743F" w:rsidRPr="00CE23AE">
        <w:rPr>
          <w:lang w:val="en-US"/>
        </w:rPr>
        <w:t>paras.</w:t>
      </w:r>
      <w:r w:rsidR="002F2E88" w:rsidRPr="00CE23AE">
        <w:rPr>
          <w:lang w:val="en-US"/>
        </w:rPr>
        <w:t xml:space="preserve"> </w:t>
      </w:r>
      <w:r w:rsidR="002F2E88" w:rsidRPr="00CE23AE">
        <w:rPr>
          <w:lang w:val="en-US"/>
        </w:rPr>
        <w:fldChar w:fldCharType="begin"/>
      </w:r>
      <w:r w:rsidR="002F2E88" w:rsidRPr="00CE23AE">
        <w:rPr>
          <w:lang w:val="en-US"/>
        </w:rPr>
        <w:instrText xml:space="preserve"> REF _Ref454892399 \r \h </w:instrText>
      </w:r>
      <w:r w:rsidR="00CE23AE">
        <w:rPr>
          <w:lang w:val="en-US"/>
        </w:rPr>
        <w:instrText xml:space="preserve"> \* MERGEFORMAT </w:instrText>
      </w:r>
      <w:r w:rsidR="002F2E88" w:rsidRPr="00CE23AE">
        <w:rPr>
          <w:lang w:val="en-US"/>
        </w:rPr>
      </w:r>
      <w:r w:rsidR="002F2E88" w:rsidRPr="00CE23AE">
        <w:rPr>
          <w:lang w:val="en-US"/>
        </w:rPr>
        <w:fldChar w:fldCharType="separate"/>
      </w:r>
      <w:r w:rsidR="00BC2953" w:rsidRPr="00CE23AE">
        <w:rPr>
          <w:lang w:val="en-US"/>
        </w:rPr>
        <w:t>62</w:t>
      </w:r>
      <w:r w:rsidR="002F2E88" w:rsidRPr="00CE23AE">
        <w:rPr>
          <w:lang w:val="en-US"/>
        </w:rPr>
        <w:fldChar w:fldCharType="end"/>
      </w:r>
      <w:r w:rsidR="002F2E88" w:rsidRPr="00CE23AE">
        <w:rPr>
          <w:lang w:val="en-US"/>
        </w:rPr>
        <w:t xml:space="preserve"> </w:t>
      </w:r>
      <w:r w:rsidR="008937CF" w:rsidRPr="00CE23AE">
        <w:rPr>
          <w:lang w:val="en-US"/>
        </w:rPr>
        <w:t>to</w:t>
      </w:r>
      <w:r w:rsidR="002F2E88" w:rsidRPr="00CE23AE">
        <w:rPr>
          <w:lang w:val="en-US"/>
        </w:rPr>
        <w:t xml:space="preserve"> </w:t>
      </w:r>
      <w:r w:rsidR="002F2E88" w:rsidRPr="00CE23AE">
        <w:rPr>
          <w:lang w:val="en-US"/>
        </w:rPr>
        <w:fldChar w:fldCharType="begin"/>
      </w:r>
      <w:r w:rsidR="002F2E88" w:rsidRPr="00CE23AE">
        <w:rPr>
          <w:lang w:val="en-US"/>
        </w:rPr>
        <w:instrText xml:space="preserve"> REF _Ref453869467 \r \h </w:instrText>
      </w:r>
      <w:r w:rsidR="00CE23AE">
        <w:rPr>
          <w:lang w:val="en-US"/>
        </w:rPr>
        <w:instrText xml:space="preserve"> \* MERGEFORMAT </w:instrText>
      </w:r>
      <w:r w:rsidR="002F2E88" w:rsidRPr="00CE23AE">
        <w:rPr>
          <w:lang w:val="en-US"/>
        </w:rPr>
      </w:r>
      <w:r w:rsidR="002F2E88" w:rsidRPr="00CE23AE">
        <w:rPr>
          <w:lang w:val="en-US"/>
        </w:rPr>
        <w:fldChar w:fldCharType="separate"/>
      </w:r>
      <w:r w:rsidR="00BC2953" w:rsidRPr="00CE23AE">
        <w:rPr>
          <w:lang w:val="en-US"/>
        </w:rPr>
        <w:t>82</w:t>
      </w:r>
      <w:r w:rsidR="002F2E88" w:rsidRPr="00CE23AE">
        <w:rPr>
          <w:lang w:val="en-US"/>
        </w:rPr>
        <w:fldChar w:fldCharType="end"/>
      </w:r>
      <w:r w:rsidR="002F2E88" w:rsidRPr="00CE23AE">
        <w:rPr>
          <w:lang w:val="en-US"/>
        </w:rPr>
        <w:t xml:space="preserve">). </w:t>
      </w:r>
      <w:r w:rsidR="008937CF" w:rsidRPr="00CE23AE">
        <w:rPr>
          <w:lang w:val="en-US"/>
        </w:rPr>
        <w:t xml:space="preserve">This procedure had three stages. The first investigation stage, conducted by a military criminal judge, when all the necessary evidence was gathered to establish the circumstances and any possible disciplinary responsibility. Then, an </w:t>
      </w:r>
      <w:r w:rsidR="008937CF" w:rsidRPr="00CE23AE">
        <w:rPr>
          <w:lang w:val="en-US"/>
        </w:rPr>
        <w:lastRenderedPageBreak/>
        <w:t>intermediary stage when the military prosecutor issued an opinion, following which the military criminal judge prepared a draft decision. This was followed by the stage when the decision is taken, when the Zone Commande</w:t>
      </w:r>
      <w:r w:rsidR="00DE794A" w:rsidRPr="00CE23AE">
        <w:rPr>
          <w:lang w:val="en-US"/>
        </w:rPr>
        <w:t>r</w:t>
      </w:r>
      <w:r w:rsidR="008937CF" w:rsidRPr="00CE23AE">
        <w:rPr>
          <w:lang w:val="en-US"/>
        </w:rPr>
        <w:t xml:space="preserve"> acted as </w:t>
      </w:r>
      <w:r w:rsidR="00A055CE" w:rsidRPr="00CE23AE">
        <w:rPr>
          <w:lang w:val="en-US"/>
        </w:rPr>
        <w:t>Judge of Law</w:t>
      </w:r>
      <w:r w:rsidR="008937CF" w:rsidRPr="00CE23AE">
        <w:rPr>
          <w:lang w:val="en-US"/>
        </w:rPr>
        <w:t xml:space="preserve"> and issued the decision, which assessed the evidence gathered at the investigation stage, established the facts and determined the disciplinary responsibility of the officer under investigation. In cases such as this one, when an officer is put on paid leave prior to his discharge, the procedure was referred to the Officers’ Boards, which </w:t>
      </w:r>
      <w:r w:rsidR="00DE794A" w:rsidRPr="00CE23AE">
        <w:rPr>
          <w:lang w:val="en-US"/>
        </w:rPr>
        <w:t>characterized</w:t>
      </w:r>
      <w:r w:rsidR="008937CF" w:rsidRPr="00CE23AE">
        <w:rPr>
          <w:lang w:val="en-US"/>
        </w:rPr>
        <w:t xml:space="preserve"> the misconduct and took the final decision on whether the respective officer was left on paid leave or discharged</w:t>
      </w:r>
      <w:r w:rsidR="002F2E88" w:rsidRPr="00CE23AE">
        <w:rPr>
          <w:lang w:val="en-US"/>
        </w:rPr>
        <w:t xml:space="preserve"> (</w:t>
      </w:r>
      <w:r w:rsidR="002F2E88" w:rsidRPr="00CE23AE">
        <w:rPr>
          <w:i/>
          <w:lang w:val="en-US"/>
        </w:rPr>
        <w:t>supra</w:t>
      </w:r>
      <w:r w:rsidR="002F2E88" w:rsidRPr="00CE23AE">
        <w:rPr>
          <w:lang w:val="en-US"/>
        </w:rPr>
        <w:t xml:space="preserve"> </w:t>
      </w:r>
      <w:r w:rsidR="005C743F" w:rsidRPr="00CE23AE">
        <w:rPr>
          <w:lang w:val="en-US"/>
        </w:rPr>
        <w:t>paras.</w:t>
      </w:r>
      <w:r w:rsidR="002F2E88" w:rsidRPr="00CE23AE">
        <w:rPr>
          <w:lang w:val="en-US"/>
        </w:rPr>
        <w:t xml:space="preserve"> </w:t>
      </w:r>
      <w:r w:rsidR="002F2E88" w:rsidRPr="00CE23AE">
        <w:rPr>
          <w:lang w:val="en-US"/>
        </w:rPr>
        <w:fldChar w:fldCharType="begin"/>
      </w:r>
      <w:r w:rsidR="002F2E88" w:rsidRPr="00CE23AE">
        <w:rPr>
          <w:lang w:val="en-US"/>
        </w:rPr>
        <w:instrText xml:space="preserve"> REF _Ref454892482 \r \h  \* MERGEFORMAT </w:instrText>
      </w:r>
      <w:r w:rsidR="002F2E88" w:rsidRPr="00CE23AE">
        <w:rPr>
          <w:lang w:val="en-US"/>
        </w:rPr>
      </w:r>
      <w:r w:rsidR="002F2E88" w:rsidRPr="00CE23AE">
        <w:rPr>
          <w:lang w:val="en-US"/>
        </w:rPr>
        <w:fldChar w:fldCharType="separate"/>
      </w:r>
      <w:r w:rsidR="00BC2953" w:rsidRPr="00CE23AE">
        <w:rPr>
          <w:lang w:val="en-US"/>
        </w:rPr>
        <w:t>64</w:t>
      </w:r>
      <w:r w:rsidR="002F2E88" w:rsidRPr="00CE23AE">
        <w:rPr>
          <w:lang w:val="en-US"/>
        </w:rPr>
        <w:fldChar w:fldCharType="end"/>
      </w:r>
      <w:r w:rsidR="002F2E88" w:rsidRPr="00CE23AE">
        <w:rPr>
          <w:lang w:val="en-US"/>
        </w:rPr>
        <w:t xml:space="preserve"> </w:t>
      </w:r>
      <w:r w:rsidR="008937CF" w:rsidRPr="00CE23AE">
        <w:rPr>
          <w:lang w:val="en-US"/>
        </w:rPr>
        <w:t>to</w:t>
      </w:r>
      <w:r w:rsidR="002F2E88" w:rsidRPr="00CE23AE">
        <w:rPr>
          <w:lang w:val="en-US"/>
        </w:rPr>
        <w:t xml:space="preserve"> </w:t>
      </w:r>
      <w:r w:rsidR="002F2E88" w:rsidRPr="00CE23AE">
        <w:rPr>
          <w:lang w:val="en-US"/>
        </w:rPr>
        <w:fldChar w:fldCharType="begin"/>
      </w:r>
      <w:r w:rsidR="002F2E88" w:rsidRPr="00CE23AE">
        <w:rPr>
          <w:lang w:val="en-US"/>
        </w:rPr>
        <w:instrText xml:space="preserve"> REF _Ref453869567 \r \h  \* MERGEFORMAT </w:instrText>
      </w:r>
      <w:r w:rsidR="002F2E88" w:rsidRPr="00CE23AE">
        <w:rPr>
          <w:lang w:val="en-US"/>
        </w:rPr>
      </w:r>
      <w:r w:rsidR="002F2E88" w:rsidRPr="00CE23AE">
        <w:rPr>
          <w:lang w:val="en-US"/>
        </w:rPr>
        <w:fldChar w:fldCharType="separate"/>
      </w:r>
      <w:r w:rsidR="00BC2953" w:rsidRPr="00CE23AE">
        <w:rPr>
          <w:lang w:val="en-US"/>
        </w:rPr>
        <w:t>67</w:t>
      </w:r>
      <w:r w:rsidR="002F2E88" w:rsidRPr="00CE23AE">
        <w:rPr>
          <w:lang w:val="en-US"/>
        </w:rPr>
        <w:fldChar w:fldCharType="end"/>
      </w:r>
      <w:r w:rsidR="002F2E88" w:rsidRPr="00CE23AE">
        <w:rPr>
          <w:lang w:val="en-US"/>
        </w:rPr>
        <w:t>).</w:t>
      </w:r>
    </w:p>
    <w:bookmarkEnd w:id="425"/>
    <w:p w14:paraId="0DA3D3A8" w14:textId="77777777" w:rsidR="002F2E88" w:rsidRPr="00CE23AE" w:rsidRDefault="002F2E88" w:rsidP="002F2E88">
      <w:pPr>
        <w:pStyle w:val="PrrafodeSentencia"/>
        <w:numPr>
          <w:ilvl w:val="0"/>
          <w:numId w:val="0"/>
        </w:numPr>
        <w:rPr>
          <w:lang w:val="en-US"/>
        </w:rPr>
      </w:pPr>
    </w:p>
    <w:p w14:paraId="60FB9E35" w14:textId="7A9E1161" w:rsidR="002F2E88" w:rsidRPr="00CE23AE" w:rsidRDefault="00000AD5" w:rsidP="002F2E88">
      <w:pPr>
        <w:pStyle w:val="PrrafodeSentencia"/>
        <w:rPr>
          <w:lang w:val="en-US"/>
        </w:rPr>
      </w:pPr>
      <w:r w:rsidRPr="00CE23AE">
        <w:rPr>
          <w:lang w:val="en-US"/>
        </w:rPr>
        <w:t>This Court</w:t>
      </w:r>
      <w:r w:rsidR="002F2E88" w:rsidRPr="00CE23AE">
        <w:rPr>
          <w:lang w:val="en-US"/>
        </w:rPr>
        <w:t xml:space="preserve"> ha</w:t>
      </w:r>
      <w:r w:rsidR="008937CF" w:rsidRPr="00CE23AE">
        <w:rPr>
          <w:lang w:val="en-US"/>
        </w:rPr>
        <w:t xml:space="preserve">s indicated that the application of the guarantees contained in </w:t>
      </w:r>
      <w:r w:rsidR="00C561DF" w:rsidRPr="00CE23AE">
        <w:rPr>
          <w:lang w:val="en-US"/>
        </w:rPr>
        <w:t>Article</w:t>
      </w:r>
      <w:r w:rsidR="002F2E88" w:rsidRPr="00CE23AE">
        <w:rPr>
          <w:lang w:val="en-US"/>
        </w:rPr>
        <w:t xml:space="preserve"> 8</w:t>
      </w:r>
      <w:r w:rsidR="00C561DF" w:rsidRPr="00CE23AE">
        <w:rPr>
          <w:lang w:val="en-US"/>
        </w:rPr>
        <w:t xml:space="preserve"> of the American Convention</w:t>
      </w:r>
      <w:r w:rsidR="002F2E88" w:rsidRPr="00CE23AE">
        <w:rPr>
          <w:lang w:val="en-US"/>
        </w:rPr>
        <w:t xml:space="preserve">, </w:t>
      </w:r>
      <w:r w:rsidR="001B3409" w:rsidRPr="00CE23AE">
        <w:rPr>
          <w:lang w:val="en-US"/>
        </w:rPr>
        <w:t xml:space="preserve">although entitled judicial guarantees, are not limited to judicial remedies </w:t>
      </w:r>
      <w:r w:rsidR="001B3409" w:rsidRPr="00CE23AE">
        <w:rPr>
          <w:i/>
          <w:iCs/>
          <w:lang w:val="en-US"/>
        </w:rPr>
        <w:t>stricto sensu</w:t>
      </w:r>
      <w:r w:rsidR="001B3409" w:rsidRPr="00CE23AE">
        <w:rPr>
          <w:lang w:val="en-US"/>
        </w:rPr>
        <w:t xml:space="preserve">, but rather to the series of requirements that should be observed in procedural instances to ensure that the individual is able to defend his rights adequately </w:t>
      </w:r>
      <w:r w:rsidR="00094EB1" w:rsidRPr="00CE23AE">
        <w:rPr>
          <w:i/>
          <w:iCs/>
          <w:lang w:val="en-US"/>
        </w:rPr>
        <w:t>vis-à-vis</w:t>
      </w:r>
      <w:r w:rsidR="001B3409" w:rsidRPr="00CE23AE">
        <w:rPr>
          <w:lang w:val="en-US"/>
        </w:rPr>
        <w:t xml:space="preserve"> any type of act of the State that could infringe them. In other words, any act or omission of the state organs in the course of proceedings, whether </w:t>
      </w:r>
      <w:r w:rsidR="00094EB1" w:rsidRPr="00CE23AE">
        <w:rPr>
          <w:lang w:val="en-US"/>
        </w:rPr>
        <w:t xml:space="preserve">these are </w:t>
      </w:r>
      <w:r w:rsidR="001B3409" w:rsidRPr="00CE23AE">
        <w:rPr>
          <w:lang w:val="en-US"/>
        </w:rPr>
        <w:t>punitive administrative, disciplinary, or jurisdictional, must respect due process of law.</w:t>
      </w:r>
      <w:r w:rsidR="002F2E88" w:rsidRPr="00CE23AE">
        <w:rPr>
          <w:rStyle w:val="Refdenotaalpie"/>
          <w:lang w:val="en-US"/>
        </w:rPr>
        <w:footnoteReference w:id="237"/>
      </w:r>
      <w:r w:rsidR="002F2E88" w:rsidRPr="00CE23AE">
        <w:rPr>
          <w:lang w:val="en-US"/>
        </w:rPr>
        <w:t xml:space="preserve"> </w:t>
      </w:r>
    </w:p>
    <w:p w14:paraId="2FF150B7" w14:textId="77777777" w:rsidR="002F2E88" w:rsidRPr="00CE23AE" w:rsidRDefault="002F2E88" w:rsidP="002F2E88">
      <w:pPr>
        <w:rPr>
          <w:szCs w:val="20"/>
          <w:lang w:val="en-US"/>
        </w:rPr>
      </w:pPr>
    </w:p>
    <w:p w14:paraId="57B240D0" w14:textId="303D8161" w:rsidR="002F2E88" w:rsidRPr="00CE23AE" w:rsidRDefault="001979D0" w:rsidP="001979D0">
      <w:pPr>
        <w:pStyle w:val="PrrafodeSentencia"/>
        <w:rPr>
          <w:lang w:val="en-US"/>
        </w:rPr>
      </w:pPr>
      <w:bookmarkStart w:id="426" w:name="_Ref464730282"/>
      <w:r w:rsidRPr="00CE23AE">
        <w:rPr>
          <w:lang w:val="en-US"/>
        </w:rPr>
        <w:t>The</w:t>
      </w:r>
      <w:r w:rsidR="001B3409" w:rsidRPr="00CE23AE">
        <w:rPr>
          <w:lang w:val="en-US"/>
        </w:rPr>
        <w:t xml:space="preserve"> Court has </w:t>
      </w:r>
      <w:r w:rsidRPr="00CE23AE">
        <w:rPr>
          <w:lang w:val="en-US"/>
        </w:rPr>
        <w:t xml:space="preserve">also </w:t>
      </w:r>
      <w:r w:rsidR="001B3409" w:rsidRPr="00CE23AE">
        <w:rPr>
          <w:lang w:val="en-US"/>
        </w:rPr>
        <w:t xml:space="preserve">established that, </w:t>
      </w:r>
      <w:r w:rsidRPr="00CE23AE">
        <w:rPr>
          <w:lang w:val="en-US"/>
        </w:rPr>
        <w:t>pursuant to</w:t>
      </w:r>
      <w:r w:rsidR="002F2E88" w:rsidRPr="00CE23AE">
        <w:rPr>
          <w:lang w:val="en-US"/>
        </w:rPr>
        <w:t xml:space="preserve"> </w:t>
      </w:r>
      <w:r w:rsidR="00C561DF" w:rsidRPr="00CE23AE">
        <w:rPr>
          <w:lang w:val="en-US"/>
        </w:rPr>
        <w:t>Article</w:t>
      </w:r>
      <w:r w:rsidR="002F2E88" w:rsidRPr="00CE23AE">
        <w:rPr>
          <w:lang w:val="en-US"/>
        </w:rPr>
        <w:t xml:space="preserve"> </w:t>
      </w:r>
      <w:r w:rsidR="00C561DF" w:rsidRPr="00CE23AE">
        <w:rPr>
          <w:lang w:val="en-US"/>
        </w:rPr>
        <w:t>8(1) of the Convention</w:t>
      </w:r>
      <w:r w:rsidR="002F2E88" w:rsidRPr="00CE23AE">
        <w:rPr>
          <w:lang w:val="en-US"/>
        </w:rPr>
        <w:t xml:space="preserve">, </w:t>
      </w:r>
      <w:r w:rsidR="001B3409" w:rsidRPr="00CE23AE">
        <w:rPr>
          <w:lang w:val="en-US"/>
        </w:rPr>
        <w:t xml:space="preserve">when determining </w:t>
      </w:r>
      <w:r w:rsidRPr="00CE23AE">
        <w:rPr>
          <w:lang w:val="en-US"/>
        </w:rPr>
        <w:t>an individual’s</w:t>
      </w:r>
      <w:r w:rsidR="001B3409" w:rsidRPr="00CE23AE">
        <w:rPr>
          <w:lang w:val="en-US"/>
        </w:rPr>
        <w:t xml:space="preserve"> rights o</w:t>
      </w:r>
      <w:r w:rsidRPr="00CE23AE">
        <w:rPr>
          <w:lang w:val="en-US"/>
        </w:rPr>
        <w:t>r</w:t>
      </w:r>
      <w:r w:rsidR="001B3409" w:rsidRPr="00CE23AE">
        <w:rPr>
          <w:lang w:val="en-US"/>
        </w:rPr>
        <w:t xml:space="preserve"> obligation</w:t>
      </w:r>
      <w:r w:rsidRPr="00CE23AE">
        <w:rPr>
          <w:lang w:val="en-US"/>
        </w:rPr>
        <w:t xml:space="preserve">s </w:t>
      </w:r>
      <w:r w:rsidR="001B3409" w:rsidRPr="00CE23AE">
        <w:rPr>
          <w:lang w:val="en-US"/>
        </w:rPr>
        <w:t>of a criminal, civil, labor, financial or any other nature, it is necessary to observe “the due guarantees” that, what</w:t>
      </w:r>
      <w:r w:rsidR="00094EB1" w:rsidRPr="00CE23AE">
        <w:rPr>
          <w:lang w:val="en-US"/>
        </w:rPr>
        <w:t>so</w:t>
      </w:r>
      <w:r w:rsidR="001B3409" w:rsidRPr="00CE23AE">
        <w:rPr>
          <w:lang w:val="en-US"/>
        </w:rPr>
        <w:t xml:space="preserve">ever the respective procedure, </w:t>
      </w:r>
      <w:r w:rsidRPr="00CE23AE">
        <w:rPr>
          <w:lang w:val="en-US"/>
        </w:rPr>
        <w:t xml:space="preserve">ensure </w:t>
      </w:r>
      <w:r w:rsidR="001B3409" w:rsidRPr="00CE23AE">
        <w:rPr>
          <w:lang w:val="en-US"/>
        </w:rPr>
        <w:t>the right to d</w:t>
      </w:r>
      <w:r w:rsidRPr="00CE23AE">
        <w:rPr>
          <w:lang w:val="en-US"/>
        </w:rPr>
        <w:t>u</w:t>
      </w:r>
      <w:r w:rsidR="001B3409" w:rsidRPr="00CE23AE">
        <w:rPr>
          <w:lang w:val="en-US"/>
        </w:rPr>
        <w:t>e process</w:t>
      </w:r>
      <w:r w:rsidRPr="00CE23AE">
        <w:rPr>
          <w:lang w:val="en-US"/>
        </w:rPr>
        <w:t>,</w:t>
      </w:r>
      <w:r w:rsidR="001B3409" w:rsidRPr="00CE23AE">
        <w:rPr>
          <w:lang w:val="en-US"/>
        </w:rPr>
        <w:t xml:space="preserve"> and the failure to comply with one of these guarantees results in a violation of th</w:t>
      </w:r>
      <w:r w:rsidRPr="00CE23AE">
        <w:rPr>
          <w:lang w:val="en-US"/>
        </w:rPr>
        <w:t>is</w:t>
      </w:r>
      <w:r w:rsidR="001B3409" w:rsidRPr="00CE23AE">
        <w:rPr>
          <w:lang w:val="en-US"/>
        </w:rPr>
        <w:t xml:space="preserve"> article of the Convention.</w:t>
      </w:r>
      <w:r w:rsidR="002F2E88" w:rsidRPr="00CE23AE">
        <w:rPr>
          <w:rStyle w:val="Refdenotaalpie"/>
          <w:lang w:val="en-US"/>
        </w:rPr>
        <w:footnoteReference w:id="238"/>
      </w:r>
      <w:r w:rsidR="002F2E88" w:rsidRPr="00CE23AE">
        <w:rPr>
          <w:lang w:val="en-US"/>
        </w:rPr>
        <w:t xml:space="preserve"> </w:t>
      </w:r>
      <w:r w:rsidRPr="00CE23AE">
        <w:rPr>
          <w:lang w:val="en-US"/>
        </w:rPr>
        <w:t>Moreover, t</w:t>
      </w:r>
      <w:r w:rsidR="00000AD5" w:rsidRPr="00CE23AE">
        <w:rPr>
          <w:lang w:val="en-US"/>
        </w:rPr>
        <w:t>h</w:t>
      </w:r>
      <w:r w:rsidRPr="00CE23AE">
        <w:rPr>
          <w:lang w:val="en-US"/>
        </w:rPr>
        <w:t>e</w:t>
      </w:r>
      <w:r w:rsidR="00000AD5" w:rsidRPr="00CE23AE">
        <w:rPr>
          <w:lang w:val="en-US"/>
        </w:rPr>
        <w:t xml:space="preserve"> Court</w:t>
      </w:r>
      <w:r w:rsidR="002F2E88" w:rsidRPr="00CE23AE">
        <w:rPr>
          <w:lang w:val="en-US"/>
        </w:rPr>
        <w:t xml:space="preserve"> ha</w:t>
      </w:r>
      <w:r w:rsidR="001B3409" w:rsidRPr="00CE23AE">
        <w:rPr>
          <w:lang w:val="en-US"/>
        </w:rPr>
        <w:t>s indicated that the guarantees established in</w:t>
      </w:r>
      <w:r w:rsidR="002F2E88" w:rsidRPr="00CE23AE">
        <w:rPr>
          <w:lang w:val="en-US"/>
        </w:rPr>
        <w:t xml:space="preserve"> </w:t>
      </w:r>
      <w:r w:rsidR="00C561DF" w:rsidRPr="00CE23AE">
        <w:rPr>
          <w:lang w:val="en-US"/>
        </w:rPr>
        <w:t>Article</w:t>
      </w:r>
      <w:r w:rsidR="002F2E88" w:rsidRPr="00CE23AE">
        <w:rPr>
          <w:lang w:val="en-US"/>
        </w:rPr>
        <w:t xml:space="preserve"> </w:t>
      </w:r>
      <w:r w:rsidR="00C561DF" w:rsidRPr="00CE23AE">
        <w:rPr>
          <w:lang w:val="en-US"/>
        </w:rPr>
        <w:t>8(1) of the Convention</w:t>
      </w:r>
      <w:r w:rsidR="002F2E88" w:rsidRPr="00CE23AE">
        <w:rPr>
          <w:lang w:val="en-US"/>
        </w:rPr>
        <w:t xml:space="preserve"> </w:t>
      </w:r>
      <w:r w:rsidR="001B3409" w:rsidRPr="00CE23AE">
        <w:rPr>
          <w:lang w:val="en-US"/>
        </w:rPr>
        <w:t xml:space="preserve">are </w:t>
      </w:r>
      <w:r w:rsidR="00094EB1" w:rsidRPr="00CE23AE">
        <w:rPr>
          <w:lang w:val="en-US"/>
        </w:rPr>
        <w:t xml:space="preserve">also </w:t>
      </w:r>
      <w:r w:rsidR="001B3409" w:rsidRPr="00CE23AE">
        <w:rPr>
          <w:lang w:val="en-US"/>
        </w:rPr>
        <w:t xml:space="preserve">applicable if a non-judicial authority adopts decisions that </w:t>
      </w:r>
      <w:r w:rsidRPr="00CE23AE">
        <w:rPr>
          <w:lang w:val="en-US"/>
        </w:rPr>
        <w:t>determine</w:t>
      </w:r>
      <w:r w:rsidR="001B3409" w:rsidRPr="00CE23AE">
        <w:rPr>
          <w:lang w:val="en-US"/>
        </w:rPr>
        <w:t xml:space="preserve"> the rights of an individual,</w:t>
      </w:r>
      <w:r w:rsidR="002F2E88" w:rsidRPr="00CE23AE">
        <w:rPr>
          <w:rStyle w:val="Refdenotaalpie"/>
          <w:lang w:val="en-US"/>
        </w:rPr>
        <w:footnoteReference w:id="239"/>
      </w:r>
      <w:r w:rsidR="001B3409" w:rsidRPr="00CE23AE">
        <w:rPr>
          <w:lang w:val="en-US"/>
        </w:rPr>
        <w:t xml:space="preserve"> taking into account that such an authority cannot be required </w:t>
      </w:r>
      <w:r w:rsidRPr="00CE23AE">
        <w:rPr>
          <w:lang w:val="en-US"/>
        </w:rPr>
        <w:t>to comply with the guarantees demanded of a jurisdictional organ, but must comply with those designed to ensure that the decision taken is not arbitrary.</w:t>
      </w:r>
      <w:r w:rsidR="002F2E88" w:rsidRPr="00CE23AE">
        <w:rPr>
          <w:rStyle w:val="Refdenotaalpie"/>
          <w:lang w:val="en-US"/>
        </w:rPr>
        <w:footnoteReference w:id="240"/>
      </w:r>
      <w:bookmarkEnd w:id="426"/>
      <w:r w:rsidR="002F2E88" w:rsidRPr="00CE23AE">
        <w:rPr>
          <w:lang w:val="en-US"/>
        </w:rPr>
        <w:t xml:space="preserve"> </w:t>
      </w:r>
    </w:p>
    <w:p w14:paraId="6C6D5E93" w14:textId="77777777" w:rsidR="002F2E88" w:rsidRPr="00CE23AE" w:rsidRDefault="002F2E88" w:rsidP="002F2E88">
      <w:pPr>
        <w:rPr>
          <w:szCs w:val="20"/>
          <w:lang w:val="en-US"/>
        </w:rPr>
      </w:pPr>
    </w:p>
    <w:p w14:paraId="3AD226A3" w14:textId="42992388" w:rsidR="002F2E88" w:rsidRPr="00CE23AE" w:rsidRDefault="00C561DF" w:rsidP="001979D0">
      <w:pPr>
        <w:pStyle w:val="PrrafodeSentencia"/>
        <w:rPr>
          <w:lang w:val="en-US"/>
        </w:rPr>
      </w:pPr>
      <w:r w:rsidRPr="00CE23AE">
        <w:rPr>
          <w:lang w:val="en-US"/>
        </w:rPr>
        <w:t>The Court</w:t>
      </w:r>
      <w:r w:rsidR="002F2E88" w:rsidRPr="00CE23AE">
        <w:rPr>
          <w:lang w:val="en-US"/>
        </w:rPr>
        <w:t xml:space="preserve"> consider</w:t>
      </w:r>
      <w:r w:rsidR="001979D0" w:rsidRPr="00CE23AE">
        <w:rPr>
          <w:lang w:val="en-US"/>
        </w:rPr>
        <w:t>s that, in the case of a disciplinary procedure, the organs of military discipline that intervened in the procedure against Mr. Flor Freire were required to take decision</w:t>
      </w:r>
      <w:r w:rsidR="00094EB1" w:rsidRPr="00CE23AE">
        <w:rPr>
          <w:lang w:val="en-US"/>
        </w:rPr>
        <w:t>s</w:t>
      </w:r>
      <w:r w:rsidR="001979D0" w:rsidRPr="00CE23AE">
        <w:rPr>
          <w:lang w:val="en-US"/>
        </w:rPr>
        <w:t xml:space="preserve"> based on full respect for the guarantees of due process established in </w:t>
      </w:r>
      <w:r w:rsidRPr="00CE23AE">
        <w:rPr>
          <w:lang w:val="en-US"/>
        </w:rPr>
        <w:t>Article</w:t>
      </w:r>
      <w:r w:rsidR="002F2E88" w:rsidRPr="00CE23AE">
        <w:rPr>
          <w:lang w:val="en-US"/>
        </w:rPr>
        <w:t xml:space="preserve"> </w:t>
      </w:r>
      <w:r w:rsidRPr="00CE23AE">
        <w:rPr>
          <w:lang w:val="en-US"/>
        </w:rPr>
        <w:t>8(1) of the American Convention</w:t>
      </w:r>
      <w:r w:rsidR="002F2E88" w:rsidRPr="00CE23AE">
        <w:rPr>
          <w:lang w:val="en-US"/>
        </w:rPr>
        <w:t xml:space="preserve">. </w:t>
      </w:r>
    </w:p>
    <w:p w14:paraId="2B211102" w14:textId="77777777" w:rsidR="002F2E88" w:rsidRPr="00CE23AE" w:rsidRDefault="002F2E88" w:rsidP="002F2E88">
      <w:pPr>
        <w:pStyle w:val="PrrafodeSentencia"/>
        <w:numPr>
          <w:ilvl w:val="0"/>
          <w:numId w:val="0"/>
        </w:numPr>
        <w:rPr>
          <w:lang w:val="en-US"/>
        </w:rPr>
      </w:pPr>
    </w:p>
    <w:p w14:paraId="3C6CF075" w14:textId="7DEC49DB" w:rsidR="00582D8D" w:rsidRPr="00CE23AE" w:rsidRDefault="009565BB" w:rsidP="002F2E88">
      <w:pPr>
        <w:pStyle w:val="PrrafodeSentencia"/>
        <w:rPr>
          <w:b/>
          <w:bCs/>
          <w:lang w:val="en-US"/>
        </w:rPr>
      </w:pPr>
      <w:r w:rsidRPr="00CE23AE">
        <w:rPr>
          <w:lang w:val="en-US"/>
        </w:rPr>
        <w:t>In the instant case</w:t>
      </w:r>
      <w:r w:rsidR="002F2E88" w:rsidRPr="00CE23AE">
        <w:rPr>
          <w:lang w:val="en-US"/>
        </w:rPr>
        <w:t xml:space="preserve">, </w:t>
      </w:r>
      <w:r w:rsidR="00C561DF" w:rsidRPr="00CE23AE">
        <w:rPr>
          <w:lang w:val="en-US"/>
        </w:rPr>
        <w:t>the Commission and the representative</w:t>
      </w:r>
      <w:r w:rsidR="002F2E88" w:rsidRPr="00CE23AE">
        <w:rPr>
          <w:lang w:val="en-US"/>
        </w:rPr>
        <w:t xml:space="preserve"> al</w:t>
      </w:r>
      <w:r w:rsidRPr="00CE23AE">
        <w:rPr>
          <w:lang w:val="en-US"/>
        </w:rPr>
        <w:t xml:space="preserve">leged two violations of judicial guarantees: </w:t>
      </w:r>
      <w:r w:rsidR="002F2E88" w:rsidRPr="00CE23AE">
        <w:rPr>
          <w:lang w:val="en-US"/>
        </w:rPr>
        <w:t>(</w:t>
      </w:r>
      <w:r w:rsidR="00C63C71" w:rsidRPr="00CE23AE">
        <w:rPr>
          <w:lang w:val="en-US"/>
        </w:rPr>
        <w:t>a</w:t>
      </w:r>
      <w:r w:rsidR="002F2E88" w:rsidRPr="00CE23AE">
        <w:rPr>
          <w:lang w:val="en-US"/>
        </w:rPr>
        <w:t>) a presu</w:t>
      </w:r>
      <w:r w:rsidRPr="00CE23AE">
        <w:rPr>
          <w:lang w:val="en-US"/>
        </w:rPr>
        <w:t xml:space="preserve">med lack of impartiality of the </w:t>
      </w:r>
      <w:r w:rsidR="00A055CE" w:rsidRPr="00CE23AE">
        <w:rPr>
          <w:lang w:val="en-US"/>
        </w:rPr>
        <w:t>Judge of Law</w:t>
      </w:r>
      <w:r w:rsidR="002F2E88" w:rsidRPr="00CE23AE">
        <w:rPr>
          <w:lang w:val="en-US"/>
        </w:rPr>
        <w:t xml:space="preserve"> </w:t>
      </w:r>
      <w:r w:rsidRPr="00CE23AE">
        <w:rPr>
          <w:lang w:val="en-US"/>
        </w:rPr>
        <w:t>in the</w:t>
      </w:r>
      <w:r w:rsidR="002F2E88" w:rsidRPr="00CE23AE">
        <w:rPr>
          <w:lang w:val="en-US"/>
        </w:rPr>
        <w:t xml:space="preserve"> </w:t>
      </w:r>
      <w:r w:rsidR="00A06577" w:rsidRPr="00CE23AE">
        <w:rPr>
          <w:lang w:val="en-US"/>
        </w:rPr>
        <w:t>summary inquiry</w:t>
      </w:r>
      <w:r w:rsidR="00C561DF" w:rsidRPr="00CE23AE">
        <w:rPr>
          <w:lang w:val="en-US"/>
        </w:rPr>
        <w:t xml:space="preserve"> </w:t>
      </w:r>
      <w:r w:rsidRPr="00CE23AE">
        <w:rPr>
          <w:lang w:val="en-US"/>
        </w:rPr>
        <w:t xml:space="preserve">procedure, </w:t>
      </w:r>
      <w:r w:rsidR="00C561DF" w:rsidRPr="00CE23AE">
        <w:rPr>
          <w:lang w:val="en-US"/>
        </w:rPr>
        <w:t xml:space="preserve">and </w:t>
      </w:r>
      <w:r w:rsidR="002F2E88" w:rsidRPr="00CE23AE">
        <w:rPr>
          <w:lang w:val="en-US"/>
        </w:rPr>
        <w:t>(</w:t>
      </w:r>
      <w:r w:rsidR="00C63C71" w:rsidRPr="00CE23AE">
        <w:rPr>
          <w:lang w:val="en-US"/>
        </w:rPr>
        <w:t>b</w:t>
      </w:r>
      <w:r w:rsidR="002F2E88" w:rsidRPr="00CE23AE">
        <w:rPr>
          <w:lang w:val="en-US"/>
        </w:rPr>
        <w:t xml:space="preserve">) </w:t>
      </w:r>
      <w:r w:rsidRPr="00CE23AE">
        <w:rPr>
          <w:lang w:val="en-US"/>
        </w:rPr>
        <w:t xml:space="preserve">a presumed violation of the duty to provide reasoning, in both the decisions of the Officers Boards, during the </w:t>
      </w:r>
      <w:r w:rsidR="00A06577" w:rsidRPr="00CE23AE">
        <w:rPr>
          <w:lang w:val="en-US"/>
        </w:rPr>
        <w:t>summary inquiry</w:t>
      </w:r>
      <w:r w:rsidRPr="00CE23AE">
        <w:rPr>
          <w:lang w:val="en-US"/>
        </w:rPr>
        <w:t xml:space="preserve"> procedure</w:t>
      </w:r>
      <w:r w:rsidR="002F2E88" w:rsidRPr="00CE23AE">
        <w:rPr>
          <w:lang w:val="en-US"/>
        </w:rPr>
        <w:t xml:space="preserve">, </w:t>
      </w:r>
      <w:r w:rsidRPr="00CE23AE">
        <w:rPr>
          <w:lang w:val="en-US"/>
        </w:rPr>
        <w:t>and those of</w:t>
      </w:r>
      <w:r w:rsidR="00AC18A9" w:rsidRPr="00CE23AE">
        <w:rPr>
          <w:lang w:val="en-US"/>
        </w:rPr>
        <w:t xml:space="preserve"> the </w:t>
      </w:r>
      <w:r w:rsidR="009B2300" w:rsidRPr="00CE23AE">
        <w:rPr>
          <w:lang w:val="en-US"/>
        </w:rPr>
        <w:t>Sixth Civil Court</w:t>
      </w:r>
      <w:r w:rsidR="00C561DF" w:rsidRPr="00CE23AE">
        <w:rPr>
          <w:lang w:val="en-US"/>
        </w:rPr>
        <w:t xml:space="preserve"> and of the </w:t>
      </w:r>
      <w:r w:rsidR="000366A6" w:rsidRPr="00CE23AE">
        <w:rPr>
          <w:lang w:val="en-US"/>
        </w:rPr>
        <w:t>Constitutional Court</w:t>
      </w:r>
      <w:r w:rsidR="002F2E88" w:rsidRPr="00CE23AE">
        <w:rPr>
          <w:lang w:val="en-US"/>
        </w:rPr>
        <w:t xml:space="preserve">, </w:t>
      </w:r>
      <w:r w:rsidRPr="00CE23AE">
        <w:rPr>
          <w:lang w:val="en-US"/>
        </w:rPr>
        <w:t>in the context of the amparo proceeding</w:t>
      </w:r>
      <w:r w:rsidR="002F2E88" w:rsidRPr="00CE23AE">
        <w:rPr>
          <w:lang w:val="en-US"/>
        </w:rPr>
        <w:t xml:space="preserve">. </w:t>
      </w:r>
      <w:r w:rsidRPr="00CE23AE">
        <w:rPr>
          <w:lang w:val="en-US"/>
        </w:rPr>
        <w:t>The</w:t>
      </w:r>
      <w:r w:rsidR="00C561DF" w:rsidRPr="00CE23AE">
        <w:rPr>
          <w:lang w:val="en-US"/>
        </w:rPr>
        <w:t xml:space="preserve"> Court</w:t>
      </w:r>
      <w:r w:rsidR="002F2E88" w:rsidRPr="00CE23AE">
        <w:rPr>
          <w:lang w:val="en-US"/>
        </w:rPr>
        <w:t xml:space="preserve"> </w:t>
      </w:r>
      <w:r w:rsidRPr="00CE23AE">
        <w:rPr>
          <w:lang w:val="en-US"/>
        </w:rPr>
        <w:t>will now examine these presumed violations, taking into account the considerations presented</w:t>
      </w:r>
      <w:r w:rsidR="002F2E88" w:rsidRPr="00CE23AE">
        <w:rPr>
          <w:lang w:val="en-US"/>
        </w:rPr>
        <w:t xml:space="preserve">.  </w:t>
      </w:r>
      <w:r w:rsidR="00582D8D" w:rsidRPr="00CE23AE">
        <w:rPr>
          <w:lang w:val="en-US"/>
        </w:rPr>
        <w:t xml:space="preserve">  </w:t>
      </w:r>
    </w:p>
    <w:p w14:paraId="3A519B7C" w14:textId="77777777" w:rsidR="00582D8D" w:rsidRPr="00CE23AE" w:rsidRDefault="00582D8D" w:rsidP="00582D8D">
      <w:pPr>
        <w:widowControl/>
        <w:tabs>
          <w:tab w:val="left" w:pos="567"/>
        </w:tabs>
        <w:suppressAutoHyphens/>
        <w:adjustRightInd/>
        <w:spacing w:line="240" w:lineRule="auto"/>
        <w:textAlignment w:val="auto"/>
        <w:rPr>
          <w:szCs w:val="20"/>
          <w:lang w:val="en-US"/>
        </w:rPr>
      </w:pPr>
    </w:p>
    <w:p w14:paraId="67C6BBDC" w14:textId="514EEC45" w:rsidR="00582D8D" w:rsidRPr="00CE23AE" w:rsidRDefault="00582D8D" w:rsidP="00B4473B">
      <w:pPr>
        <w:pStyle w:val="Ttulo4"/>
        <w:rPr>
          <w:lang w:val="en-US"/>
        </w:rPr>
      </w:pPr>
      <w:bookmarkStart w:id="427" w:name="_Toc457840617"/>
      <w:bookmarkStart w:id="428" w:name="_Toc460398550"/>
      <w:bookmarkStart w:id="429" w:name="_Toc464475010"/>
      <w:bookmarkStart w:id="430" w:name="_Toc46388397"/>
      <w:r w:rsidRPr="00CE23AE">
        <w:rPr>
          <w:lang w:val="en-US"/>
        </w:rPr>
        <w:t>A.2.</w:t>
      </w:r>
      <w:r w:rsidR="00C63C71" w:rsidRPr="00CE23AE">
        <w:rPr>
          <w:lang w:val="en-US"/>
        </w:rPr>
        <w:t>a</w:t>
      </w:r>
      <w:r w:rsidRPr="00CE23AE">
        <w:rPr>
          <w:lang w:val="en-US"/>
        </w:rPr>
        <w:t xml:space="preserve"> </w:t>
      </w:r>
      <w:r w:rsidR="006D0DE1" w:rsidRPr="00CE23AE">
        <w:rPr>
          <w:lang w:val="en-US"/>
        </w:rPr>
        <w:t>The guarantee of impartiality</w:t>
      </w:r>
      <w:bookmarkEnd w:id="427"/>
      <w:bookmarkEnd w:id="428"/>
      <w:bookmarkEnd w:id="429"/>
      <w:bookmarkEnd w:id="430"/>
    </w:p>
    <w:p w14:paraId="4E21E2A1" w14:textId="77777777" w:rsidR="00582D8D" w:rsidRPr="00CE23AE" w:rsidRDefault="00582D8D" w:rsidP="00B4473B">
      <w:pPr>
        <w:rPr>
          <w:lang w:val="en-US"/>
        </w:rPr>
      </w:pPr>
      <w:r w:rsidRPr="00CE23AE">
        <w:rPr>
          <w:lang w:val="en-US"/>
        </w:rPr>
        <w:t xml:space="preserve"> </w:t>
      </w:r>
    </w:p>
    <w:p w14:paraId="3ABD3BBA" w14:textId="10E5F274" w:rsidR="009B1CBC" w:rsidRPr="00CE23AE" w:rsidRDefault="001979D0" w:rsidP="00A87EE7">
      <w:pPr>
        <w:widowControl/>
        <w:numPr>
          <w:ilvl w:val="0"/>
          <w:numId w:val="6"/>
        </w:numPr>
        <w:tabs>
          <w:tab w:val="left" w:pos="567"/>
        </w:tabs>
        <w:suppressAutoHyphens/>
        <w:adjustRightInd/>
        <w:spacing w:line="240" w:lineRule="auto"/>
        <w:textAlignment w:val="auto"/>
        <w:rPr>
          <w:szCs w:val="20"/>
          <w:lang w:val="en-US"/>
        </w:rPr>
      </w:pPr>
      <w:bookmarkStart w:id="431" w:name="_Ref455672087"/>
      <w:r w:rsidRPr="00CE23AE">
        <w:rPr>
          <w:lang w:val="en-US"/>
        </w:rPr>
        <w:t>Impartiality requires that the official with competence to intervene in a specific dispute with decision-making authority approach</w:t>
      </w:r>
      <w:r w:rsidR="007C46F6" w:rsidRPr="00CE23AE">
        <w:rPr>
          <w:lang w:val="en-US"/>
        </w:rPr>
        <w:t xml:space="preserve"> the facts of the case without any subjective prejudice and, also, offering sufficient guarantees of an objective nature to eliminate any doubt that the </w:t>
      </w:r>
      <w:r w:rsidR="006D0DE1" w:rsidRPr="00CE23AE">
        <w:rPr>
          <w:lang w:val="en-US"/>
        </w:rPr>
        <w:t>defendant</w:t>
      </w:r>
      <w:r w:rsidR="007C46F6" w:rsidRPr="00CE23AE">
        <w:rPr>
          <w:lang w:val="en-US"/>
        </w:rPr>
        <w:t xml:space="preserve"> or the community </w:t>
      </w:r>
      <w:r w:rsidR="006D0DE1" w:rsidRPr="00CE23AE">
        <w:rPr>
          <w:lang w:val="en-US"/>
        </w:rPr>
        <w:t>might</w:t>
      </w:r>
      <w:r w:rsidR="007C46F6" w:rsidRPr="00CE23AE">
        <w:rPr>
          <w:lang w:val="en-US"/>
        </w:rPr>
        <w:t xml:space="preserve"> have about an absence of impartiality.</w:t>
      </w:r>
      <w:r w:rsidR="009B1CBC" w:rsidRPr="00CE23AE">
        <w:rPr>
          <w:rStyle w:val="Refdenotaalpie"/>
          <w:lang w:val="en-US"/>
        </w:rPr>
        <w:footnoteReference w:id="241"/>
      </w:r>
      <w:r w:rsidR="007C46F6" w:rsidRPr="00CE23AE">
        <w:rPr>
          <w:lang w:val="en-US"/>
        </w:rPr>
        <w:t xml:space="preserve"> Personal or subjective impartiality is </w:t>
      </w:r>
      <w:r w:rsidR="007C46F6" w:rsidRPr="00CE23AE">
        <w:rPr>
          <w:lang w:val="en-US"/>
        </w:rPr>
        <w:lastRenderedPageBreak/>
        <w:t xml:space="preserve">presumed unless there is </w:t>
      </w:r>
      <w:r w:rsidR="003F2596" w:rsidRPr="00CE23AE">
        <w:rPr>
          <w:lang w:val="en-US"/>
        </w:rPr>
        <w:t>proof</w:t>
      </w:r>
      <w:r w:rsidR="007C46F6" w:rsidRPr="00CE23AE">
        <w:rPr>
          <w:lang w:val="en-US"/>
        </w:rPr>
        <w:t xml:space="preserve"> to the contrary.</w:t>
      </w:r>
      <w:r w:rsidR="009B1CBC" w:rsidRPr="00CE23AE">
        <w:rPr>
          <w:rStyle w:val="Refdenotaalpie"/>
          <w:lang w:val="en-US"/>
        </w:rPr>
        <w:footnoteReference w:id="242"/>
      </w:r>
      <w:r w:rsidR="007C46F6" w:rsidRPr="00CE23AE">
        <w:rPr>
          <w:lang w:val="en-US"/>
        </w:rPr>
        <w:t xml:space="preserve"> The so-called objective impartiality consists in determining whether the of</w:t>
      </w:r>
      <w:r w:rsidR="00A87EE7" w:rsidRPr="00CE23AE">
        <w:rPr>
          <w:lang w:val="en-US"/>
        </w:rPr>
        <w:t>f</w:t>
      </w:r>
      <w:r w:rsidR="007C46F6" w:rsidRPr="00CE23AE">
        <w:rPr>
          <w:lang w:val="en-US"/>
        </w:rPr>
        <w:t xml:space="preserve">icial </w:t>
      </w:r>
      <w:r w:rsidR="00F63230" w:rsidRPr="00CE23AE">
        <w:rPr>
          <w:lang w:val="en-US"/>
        </w:rPr>
        <w:t xml:space="preserve">queried has </w:t>
      </w:r>
      <w:r w:rsidR="00A87EE7" w:rsidRPr="00CE23AE">
        <w:rPr>
          <w:szCs w:val="20"/>
          <w:lang w:val="en-US"/>
        </w:rPr>
        <w:t xml:space="preserve">provided convincing evidence that </w:t>
      </w:r>
      <w:r w:rsidR="00F63230" w:rsidRPr="00CE23AE">
        <w:rPr>
          <w:szCs w:val="20"/>
          <w:lang w:val="en-US"/>
        </w:rPr>
        <w:t>excludes</w:t>
      </w:r>
      <w:r w:rsidR="00A87EE7" w:rsidRPr="00CE23AE">
        <w:rPr>
          <w:szCs w:val="20"/>
          <w:lang w:val="en-US"/>
        </w:rPr>
        <w:t xml:space="preserve"> any legitimate or well-grounded suspicion of his partiality.</w:t>
      </w:r>
      <w:r w:rsidR="009B1CBC" w:rsidRPr="00CE23AE">
        <w:rPr>
          <w:rStyle w:val="Refdenotaalpie"/>
          <w:lang w:val="en-US"/>
        </w:rPr>
        <w:footnoteReference w:id="243"/>
      </w:r>
      <w:r w:rsidR="009B1CBC" w:rsidRPr="00CE23AE">
        <w:rPr>
          <w:rStyle w:val="Refdenotaalpie"/>
          <w:lang w:val="en-US"/>
        </w:rPr>
        <w:t xml:space="preserve"> </w:t>
      </w:r>
      <w:r w:rsidR="00A87EE7" w:rsidRPr="00CE23AE">
        <w:rPr>
          <w:lang w:val="en-US"/>
        </w:rPr>
        <w:t>T</w:t>
      </w:r>
      <w:r w:rsidR="00A87EE7" w:rsidRPr="00CE23AE">
        <w:rPr>
          <w:szCs w:val="20"/>
          <w:lang w:val="en-US"/>
        </w:rPr>
        <w:t xml:space="preserve">his is so because </w:t>
      </w:r>
      <w:r w:rsidR="00F63230" w:rsidRPr="00CE23AE">
        <w:rPr>
          <w:szCs w:val="20"/>
          <w:lang w:val="en-US"/>
        </w:rPr>
        <w:t>whoever</w:t>
      </w:r>
      <w:r w:rsidR="00A87EE7" w:rsidRPr="00CE23AE">
        <w:rPr>
          <w:szCs w:val="20"/>
          <w:lang w:val="en-US"/>
        </w:rPr>
        <w:t xml:space="preserve"> decides on a person’s rights must appear to act without any influence</w:t>
      </w:r>
      <w:r w:rsidR="003D3D6A" w:rsidRPr="00CE23AE">
        <w:rPr>
          <w:szCs w:val="20"/>
          <w:lang w:val="en-US"/>
        </w:rPr>
        <w:t>s</w:t>
      </w:r>
      <w:r w:rsidR="00A87EE7" w:rsidRPr="00CE23AE">
        <w:rPr>
          <w:szCs w:val="20"/>
          <w:lang w:val="en-US"/>
        </w:rPr>
        <w:t>, inducement</w:t>
      </w:r>
      <w:r w:rsidR="003D3D6A" w:rsidRPr="00CE23AE">
        <w:rPr>
          <w:szCs w:val="20"/>
          <w:lang w:val="en-US"/>
        </w:rPr>
        <w:t>s</w:t>
      </w:r>
      <w:r w:rsidR="00A87EE7" w:rsidRPr="00CE23AE">
        <w:rPr>
          <w:szCs w:val="20"/>
          <w:lang w:val="en-US"/>
        </w:rPr>
        <w:t>, pressure</w:t>
      </w:r>
      <w:r w:rsidR="003D3D6A" w:rsidRPr="00CE23AE">
        <w:rPr>
          <w:szCs w:val="20"/>
          <w:lang w:val="en-US"/>
        </w:rPr>
        <w:t>s</w:t>
      </w:r>
      <w:r w:rsidR="00A87EE7" w:rsidRPr="00CE23AE">
        <w:rPr>
          <w:szCs w:val="20"/>
          <w:lang w:val="en-US"/>
        </w:rPr>
        <w:t>, threat</w:t>
      </w:r>
      <w:r w:rsidR="003D3D6A" w:rsidRPr="00CE23AE">
        <w:rPr>
          <w:szCs w:val="20"/>
          <w:lang w:val="en-US"/>
        </w:rPr>
        <w:t>s</w:t>
      </w:r>
      <w:r w:rsidR="00A87EE7" w:rsidRPr="00CE23AE">
        <w:rPr>
          <w:szCs w:val="20"/>
          <w:lang w:val="en-US"/>
        </w:rPr>
        <w:t xml:space="preserve"> or interference</w:t>
      </w:r>
      <w:r w:rsidR="003D3D6A" w:rsidRPr="00CE23AE">
        <w:rPr>
          <w:szCs w:val="20"/>
          <w:lang w:val="en-US"/>
        </w:rPr>
        <w:t>s</w:t>
      </w:r>
      <w:r w:rsidR="00A87EE7" w:rsidRPr="00CE23AE">
        <w:rPr>
          <w:szCs w:val="20"/>
          <w:lang w:val="en-US"/>
        </w:rPr>
        <w:t>,</w:t>
      </w:r>
      <w:r w:rsidR="003D3D6A" w:rsidRPr="00CE23AE">
        <w:rPr>
          <w:szCs w:val="20"/>
          <w:lang w:val="en-US"/>
        </w:rPr>
        <w:t xml:space="preserve"> direct or indirect</w:t>
      </w:r>
      <w:r w:rsidR="003D3D6A" w:rsidRPr="00CE23AE">
        <w:rPr>
          <w:lang w:val="en-US"/>
        </w:rPr>
        <w:t>,</w:t>
      </w:r>
      <w:r w:rsidR="009B1CBC" w:rsidRPr="00CE23AE">
        <w:rPr>
          <w:rStyle w:val="Refdenotaalpie"/>
          <w:lang w:val="en-US"/>
        </w:rPr>
        <w:footnoteReference w:id="244"/>
      </w:r>
      <w:r w:rsidR="00A87EE7" w:rsidRPr="00CE23AE">
        <w:rPr>
          <w:lang w:val="en-US"/>
        </w:rPr>
        <w:t xml:space="preserve"> but only and exclusively pursuant to – and on the basis of – the law.</w:t>
      </w:r>
      <w:r w:rsidR="009B1CBC" w:rsidRPr="00CE23AE">
        <w:rPr>
          <w:rStyle w:val="Refdenotaalpie"/>
          <w:lang w:val="en-US"/>
        </w:rPr>
        <w:footnoteReference w:id="245"/>
      </w:r>
      <w:bookmarkEnd w:id="431"/>
    </w:p>
    <w:p w14:paraId="08A92976" w14:textId="77777777" w:rsidR="009B1CBC" w:rsidRPr="00CE23AE" w:rsidRDefault="009B1CBC" w:rsidP="009B1CBC">
      <w:pPr>
        <w:widowControl/>
        <w:tabs>
          <w:tab w:val="left" w:pos="567"/>
        </w:tabs>
        <w:suppressAutoHyphens/>
        <w:adjustRightInd/>
        <w:spacing w:line="240" w:lineRule="auto"/>
        <w:textAlignment w:val="auto"/>
        <w:rPr>
          <w:szCs w:val="20"/>
          <w:lang w:val="en-US"/>
        </w:rPr>
      </w:pPr>
    </w:p>
    <w:p w14:paraId="5CA85401" w14:textId="1858D531" w:rsidR="009B1CBC" w:rsidRPr="00CE23AE" w:rsidRDefault="00C561DF" w:rsidP="009B1CBC">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The Court</w:t>
      </w:r>
      <w:r w:rsidR="009B1CBC" w:rsidRPr="00CE23AE">
        <w:rPr>
          <w:szCs w:val="20"/>
          <w:lang w:val="en-US"/>
        </w:rPr>
        <w:t xml:space="preserve"> ha</w:t>
      </w:r>
      <w:r w:rsidR="003D3D6A" w:rsidRPr="00CE23AE">
        <w:rPr>
          <w:szCs w:val="20"/>
          <w:lang w:val="en-US"/>
        </w:rPr>
        <w:t xml:space="preserve">s recognized that the guarantee of impartiality is applicable to administrative proceedings, pursuant to </w:t>
      </w:r>
      <w:r w:rsidRPr="00CE23AE">
        <w:rPr>
          <w:szCs w:val="20"/>
          <w:lang w:val="en-US"/>
        </w:rPr>
        <w:t>Article</w:t>
      </w:r>
      <w:r w:rsidR="009B1CBC" w:rsidRPr="00CE23AE">
        <w:rPr>
          <w:szCs w:val="20"/>
          <w:lang w:val="en-US"/>
        </w:rPr>
        <w:t xml:space="preserve"> </w:t>
      </w:r>
      <w:r w:rsidRPr="00CE23AE">
        <w:rPr>
          <w:szCs w:val="20"/>
          <w:lang w:val="en-US"/>
        </w:rPr>
        <w:t>8(1) of the Convention</w:t>
      </w:r>
      <w:r w:rsidR="009B1CBC" w:rsidRPr="00CE23AE">
        <w:rPr>
          <w:szCs w:val="20"/>
          <w:lang w:val="en-US"/>
        </w:rPr>
        <w:t xml:space="preserve">. </w:t>
      </w:r>
      <w:r w:rsidR="003D3D6A" w:rsidRPr="00CE23AE">
        <w:rPr>
          <w:szCs w:val="20"/>
          <w:lang w:val="en-US"/>
        </w:rPr>
        <w:t>In the instant case</w:t>
      </w:r>
      <w:r w:rsidR="009B1CBC" w:rsidRPr="00CE23AE">
        <w:rPr>
          <w:szCs w:val="20"/>
          <w:lang w:val="en-US"/>
        </w:rPr>
        <w:t xml:space="preserve">, </w:t>
      </w:r>
      <w:r w:rsidR="008B76F3" w:rsidRPr="00CE23AE">
        <w:rPr>
          <w:szCs w:val="20"/>
          <w:lang w:val="en-US"/>
        </w:rPr>
        <w:t xml:space="preserve">the Commander of the </w:t>
      </w:r>
      <w:r w:rsidR="0078516C" w:rsidRPr="00CE23AE">
        <w:rPr>
          <w:szCs w:val="20"/>
          <w:lang w:val="en-US"/>
        </w:rPr>
        <w:t>Fourth Military Zone</w:t>
      </w:r>
      <w:r w:rsidR="009B1CBC" w:rsidRPr="00CE23AE">
        <w:rPr>
          <w:szCs w:val="20"/>
          <w:lang w:val="en-US"/>
        </w:rPr>
        <w:t xml:space="preserve">, </w:t>
      </w:r>
      <w:r w:rsidR="003D3D6A" w:rsidRPr="00CE23AE">
        <w:rPr>
          <w:szCs w:val="20"/>
          <w:lang w:val="en-US"/>
        </w:rPr>
        <w:t xml:space="preserve">who was not a judicial official, was the appropriate person to act as </w:t>
      </w:r>
      <w:r w:rsidR="009B1CBC" w:rsidRPr="00CE23AE">
        <w:rPr>
          <w:szCs w:val="20"/>
          <w:lang w:val="en-US"/>
        </w:rPr>
        <w:t>“</w:t>
      </w:r>
      <w:r w:rsidR="00A055CE" w:rsidRPr="00CE23AE">
        <w:rPr>
          <w:szCs w:val="20"/>
          <w:lang w:val="en-US"/>
        </w:rPr>
        <w:t>Judge of Law</w:t>
      </w:r>
      <w:r w:rsidR="009B1CBC" w:rsidRPr="00CE23AE">
        <w:rPr>
          <w:szCs w:val="20"/>
          <w:lang w:val="en-US"/>
        </w:rPr>
        <w:t xml:space="preserve">” </w:t>
      </w:r>
      <w:r w:rsidR="003D3D6A" w:rsidRPr="00CE23AE">
        <w:rPr>
          <w:szCs w:val="20"/>
          <w:lang w:val="en-US"/>
        </w:rPr>
        <w:t>i</w:t>
      </w:r>
      <w:r w:rsidR="009B1CBC" w:rsidRPr="00CE23AE">
        <w:rPr>
          <w:szCs w:val="20"/>
          <w:lang w:val="en-US"/>
        </w:rPr>
        <w:t>n</w:t>
      </w:r>
      <w:r w:rsidR="003D3D6A" w:rsidRPr="00CE23AE">
        <w:rPr>
          <w:szCs w:val="20"/>
          <w:lang w:val="en-US"/>
        </w:rPr>
        <w:t xml:space="preserve"> the disciplinary procedure against </w:t>
      </w:r>
      <w:r w:rsidR="00000AE1" w:rsidRPr="00CE23AE">
        <w:rPr>
          <w:szCs w:val="20"/>
          <w:lang w:val="en-US"/>
        </w:rPr>
        <w:t>Mr.</w:t>
      </w:r>
      <w:r w:rsidR="00F5102B" w:rsidRPr="00CE23AE">
        <w:rPr>
          <w:szCs w:val="20"/>
          <w:lang w:val="en-US"/>
        </w:rPr>
        <w:t xml:space="preserve"> Flor</w:t>
      </w:r>
      <w:r w:rsidR="009B1CBC" w:rsidRPr="00CE23AE">
        <w:rPr>
          <w:szCs w:val="20"/>
          <w:lang w:val="en-US"/>
        </w:rPr>
        <w:t xml:space="preserve"> Freire (</w:t>
      </w:r>
      <w:r w:rsidR="009B1CBC" w:rsidRPr="00CE23AE">
        <w:rPr>
          <w:i/>
          <w:szCs w:val="20"/>
          <w:lang w:val="en-US"/>
        </w:rPr>
        <w:t>supra</w:t>
      </w:r>
      <w:r w:rsidR="009B1CBC" w:rsidRPr="00CE23AE">
        <w:rPr>
          <w:szCs w:val="20"/>
          <w:lang w:val="en-US"/>
        </w:rPr>
        <w:t xml:space="preserve"> </w:t>
      </w:r>
      <w:r w:rsidR="005C743F" w:rsidRPr="00CE23AE">
        <w:rPr>
          <w:szCs w:val="20"/>
          <w:lang w:val="en-US"/>
        </w:rPr>
        <w:t>paras.</w:t>
      </w:r>
      <w:r w:rsidR="009B1CBC" w:rsidRPr="00CE23AE">
        <w:rPr>
          <w:szCs w:val="20"/>
          <w:lang w:val="en-US"/>
        </w:rPr>
        <w:t xml:space="preserve"> </w:t>
      </w:r>
      <w:r w:rsidR="009B1CBC" w:rsidRPr="00CE23AE">
        <w:rPr>
          <w:szCs w:val="20"/>
          <w:lang w:val="en-US"/>
        </w:rPr>
        <w:fldChar w:fldCharType="begin"/>
      </w:r>
      <w:r w:rsidR="009B1CBC" w:rsidRPr="00CE23AE">
        <w:rPr>
          <w:szCs w:val="20"/>
          <w:lang w:val="en-US"/>
        </w:rPr>
        <w:instrText xml:space="preserve"> REF _Ref451447531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63</w:t>
      </w:r>
      <w:r w:rsidR="009B1CBC" w:rsidRPr="00CE23AE">
        <w:rPr>
          <w:szCs w:val="20"/>
          <w:lang w:val="en-US"/>
        </w:rPr>
        <w:fldChar w:fldCharType="end"/>
      </w:r>
      <w:r w:rsidR="009B1CBC" w:rsidRPr="00CE23AE">
        <w:rPr>
          <w:szCs w:val="20"/>
          <w:lang w:val="en-US"/>
        </w:rPr>
        <w:t xml:space="preserve">, </w:t>
      </w:r>
      <w:r w:rsidR="009B1CBC" w:rsidRPr="00CE23AE">
        <w:rPr>
          <w:szCs w:val="20"/>
          <w:lang w:val="en-US"/>
        </w:rPr>
        <w:fldChar w:fldCharType="begin"/>
      </w:r>
      <w:r w:rsidR="009B1CBC" w:rsidRPr="00CE23AE">
        <w:rPr>
          <w:szCs w:val="20"/>
          <w:lang w:val="en-US"/>
        </w:rPr>
        <w:instrText xml:space="preserve"> REF _Ref454892534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66</w:t>
      </w:r>
      <w:r w:rsidR="009B1CBC" w:rsidRPr="00CE23AE">
        <w:rPr>
          <w:szCs w:val="20"/>
          <w:lang w:val="en-US"/>
        </w:rPr>
        <w:fldChar w:fldCharType="end"/>
      </w:r>
      <w:r w:rsidR="0048114B" w:rsidRPr="00CE23AE">
        <w:rPr>
          <w:szCs w:val="20"/>
          <w:lang w:val="en-US"/>
        </w:rPr>
        <w:t xml:space="preserve">, </w:t>
      </w:r>
      <w:r w:rsidR="0048114B" w:rsidRPr="00CE23AE">
        <w:rPr>
          <w:szCs w:val="20"/>
          <w:lang w:val="en-US"/>
        </w:rPr>
        <w:fldChar w:fldCharType="begin"/>
      </w:r>
      <w:r w:rsidR="0048114B" w:rsidRPr="00CE23AE">
        <w:rPr>
          <w:szCs w:val="20"/>
          <w:lang w:val="en-US"/>
        </w:rPr>
        <w:instrText xml:space="preserve"> REF _Ref454892830 \r \h </w:instrText>
      </w:r>
      <w:r w:rsidR="00CE23AE">
        <w:rPr>
          <w:szCs w:val="20"/>
          <w:lang w:val="en-US"/>
        </w:rPr>
        <w:instrText xml:space="preserve"> \* MERGEFORMAT </w:instrText>
      </w:r>
      <w:r w:rsidR="0048114B" w:rsidRPr="00CE23AE">
        <w:rPr>
          <w:szCs w:val="20"/>
          <w:lang w:val="en-US"/>
        </w:rPr>
      </w:r>
      <w:r w:rsidR="0048114B" w:rsidRPr="00CE23AE">
        <w:rPr>
          <w:szCs w:val="20"/>
          <w:lang w:val="en-US"/>
        </w:rPr>
        <w:fldChar w:fldCharType="separate"/>
      </w:r>
      <w:r w:rsidR="00BC2953" w:rsidRPr="00CE23AE">
        <w:rPr>
          <w:szCs w:val="20"/>
          <w:lang w:val="en-US"/>
        </w:rPr>
        <w:t>71</w:t>
      </w:r>
      <w:r w:rsidR="0048114B" w:rsidRPr="00CE23AE">
        <w:rPr>
          <w:szCs w:val="20"/>
          <w:lang w:val="en-US"/>
        </w:rPr>
        <w:fldChar w:fldCharType="end"/>
      </w:r>
      <w:r w:rsidRPr="00CE23AE">
        <w:rPr>
          <w:szCs w:val="20"/>
          <w:lang w:val="en-US"/>
        </w:rPr>
        <w:t xml:space="preserve"> and </w:t>
      </w:r>
      <w:r w:rsidR="009B1CBC" w:rsidRPr="00CE23AE">
        <w:rPr>
          <w:b/>
          <w:szCs w:val="20"/>
          <w:lang w:val="en-US"/>
        </w:rPr>
        <w:fldChar w:fldCharType="begin"/>
      </w:r>
      <w:r w:rsidR="009B1CBC" w:rsidRPr="00CE23AE">
        <w:rPr>
          <w:szCs w:val="20"/>
          <w:lang w:val="en-US"/>
        </w:rPr>
        <w:instrText xml:space="preserve"> REF _Ref447296429 \r \h </w:instrText>
      </w:r>
      <w:r w:rsidR="00CE23AE">
        <w:rPr>
          <w:b/>
          <w:szCs w:val="20"/>
          <w:lang w:val="en-US"/>
        </w:rPr>
        <w:instrText xml:space="preserve"> \* MERGEFORMAT </w:instrText>
      </w:r>
      <w:r w:rsidR="009B1CBC" w:rsidRPr="00CE23AE">
        <w:rPr>
          <w:b/>
          <w:szCs w:val="20"/>
          <w:lang w:val="en-US"/>
        </w:rPr>
      </w:r>
      <w:r w:rsidR="009B1CBC" w:rsidRPr="00CE23AE">
        <w:rPr>
          <w:b/>
          <w:szCs w:val="20"/>
          <w:lang w:val="en-US"/>
        </w:rPr>
        <w:fldChar w:fldCharType="separate"/>
      </w:r>
      <w:r w:rsidR="00BC2953" w:rsidRPr="00CE23AE">
        <w:rPr>
          <w:szCs w:val="20"/>
          <w:lang w:val="en-US"/>
        </w:rPr>
        <w:t>72</w:t>
      </w:r>
      <w:r w:rsidR="009B1CBC" w:rsidRPr="00CE23AE">
        <w:rPr>
          <w:b/>
          <w:szCs w:val="20"/>
          <w:lang w:val="en-US"/>
        </w:rPr>
        <w:fldChar w:fldCharType="end"/>
      </w:r>
      <w:r w:rsidR="009B1CBC" w:rsidRPr="00CE23AE">
        <w:rPr>
          <w:szCs w:val="20"/>
          <w:lang w:val="en-US"/>
        </w:rPr>
        <w:t xml:space="preserve">). </w:t>
      </w:r>
      <w:r w:rsidR="003D3D6A" w:rsidRPr="00CE23AE">
        <w:rPr>
          <w:szCs w:val="20"/>
          <w:lang w:val="en-US"/>
        </w:rPr>
        <w:t>Based on the a</w:t>
      </w:r>
      <w:r w:rsidR="00E10780" w:rsidRPr="00CE23AE">
        <w:rPr>
          <w:szCs w:val="20"/>
          <w:lang w:val="en-US"/>
        </w:rPr>
        <w:t>rguments of the parties</w:t>
      </w:r>
      <w:r w:rsidRPr="00CE23AE">
        <w:rPr>
          <w:szCs w:val="20"/>
          <w:lang w:val="en-US"/>
        </w:rPr>
        <w:t xml:space="preserve"> and of the Commission</w:t>
      </w:r>
      <w:r w:rsidR="009B1CBC" w:rsidRPr="00CE23AE">
        <w:rPr>
          <w:szCs w:val="20"/>
          <w:lang w:val="en-US"/>
        </w:rPr>
        <w:t>,</w:t>
      </w:r>
      <w:r w:rsidR="003D3D6A" w:rsidRPr="00CE23AE">
        <w:rPr>
          <w:szCs w:val="20"/>
          <w:lang w:val="en-US"/>
        </w:rPr>
        <w:t xml:space="preserve"> the Court must examine the actions of the </w:t>
      </w:r>
      <w:r w:rsidR="00A055CE" w:rsidRPr="00CE23AE">
        <w:rPr>
          <w:szCs w:val="20"/>
          <w:lang w:val="en-US"/>
        </w:rPr>
        <w:t>Judge of Law</w:t>
      </w:r>
      <w:r w:rsidR="009B1CBC" w:rsidRPr="00CE23AE">
        <w:rPr>
          <w:szCs w:val="20"/>
          <w:lang w:val="en-US"/>
        </w:rPr>
        <w:t xml:space="preserve"> </w:t>
      </w:r>
      <w:r w:rsidR="003D3D6A" w:rsidRPr="00CE23AE">
        <w:rPr>
          <w:szCs w:val="20"/>
          <w:lang w:val="en-US"/>
        </w:rPr>
        <w:t>in the</w:t>
      </w:r>
      <w:r w:rsidR="009B1CBC" w:rsidRPr="00CE23AE">
        <w:rPr>
          <w:szCs w:val="20"/>
          <w:lang w:val="en-US"/>
        </w:rPr>
        <w:t xml:space="preserve"> </w:t>
      </w:r>
      <w:r w:rsidR="00A06577" w:rsidRPr="00CE23AE">
        <w:rPr>
          <w:szCs w:val="20"/>
          <w:lang w:val="en-US"/>
        </w:rPr>
        <w:t>summary inquiry</w:t>
      </w:r>
      <w:r w:rsidR="003D3D6A" w:rsidRPr="00CE23AE">
        <w:rPr>
          <w:szCs w:val="20"/>
          <w:lang w:val="en-US"/>
        </w:rPr>
        <w:t xml:space="preserve"> procedure in order to determine whether there was a lack of impartiality in the determination of the disciplinary responsibility </w:t>
      </w:r>
      <w:r w:rsidR="00000AE1" w:rsidRPr="00CE23AE">
        <w:rPr>
          <w:szCs w:val="20"/>
          <w:lang w:val="en-US"/>
        </w:rPr>
        <w:t>of Mr.</w:t>
      </w:r>
      <w:r w:rsidR="00F5102B" w:rsidRPr="00CE23AE">
        <w:rPr>
          <w:szCs w:val="20"/>
          <w:lang w:val="en-US"/>
        </w:rPr>
        <w:t xml:space="preserve"> Flor</w:t>
      </w:r>
      <w:r w:rsidR="009B1CBC" w:rsidRPr="00CE23AE">
        <w:rPr>
          <w:szCs w:val="20"/>
          <w:lang w:val="en-US"/>
        </w:rPr>
        <w:t xml:space="preserve"> Freire.</w:t>
      </w:r>
    </w:p>
    <w:p w14:paraId="40AB96C9" w14:textId="77777777" w:rsidR="009B1CBC" w:rsidRPr="00CE23AE" w:rsidRDefault="009B1CBC" w:rsidP="009B1CBC">
      <w:pPr>
        <w:widowControl/>
        <w:tabs>
          <w:tab w:val="left" w:pos="567"/>
        </w:tabs>
        <w:suppressAutoHyphens/>
        <w:adjustRightInd/>
        <w:spacing w:line="240" w:lineRule="auto"/>
        <w:textAlignment w:val="auto"/>
        <w:rPr>
          <w:szCs w:val="20"/>
          <w:lang w:val="en-US"/>
        </w:rPr>
      </w:pPr>
    </w:p>
    <w:p w14:paraId="11C4707E" w14:textId="09077136" w:rsidR="009B1CBC" w:rsidRPr="00CE23AE" w:rsidRDefault="003D3D6A" w:rsidP="003D3D6A">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The</w:t>
      </w:r>
      <w:r w:rsidR="00C561DF" w:rsidRPr="00CE23AE">
        <w:rPr>
          <w:szCs w:val="20"/>
          <w:lang w:val="en-US"/>
        </w:rPr>
        <w:t xml:space="preserve"> Court</w:t>
      </w:r>
      <w:r w:rsidR="009B1CBC" w:rsidRPr="00CE23AE">
        <w:rPr>
          <w:szCs w:val="20"/>
          <w:lang w:val="en-US"/>
        </w:rPr>
        <w:t xml:space="preserve"> </w:t>
      </w:r>
      <w:r w:rsidRPr="00CE23AE">
        <w:rPr>
          <w:szCs w:val="20"/>
          <w:lang w:val="en-US"/>
        </w:rPr>
        <w:t>notes that</w:t>
      </w:r>
      <w:r w:rsidR="009B1CBC" w:rsidRPr="00CE23AE">
        <w:rPr>
          <w:szCs w:val="20"/>
          <w:lang w:val="en-US"/>
        </w:rPr>
        <w:t xml:space="preserve"> </w:t>
      </w:r>
      <w:r w:rsidR="008B76F3" w:rsidRPr="00CE23AE">
        <w:rPr>
          <w:szCs w:val="20"/>
          <w:lang w:val="en-US"/>
        </w:rPr>
        <w:t xml:space="preserve">the Commander of the </w:t>
      </w:r>
      <w:r w:rsidR="0078516C" w:rsidRPr="00CE23AE">
        <w:rPr>
          <w:szCs w:val="20"/>
          <w:lang w:val="en-US"/>
        </w:rPr>
        <w:t>Fourth Military Zone</w:t>
      </w:r>
      <w:r w:rsidR="009B1CBC" w:rsidRPr="00CE23AE">
        <w:rPr>
          <w:szCs w:val="20"/>
          <w:lang w:val="en-US"/>
        </w:rPr>
        <w:t xml:space="preserve"> </w:t>
      </w:r>
      <w:r w:rsidRPr="00CE23AE">
        <w:rPr>
          <w:szCs w:val="20"/>
          <w:lang w:val="en-US"/>
        </w:rPr>
        <w:t xml:space="preserve">was </w:t>
      </w:r>
      <w:r w:rsidR="00000AE1" w:rsidRPr="00CE23AE">
        <w:rPr>
          <w:szCs w:val="20"/>
          <w:lang w:val="en-US"/>
        </w:rPr>
        <w:t>Mr.</w:t>
      </w:r>
      <w:r w:rsidR="00F5102B" w:rsidRPr="00CE23AE">
        <w:rPr>
          <w:szCs w:val="20"/>
          <w:lang w:val="en-US"/>
        </w:rPr>
        <w:t xml:space="preserve"> Flor</w:t>
      </w:r>
      <w:r w:rsidR="009B1CBC" w:rsidRPr="00CE23AE">
        <w:rPr>
          <w:szCs w:val="20"/>
          <w:lang w:val="en-US"/>
        </w:rPr>
        <w:t xml:space="preserve"> Freire</w:t>
      </w:r>
      <w:r w:rsidRPr="00CE23AE">
        <w:rPr>
          <w:szCs w:val="20"/>
          <w:lang w:val="en-US"/>
        </w:rPr>
        <w:t>’s superior officer</w:t>
      </w:r>
      <w:r w:rsidR="009B1CBC" w:rsidRPr="00CE23AE">
        <w:rPr>
          <w:szCs w:val="20"/>
          <w:lang w:val="en-US"/>
        </w:rPr>
        <w:t>.</w:t>
      </w:r>
      <w:r w:rsidRPr="00CE23AE">
        <w:rPr>
          <w:szCs w:val="20"/>
          <w:lang w:val="en-US"/>
        </w:rPr>
        <w:t xml:space="preserve"> As </w:t>
      </w:r>
      <w:r w:rsidR="00F63230" w:rsidRPr="00CE23AE">
        <w:rPr>
          <w:szCs w:val="20"/>
          <w:lang w:val="en-US"/>
        </w:rPr>
        <w:t>the</w:t>
      </w:r>
      <w:r w:rsidRPr="00CE23AE">
        <w:rPr>
          <w:szCs w:val="20"/>
          <w:lang w:val="en-US"/>
        </w:rPr>
        <w:t xml:space="preserve"> superior officer, he had command authority </w:t>
      </w:r>
      <w:r w:rsidR="00F63230" w:rsidRPr="00CE23AE">
        <w:rPr>
          <w:szCs w:val="20"/>
          <w:lang w:val="en-US"/>
        </w:rPr>
        <w:t>over</w:t>
      </w:r>
      <w:r w:rsidRPr="00CE23AE">
        <w:rPr>
          <w:szCs w:val="20"/>
          <w:lang w:val="en-US"/>
        </w:rPr>
        <w:t xml:space="preserve"> the position and functions of the presumed victim within the hierarchy of the Ecuadorian Ground Forces. In addition, according to the norms that regulated the disciplinary </w:t>
      </w:r>
      <w:r w:rsidR="00A06577" w:rsidRPr="00CE23AE">
        <w:rPr>
          <w:szCs w:val="20"/>
          <w:lang w:val="en-US"/>
        </w:rPr>
        <w:t>summary inquiry</w:t>
      </w:r>
      <w:r w:rsidRPr="00CE23AE">
        <w:rPr>
          <w:szCs w:val="20"/>
          <w:lang w:val="en-US"/>
        </w:rPr>
        <w:t xml:space="preserve"> procedure, it corresponded to the Zone Commander to act as </w:t>
      </w:r>
      <w:r w:rsidR="00A055CE" w:rsidRPr="00CE23AE">
        <w:rPr>
          <w:szCs w:val="20"/>
          <w:lang w:val="en-US"/>
        </w:rPr>
        <w:t>Judge of Law</w:t>
      </w:r>
      <w:r w:rsidRPr="00CE23AE">
        <w:rPr>
          <w:iCs/>
          <w:szCs w:val="20"/>
          <w:lang w:val="en-US"/>
        </w:rPr>
        <w:t xml:space="preserve"> in the said procedure and to decide on the possible disciplinary responsibility of the officers under his command</w:t>
      </w:r>
      <w:r w:rsidR="009B1CBC" w:rsidRPr="00CE23AE">
        <w:rPr>
          <w:szCs w:val="20"/>
          <w:lang w:val="en-US"/>
        </w:rPr>
        <w:t xml:space="preserve"> (</w:t>
      </w:r>
      <w:r w:rsidR="009B1CBC" w:rsidRPr="00CE23AE">
        <w:rPr>
          <w:i/>
          <w:szCs w:val="20"/>
          <w:lang w:val="en-US"/>
        </w:rPr>
        <w:t>supra</w:t>
      </w:r>
      <w:r w:rsidR="009B1CBC" w:rsidRPr="00CE23AE">
        <w:rPr>
          <w:szCs w:val="20"/>
          <w:lang w:val="en-US"/>
        </w:rPr>
        <w:t xml:space="preserve"> </w:t>
      </w:r>
      <w:r w:rsidR="005C743F" w:rsidRPr="00CE23AE">
        <w:rPr>
          <w:szCs w:val="20"/>
          <w:lang w:val="en-US"/>
        </w:rPr>
        <w:t>paras.</w:t>
      </w:r>
      <w:r w:rsidR="009B1CBC" w:rsidRPr="00CE23AE">
        <w:rPr>
          <w:szCs w:val="20"/>
          <w:lang w:val="en-US"/>
        </w:rPr>
        <w:t xml:space="preserve"> </w:t>
      </w:r>
      <w:r w:rsidR="009B1CBC" w:rsidRPr="00CE23AE">
        <w:rPr>
          <w:szCs w:val="20"/>
          <w:lang w:val="en-US"/>
        </w:rPr>
        <w:fldChar w:fldCharType="begin"/>
      </w:r>
      <w:r w:rsidR="009B1CBC" w:rsidRPr="00CE23AE">
        <w:rPr>
          <w:szCs w:val="20"/>
          <w:lang w:val="en-US"/>
        </w:rPr>
        <w:instrText xml:space="preserve"> REF _Ref451447531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63</w:t>
      </w:r>
      <w:r w:rsidR="009B1CBC" w:rsidRPr="00CE23AE">
        <w:rPr>
          <w:szCs w:val="20"/>
          <w:lang w:val="en-US"/>
        </w:rPr>
        <w:fldChar w:fldCharType="end"/>
      </w:r>
      <w:r w:rsidR="00C561DF" w:rsidRPr="00CE23AE">
        <w:rPr>
          <w:szCs w:val="20"/>
          <w:lang w:val="en-US"/>
        </w:rPr>
        <w:t xml:space="preserve"> and </w:t>
      </w:r>
      <w:r w:rsidR="009B1CBC" w:rsidRPr="00CE23AE">
        <w:rPr>
          <w:szCs w:val="20"/>
          <w:lang w:val="en-US"/>
        </w:rPr>
        <w:fldChar w:fldCharType="begin"/>
      </w:r>
      <w:r w:rsidR="009B1CBC" w:rsidRPr="00CE23AE">
        <w:rPr>
          <w:szCs w:val="20"/>
          <w:lang w:val="en-US"/>
        </w:rPr>
        <w:instrText xml:space="preserve"> REF _Ref454892534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66</w:t>
      </w:r>
      <w:r w:rsidR="009B1CBC" w:rsidRPr="00CE23AE">
        <w:rPr>
          <w:szCs w:val="20"/>
          <w:lang w:val="en-US"/>
        </w:rPr>
        <w:fldChar w:fldCharType="end"/>
      </w:r>
      <w:r w:rsidR="009B1CBC" w:rsidRPr="00CE23AE">
        <w:rPr>
          <w:szCs w:val="20"/>
          <w:lang w:val="en-US"/>
        </w:rPr>
        <w:t xml:space="preserve">). </w:t>
      </w:r>
    </w:p>
    <w:p w14:paraId="381C5296" w14:textId="77777777" w:rsidR="009B1CBC" w:rsidRPr="00CE23AE" w:rsidRDefault="009B1CBC" w:rsidP="009B1CBC">
      <w:pPr>
        <w:widowControl/>
        <w:tabs>
          <w:tab w:val="left" w:pos="567"/>
        </w:tabs>
        <w:suppressAutoHyphens/>
        <w:adjustRightInd/>
        <w:spacing w:line="240" w:lineRule="auto"/>
        <w:textAlignment w:val="auto"/>
        <w:rPr>
          <w:szCs w:val="20"/>
          <w:lang w:val="en-US"/>
        </w:rPr>
      </w:pPr>
    </w:p>
    <w:p w14:paraId="319922E7" w14:textId="458F9F45" w:rsidR="009B1CBC" w:rsidRPr="00CE23AE" w:rsidRDefault="003D3D6A" w:rsidP="00C71D48">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 xml:space="preserve">In his capacity as </w:t>
      </w:r>
      <w:r w:rsidR="00000AE1" w:rsidRPr="00CE23AE">
        <w:rPr>
          <w:szCs w:val="20"/>
          <w:lang w:val="en-US"/>
        </w:rPr>
        <w:t>Mr.</w:t>
      </w:r>
      <w:r w:rsidR="00F5102B" w:rsidRPr="00CE23AE">
        <w:rPr>
          <w:szCs w:val="20"/>
          <w:lang w:val="en-US"/>
        </w:rPr>
        <w:t xml:space="preserve"> Flor</w:t>
      </w:r>
      <w:r w:rsidR="009B1CBC" w:rsidRPr="00CE23AE">
        <w:rPr>
          <w:szCs w:val="20"/>
          <w:lang w:val="en-US"/>
        </w:rPr>
        <w:t xml:space="preserve"> Freire</w:t>
      </w:r>
      <w:r w:rsidRPr="00CE23AE">
        <w:rPr>
          <w:szCs w:val="20"/>
          <w:lang w:val="en-US"/>
        </w:rPr>
        <w:t>’s superior</w:t>
      </w:r>
      <w:r w:rsidR="009B1CBC" w:rsidRPr="00CE23AE">
        <w:rPr>
          <w:szCs w:val="20"/>
          <w:lang w:val="en-US"/>
        </w:rPr>
        <w:t xml:space="preserve">, </w:t>
      </w:r>
      <w:r w:rsidRPr="00CE23AE">
        <w:rPr>
          <w:szCs w:val="20"/>
          <w:lang w:val="en-US"/>
        </w:rPr>
        <w:t>on November 20,</w:t>
      </w:r>
      <w:r w:rsidR="009B1CBC" w:rsidRPr="00CE23AE">
        <w:rPr>
          <w:szCs w:val="20"/>
          <w:lang w:val="en-US"/>
        </w:rPr>
        <w:t xml:space="preserve"> 2000, </w:t>
      </w:r>
      <w:r w:rsidR="00D31C78" w:rsidRPr="00CE23AE">
        <w:rPr>
          <w:szCs w:val="20"/>
          <w:lang w:val="en-US"/>
        </w:rPr>
        <w:t xml:space="preserve">one day after the incident and before the disciplinary procedure commenced, </w:t>
      </w:r>
      <w:r w:rsidR="008B76F3" w:rsidRPr="00CE23AE">
        <w:rPr>
          <w:szCs w:val="20"/>
          <w:lang w:val="en-US"/>
        </w:rPr>
        <w:t xml:space="preserve">the Commander of the </w:t>
      </w:r>
      <w:r w:rsidR="0078516C" w:rsidRPr="00CE23AE">
        <w:rPr>
          <w:szCs w:val="20"/>
          <w:lang w:val="en-US"/>
        </w:rPr>
        <w:t>Fourth Military Zone</w:t>
      </w:r>
      <w:r w:rsidR="009B1CBC" w:rsidRPr="00CE23AE">
        <w:rPr>
          <w:szCs w:val="20"/>
          <w:lang w:val="en-US"/>
        </w:rPr>
        <w:t xml:space="preserve"> orde</w:t>
      </w:r>
      <w:r w:rsidR="00D31C78" w:rsidRPr="00CE23AE">
        <w:rPr>
          <w:szCs w:val="20"/>
          <w:lang w:val="en-US"/>
        </w:rPr>
        <w:t>red</w:t>
      </w:r>
      <w:r w:rsidR="009B1CBC" w:rsidRPr="00CE23AE">
        <w:rPr>
          <w:szCs w:val="20"/>
          <w:lang w:val="en-US"/>
        </w:rPr>
        <w:t xml:space="preserve"> </w:t>
      </w:r>
      <w:r w:rsidR="008B76F3" w:rsidRPr="00CE23AE">
        <w:rPr>
          <w:szCs w:val="20"/>
          <w:lang w:val="en-US"/>
        </w:rPr>
        <w:t>Mr.</w:t>
      </w:r>
      <w:r w:rsidR="009B1CBC" w:rsidRPr="00CE23AE">
        <w:rPr>
          <w:szCs w:val="20"/>
          <w:lang w:val="en-US"/>
        </w:rPr>
        <w:t xml:space="preserve"> Flor Freire “</w:t>
      </w:r>
      <w:r w:rsidR="00D31C78" w:rsidRPr="00CE23AE">
        <w:rPr>
          <w:szCs w:val="20"/>
          <w:lang w:val="en-US"/>
        </w:rPr>
        <w:t xml:space="preserve">to </w:t>
      </w:r>
      <w:r w:rsidR="00F63230" w:rsidRPr="00CE23AE">
        <w:rPr>
          <w:szCs w:val="20"/>
          <w:lang w:val="en-US"/>
        </w:rPr>
        <w:t>surrender</w:t>
      </w:r>
      <w:r w:rsidR="00D31C78" w:rsidRPr="00CE23AE">
        <w:rPr>
          <w:szCs w:val="20"/>
          <w:lang w:val="en-US"/>
        </w:rPr>
        <w:t xml:space="preserve"> his functions and responsibilities</w:t>
      </w:r>
      <w:r w:rsidR="009B1CBC" w:rsidRPr="00CE23AE">
        <w:rPr>
          <w:szCs w:val="20"/>
          <w:lang w:val="en-US"/>
        </w:rPr>
        <w:t>” (</w:t>
      </w:r>
      <w:r w:rsidR="009B1CBC" w:rsidRPr="00CE23AE">
        <w:rPr>
          <w:i/>
          <w:szCs w:val="20"/>
          <w:lang w:val="en-US"/>
        </w:rPr>
        <w:t>supra</w:t>
      </w:r>
      <w:r w:rsidR="009B1CBC" w:rsidRPr="00CE23AE">
        <w:rPr>
          <w:szCs w:val="20"/>
          <w:lang w:val="en-US"/>
        </w:rPr>
        <w:t xml:space="preserve"> </w:t>
      </w:r>
      <w:r w:rsidR="005C743F" w:rsidRPr="00CE23AE">
        <w:rPr>
          <w:szCs w:val="20"/>
          <w:lang w:val="en-US"/>
        </w:rPr>
        <w:t>para.</w:t>
      </w:r>
      <w:r w:rsidR="009B1CBC" w:rsidRPr="00CE23AE">
        <w:rPr>
          <w:b/>
          <w:szCs w:val="20"/>
          <w:lang w:val="en-US"/>
        </w:rPr>
        <w:t xml:space="preserve"> </w:t>
      </w:r>
      <w:r w:rsidR="009B1CBC" w:rsidRPr="00CE23AE">
        <w:rPr>
          <w:szCs w:val="20"/>
          <w:lang w:val="en-US"/>
        </w:rPr>
        <w:fldChar w:fldCharType="begin"/>
      </w:r>
      <w:r w:rsidR="009B1CBC" w:rsidRPr="00CE23AE">
        <w:rPr>
          <w:szCs w:val="20"/>
          <w:lang w:val="en-US"/>
        </w:rPr>
        <w:instrText xml:space="preserve"> REF _Ref454892669 \r \h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68</w:t>
      </w:r>
      <w:r w:rsidR="009B1CBC" w:rsidRPr="00CE23AE">
        <w:rPr>
          <w:szCs w:val="20"/>
          <w:lang w:val="en-US"/>
        </w:rPr>
        <w:fldChar w:fldCharType="end"/>
      </w:r>
      <w:r w:rsidR="009B1CBC" w:rsidRPr="00CE23AE">
        <w:rPr>
          <w:szCs w:val="20"/>
          <w:lang w:val="en-US"/>
        </w:rPr>
        <w:t xml:space="preserve">). </w:t>
      </w:r>
      <w:r w:rsidR="00C71D48" w:rsidRPr="00CE23AE">
        <w:rPr>
          <w:szCs w:val="20"/>
          <w:lang w:val="en-US"/>
        </w:rPr>
        <w:t xml:space="preserve">On November 22, that year, he referred the incident to </w:t>
      </w:r>
      <w:r w:rsidR="005B1C91" w:rsidRPr="00CE23AE">
        <w:rPr>
          <w:szCs w:val="20"/>
          <w:lang w:val="en-US"/>
        </w:rPr>
        <w:t xml:space="preserve">the </w:t>
      </w:r>
      <w:r w:rsidR="009C5D46" w:rsidRPr="00CE23AE">
        <w:rPr>
          <w:szCs w:val="20"/>
          <w:lang w:val="en-US"/>
        </w:rPr>
        <w:t>First Criminal Court</w:t>
      </w:r>
      <w:r w:rsidR="008B76F3" w:rsidRPr="00CE23AE">
        <w:rPr>
          <w:szCs w:val="20"/>
          <w:lang w:val="en-US"/>
        </w:rPr>
        <w:t xml:space="preserve"> of the </w:t>
      </w:r>
      <w:r w:rsidR="0078516C" w:rsidRPr="00CE23AE">
        <w:rPr>
          <w:szCs w:val="20"/>
          <w:lang w:val="en-US"/>
        </w:rPr>
        <w:t>Fourth Military Zone</w:t>
      </w:r>
      <w:r w:rsidR="009B1CBC" w:rsidRPr="00CE23AE">
        <w:rPr>
          <w:szCs w:val="20"/>
          <w:lang w:val="en-US"/>
        </w:rPr>
        <w:t xml:space="preserve">, </w:t>
      </w:r>
      <w:r w:rsidR="00C71D48" w:rsidRPr="00CE23AE">
        <w:rPr>
          <w:szCs w:val="20"/>
          <w:lang w:val="en-US"/>
        </w:rPr>
        <w:t>in a</w:t>
      </w:r>
      <w:r w:rsidR="009B1CBC" w:rsidRPr="00CE23AE">
        <w:rPr>
          <w:szCs w:val="20"/>
          <w:lang w:val="en-US"/>
        </w:rPr>
        <w:t xml:space="preserve"> </w:t>
      </w:r>
      <w:r w:rsidR="008B76F3" w:rsidRPr="00CE23AE">
        <w:rPr>
          <w:szCs w:val="20"/>
          <w:lang w:val="en-US"/>
        </w:rPr>
        <w:t>memorandum</w:t>
      </w:r>
      <w:r w:rsidR="009B1CBC" w:rsidRPr="00CE23AE">
        <w:rPr>
          <w:szCs w:val="20"/>
          <w:lang w:val="en-US"/>
        </w:rPr>
        <w:t xml:space="preserve"> </w:t>
      </w:r>
      <w:r w:rsidR="00C71D48" w:rsidRPr="00CE23AE">
        <w:rPr>
          <w:szCs w:val="20"/>
          <w:lang w:val="en-US"/>
        </w:rPr>
        <w:t xml:space="preserve">in which he asked the First Criminal Court to open the </w:t>
      </w:r>
      <w:r w:rsidR="00F63230" w:rsidRPr="00CE23AE">
        <w:rPr>
          <w:szCs w:val="20"/>
          <w:lang w:val="en-US"/>
        </w:rPr>
        <w:t>summar</w:t>
      </w:r>
      <w:r w:rsidR="006536FF" w:rsidRPr="00CE23AE">
        <w:rPr>
          <w:szCs w:val="20"/>
          <w:lang w:val="en-US"/>
        </w:rPr>
        <w:t>y</w:t>
      </w:r>
      <w:r w:rsidR="00F63230" w:rsidRPr="00CE23AE">
        <w:rPr>
          <w:szCs w:val="20"/>
          <w:lang w:val="en-US"/>
        </w:rPr>
        <w:t xml:space="preserve"> inquiry</w:t>
      </w:r>
      <w:r w:rsidR="006536FF" w:rsidRPr="00CE23AE">
        <w:rPr>
          <w:szCs w:val="20"/>
          <w:lang w:val="en-US"/>
        </w:rPr>
        <w:t xml:space="preserve"> </w:t>
      </w:r>
      <w:r w:rsidR="00C71D48" w:rsidRPr="00CE23AE">
        <w:rPr>
          <w:szCs w:val="20"/>
          <w:lang w:val="en-US"/>
        </w:rPr>
        <w:t>procedure</w:t>
      </w:r>
      <w:r w:rsidR="009B1CBC" w:rsidRPr="00CE23AE">
        <w:rPr>
          <w:szCs w:val="20"/>
          <w:lang w:val="en-US"/>
        </w:rPr>
        <w:t xml:space="preserve"> (</w:t>
      </w:r>
      <w:r w:rsidR="009B1CBC" w:rsidRPr="00CE23AE">
        <w:rPr>
          <w:i/>
          <w:szCs w:val="20"/>
          <w:lang w:val="en-US"/>
        </w:rPr>
        <w:t>supra</w:t>
      </w:r>
      <w:r w:rsidR="009B1CBC" w:rsidRPr="00CE23AE">
        <w:rPr>
          <w:szCs w:val="20"/>
          <w:lang w:val="en-US"/>
        </w:rPr>
        <w:t xml:space="preserve"> </w:t>
      </w:r>
      <w:r w:rsidR="005C743F" w:rsidRPr="00CE23AE">
        <w:rPr>
          <w:szCs w:val="20"/>
          <w:lang w:val="en-US"/>
        </w:rPr>
        <w:t>paras.</w:t>
      </w:r>
      <w:r w:rsidR="009B1CBC" w:rsidRPr="00CE23AE">
        <w:rPr>
          <w:szCs w:val="20"/>
          <w:lang w:val="en-US"/>
        </w:rPr>
        <w:t xml:space="preserve"> </w:t>
      </w:r>
      <w:r w:rsidR="009B1CBC" w:rsidRPr="00CE23AE">
        <w:rPr>
          <w:szCs w:val="20"/>
          <w:lang w:val="en-US"/>
        </w:rPr>
        <w:fldChar w:fldCharType="begin"/>
      </w:r>
      <w:r w:rsidR="009B1CBC" w:rsidRPr="00CE23AE">
        <w:rPr>
          <w:szCs w:val="20"/>
          <w:lang w:val="en-US"/>
        </w:rPr>
        <w:instrText xml:space="preserve"> REF _Ref454892399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62</w:t>
      </w:r>
      <w:r w:rsidR="009B1CBC" w:rsidRPr="00CE23AE">
        <w:rPr>
          <w:szCs w:val="20"/>
          <w:lang w:val="en-US"/>
        </w:rPr>
        <w:fldChar w:fldCharType="end"/>
      </w:r>
      <w:r w:rsidR="00C561DF" w:rsidRPr="00CE23AE">
        <w:rPr>
          <w:szCs w:val="20"/>
          <w:lang w:val="en-US"/>
        </w:rPr>
        <w:t xml:space="preserve"> and </w:t>
      </w:r>
      <w:r w:rsidR="009B1CBC" w:rsidRPr="00CE23AE">
        <w:rPr>
          <w:szCs w:val="20"/>
          <w:lang w:val="en-US"/>
        </w:rPr>
        <w:fldChar w:fldCharType="begin"/>
      </w:r>
      <w:r w:rsidR="009B1CBC" w:rsidRPr="00CE23AE">
        <w:rPr>
          <w:szCs w:val="20"/>
          <w:lang w:val="en-US"/>
        </w:rPr>
        <w:instrText xml:space="preserve"> REF _Ref454892719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69</w:t>
      </w:r>
      <w:r w:rsidR="009B1CBC" w:rsidRPr="00CE23AE">
        <w:rPr>
          <w:szCs w:val="20"/>
          <w:lang w:val="en-US"/>
        </w:rPr>
        <w:fldChar w:fldCharType="end"/>
      </w:r>
      <w:r w:rsidR="009B1CBC" w:rsidRPr="00CE23AE">
        <w:rPr>
          <w:szCs w:val="20"/>
          <w:lang w:val="en-US"/>
        </w:rPr>
        <w:t xml:space="preserve">). </w:t>
      </w:r>
      <w:r w:rsidR="00C71D48" w:rsidRPr="00CE23AE">
        <w:rPr>
          <w:szCs w:val="20"/>
          <w:lang w:val="en-US"/>
        </w:rPr>
        <w:t xml:space="preserve">Then, on December 13, </w:t>
      </w:r>
      <w:r w:rsidR="009B1CBC" w:rsidRPr="00CE23AE">
        <w:rPr>
          <w:szCs w:val="20"/>
          <w:lang w:val="en-US"/>
        </w:rPr>
        <w:t>2000</w:t>
      </w:r>
      <w:r w:rsidR="00C71D48" w:rsidRPr="00CE23AE">
        <w:rPr>
          <w:szCs w:val="20"/>
          <w:lang w:val="en-US"/>
        </w:rPr>
        <w:t>,</w:t>
      </w:r>
      <w:r w:rsidR="009B1CBC" w:rsidRPr="00CE23AE">
        <w:rPr>
          <w:szCs w:val="20"/>
          <w:lang w:val="en-US"/>
        </w:rPr>
        <w:t xml:space="preserve"> </w:t>
      </w:r>
      <w:r w:rsidR="00C71D48" w:rsidRPr="00CE23AE">
        <w:rPr>
          <w:szCs w:val="20"/>
          <w:lang w:val="en-US"/>
        </w:rPr>
        <w:t>the same</w:t>
      </w:r>
      <w:r w:rsidR="009B1CBC" w:rsidRPr="00CE23AE">
        <w:rPr>
          <w:szCs w:val="20"/>
          <w:lang w:val="en-US"/>
        </w:rPr>
        <w:t xml:space="preserve"> </w:t>
      </w:r>
      <w:r w:rsidR="009C5D46" w:rsidRPr="00CE23AE">
        <w:rPr>
          <w:szCs w:val="20"/>
          <w:lang w:val="en-US"/>
        </w:rPr>
        <w:t xml:space="preserve">Commander </w:t>
      </w:r>
      <w:r w:rsidR="008B76F3" w:rsidRPr="00CE23AE">
        <w:rPr>
          <w:szCs w:val="20"/>
          <w:lang w:val="en-US"/>
        </w:rPr>
        <w:t xml:space="preserve">of the </w:t>
      </w:r>
      <w:r w:rsidR="0078516C" w:rsidRPr="00CE23AE">
        <w:rPr>
          <w:szCs w:val="20"/>
          <w:lang w:val="en-US"/>
        </w:rPr>
        <w:t>Fourth Military Zone</w:t>
      </w:r>
      <w:r w:rsidR="009B1CBC" w:rsidRPr="00CE23AE">
        <w:rPr>
          <w:szCs w:val="20"/>
          <w:lang w:val="en-US"/>
        </w:rPr>
        <w:t xml:space="preserve"> requ</w:t>
      </w:r>
      <w:r w:rsidR="00C71D48" w:rsidRPr="00CE23AE">
        <w:rPr>
          <w:szCs w:val="20"/>
          <w:lang w:val="en-US"/>
        </w:rPr>
        <w:t>ested</w:t>
      </w:r>
      <w:r w:rsidR="009B1CBC" w:rsidRPr="00CE23AE">
        <w:rPr>
          <w:szCs w:val="20"/>
          <w:lang w:val="en-US"/>
        </w:rPr>
        <w:t xml:space="preserve"> </w:t>
      </w:r>
      <w:r w:rsidR="008B76F3" w:rsidRPr="00CE23AE">
        <w:rPr>
          <w:szCs w:val="20"/>
          <w:lang w:val="en-US"/>
        </w:rPr>
        <w:t>Mr.</w:t>
      </w:r>
      <w:r w:rsidR="009B1CBC" w:rsidRPr="00CE23AE">
        <w:rPr>
          <w:szCs w:val="20"/>
          <w:lang w:val="en-US"/>
        </w:rPr>
        <w:t xml:space="preserve"> Flor Freire</w:t>
      </w:r>
      <w:r w:rsidR="00C71D48" w:rsidRPr="00CE23AE">
        <w:rPr>
          <w:szCs w:val="20"/>
          <w:lang w:val="en-US"/>
        </w:rPr>
        <w:t xml:space="preserve"> “to surrender his responsibilities and to present himself at the HD-IV to provide his services,” and also to </w:t>
      </w:r>
      <w:r w:rsidR="00F63230" w:rsidRPr="00CE23AE">
        <w:rPr>
          <w:szCs w:val="20"/>
          <w:lang w:val="en-US"/>
        </w:rPr>
        <w:t xml:space="preserve">give up </w:t>
      </w:r>
      <w:r w:rsidR="00C71D48" w:rsidRPr="00CE23AE">
        <w:rPr>
          <w:szCs w:val="20"/>
          <w:lang w:val="en-US"/>
        </w:rPr>
        <w:t>“the room […] in the residence for unmarried officers” that he occupied</w:t>
      </w:r>
      <w:r w:rsidR="009B1CBC" w:rsidRPr="00CE23AE">
        <w:rPr>
          <w:szCs w:val="20"/>
          <w:lang w:val="en-US"/>
        </w:rPr>
        <w:t xml:space="preserve"> (</w:t>
      </w:r>
      <w:r w:rsidR="009B1CBC" w:rsidRPr="00CE23AE">
        <w:rPr>
          <w:i/>
          <w:szCs w:val="20"/>
          <w:lang w:val="en-US"/>
        </w:rPr>
        <w:t>supra</w:t>
      </w:r>
      <w:r w:rsidR="009B1CBC" w:rsidRPr="00CE23AE">
        <w:rPr>
          <w:szCs w:val="20"/>
          <w:lang w:val="en-US"/>
        </w:rPr>
        <w:t xml:space="preserve"> </w:t>
      </w:r>
      <w:r w:rsidR="005C743F" w:rsidRPr="00CE23AE">
        <w:rPr>
          <w:szCs w:val="20"/>
          <w:lang w:val="en-US"/>
        </w:rPr>
        <w:t>para.</w:t>
      </w:r>
      <w:r w:rsidR="009B1CBC" w:rsidRPr="00CE23AE">
        <w:rPr>
          <w:b/>
          <w:szCs w:val="20"/>
          <w:lang w:val="en-US"/>
        </w:rPr>
        <w:t xml:space="preserve"> </w:t>
      </w:r>
      <w:r w:rsidR="009B1CBC" w:rsidRPr="00CE23AE">
        <w:rPr>
          <w:szCs w:val="20"/>
          <w:lang w:val="en-US"/>
        </w:rPr>
        <w:fldChar w:fldCharType="begin"/>
      </w:r>
      <w:r w:rsidR="009B1CBC" w:rsidRPr="00CE23AE">
        <w:rPr>
          <w:szCs w:val="20"/>
          <w:lang w:val="en-US"/>
        </w:rPr>
        <w:instrText xml:space="preserve"> REF _Ref451461614 \r \h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70</w:t>
      </w:r>
      <w:r w:rsidR="009B1CBC" w:rsidRPr="00CE23AE">
        <w:rPr>
          <w:szCs w:val="20"/>
          <w:lang w:val="en-US"/>
        </w:rPr>
        <w:fldChar w:fldCharType="end"/>
      </w:r>
      <w:r w:rsidR="009B1CBC" w:rsidRPr="00CE23AE">
        <w:rPr>
          <w:szCs w:val="20"/>
          <w:lang w:val="en-US"/>
        </w:rPr>
        <w:t xml:space="preserve">). </w:t>
      </w:r>
      <w:r w:rsidR="00C71D48" w:rsidRPr="00CE23AE">
        <w:rPr>
          <w:szCs w:val="20"/>
          <w:lang w:val="en-US"/>
        </w:rPr>
        <w:t>All these actions by</w:t>
      </w:r>
      <w:r w:rsidR="008B76F3" w:rsidRPr="00CE23AE">
        <w:rPr>
          <w:szCs w:val="20"/>
          <w:lang w:val="en-US"/>
        </w:rPr>
        <w:t xml:space="preserve"> the Commander of the </w:t>
      </w:r>
      <w:r w:rsidR="0078516C" w:rsidRPr="00CE23AE">
        <w:rPr>
          <w:szCs w:val="20"/>
          <w:lang w:val="en-US"/>
        </w:rPr>
        <w:t>Fourth Military Zone</w:t>
      </w:r>
      <w:r w:rsidR="009B1CBC" w:rsidRPr="00CE23AE">
        <w:rPr>
          <w:szCs w:val="20"/>
          <w:lang w:val="en-US"/>
        </w:rPr>
        <w:t xml:space="preserve"> </w:t>
      </w:r>
      <w:r w:rsidR="00C71D48" w:rsidRPr="00CE23AE">
        <w:rPr>
          <w:szCs w:val="20"/>
          <w:lang w:val="en-US"/>
        </w:rPr>
        <w:t xml:space="preserve">were </w:t>
      </w:r>
      <w:r w:rsidR="00F63230" w:rsidRPr="00CE23AE">
        <w:rPr>
          <w:szCs w:val="20"/>
          <w:lang w:val="en-US"/>
        </w:rPr>
        <w:t>taken</w:t>
      </w:r>
      <w:r w:rsidR="00C71D48" w:rsidRPr="00CE23AE">
        <w:rPr>
          <w:szCs w:val="20"/>
          <w:lang w:val="en-US"/>
        </w:rPr>
        <w:t xml:space="preserve"> before the conclusion of the investigation stage of the</w:t>
      </w:r>
      <w:r w:rsidR="009B1CBC" w:rsidRPr="00CE23AE">
        <w:rPr>
          <w:szCs w:val="20"/>
          <w:lang w:val="en-US"/>
        </w:rPr>
        <w:t xml:space="preserve"> </w:t>
      </w:r>
      <w:r w:rsidR="00A06577" w:rsidRPr="00CE23AE">
        <w:rPr>
          <w:szCs w:val="20"/>
          <w:lang w:val="en-US"/>
        </w:rPr>
        <w:t>summary inquiry</w:t>
      </w:r>
      <w:r w:rsidR="009B1CBC" w:rsidRPr="00CE23AE">
        <w:rPr>
          <w:szCs w:val="20"/>
          <w:lang w:val="en-US"/>
        </w:rPr>
        <w:t xml:space="preserve"> </w:t>
      </w:r>
      <w:r w:rsidR="00C71D48" w:rsidRPr="00CE23AE">
        <w:rPr>
          <w:szCs w:val="20"/>
          <w:lang w:val="en-US"/>
        </w:rPr>
        <w:t xml:space="preserve">procedure into the events that occurred in the </w:t>
      </w:r>
      <w:r w:rsidR="009B1CBC" w:rsidRPr="00CE23AE">
        <w:rPr>
          <w:szCs w:val="20"/>
          <w:lang w:val="en-US"/>
        </w:rPr>
        <w:t xml:space="preserve">Amazonas </w:t>
      </w:r>
      <w:r w:rsidR="00C71D48" w:rsidRPr="00CE23AE">
        <w:rPr>
          <w:szCs w:val="20"/>
          <w:lang w:val="en-US"/>
        </w:rPr>
        <w:t>Military Base</w:t>
      </w:r>
      <w:r w:rsidR="00F63230" w:rsidRPr="00CE23AE">
        <w:rPr>
          <w:szCs w:val="20"/>
          <w:lang w:val="en-US"/>
        </w:rPr>
        <w:t xml:space="preserve"> on November 19, 2000</w:t>
      </w:r>
      <w:r w:rsidR="00C71D48" w:rsidRPr="00CE23AE">
        <w:rPr>
          <w:szCs w:val="20"/>
          <w:lang w:val="en-US"/>
        </w:rPr>
        <w:t xml:space="preserve"> </w:t>
      </w:r>
      <w:r w:rsidR="009B1CBC" w:rsidRPr="00CE23AE">
        <w:rPr>
          <w:szCs w:val="20"/>
          <w:lang w:val="en-US"/>
        </w:rPr>
        <w:t>(</w:t>
      </w:r>
      <w:r w:rsidR="009B1CBC" w:rsidRPr="00CE23AE">
        <w:rPr>
          <w:i/>
          <w:szCs w:val="20"/>
          <w:lang w:val="en-US"/>
        </w:rPr>
        <w:t>supra</w:t>
      </w:r>
      <w:r w:rsidR="009B1CBC" w:rsidRPr="00CE23AE">
        <w:rPr>
          <w:szCs w:val="20"/>
          <w:lang w:val="en-US"/>
        </w:rPr>
        <w:t xml:space="preserve"> </w:t>
      </w:r>
      <w:r w:rsidR="005C743F" w:rsidRPr="00CE23AE">
        <w:rPr>
          <w:szCs w:val="20"/>
          <w:lang w:val="en-US"/>
        </w:rPr>
        <w:t>paras.</w:t>
      </w:r>
      <w:r w:rsidR="009B1CBC" w:rsidRPr="00CE23AE">
        <w:rPr>
          <w:szCs w:val="20"/>
          <w:lang w:val="en-US"/>
        </w:rPr>
        <w:t xml:space="preserve"> </w:t>
      </w:r>
      <w:r w:rsidR="009B1CBC" w:rsidRPr="00CE23AE">
        <w:rPr>
          <w:szCs w:val="20"/>
          <w:lang w:val="en-US"/>
        </w:rPr>
        <w:fldChar w:fldCharType="begin"/>
      </w:r>
      <w:r w:rsidR="009B1CBC" w:rsidRPr="00CE23AE">
        <w:rPr>
          <w:szCs w:val="20"/>
          <w:lang w:val="en-US"/>
        </w:rPr>
        <w:instrText xml:space="preserve"> REF _Ref454892777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56</w:t>
      </w:r>
      <w:r w:rsidR="009B1CBC" w:rsidRPr="00CE23AE">
        <w:rPr>
          <w:szCs w:val="20"/>
          <w:lang w:val="en-US"/>
        </w:rPr>
        <w:fldChar w:fldCharType="end"/>
      </w:r>
      <w:r w:rsidR="009B1CBC" w:rsidRPr="00CE23AE">
        <w:rPr>
          <w:szCs w:val="20"/>
          <w:lang w:val="en-US"/>
        </w:rPr>
        <w:t xml:space="preserve">, </w:t>
      </w:r>
      <w:r w:rsidR="009B1CBC" w:rsidRPr="00CE23AE">
        <w:rPr>
          <w:szCs w:val="20"/>
          <w:lang w:val="en-US"/>
        </w:rPr>
        <w:fldChar w:fldCharType="begin"/>
      </w:r>
      <w:r w:rsidR="009B1CBC" w:rsidRPr="00CE23AE">
        <w:rPr>
          <w:szCs w:val="20"/>
          <w:lang w:val="en-US"/>
        </w:rPr>
        <w:instrText xml:space="preserve"> REF _Ref454892790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57</w:t>
      </w:r>
      <w:r w:rsidR="009B1CBC" w:rsidRPr="00CE23AE">
        <w:rPr>
          <w:szCs w:val="20"/>
          <w:lang w:val="en-US"/>
        </w:rPr>
        <w:fldChar w:fldCharType="end"/>
      </w:r>
      <w:r w:rsidR="00C561DF" w:rsidRPr="00CE23AE">
        <w:rPr>
          <w:szCs w:val="20"/>
          <w:lang w:val="en-US"/>
        </w:rPr>
        <w:t xml:space="preserve"> and </w:t>
      </w:r>
      <w:r w:rsidR="009B1CBC" w:rsidRPr="00CE23AE">
        <w:rPr>
          <w:szCs w:val="20"/>
          <w:lang w:val="en-US"/>
        </w:rPr>
        <w:fldChar w:fldCharType="begin"/>
      </w:r>
      <w:r w:rsidR="009B1CBC" w:rsidRPr="00CE23AE">
        <w:rPr>
          <w:szCs w:val="20"/>
          <w:lang w:val="en-US"/>
        </w:rPr>
        <w:instrText xml:space="preserve"> REF _Ref454892830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71</w:t>
      </w:r>
      <w:r w:rsidR="009B1CBC" w:rsidRPr="00CE23AE">
        <w:rPr>
          <w:szCs w:val="20"/>
          <w:lang w:val="en-US"/>
        </w:rPr>
        <w:fldChar w:fldCharType="end"/>
      </w:r>
      <w:r w:rsidR="009B1CBC" w:rsidRPr="00CE23AE">
        <w:rPr>
          <w:szCs w:val="20"/>
          <w:lang w:val="en-US"/>
        </w:rPr>
        <w:t xml:space="preserve">). </w:t>
      </w:r>
    </w:p>
    <w:p w14:paraId="5ADCCCA9" w14:textId="77777777" w:rsidR="009B1CBC" w:rsidRPr="00CE23AE" w:rsidRDefault="009B1CBC" w:rsidP="009B1CBC">
      <w:pPr>
        <w:widowControl/>
        <w:tabs>
          <w:tab w:val="left" w:pos="567"/>
        </w:tabs>
        <w:suppressAutoHyphens/>
        <w:adjustRightInd/>
        <w:spacing w:line="240" w:lineRule="auto"/>
        <w:textAlignment w:val="auto"/>
        <w:rPr>
          <w:szCs w:val="20"/>
          <w:lang w:val="en-US"/>
        </w:rPr>
      </w:pPr>
    </w:p>
    <w:p w14:paraId="63A459F1" w14:textId="4EC5FB91" w:rsidR="009B1CBC" w:rsidRPr="00CE23AE" w:rsidRDefault="00C71D48" w:rsidP="00395D06">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The case file contains no justification o</w:t>
      </w:r>
      <w:r w:rsidR="00F63230" w:rsidRPr="00CE23AE">
        <w:rPr>
          <w:szCs w:val="20"/>
          <w:lang w:val="en-US"/>
        </w:rPr>
        <w:t>r</w:t>
      </w:r>
      <w:r w:rsidRPr="00CE23AE">
        <w:rPr>
          <w:szCs w:val="20"/>
          <w:lang w:val="en-US"/>
        </w:rPr>
        <w:t xml:space="preserve"> grounds for these actions by </w:t>
      </w:r>
      <w:r w:rsidR="008B76F3" w:rsidRPr="00CE23AE">
        <w:rPr>
          <w:szCs w:val="20"/>
          <w:lang w:val="en-US"/>
        </w:rPr>
        <w:t xml:space="preserve">the Commander of the </w:t>
      </w:r>
      <w:r w:rsidR="0078516C" w:rsidRPr="00CE23AE">
        <w:rPr>
          <w:szCs w:val="20"/>
          <w:lang w:val="en-US"/>
        </w:rPr>
        <w:t>Fourth Military Zone</w:t>
      </w:r>
      <w:r w:rsidR="009B1CBC" w:rsidRPr="00CE23AE">
        <w:rPr>
          <w:szCs w:val="20"/>
          <w:lang w:val="en-US"/>
        </w:rPr>
        <w:t xml:space="preserve">. </w:t>
      </w:r>
      <w:r w:rsidRPr="00CE23AE">
        <w:rPr>
          <w:szCs w:val="20"/>
          <w:lang w:val="en-US"/>
        </w:rPr>
        <w:t>The only document</w:t>
      </w:r>
      <w:r w:rsidR="00395D06" w:rsidRPr="00CE23AE">
        <w:rPr>
          <w:szCs w:val="20"/>
          <w:lang w:val="en-US"/>
        </w:rPr>
        <w:t xml:space="preserve"> in the case file that precedes the</w:t>
      </w:r>
      <w:r w:rsidR="00F63230" w:rsidRPr="00CE23AE">
        <w:rPr>
          <w:szCs w:val="20"/>
          <w:lang w:val="en-US"/>
        </w:rPr>
        <w:t xml:space="preserve"> said</w:t>
      </w:r>
      <w:r w:rsidR="00395D06" w:rsidRPr="00CE23AE">
        <w:rPr>
          <w:szCs w:val="20"/>
          <w:lang w:val="en-US"/>
        </w:rPr>
        <w:t xml:space="preserve"> decisions is the </w:t>
      </w:r>
      <w:r w:rsidR="00F63230" w:rsidRPr="00CE23AE">
        <w:rPr>
          <w:szCs w:val="20"/>
          <w:lang w:val="en-US"/>
        </w:rPr>
        <w:t>p</w:t>
      </w:r>
      <w:r w:rsidR="00395D06" w:rsidRPr="00CE23AE">
        <w:rPr>
          <w:szCs w:val="20"/>
          <w:lang w:val="en-US"/>
        </w:rPr>
        <w:t xml:space="preserve">reliminary </w:t>
      </w:r>
      <w:r w:rsidR="00F63230" w:rsidRPr="00CE23AE">
        <w:rPr>
          <w:szCs w:val="20"/>
          <w:lang w:val="en-US"/>
        </w:rPr>
        <w:t>r</w:t>
      </w:r>
      <w:r w:rsidR="00395D06" w:rsidRPr="00CE23AE">
        <w:rPr>
          <w:szCs w:val="20"/>
          <w:lang w:val="en-US"/>
        </w:rPr>
        <w:t xml:space="preserve">eport of the Intelligence Group of the Amazonas Fourth Command, which concluded, </w:t>
      </w:r>
      <w:r w:rsidR="00395D06" w:rsidRPr="00CE23AE">
        <w:rPr>
          <w:i/>
          <w:szCs w:val="20"/>
          <w:lang w:val="en-US"/>
        </w:rPr>
        <w:t>inter alia</w:t>
      </w:r>
      <w:r w:rsidR="00395D06" w:rsidRPr="00CE23AE">
        <w:rPr>
          <w:szCs w:val="20"/>
          <w:lang w:val="en-US"/>
        </w:rPr>
        <w:t xml:space="preserve">, that Mr. Flor Freire had been “seen in his room” having sexual relations with the soldier </w:t>
      </w:r>
      <w:r w:rsidR="00395D06" w:rsidRPr="00CE23AE">
        <w:rPr>
          <w:szCs w:val="20"/>
          <w:lang w:val="en-US"/>
        </w:rPr>
        <w:lastRenderedPageBreak/>
        <w:t>and recommended continuing the investigations “to verify [illegible] any sexual deviations that Lieutenant Flor, Homer might reveal.</w:t>
      </w:r>
      <w:r w:rsidR="009B1CBC" w:rsidRPr="00CE23AE">
        <w:rPr>
          <w:szCs w:val="20"/>
          <w:lang w:val="en-US"/>
        </w:rPr>
        <w:t>”</w:t>
      </w:r>
      <w:r w:rsidR="009B1CBC" w:rsidRPr="00CE23AE">
        <w:rPr>
          <w:rStyle w:val="Refdenotaalpie"/>
          <w:szCs w:val="20"/>
          <w:lang w:val="en-US"/>
        </w:rPr>
        <w:footnoteReference w:id="246"/>
      </w:r>
    </w:p>
    <w:p w14:paraId="331B57A1" w14:textId="77777777" w:rsidR="009B1CBC" w:rsidRPr="00CE23AE" w:rsidRDefault="009B1CBC" w:rsidP="009B1CBC">
      <w:pPr>
        <w:widowControl/>
        <w:tabs>
          <w:tab w:val="left" w:pos="567"/>
        </w:tabs>
        <w:suppressAutoHyphens/>
        <w:adjustRightInd/>
        <w:spacing w:line="240" w:lineRule="auto"/>
        <w:textAlignment w:val="auto"/>
        <w:rPr>
          <w:szCs w:val="20"/>
          <w:lang w:val="en-US"/>
        </w:rPr>
      </w:pPr>
    </w:p>
    <w:p w14:paraId="3AFD969A" w14:textId="6C7DCFD9" w:rsidR="009B1CBC" w:rsidRPr="00CE23AE" w:rsidRDefault="00395D06" w:rsidP="009B1CBC">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Despite this, in answer to a specific question by</w:t>
      </w:r>
      <w:r w:rsidR="00C561DF" w:rsidRPr="00CE23AE">
        <w:rPr>
          <w:szCs w:val="20"/>
          <w:lang w:val="en-US"/>
        </w:rPr>
        <w:t xml:space="preserve"> the </w:t>
      </w:r>
      <w:r w:rsidR="004002FB" w:rsidRPr="00CE23AE">
        <w:rPr>
          <w:szCs w:val="20"/>
          <w:lang w:val="en-US"/>
        </w:rPr>
        <w:t>President of</w:t>
      </w:r>
      <w:r w:rsidR="009B1CBC" w:rsidRPr="00CE23AE">
        <w:rPr>
          <w:szCs w:val="20"/>
          <w:lang w:val="en-US"/>
        </w:rPr>
        <w:t xml:space="preserve"> </w:t>
      </w:r>
      <w:r w:rsidR="00C561DF" w:rsidRPr="00CE23AE">
        <w:rPr>
          <w:szCs w:val="20"/>
          <w:lang w:val="en-US"/>
        </w:rPr>
        <w:t>the Court</w:t>
      </w:r>
      <w:r w:rsidRPr="00CE23AE">
        <w:rPr>
          <w:szCs w:val="20"/>
          <w:lang w:val="en-US"/>
        </w:rPr>
        <w:t>,</w:t>
      </w:r>
      <w:r w:rsidR="009B1CBC" w:rsidRPr="00CE23AE">
        <w:rPr>
          <w:rStyle w:val="Refdenotaalpie"/>
          <w:szCs w:val="20"/>
          <w:lang w:val="en-US"/>
        </w:rPr>
        <w:footnoteReference w:id="247"/>
      </w:r>
      <w:r w:rsidR="009B1CBC" w:rsidRPr="00CE23AE">
        <w:rPr>
          <w:szCs w:val="20"/>
          <w:lang w:val="en-US"/>
        </w:rPr>
        <w:t xml:space="preserve"> </w:t>
      </w:r>
      <w:r w:rsidR="00C561DF" w:rsidRPr="00CE23AE">
        <w:rPr>
          <w:rFonts w:eastAsiaTheme="minorHAnsi" w:cs="TimesNewRomanPSMT"/>
          <w:szCs w:val="20"/>
          <w:lang w:val="en-US" w:eastAsia="en-US"/>
        </w:rPr>
        <w:t>the State</w:t>
      </w:r>
      <w:r w:rsidR="009B1CBC" w:rsidRPr="00CE23AE">
        <w:rPr>
          <w:rFonts w:eastAsiaTheme="minorHAnsi" w:cs="TimesNewRomanPSMT"/>
          <w:szCs w:val="20"/>
          <w:lang w:val="en-US" w:eastAsia="en-US"/>
        </w:rPr>
        <w:t xml:space="preserve"> expl</w:t>
      </w:r>
      <w:r w:rsidRPr="00CE23AE">
        <w:rPr>
          <w:rFonts w:eastAsiaTheme="minorHAnsi" w:cs="TimesNewRomanPSMT"/>
          <w:szCs w:val="20"/>
          <w:lang w:val="en-US" w:eastAsia="en-US"/>
        </w:rPr>
        <w:t>ained that</w:t>
      </w:r>
      <w:r w:rsidR="009B1CBC" w:rsidRPr="00CE23AE">
        <w:rPr>
          <w:rFonts w:eastAsiaTheme="minorHAnsi" w:cs="TimesNewRomanPSMT"/>
          <w:szCs w:val="20"/>
          <w:lang w:val="en-US" w:eastAsia="en-US"/>
        </w:rPr>
        <w:t xml:space="preserve"> </w:t>
      </w:r>
      <w:r w:rsidR="008B76F3" w:rsidRPr="00CE23AE">
        <w:rPr>
          <w:rFonts w:eastAsiaTheme="minorHAnsi" w:cs="TimesNewRomanPSMT"/>
          <w:szCs w:val="20"/>
          <w:lang w:val="en-US" w:eastAsia="en-US"/>
        </w:rPr>
        <w:t xml:space="preserve">the Commander of the </w:t>
      </w:r>
      <w:r w:rsidR="0078516C" w:rsidRPr="00CE23AE">
        <w:rPr>
          <w:rFonts w:eastAsiaTheme="minorHAnsi" w:cs="TimesNewRomanPSMT"/>
          <w:szCs w:val="20"/>
          <w:lang w:val="en-US" w:eastAsia="en-US"/>
        </w:rPr>
        <w:t>Fourth Military Zone</w:t>
      </w:r>
      <w:r w:rsidR="009B1CBC" w:rsidRPr="00CE23AE">
        <w:rPr>
          <w:rFonts w:eastAsiaTheme="minorHAnsi" w:cs="TimesNewRomanPSMT"/>
          <w:szCs w:val="20"/>
          <w:lang w:val="en-US" w:eastAsia="en-US"/>
        </w:rPr>
        <w:t xml:space="preserve"> </w:t>
      </w:r>
      <w:r w:rsidRPr="00CE23AE">
        <w:rPr>
          <w:rFonts w:eastAsiaTheme="minorHAnsi" w:cs="TimesNewRomanPSMT"/>
          <w:szCs w:val="20"/>
          <w:lang w:val="en-US" w:eastAsia="en-US"/>
        </w:rPr>
        <w:t>asked</w:t>
      </w:r>
      <w:r w:rsidR="009B1CBC" w:rsidRPr="00CE23AE">
        <w:rPr>
          <w:rFonts w:eastAsiaTheme="minorHAnsi" w:cs="TimesNewRomanPSMT"/>
          <w:szCs w:val="20"/>
          <w:lang w:val="en-US" w:eastAsia="en-US"/>
        </w:rPr>
        <w:t xml:space="preserve"> </w:t>
      </w:r>
      <w:r w:rsidR="008B76F3" w:rsidRPr="00CE23AE">
        <w:rPr>
          <w:rFonts w:eastAsiaTheme="minorHAnsi" w:cs="TimesNewRomanPSMT"/>
          <w:szCs w:val="20"/>
          <w:lang w:val="en-US" w:eastAsia="en-US"/>
        </w:rPr>
        <w:t>Mr.</w:t>
      </w:r>
      <w:r w:rsidR="009B1CBC" w:rsidRPr="00CE23AE">
        <w:rPr>
          <w:rFonts w:eastAsiaTheme="minorHAnsi" w:cs="TimesNewRomanPSMT"/>
          <w:szCs w:val="20"/>
          <w:lang w:val="en-US" w:eastAsia="en-US"/>
        </w:rPr>
        <w:t xml:space="preserve"> Flor Freire </w:t>
      </w:r>
      <w:r w:rsidRPr="00CE23AE">
        <w:rPr>
          <w:rFonts w:eastAsiaTheme="minorHAnsi" w:cs="TimesNewRomanPSMT"/>
          <w:szCs w:val="20"/>
          <w:lang w:val="en-US" w:eastAsia="en-US"/>
        </w:rPr>
        <w:t>to surrender his functions and responsibilit</w:t>
      </w:r>
      <w:r w:rsidR="00525918" w:rsidRPr="00CE23AE">
        <w:rPr>
          <w:rFonts w:eastAsiaTheme="minorHAnsi" w:cs="TimesNewRomanPSMT"/>
          <w:szCs w:val="20"/>
          <w:lang w:val="en-US" w:eastAsia="en-US"/>
        </w:rPr>
        <w:t>ies</w:t>
      </w:r>
      <w:r w:rsidRPr="00CE23AE">
        <w:rPr>
          <w:rFonts w:eastAsiaTheme="minorHAnsi" w:cs="TimesNewRomanPSMT"/>
          <w:szCs w:val="20"/>
          <w:lang w:val="en-US" w:eastAsia="en-US"/>
        </w:rPr>
        <w:t xml:space="preserve"> on November 20, 2000, before the start o</w:t>
      </w:r>
      <w:r w:rsidR="00FE15AE" w:rsidRPr="00CE23AE">
        <w:rPr>
          <w:rFonts w:eastAsiaTheme="minorHAnsi" w:cs="TimesNewRomanPSMT"/>
          <w:szCs w:val="20"/>
          <w:lang w:val="en-US" w:eastAsia="en-US"/>
        </w:rPr>
        <w:t>r the conclusion of the</w:t>
      </w:r>
      <w:r w:rsidR="009B1CBC" w:rsidRPr="00CE23AE">
        <w:rPr>
          <w:rFonts w:eastAsiaTheme="minorHAnsi" w:cs="TimesNewRomanPSMT"/>
          <w:szCs w:val="20"/>
          <w:lang w:val="en-US" w:eastAsia="en-US"/>
        </w:rPr>
        <w:t xml:space="preserve"> </w:t>
      </w:r>
      <w:r w:rsidR="00A06577" w:rsidRPr="00CE23AE">
        <w:rPr>
          <w:rFonts w:eastAsiaTheme="minorHAnsi" w:cs="TimesNewRomanPSMT"/>
          <w:szCs w:val="20"/>
          <w:lang w:val="en-US" w:eastAsia="en-US"/>
        </w:rPr>
        <w:t>summary inquiry</w:t>
      </w:r>
      <w:r w:rsidR="00FE15AE" w:rsidRPr="00CE23AE">
        <w:rPr>
          <w:rFonts w:eastAsiaTheme="minorHAnsi" w:cs="TimesNewRomanPSMT"/>
          <w:szCs w:val="20"/>
          <w:lang w:val="en-US" w:eastAsia="en-US"/>
        </w:rPr>
        <w:t xml:space="preserve"> procedure</w:t>
      </w:r>
      <w:r w:rsidR="009B1CBC" w:rsidRPr="00CE23AE">
        <w:rPr>
          <w:rFonts w:eastAsiaTheme="minorHAnsi" w:cs="TimesNewRomanPSMT"/>
          <w:szCs w:val="20"/>
          <w:lang w:val="en-US" w:eastAsia="en-US"/>
        </w:rPr>
        <w:t>, “</w:t>
      </w:r>
      <w:r w:rsidR="00FE15AE" w:rsidRPr="00CE23AE">
        <w:rPr>
          <w:rFonts w:eastAsiaTheme="minorHAnsi" w:cs="TimesNewRomanPSMT"/>
          <w:szCs w:val="20"/>
          <w:lang w:val="en-US" w:eastAsia="en-US"/>
        </w:rPr>
        <w:t>based on his command authority</w:t>
      </w:r>
      <w:r w:rsidR="009B1CBC" w:rsidRPr="00CE23AE">
        <w:rPr>
          <w:rFonts w:eastAsiaTheme="minorHAnsi" w:cs="TimesNewRomanPSMT"/>
          <w:szCs w:val="20"/>
          <w:lang w:val="en-US" w:eastAsia="en-US"/>
        </w:rPr>
        <w:t xml:space="preserve">” </w:t>
      </w:r>
      <w:r w:rsidR="00FE15AE" w:rsidRPr="00CE23AE">
        <w:rPr>
          <w:rFonts w:eastAsiaTheme="minorHAnsi" w:cs="TimesNewRomanPSMT"/>
          <w:szCs w:val="20"/>
          <w:lang w:val="en-US" w:eastAsia="en-US"/>
        </w:rPr>
        <w:t>under</w:t>
      </w:r>
      <w:r w:rsidR="009B1CBC" w:rsidRPr="00CE23AE">
        <w:rPr>
          <w:rFonts w:eastAsiaTheme="minorHAnsi" w:cs="TimesNewRomanPSMT"/>
          <w:szCs w:val="20"/>
          <w:lang w:val="en-US" w:eastAsia="en-US"/>
        </w:rPr>
        <w:t xml:space="preserve"> </w:t>
      </w:r>
      <w:r w:rsidR="00FE15AE" w:rsidRPr="00CE23AE">
        <w:rPr>
          <w:rFonts w:eastAsiaTheme="minorHAnsi" w:cs="TimesNewRomanPSMT"/>
          <w:szCs w:val="20"/>
          <w:lang w:val="en-US" w:eastAsia="en-US"/>
        </w:rPr>
        <w:t>a</w:t>
      </w:r>
      <w:r w:rsidR="00C561DF" w:rsidRPr="00CE23AE">
        <w:rPr>
          <w:rFonts w:eastAsiaTheme="minorHAnsi" w:cs="TimesNewRomanPSMT"/>
          <w:szCs w:val="20"/>
          <w:lang w:val="en-US" w:eastAsia="en-US"/>
        </w:rPr>
        <w:t>rticle</w:t>
      </w:r>
      <w:r w:rsidR="009B1CBC" w:rsidRPr="00CE23AE">
        <w:rPr>
          <w:rFonts w:eastAsiaTheme="minorHAnsi" w:cs="TimesNewRomanPSMT"/>
          <w:szCs w:val="20"/>
          <w:lang w:val="en-US" w:eastAsia="en-US"/>
        </w:rPr>
        <w:t xml:space="preserve"> 32</w:t>
      </w:r>
      <w:r w:rsidR="008B76F3" w:rsidRPr="00CE23AE">
        <w:rPr>
          <w:rFonts w:eastAsiaTheme="minorHAnsi" w:cs="TimesNewRomanPSMT"/>
          <w:szCs w:val="20"/>
          <w:lang w:val="en-US" w:eastAsia="en-US"/>
        </w:rPr>
        <w:t xml:space="preserve"> of the Law </w:t>
      </w:r>
      <w:r w:rsidR="008B76F3" w:rsidRPr="00CE23AE">
        <w:rPr>
          <w:lang w:val="en-US"/>
        </w:rPr>
        <w:t>on Armed Forces Personnel</w:t>
      </w:r>
      <w:r w:rsidR="009B1CBC" w:rsidRPr="00CE23AE">
        <w:rPr>
          <w:rStyle w:val="Refdenotaalpie"/>
          <w:lang w:val="en-US"/>
        </w:rPr>
        <w:footnoteReference w:id="248"/>
      </w:r>
      <w:r w:rsidR="00C561DF" w:rsidRPr="00CE23AE">
        <w:rPr>
          <w:lang w:val="en-US"/>
        </w:rPr>
        <w:t xml:space="preserve"> and </w:t>
      </w:r>
      <w:r w:rsidR="00FE15AE" w:rsidRPr="00CE23AE">
        <w:rPr>
          <w:lang w:val="en-US"/>
        </w:rPr>
        <w:t>the hierarchy of the military institution.</w:t>
      </w:r>
      <w:r w:rsidR="009B1CBC" w:rsidRPr="00CE23AE">
        <w:rPr>
          <w:rStyle w:val="Refdenotaalpie"/>
          <w:lang w:val="en-US"/>
        </w:rPr>
        <w:footnoteReference w:id="249"/>
      </w:r>
      <w:r w:rsidR="00FE15AE" w:rsidRPr="00CE23AE">
        <w:rPr>
          <w:lang w:val="en-US"/>
        </w:rPr>
        <w:t xml:space="preserve"> According to the State, these actions taken by</w:t>
      </w:r>
      <w:r w:rsidR="009B1CBC" w:rsidRPr="00CE23AE">
        <w:rPr>
          <w:lang w:val="en-US"/>
        </w:rPr>
        <w:t xml:space="preserve"> </w:t>
      </w:r>
      <w:r w:rsidR="008B76F3" w:rsidRPr="00CE23AE">
        <w:rPr>
          <w:lang w:val="en-US"/>
        </w:rPr>
        <w:t xml:space="preserve">the Commander of the </w:t>
      </w:r>
      <w:r w:rsidR="0078516C" w:rsidRPr="00CE23AE">
        <w:rPr>
          <w:lang w:val="en-US"/>
        </w:rPr>
        <w:t>Fourth Military Zone</w:t>
      </w:r>
      <w:r w:rsidR="009B1CBC" w:rsidRPr="00CE23AE">
        <w:rPr>
          <w:lang w:val="en-US"/>
        </w:rPr>
        <w:t xml:space="preserve"> </w:t>
      </w:r>
      <w:r w:rsidR="00FE15AE" w:rsidRPr="00CE23AE">
        <w:rPr>
          <w:lang w:val="en-US"/>
        </w:rPr>
        <w:t xml:space="preserve">were not part of the </w:t>
      </w:r>
      <w:r w:rsidR="00A06577" w:rsidRPr="00CE23AE">
        <w:rPr>
          <w:lang w:val="en-US"/>
        </w:rPr>
        <w:t>summary inquiry</w:t>
      </w:r>
      <w:r w:rsidR="00FE15AE" w:rsidRPr="00CE23AE">
        <w:rPr>
          <w:lang w:val="en-US"/>
        </w:rPr>
        <w:t xml:space="preserve"> procedure, and should not be understood as a sanction, “because</w:t>
      </w:r>
      <w:r w:rsidR="009B1CBC" w:rsidRPr="00CE23AE">
        <w:rPr>
          <w:szCs w:val="20"/>
          <w:lang w:val="en-US"/>
        </w:rPr>
        <w:t xml:space="preserve"> </w:t>
      </w:r>
      <w:r w:rsidR="00C561DF" w:rsidRPr="00CE23AE">
        <w:rPr>
          <w:szCs w:val="20"/>
          <w:lang w:val="en-US"/>
        </w:rPr>
        <w:t>the presumed victim</w:t>
      </w:r>
      <w:r w:rsidR="009B1CBC" w:rsidRPr="00CE23AE">
        <w:rPr>
          <w:szCs w:val="20"/>
          <w:lang w:val="en-US"/>
        </w:rPr>
        <w:t xml:space="preserve"> continu</w:t>
      </w:r>
      <w:r w:rsidR="00FE15AE" w:rsidRPr="00CE23AE">
        <w:rPr>
          <w:szCs w:val="20"/>
          <w:lang w:val="en-US"/>
        </w:rPr>
        <w:t>ed to have the rank of lieutenant and the functions that corresponded to this rank; that is, Mr. Flor was an active member</w:t>
      </w:r>
      <w:r w:rsidR="0005476C" w:rsidRPr="00CE23AE">
        <w:rPr>
          <w:szCs w:val="20"/>
          <w:lang w:val="en-US"/>
        </w:rPr>
        <w:t xml:space="preserve"> of the </w:t>
      </w:r>
      <w:r w:rsidR="009C5D46" w:rsidRPr="00CE23AE">
        <w:rPr>
          <w:szCs w:val="20"/>
          <w:lang w:val="en-US"/>
        </w:rPr>
        <w:t>Armed Forces</w:t>
      </w:r>
      <w:r w:rsidR="009B1CBC" w:rsidRPr="00CE23AE">
        <w:rPr>
          <w:szCs w:val="20"/>
          <w:lang w:val="en-US"/>
        </w:rPr>
        <w:t xml:space="preserve">, </w:t>
      </w:r>
      <w:r w:rsidR="001A74E8" w:rsidRPr="00CE23AE">
        <w:rPr>
          <w:szCs w:val="20"/>
          <w:lang w:val="en-US"/>
        </w:rPr>
        <w:t xml:space="preserve">received his salary and </w:t>
      </w:r>
      <w:r w:rsidR="00525918" w:rsidRPr="00CE23AE">
        <w:rPr>
          <w:szCs w:val="20"/>
          <w:lang w:val="en-US"/>
        </w:rPr>
        <w:t xml:space="preserve">the </w:t>
      </w:r>
      <w:r w:rsidR="001A74E8" w:rsidRPr="00CE23AE">
        <w:rPr>
          <w:szCs w:val="20"/>
          <w:lang w:val="en-US"/>
        </w:rPr>
        <w:t xml:space="preserve">emoluments attached to his rank, as any other soldier with his rank.” Ecuador also stressed that the administrative act that separated him from his functions in </w:t>
      </w:r>
      <w:r w:rsidR="009C5D46" w:rsidRPr="00CE23AE">
        <w:rPr>
          <w:szCs w:val="20"/>
          <w:lang w:val="en-US"/>
        </w:rPr>
        <w:t>the Armed Forces</w:t>
      </w:r>
      <w:r w:rsidR="009B1CBC" w:rsidRPr="00CE23AE">
        <w:rPr>
          <w:szCs w:val="20"/>
          <w:lang w:val="en-US"/>
        </w:rPr>
        <w:t xml:space="preserve"> </w:t>
      </w:r>
      <w:r w:rsidR="001A74E8" w:rsidRPr="00CE23AE">
        <w:rPr>
          <w:szCs w:val="20"/>
          <w:lang w:val="en-US"/>
        </w:rPr>
        <w:t>was</w:t>
      </w:r>
      <w:r w:rsidR="009B1CBC" w:rsidRPr="00CE23AE">
        <w:rPr>
          <w:szCs w:val="20"/>
          <w:lang w:val="en-US"/>
        </w:rPr>
        <w:t xml:space="preserve"> “</w:t>
      </w:r>
      <w:r w:rsidR="001A74E8" w:rsidRPr="00CE23AE">
        <w:rPr>
          <w:szCs w:val="20"/>
          <w:lang w:val="en-US"/>
        </w:rPr>
        <w:t>the discharge.</w:t>
      </w:r>
      <w:r w:rsidR="009B1CBC" w:rsidRPr="00CE23AE">
        <w:rPr>
          <w:szCs w:val="20"/>
          <w:lang w:val="en-US"/>
        </w:rPr>
        <w:t>”</w:t>
      </w:r>
      <w:r w:rsidR="009B1CBC" w:rsidRPr="00CE23AE">
        <w:rPr>
          <w:rStyle w:val="Refdenotaalpie"/>
          <w:szCs w:val="20"/>
          <w:lang w:val="en-US"/>
        </w:rPr>
        <w:footnoteReference w:id="250"/>
      </w:r>
      <w:r w:rsidR="009B1CBC" w:rsidRPr="00CE23AE">
        <w:rPr>
          <w:szCs w:val="20"/>
          <w:lang w:val="en-US"/>
        </w:rPr>
        <w:t xml:space="preserve"> </w:t>
      </w:r>
    </w:p>
    <w:p w14:paraId="2D8766FE" w14:textId="77777777" w:rsidR="009B1CBC" w:rsidRPr="00CE23AE" w:rsidRDefault="009B1CBC" w:rsidP="009B1CBC">
      <w:pPr>
        <w:widowControl/>
        <w:tabs>
          <w:tab w:val="left" w:pos="567"/>
        </w:tabs>
        <w:suppressAutoHyphens/>
        <w:adjustRightInd/>
        <w:spacing w:line="240" w:lineRule="auto"/>
        <w:textAlignment w:val="auto"/>
        <w:rPr>
          <w:szCs w:val="20"/>
          <w:lang w:val="en-US"/>
        </w:rPr>
      </w:pPr>
    </w:p>
    <w:p w14:paraId="3E86D7F8" w14:textId="6A7ABA8E" w:rsidR="009B1CBC" w:rsidRPr="00CE23AE" w:rsidRDefault="005C2E5D" w:rsidP="005C2E5D">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 xml:space="preserve">Furthermore, </w:t>
      </w:r>
      <w:r w:rsidR="009B1CBC" w:rsidRPr="00CE23AE">
        <w:rPr>
          <w:szCs w:val="20"/>
          <w:lang w:val="en-US"/>
        </w:rPr>
        <w:t>re</w:t>
      </w:r>
      <w:r w:rsidRPr="00CE23AE">
        <w:rPr>
          <w:szCs w:val="20"/>
          <w:lang w:val="en-US"/>
        </w:rPr>
        <w:t xml:space="preserve">garding </w:t>
      </w:r>
      <w:r w:rsidR="008B76F3" w:rsidRPr="00CE23AE">
        <w:rPr>
          <w:szCs w:val="20"/>
          <w:lang w:val="en-US"/>
        </w:rPr>
        <w:t>the</w:t>
      </w:r>
      <w:r w:rsidRPr="00CE23AE">
        <w:rPr>
          <w:szCs w:val="20"/>
          <w:lang w:val="en-US"/>
        </w:rPr>
        <w:t xml:space="preserve"> requirement issued by the</w:t>
      </w:r>
      <w:r w:rsidR="008B76F3" w:rsidRPr="00CE23AE">
        <w:rPr>
          <w:szCs w:val="20"/>
          <w:lang w:val="en-US"/>
        </w:rPr>
        <w:t xml:space="preserve"> Commander of the </w:t>
      </w:r>
      <w:r w:rsidR="0078516C" w:rsidRPr="00CE23AE">
        <w:rPr>
          <w:szCs w:val="20"/>
          <w:lang w:val="en-US"/>
        </w:rPr>
        <w:t>Fourth Military Zone</w:t>
      </w:r>
      <w:r w:rsidR="009B1CBC" w:rsidRPr="00CE23AE">
        <w:rPr>
          <w:szCs w:val="20"/>
          <w:lang w:val="en-US"/>
        </w:rPr>
        <w:t xml:space="preserve"> </w:t>
      </w:r>
      <w:r w:rsidRPr="00CE23AE">
        <w:rPr>
          <w:szCs w:val="20"/>
          <w:lang w:val="en-US"/>
        </w:rPr>
        <w:t>on December 13,</w:t>
      </w:r>
      <w:r w:rsidR="009B1CBC" w:rsidRPr="00CE23AE">
        <w:rPr>
          <w:szCs w:val="20"/>
          <w:lang w:val="en-US"/>
        </w:rPr>
        <w:t xml:space="preserve"> 2000</w:t>
      </w:r>
      <w:r w:rsidRPr="00CE23AE">
        <w:rPr>
          <w:szCs w:val="20"/>
          <w:lang w:val="en-US"/>
        </w:rPr>
        <w:t>,</w:t>
      </w:r>
      <w:r w:rsidR="009B1CBC" w:rsidRPr="00CE23AE">
        <w:rPr>
          <w:szCs w:val="20"/>
          <w:lang w:val="en-US"/>
        </w:rPr>
        <w:t xml:space="preserve"> </w:t>
      </w:r>
      <w:r w:rsidRPr="00CE23AE">
        <w:rPr>
          <w:szCs w:val="20"/>
          <w:lang w:val="en-US"/>
        </w:rPr>
        <w:t>that</w:t>
      </w:r>
      <w:r w:rsidR="009B1CBC" w:rsidRPr="00CE23AE">
        <w:rPr>
          <w:szCs w:val="20"/>
          <w:lang w:val="en-US"/>
        </w:rPr>
        <w:t xml:space="preserve"> </w:t>
      </w:r>
      <w:r w:rsidR="00F5102B" w:rsidRPr="00CE23AE">
        <w:rPr>
          <w:szCs w:val="20"/>
          <w:lang w:val="en-US"/>
        </w:rPr>
        <w:t>Mr. Flor</w:t>
      </w:r>
      <w:r w:rsidR="009B1CBC" w:rsidRPr="00CE23AE">
        <w:rPr>
          <w:szCs w:val="20"/>
          <w:lang w:val="en-US"/>
        </w:rPr>
        <w:t xml:space="preserve"> Freire </w:t>
      </w:r>
      <w:r w:rsidR="009B1CBC" w:rsidRPr="00CE23AE">
        <w:rPr>
          <w:bCs/>
          <w:szCs w:val="20"/>
          <w:lang w:val="en-US"/>
        </w:rPr>
        <w:t>“</w:t>
      </w:r>
      <w:r w:rsidR="00C71D48" w:rsidRPr="00CE23AE">
        <w:rPr>
          <w:szCs w:val="20"/>
          <w:lang w:val="en-US"/>
        </w:rPr>
        <w:t>surrender his responsibilities and present himself at the HD-IV to provide his services,”</w:t>
      </w:r>
      <w:r w:rsidR="009B1CBC" w:rsidRPr="00CE23AE">
        <w:rPr>
          <w:bCs/>
          <w:szCs w:val="20"/>
          <w:lang w:val="en-US"/>
        </w:rPr>
        <w:t xml:space="preserve"> </w:t>
      </w:r>
      <w:r w:rsidR="00C561DF" w:rsidRPr="00CE23AE">
        <w:rPr>
          <w:bCs/>
          <w:szCs w:val="20"/>
          <w:lang w:val="en-US"/>
        </w:rPr>
        <w:t>the State</w:t>
      </w:r>
      <w:r w:rsidR="009B1CBC" w:rsidRPr="00CE23AE">
        <w:rPr>
          <w:bCs/>
          <w:szCs w:val="20"/>
          <w:lang w:val="en-US"/>
        </w:rPr>
        <w:t xml:space="preserve"> indic</w:t>
      </w:r>
      <w:r w:rsidRPr="00CE23AE">
        <w:rPr>
          <w:bCs/>
          <w:szCs w:val="20"/>
          <w:lang w:val="en-US"/>
        </w:rPr>
        <w:t xml:space="preserve">ated that, since he was a members of an institution with a hierarchic structure, </w:t>
      </w:r>
      <w:r w:rsidR="00F5102B" w:rsidRPr="00CE23AE">
        <w:rPr>
          <w:szCs w:val="20"/>
          <w:lang w:val="en-US"/>
        </w:rPr>
        <w:t>Mr. Flor</w:t>
      </w:r>
      <w:r w:rsidR="009B1CBC" w:rsidRPr="00CE23AE">
        <w:rPr>
          <w:szCs w:val="20"/>
          <w:lang w:val="en-US"/>
        </w:rPr>
        <w:t xml:space="preserve"> Freire “</w:t>
      </w:r>
      <w:r w:rsidRPr="00CE23AE">
        <w:rPr>
          <w:szCs w:val="20"/>
          <w:lang w:val="en-US"/>
        </w:rPr>
        <w:t xml:space="preserve">was subordinated to the orders of his superior officer, in this case </w:t>
      </w:r>
      <w:r w:rsidR="008B76F3" w:rsidRPr="00CE23AE">
        <w:rPr>
          <w:szCs w:val="20"/>
          <w:lang w:val="en-US"/>
        </w:rPr>
        <w:t>the Commander</w:t>
      </w:r>
      <w:r w:rsidR="009B1CBC" w:rsidRPr="00CE23AE">
        <w:rPr>
          <w:szCs w:val="20"/>
          <w:lang w:val="en-US"/>
        </w:rPr>
        <w:t xml:space="preserve"> </w:t>
      </w:r>
      <w:r w:rsidRPr="00CE23AE">
        <w:rPr>
          <w:szCs w:val="20"/>
          <w:lang w:val="en-US"/>
        </w:rPr>
        <w:t>of the Fourth Military</w:t>
      </w:r>
      <w:r w:rsidR="009B1CBC" w:rsidRPr="00CE23AE">
        <w:rPr>
          <w:szCs w:val="20"/>
          <w:lang w:val="en-US"/>
        </w:rPr>
        <w:t xml:space="preserve"> Zona</w:t>
      </w:r>
      <w:r w:rsidRPr="00CE23AE">
        <w:rPr>
          <w:szCs w:val="20"/>
          <w:lang w:val="en-US"/>
        </w:rPr>
        <w:t xml:space="preserve"> who, based on his authority,</w:t>
      </w:r>
      <w:r w:rsidR="00525918" w:rsidRPr="00CE23AE">
        <w:rPr>
          <w:szCs w:val="20"/>
          <w:lang w:val="en-US"/>
        </w:rPr>
        <w:t xml:space="preserve"> required</w:t>
      </w:r>
      <w:r w:rsidR="009B1CBC" w:rsidRPr="00CE23AE">
        <w:rPr>
          <w:szCs w:val="20"/>
          <w:lang w:val="en-US"/>
        </w:rPr>
        <w:t xml:space="preserve"> </w:t>
      </w:r>
      <w:r w:rsidR="008B76F3" w:rsidRPr="00CE23AE">
        <w:rPr>
          <w:szCs w:val="20"/>
          <w:lang w:val="en-US"/>
        </w:rPr>
        <w:t>Mr.</w:t>
      </w:r>
      <w:r w:rsidR="009B1CBC" w:rsidRPr="00CE23AE">
        <w:rPr>
          <w:szCs w:val="20"/>
          <w:lang w:val="en-US"/>
        </w:rPr>
        <w:t xml:space="preserve"> Flor </w:t>
      </w:r>
      <w:r w:rsidRPr="00CE23AE">
        <w:rPr>
          <w:szCs w:val="20"/>
          <w:lang w:val="en-US"/>
        </w:rPr>
        <w:t xml:space="preserve">to surrender certain responsibilities, which did not alter his rank or military status.” According to the State, “[t]his circumstance should in no way be seen as a sanction prior to the </w:t>
      </w:r>
      <w:r w:rsidR="00A06577" w:rsidRPr="00CE23AE">
        <w:rPr>
          <w:szCs w:val="20"/>
          <w:lang w:val="en-US"/>
        </w:rPr>
        <w:t>summary inquiry</w:t>
      </w:r>
      <w:r w:rsidRPr="00CE23AE">
        <w:rPr>
          <w:szCs w:val="20"/>
          <w:lang w:val="en-US"/>
        </w:rPr>
        <w:t xml:space="preserve"> procedure, because it bore no relationship to the disciplinary procedure.</w:t>
      </w:r>
      <w:r w:rsidR="009B1CBC" w:rsidRPr="00CE23AE">
        <w:rPr>
          <w:szCs w:val="20"/>
          <w:lang w:val="en-US"/>
        </w:rPr>
        <w:t>”</w:t>
      </w:r>
      <w:r w:rsidR="009B1CBC" w:rsidRPr="00CE23AE">
        <w:rPr>
          <w:rStyle w:val="Refdenotaalpie"/>
          <w:szCs w:val="20"/>
          <w:lang w:val="en-US"/>
        </w:rPr>
        <w:footnoteReference w:id="251"/>
      </w:r>
      <w:r w:rsidR="009B1CBC" w:rsidRPr="00CE23AE">
        <w:rPr>
          <w:szCs w:val="20"/>
          <w:lang w:val="en-US"/>
        </w:rPr>
        <w:t xml:space="preserve"> </w:t>
      </w:r>
    </w:p>
    <w:p w14:paraId="561819B0" w14:textId="77777777" w:rsidR="009B1CBC" w:rsidRPr="00CE23AE" w:rsidRDefault="009B1CBC" w:rsidP="009B1CBC">
      <w:pPr>
        <w:widowControl/>
        <w:tabs>
          <w:tab w:val="left" w:pos="567"/>
        </w:tabs>
        <w:suppressAutoHyphens/>
        <w:adjustRightInd/>
        <w:spacing w:line="240" w:lineRule="auto"/>
        <w:textAlignment w:val="auto"/>
        <w:rPr>
          <w:szCs w:val="20"/>
          <w:lang w:val="en-US"/>
        </w:rPr>
      </w:pPr>
    </w:p>
    <w:p w14:paraId="759E518C" w14:textId="7ED84D79" w:rsidR="009B1CBC" w:rsidRPr="00CE23AE" w:rsidRDefault="00C561DF" w:rsidP="005C2E5D">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The Court</w:t>
      </w:r>
      <w:r w:rsidR="009B1CBC" w:rsidRPr="00CE23AE">
        <w:rPr>
          <w:szCs w:val="20"/>
          <w:lang w:val="en-US"/>
        </w:rPr>
        <w:t xml:space="preserve"> </w:t>
      </w:r>
      <w:r w:rsidR="005C2E5D" w:rsidRPr="00CE23AE">
        <w:rPr>
          <w:szCs w:val="20"/>
          <w:lang w:val="en-US"/>
        </w:rPr>
        <w:t>understands that the surrender of functions, responsibilit</w:t>
      </w:r>
      <w:r w:rsidR="00525918" w:rsidRPr="00CE23AE">
        <w:rPr>
          <w:szCs w:val="20"/>
          <w:lang w:val="en-US"/>
        </w:rPr>
        <w:t>ies</w:t>
      </w:r>
      <w:r w:rsidR="005C2E5D" w:rsidRPr="00CE23AE">
        <w:rPr>
          <w:szCs w:val="20"/>
          <w:lang w:val="en-US"/>
        </w:rPr>
        <w:t xml:space="preserve"> and position did not constitute a disciplinary sanction, and were not the reason why</w:t>
      </w:r>
      <w:r w:rsidR="009B1CBC" w:rsidRPr="00CE23AE">
        <w:rPr>
          <w:szCs w:val="20"/>
          <w:lang w:val="en-US"/>
        </w:rPr>
        <w:t xml:space="preserve"> </w:t>
      </w:r>
      <w:r w:rsidR="00F5102B" w:rsidRPr="00CE23AE">
        <w:rPr>
          <w:szCs w:val="20"/>
          <w:lang w:val="en-US"/>
        </w:rPr>
        <w:t>Mr. Flor</w:t>
      </w:r>
      <w:r w:rsidR="009B1CBC" w:rsidRPr="00CE23AE">
        <w:rPr>
          <w:szCs w:val="20"/>
          <w:lang w:val="en-US"/>
        </w:rPr>
        <w:t xml:space="preserve"> Freire </w:t>
      </w:r>
      <w:r w:rsidR="005C2E5D" w:rsidRPr="00CE23AE">
        <w:rPr>
          <w:szCs w:val="20"/>
          <w:lang w:val="en-US"/>
        </w:rPr>
        <w:t xml:space="preserve">was separated from </w:t>
      </w:r>
      <w:r w:rsidR="0005476C" w:rsidRPr="00CE23AE">
        <w:rPr>
          <w:szCs w:val="20"/>
          <w:lang w:val="en-US"/>
        </w:rPr>
        <w:t xml:space="preserve">the </w:t>
      </w:r>
      <w:r w:rsidR="005C2E5D" w:rsidRPr="00CE23AE">
        <w:rPr>
          <w:szCs w:val="20"/>
          <w:lang w:val="en-US"/>
        </w:rPr>
        <w:t xml:space="preserve">Ecuadorian </w:t>
      </w:r>
      <w:r w:rsidR="009C5D46" w:rsidRPr="00CE23AE">
        <w:rPr>
          <w:szCs w:val="20"/>
          <w:lang w:val="en-US"/>
        </w:rPr>
        <w:t>Armed Forces</w:t>
      </w:r>
      <w:r w:rsidR="005C2E5D" w:rsidRPr="00CE23AE">
        <w:rPr>
          <w:szCs w:val="20"/>
          <w:lang w:val="en-US"/>
        </w:rPr>
        <w:t>.</w:t>
      </w:r>
      <w:r w:rsidR="009B1CBC" w:rsidRPr="00CE23AE">
        <w:rPr>
          <w:rStyle w:val="Refdenotaalpie"/>
          <w:szCs w:val="20"/>
          <w:lang w:val="en-US"/>
        </w:rPr>
        <w:footnoteReference w:id="252"/>
      </w:r>
      <w:r w:rsidR="005C2E5D" w:rsidRPr="00CE23AE">
        <w:rPr>
          <w:szCs w:val="20"/>
          <w:lang w:val="en-US"/>
        </w:rPr>
        <w:t xml:space="preserve"> As indicated by the State and revealed by the pertinent internal regulations, these actions were not included in the regulations as part of the disciplinary </w:t>
      </w:r>
      <w:r w:rsidR="00A06577" w:rsidRPr="00CE23AE">
        <w:rPr>
          <w:szCs w:val="20"/>
          <w:lang w:val="en-US"/>
        </w:rPr>
        <w:t>summary inquiry</w:t>
      </w:r>
      <w:r w:rsidR="005C2E5D" w:rsidRPr="00CE23AE">
        <w:rPr>
          <w:szCs w:val="20"/>
          <w:lang w:val="en-US"/>
        </w:rPr>
        <w:t xml:space="preserve"> procedure. However, the Court underline</w:t>
      </w:r>
      <w:r w:rsidR="00680FC3" w:rsidRPr="00CE23AE">
        <w:rPr>
          <w:szCs w:val="20"/>
          <w:lang w:val="en-US"/>
        </w:rPr>
        <w:t>s</w:t>
      </w:r>
      <w:r w:rsidR="005C2E5D" w:rsidRPr="00CE23AE">
        <w:rPr>
          <w:szCs w:val="20"/>
          <w:lang w:val="en-US"/>
        </w:rPr>
        <w:t xml:space="preserve"> that th</w:t>
      </w:r>
      <w:r w:rsidR="00525918" w:rsidRPr="00CE23AE">
        <w:rPr>
          <w:szCs w:val="20"/>
          <w:lang w:val="en-US"/>
        </w:rPr>
        <w:t>e</w:t>
      </w:r>
      <w:r w:rsidR="00680FC3" w:rsidRPr="00CE23AE">
        <w:rPr>
          <w:szCs w:val="20"/>
          <w:lang w:val="en-US"/>
        </w:rPr>
        <w:t xml:space="preserve"> decision to</w:t>
      </w:r>
      <w:r w:rsidR="005C2E5D" w:rsidRPr="00CE23AE">
        <w:rPr>
          <w:szCs w:val="20"/>
          <w:lang w:val="en-US"/>
        </w:rPr>
        <w:t xml:space="preserve"> separat</w:t>
      </w:r>
      <w:r w:rsidR="00680FC3" w:rsidRPr="00CE23AE">
        <w:rPr>
          <w:szCs w:val="20"/>
          <w:lang w:val="en-US"/>
        </w:rPr>
        <w:t>e</w:t>
      </w:r>
      <w:r w:rsidR="005C2E5D" w:rsidRPr="00CE23AE">
        <w:rPr>
          <w:szCs w:val="20"/>
          <w:lang w:val="en-US"/>
        </w:rPr>
        <w:t xml:space="preserve"> the presumed victim from his usual functions</w:t>
      </w:r>
      <w:r w:rsidR="00680FC3" w:rsidRPr="00CE23AE">
        <w:rPr>
          <w:szCs w:val="20"/>
          <w:lang w:val="en-US"/>
        </w:rPr>
        <w:t xml:space="preserve"> was taken</w:t>
      </w:r>
      <w:r w:rsidR="005C2E5D" w:rsidRPr="00CE23AE">
        <w:rPr>
          <w:szCs w:val="20"/>
          <w:lang w:val="en-US"/>
        </w:rPr>
        <w:t xml:space="preserve"> by </w:t>
      </w:r>
      <w:r w:rsidR="008B76F3" w:rsidRPr="00CE23AE">
        <w:rPr>
          <w:szCs w:val="20"/>
          <w:lang w:val="en-US"/>
        </w:rPr>
        <w:t xml:space="preserve">the Commander of the </w:t>
      </w:r>
      <w:r w:rsidR="0078516C" w:rsidRPr="00CE23AE">
        <w:rPr>
          <w:szCs w:val="20"/>
          <w:lang w:val="en-US"/>
        </w:rPr>
        <w:t>Fourth Military Zone</w:t>
      </w:r>
      <w:r w:rsidR="00680FC3" w:rsidRPr="00CE23AE">
        <w:rPr>
          <w:szCs w:val="20"/>
          <w:lang w:val="en-US"/>
        </w:rPr>
        <w:t xml:space="preserve">, </w:t>
      </w:r>
      <w:r w:rsidR="005C2E5D" w:rsidRPr="00CE23AE">
        <w:rPr>
          <w:szCs w:val="20"/>
          <w:lang w:val="en-US"/>
        </w:rPr>
        <w:t xml:space="preserve">in his capacity as </w:t>
      </w:r>
      <w:r w:rsidR="00000AE1" w:rsidRPr="00CE23AE">
        <w:rPr>
          <w:szCs w:val="20"/>
          <w:lang w:val="en-US"/>
        </w:rPr>
        <w:t>Mr.</w:t>
      </w:r>
      <w:r w:rsidR="00F5102B" w:rsidRPr="00CE23AE">
        <w:rPr>
          <w:szCs w:val="20"/>
          <w:lang w:val="en-US"/>
        </w:rPr>
        <w:t xml:space="preserve"> Flor</w:t>
      </w:r>
      <w:r w:rsidR="009B1CBC" w:rsidRPr="00CE23AE">
        <w:rPr>
          <w:szCs w:val="20"/>
          <w:lang w:val="en-US"/>
        </w:rPr>
        <w:t xml:space="preserve"> Freire</w:t>
      </w:r>
      <w:r w:rsidR="005C2E5D" w:rsidRPr="00CE23AE">
        <w:rPr>
          <w:szCs w:val="20"/>
          <w:lang w:val="en-US"/>
        </w:rPr>
        <w:t>’s superior officer, in response to the events that took place on</w:t>
      </w:r>
      <w:r w:rsidR="009B1CBC" w:rsidRPr="00CE23AE">
        <w:rPr>
          <w:szCs w:val="20"/>
          <w:lang w:val="en-US"/>
        </w:rPr>
        <w:t xml:space="preserve"> </w:t>
      </w:r>
      <w:r w:rsidR="00CB4410" w:rsidRPr="00CE23AE">
        <w:rPr>
          <w:szCs w:val="20"/>
          <w:lang w:val="en-US"/>
        </w:rPr>
        <w:t>November 19,</w:t>
      </w:r>
      <w:r w:rsidR="009B1CBC" w:rsidRPr="00CE23AE">
        <w:rPr>
          <w:szCs w:val="20"/>
          <w:lang w:val="en-US"/>
        </w:rPr>
        <w:t xml:space="preserve"> 2000. </w:t>
      </w:r>
      <w:r w:rsidR="00680FC3" w:rsidRPr="00CE23AE">
        <w:rPr>
          <w:szCs w:val="20"/>
          <w:lang w:val="en-US"/>
        </w:rPr>
        <w:t xml:space="preserve">Therefore, although these actions did not form part of the disciplinary procedure, they constituted a prejudging of the events by </w:t>
      </w:r>
      <w:r w:rsidR="008B76F3" w:rsidRPr="00CE23AE">
        <w:rPr>
          <w:szCs w:val="20"/>
          <w:lang w:val="en-US"/>
        </w:rPr>
        <w:t xml:space="preserve">the Commander of the </w:t>
      </w:r>
      <w:r w:rsidR="0078516C" w:rsidRPr="00CE23AE">
        <w:rPr>
          <w:szCs w:val="20"/>
          <w:lang w:val="en-US"/>
        </w:rPr>
        <w:t>Fourth Military Zone</w:t>
      </w:r>
      <w:r w:rsidR="009B1CBC" w:rsidRPr="00CE23AE">
        <w:rPr>
          <w:szCs w:val="20"/>
          <w:lang w:val="en-US"/>
        </w:rPr>
        <w:t>.</w:t>
      </w:r>
    </w:p>
    <w:p w14:paraId="55AB552E" w14:textId="7B1894C6" w:rsidR="009B1CBC" w:rsidRPr="00CE23AE" w:rsidRDefault="009B1CBC" w:rsidP="009B1CBC">
      <w:pPr>
        <w:widowControl/>
        <w:tabs>
          <w:tab w:val="left" w:pos="567"/>
        </w:tabs>
        <w:suppressAutoHyphens/>
        <w:adjustRightInd/>
        <w:spacing w:line="240" w:lineRule="auto"/>
        <w:textAlignment w:val="auto"/>
        <w:rPr>
          <w:szCs w:val="20"/>
          <w:lang w:val="en-US"/>
        </w:rPr>
      </w:pPr>
    </w:p>
    <w:p w14:paraId="28EFA027" w14:textId="5D6FF025" w:rsidR="009B1CBC" w:rsidRPr="00CE23AE" w:rsidRDefault="00372242" w:rsidP="009B1CBC">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 xml:space="preserve">To the extent that the said superior officer subsequently acted as </w:t>
      </w:r>
      <w:r w:rsidR="00A055CE" w:rsidRPr="00CE23AE">
        <w:rPr>
          <w:szCs w:val="20"/>
          <w:lang w:val="en-US"/>
        </w:rPr>
        <w:t>Judge of Law</w:t>
      </w:r>
      <w:r w:rsidR="009B1CBC" w:rsidRPr="00CE23AE">
        <w:rPr>
          <w:szCs w:val="20"/>
          <w:lang w:val="en-US"/>
        </w:rPr>
        <w:t xml:space="preserve"> </w:t>
      </w:r>
      <w:r w:rsidRPr="00CE23AE">
        <w:rPr>
          <w:szCs w:val="20"/>
          <w:lang w:val="en-US"/>
        </w:rPr>
        <w:t xml:space="preserve">in the disciplinary procedure, these previous actions were relevant to evaluate the impartiality </w:t>
      </w:r>
      <w:r w:rsidR="008B76F3" w:rsidRPr="00CE23AE">
        <w:rPr>
          <w:szCs w:val="20"/>
          <w:lang w:val="en-US"/>
        </w:rPr>
        <w:t xml:space="preserve">of the Commander of the </w:t>
      </w:r>
      <w:r w:rsidR="0078516C" w:rsidRPr="00CE23AE">
        <w:rPr>
          <w:szCs w:val="20"/>
          <w:lang w:val="en-US"/>
        </w:rPr>
        <w:t>Fourth Military Zone</w:t>
      </w:r>
      <w:r w:rsidR="009B1CBC" w:rsidRPr="00CE23AE">
        <w:rPr>
          <w:szCs w:val="20"/>
          <w:lang w:val="en-US"/>
        </w:rPr>
        <w:t xml:space="preserve"> </w:t>
      </w:r>
      <w:r w:rsidRPr="00CE23AE">
        <w:rPr>
          <w:szCs w:val="20"/>
          <w:lang w:val="en-US"/>
        </w:rPr>
        <w:t xml:space="preserve">when determining the disciplinary responsibility </w:t>
      </w:r>
      <w:r w:rsidR="00000AE1" w:rsidRPr="00CE23AE">
        <w:rPr>
          <w:szCs w:val="20"/>
          <w:lang w:val="en-US"/>
        </w:rPr>
        <w:t>of Mr.</w:t>
      </w:r>
      <w:r w:rsidR="00F5102B" w:rsidRPr="00CE23AE">
        <w:rPr>
          <w:szCs w:val="20"/>
          <w:lang w:val="en-US"/>
        </w:rPr>
        <w:t xml:space="preserve"> Flor</w:t>
      </w:r>
      <w:r w:rsidR="009B1CBC" w:rsidRPr="00CE23AE">
        <w:rPr>
          <w:szCs w:val="20"/>
          <w:lang w:val="en-US"/>
        </w:rPr>
        <w:t xml:space="preserve"> Freire </w:t>
      </w:r>
      <w:r w:rsidRPr="00CE23AE">
        <w:rPr>
          <w:szCs w:val="20"/>
          <w:lang w:val="en-US"/>
        </w:rPr>
        <w:t>in the</w:t>
      </w:r>
      <w:r w:rsidR="009B1CBC" w:rsidRPr="00CE23AE">
        <w:rPr>
          <w:szCs w:val="20"/>
          <w:lang w:val="en-US"/>
        </w:rPr>
        <w:t xml:space="preserve"> </w:t>
      </w:r>
      <w:r w:rsidR="00A06577" w:rsidRPr="00CE23AE">
        <w:rPr>
          <w:szCs w:val="20"/>
          <w:lang w:val="en-US"/>
        </w:rPr>
        <w:t>summary inquiry</w:t>
      </w:r>
      <w:r w:rsidRPr="00CE23AE">
        <w:rPr>
          <w:szCs w:val="20"/>
          <w:lang w:val="en-US"/>
        </w:rPr>
        <w:t xml:space="preserve"> procedure</w:t>
      </w:r>
      <w:r w:rsidR="009B1CBC" w:rsidRPr="00CE23AE">
        <w:rPr>
          <w:szCs w:val="20"/>
          <w:lang w:val="en-US"/>
        </w:rPr>
        <w:t xml:space="preserve">. </w:t>
      </w:r>
    </w:p>
    <w:p w14:paraId="0BDFB4DD" w14:textId="77777777" w:rsidR="009B1CBC" w:rsidRPr="00CE23AE" w:rsidRDefault="009B1CBC" w:rsidP="009B1CBC">
      <w:pPr>
        <w:widowControl/>
        <w:tabs>
          <w:tab w:val="left" w:pos="567"/>
        </w:tabs>
        <w:suppressAutoHyphens/>
        <w:adjustRightInd/>
        <w:spacing w:line="240" w:lineRule="auto"/>
        <w:textAlignment w:val="auto"/>
        <w:rPr>
          <w:szCs w:val="20"/>
          <w:lang w:val="en-US"/>
        </w:rPr>
      </w:pPr>
    </w:p>
    <w:p w14:paraId="202A3AB5" w14:textId="2D097A1C" w:rsidR="009B1CBC" w:rsidRPr="00CE23AE" w:rsidRDefault="00C561DF" w:rsidP="00372242">
      <w:pPr>
        <w:widowControl/>
        <w:numPr>
          <w:ilvl w:val="0"/>
          <w:numId w:val="6"/>
        </w:numPr>
        <w:tabs>
          <w:tab w:val="left" w:pos="567"/>
        </w:tabs>
        <w:suppressAutoHyphens/>
        <w:adjustRightInd/>
        <w:spacing w:line="240" w:lineRule="auto"/>
        <w:textAlignment w:val="auto"/>
        <w:rPr>
          <w:szCs w:val="20"/>
          <w:lang w:val="en-US"/>
        </w:rPr>
      </w:pPr>
      <w:r w:rsidRPr="00CE23AE">
        <w:rPr>
          <w:rFonts w:eastAsiaTheme="minorHAnsi"/>
          <w:szCs w:val="20"/>
          <w:lang w:val="en-US" w:eastAsia="en-US"/>
        </w:rPr>
        <w:t>The State</w:t>
      </w:r>
      <w:r w:rsidR="009B1CBC" w:rsidRPr="00CE23AE">
        <w:rPr>
          <w:rFonts w:eastAsiaTheme="minorHAnsi"/>
          <w:szCs w:val="20"/>
          <w:lang w:val="en-US" w:eastAsia="en-US"/>
        </w:rPr>
        <w:t xml:space="preserve"> </w:t>
      </w:r>
      <w:r w:rsidR="00372242" w:rsidRPr="00CE23AE">
        <w:rPr>
          <w:rFonts w:eastAsiaTheme="minorHAnsi"/>
          <w:szCs w:val="20"/>
          <w:lang w:val="en-US" w:eastAsia="en-US"/>
        </w:rPr>
        <w:t>argued that</w:t>
      </w:r>
      <w:r w:rsidR="009B1CBC" w:rsidRPr="00CE23AE">
        <w:rPr>
          <w:rFonts w:eastAsiaTheme="minorHAnsi"/>
          <w:szCs w:val="20"/>
          <w:lang w:val="en-US" w:eastAsia="en-US"/>
        </w:rPr>
        <w:t xml:space="preserve"> </w:t>
      </w:r>
      <w:r w:rsidR="008B76F3" w:rsidRPr="00CE23AE">
        <w:rPr>
          <w:rFonts w:eastAsiaTheme="minorHAnsi"/>
          <w:szCs w:val="20"/>
          <w:lang w:val="en-US" w:eastAsia="en-US"/>
        </w:rPr>
        <w:t xml:space="preserve">the Commander of the </w:t>
      </w:r>
      <w:r w:rsidR="0078516C" w:rsidRPr="00CE23AE">
        <w:rPr>
          <w:rFonts w:eastAsiaTheme="minorHAnsi"/>
          <w:szCs w:val="20"/>
          <w:lang w:val="en-US" w:eastAsia="en-US"/>
        </w:rPr>
        <w:t>Fourth Military Zone</w:t>
      </w:r>
      <w:r w:rsidR="009B1CBC" w:rsidRPr="00CE23AE">
        <w:rPr>
          <w:rFonts w:eastAsiaTheme="minorHAnsi"/>
          <w:szCs w:val="20"/>
          <w:lang w:val="en-US" w:eastAsia="en-US"/>
        </w:rPr>
        <w:t xml:space="preserve">, </w:t>
      </w:r>
      <w:r w:rsidR="00372242" w:rsidRPr="00CE23AE">
        <w:rPr>
          <w:rFonts w:eastAsiaTheme="minorHAnsi"/>
          <w:szCs w:val="20"/>
          <w:lang w:val="en-US" w:eastAsia="en-US"/>
        </w:rPr>
        <w:t>acting as</w:t>
      </w:r>
      <w:r w:rsidR="009B1CBC" w:rsidRPr="00CE23AE">
        <w:rPr>
          <w:rFonts w:eastAsiaTheme="minorHAnsi"/>
          <w:szCs w:val="20"/>
          <w:lang w:val="en-US" w:eastAsia="en-US"/>
        </w:rPr>
        <w:t xml:space="preserve"> </w:t>
      </w:r>
      <w:r w:rsidR="00A055CE" w:rsidRPr="00CE23AE">
        <w:rPr>
          <w:rFonts w:eastAsiaTheme="minorHAnsi"/>
          <w:szCs w:val="20"/>
          <w:lang w:val="en-US" w:eastAsia="en-US"/>
        </w:rPr>
        <w:t>Judge of Law</w:t>
      </w:r>
      <w:r w:rsidR="00525918" w:rsidRPr="00CE23AE">
        <w:rPr>
          <w:rFonts w:eastAsiaTheme="minorHAnsi"/>
          <w:szCs w:val="20"/>
          <w:lang w:val="en-US" w:eastAsia="en-US"/>
        </w:rPr>
        <w:t>,</w:t>
      </w:r>
      <w:r w:rsidR="009B1CBC" w:rsidRPr="00CE23AE">
        <w:rPr>
          <w:rFonts w:eastAsiaTheme="minorHAnsi"/>
          <w:szCs w:val="20"/>
          <w:lang w:val="en-US" w:eastAsia="en-US"/>
        </w:rPr>
        <w:t xml:space="preserve"> “</w:t>
      </w:r>
      <w:r w:rsidR="00372242" w:rsidRPr="00CE23AE">
        <w:rPr>
          <w:rFonts w:eastAsiaTheme="minorHAnsi"/>
          <w:szCs w:val="20"/>
          <w:lang w:val="en-US" w:eastAsia="en-US"/>
        </w:rPr>
        <w:t xml:space="preserve">was impartial because he approached the facts objectively and he also had the support of legal counsel during the first two procedural stages who also had neither a subjective or objective interest in the case.” However, even though the investigation was conducted by a military </w:t>
      </w:r>
      <w:r w:rsidR="00372242" w:rsidRPr="00CE23AE">
        <w:rPr>
          <w:szCs w:val="20"/>
          <w:lang w:val="en-US"/>
        </w:rPr>
        <w:t>investigating judge</w:t>
      </w:r>
      <w:r w:rsidR="009B1CBC" w:rsidRPr="00CE23AE">
        <w:rPr>
          <w:szCs w:val="20"/>
          <w:lang w:val="en-US"/>
        </w:rPr>
        <w:t>,</w:t>
      </w:r>
      <w:r w:rsidR="00372242" w:rsidRPr="00CE23AE">
        <w:rPr>
          <w:szCs w:val="20"/>
          <w:lang w:val="en-US"/>
        </w:rPr>
        <w:t xml:space="preserve"> in accordance with the norms that regulated the </w:t>
      </w:r>
      <w:r w:rsidR="00A06577" w:rsidRPr="00CE23AE">
        <w:rPr>
          <w:szCs w:val="20"/>
          <w:lang w:val="en-US"/>
        </w:rPr>
        <w:t>summary inquiry</w:t>
      </w:r>
      <w:r w:rsidR="00372242" w:rsidRPr="00CE23AE">
        <w:rPr>
          <w:szCs w:val="20"/>
          <w:lang w:val="en-US"/>
        </w:rPr>
        <w:t xml:space="preserve"> procedure, the decision-making part of this procedure corresponded to the Zone</w:t>
      </w:r>
      <w:r w:rsidR="009B1CBC" w:rsidRPr="00CE23AE">
        <w:rPr>
          <w:szCs w:val="20"/>
          <w:lang w:val="en-US"/>
        </w:rPr>
        <w:t xml:space="preserve"> </w:t>
      </w:r>
      <w:r w:rsidR="009C5D46" w:rsidRPr="00CE23AE">
        <w:rPr>
          <w:szCs w:val="20"/>
          <w:lang w:val="en-US"/>
        </w:rPr>
        <w:t>Commander</w:t>
      </w:r>
      <w:r w:rsidR="00372242" w:rsidRPr="00CE23AE">
        <w:rPr>
          <w:szCs w:val="20"/>
          <w:lang w:val="en-US"/>
        </w:rPr>
        <w:t xml:space="preserve"> </w:t>
      </w:r>
      <w:r w:rsidR="009B1CBC" w:rsidRPr="00CE23AE">
        <w:rPr>
          <w:szCs w:val="20"/>
          <w:lang w:val="en-US"/>
        </w:rPr>
        <w:t>(</w:t>
      </w:r>
      <w:r w:rsidR="009B1CBC" w:rsidRPr="00CE23AE">
        <w:rPr>
          <w:i/>
          <w:szCs w:val="20"/>
          <w:lang w:val="en-US"/>
        </w:rPr>
        <w:t>supra</w:t>
      </w:r>
      <w:r w:rsidR="009B1CBC" w:rsidRPr="00CE23AE">
        <w:rPr>
          <w:szCs w:val="20"/>
          <w:lang w:val="en-US"/>
        </w:rPr>
        <w:t xml:space="preserve"> </w:t>
      </w:r>
      <w:r w:rsidR="005C743F" w:rsidRPr="00CE23AE">
        <w:rPr>
          <w:szCs w:val="20"/>
          <w:lang w:val="en-US"/>
        </w:rPr>
        <w:t>para.</w:t>
      </w:r>
      <w:r w:rsidR="009B1CBC" w:rsidRPr="00CE23AE">
        <w:rPr>
          <w:b/>
          <w:szCs w:val="20"/>
          <w:lang w:val="en-US"/>
        </w:rPr>
        <w:t xml:space="preserve"> </w:t>
      </w:r>
      <w:r w:rsidR="009B1CBC" w:rsidRPr="00CE23AE">
        <w:rPr>
          <w:szCs w:val="20"/>
          <w:lang w:val="en-US"/>
        </w:rPr>
        <w:fldChar w:fldCharType="begin"/>
      </w:r>
      <w:r w:rsidR="009B1CBC" w:rsidRPr="00CE23AE">
        <w:rPr>
          <w:szCs w:val="20"/>
          <w:lang w:val="en-US"/>
        </w:rPr>
        <w:instrText xml:space="preserve"> REF _Ref451447531 \r \h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63</w:t>
      </w:r>
      <w:r w:rsidR="009B1CBC" w:rsidRPr="00CE23AE">
        <w:rPr>
          <w:szCs w:val="20"/>
          <w:lang w:val="en-US"/>
        </w:rPr>
        <w:fldChar w:fldCharType="end"/>
      </w:r>
      <w:r w:rsidR="009B1CBC" w:rsidRPr="00CE23AE">
        <w:rPr>
          <w:szCs w:val="20"/>
          <w:lang w:val="en-US"/>
        </w:rPr>
        <w:t xml:space="preserve">). </w:t>
      </w:r>
      <w:r w:rsidR="00372242" w:rsidRPr="00CE23AE">
        <w:rPr>
          <w:szCs w:val="20"/>
          <w:lang w:val="en-US"/>
        </w:rPr>
        <w:t>The</w:t>
      </w:r>
      <w:r w:rsidR="009B1CBC" w:rsidRPr="00CE23AE">
        <w:rPr>
          <w:szCs w:val="20"/>
          <w:lang w:val="en-US"/>
        </w:rPr>
        <w:t xml:space="preserve"> </w:t>
      </w:r>
      <w:r w:rsidR="00A055CE" w:rsidRPr="00CE23AE">
        <w:rPr>
          <w:szCs w:val="20"/>
          <w:lang w:val="en-US"/>
        </w:rPr>
        <w:t>Judge of Law</w:t>
      </w:r>
      <w:r w:rsidR="009B1CBC" w:rsidRPr="00CE23AE">
        <w:rPr>
          <w:szCs w:val="20"/>
          <w:lang w:val="en-US"/>
        </w:rPr>
        <w:t xml:space="preserve"> </w:t>
      </w:r>
      <w:r w:rsidR="00372242" w:rsidRPr="00CE23AE">
        <w:rPr>
          <w:szCs w:val="20"/>
          <w:lang w:val="en-US"/>
        </w:rPr>
        <w:t>was not bound by the opinion of the</w:t>
      </w:r>
      <w:r w:rsidR="009B1CBC" w:rsidRPr="00CE23AE">
        <w:rPr>
          <w:szCs w:val="20"/>
          <w:lang w:val="en-US"/>
        </w:rPr>
        <w:t xml:space="preserve"> </w:t>
      </w:r>
      <w:r w:rsidR="00372242" w:rsidRPr="00CE23AE">
        <w:rPr>
          <w:szCs w:val="20"/>
          <w:lang w:val="en-US"/>
        </w:rPr>
        <w:t xml:space="preserve">investigating judge </w:t>
      </w:r>
      <w:r w:rsidRPr="00CE23AE">
        <w:rPr>
          <w:szCs w:val="20"/>
          <w:lang w:val="en-US"/>
        </w:rPr>
        <w:t xml:space="preserve">and </w:t>
      </w:r>
      <w:r w:rsidR="00372242" w:rsidRPr="00CE23AE">
        <w:rPr>
          <w:szCs w:val="20"/>
          <w:lang w:val="en-US"/>
        </w:rPr>
        <w:t xml:space="preserve">could </w:t>
      </w:r>
      <w:r w:rsidR="00525918" w:rsidRPr="00CE23AE">
        <w:rPr>
          <w:szCs w:val="20"/>
          <w:lang w:val="en-US"/>
        </w:rPr>
        <w:t>diverge</w:t>
      </w:r>
      <w:r w:rsidR="00372242" w:rsidRPr="00CE23AE">
        <w:rPr>
          <w:szCs w:val="20"/>
          <w:lang w:val="en-US"/>
        </w:rPr>
        <w:t xml:space="preserve"> from the draft decision that the latter forwarded to him </w:t>
      </w:r>
      <w:r w:rsidR="009B1CBC" w:rsidRPr="00CE23AE">
        <w:rPr>
          <w:szCs w:val="20"/>
          <w:lang w:val="en-US"/>
        </w:rPr>
        <w:t>(</w:t>
      </w:r>
      <w:r w:rsidR="009B1CBC" w:rsidRPr="00CE23AE">
        <w:rPr>
          <w:i/>
          <w:szCs w:val="20"/>
          <w:lang w:val="en-US"/>
        </w:rPr>
        <w:t xml:space="preserve">supra </w:t>
      </w:r>
      <w:r w:rsidR="005C743F" w:rsidRPr="00CE23AE">
        <w:rPr>
          <w:szCs w:val="20"/>
          <w:lang w:val="en-US"/>
        </w:rPr>
        <w:t>para.</w:t>
      </w:r>
      <w:r w:rsidR="009B1CBC" w:rsidRPr="00CE23AE">
        <w:rPr>
          <w:b/>
          <w:szCs w:val="20"/>
          <w:lang w:val="en-US"/>
        </w:rPr>
        <w:t xml:space="preserve"> </w:t>
      </w:r>
      <w:r w:rsidR="009B1CBC" w:rsidRPr="00CE23AE">
        <w:rPr>
          <w:szCs w:val="20"/>
          <w:lang w:val="en-US"/>
        </w:rPr>
        <w:fldChar w:fldCharType="begin"/>
      </w:r>
      <w:r w:rsidR="009B1CBC" w:rsidRPr="00CE23AE">
        <w:rPr>
          <w:szCs w:val="20"/>
          <w:lang w:val="en-US"/>
        </w:rPr>
        <w:instrText xml:space="preserve"> REF _Ref454892534 \r \h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66</w:t>
      </w:r>
      <w:r w:rsidR="009B1CBC" w:rsidRPr="00CE23AE">
        <w:rPr>
          <w:szCs w:val="20"/>
          <w:lang w:val="en-US"/>
        </w:rPr>
        <w:fldChar w:fldCharType="end"/>
      </w:r>
      <w:r w:rsidR="009B1CBC" w:rsidRPr="00CE23AE">
        <w:rPr>
          <w:szCs w:val="20"/>
          <w:lang w:val="en-US"/>
        </w:rPr>
        <w:t xml:space="preserve">). </w:t>
      </w:r>
      <w:r w:rsidR="00372242" w:rsidRPr="00CE23AE">
        <w:rPr>
          <w:szCs w:val="20"/>
          <w:lang w:val="en-US"/>
        </w:rPr>
        <w:t>Therefore</w:t>
      </w:r>
      <w:r w:rsidR="009B1CBC" w:rsidRPr="00CE23AE">
        <w:rPr>
          <w:szCs w:val="20"/>
          <w:lang w:val="en-US"/>
        </w:rPr>
        <w:t xml:space="preserve">, </w:t>
      </w:r>
      <w:r w:rsidR="00372242" w:rsidRPr="00CE23AE">
        <w:rPr>
          <w:szCs w:val="20"/>
          <w:lang w:val="en-US"/>
        </w:rPr>
        <w:t xml:space="preserve">ultimately, </w:t>
      </w:r>
      <w:r w:rsidR="00525918" w:rsidRPr="00CE23AE">
        <w:rPr>
          <w:szCs w:val="20"/>
          <w:lang w:val="en-US"/>
        </w:rPr>
        <w:t xml:space="preserve">the decision </w:t>
      </w:r>
      <w:r w:rsidR="00372242" w:rsidRPr="00CE23AE">
        <w:rPr>
          <w:szCs w:val="20"/>
          <w:lang w:val="en-US"/>
        </w:rPr>
        <w:t xml:space="preserve">corresponded to the </w:t>
      </w:r>
      <w:r w:rsidR="00A055CE" w:rsidRPr="00CE23AE">
        <w:rPr>
          <w:szCs w:val="20"/>
          <w:lang w:val="en-US"/>
        </w:rPr>
        <w:t>Judge of Law</w:t>
      </w:r>
      <w:r w:rsidR="009B1CBC" w:rsidRPr="00CE23AE">
        <w:rPr>
          <w:szCs w:val="20"/>
          <w:lang w:val="en-US"/>
        </w:rPr>
        <w:t xml:space="preserve">. </w:t>
      </w:r>
      <w:r w:rsidR="00680FC3" w:rsidRPr="00CE23AE">
        <w:rPr>
          <w:szCs w:val="20"/>
          <w:lang w:val="en-US"/>
        </w:rPr>
        <w:t>It was the</w:t>
      </w:r>
      <w:r w:rsidR="00372242" w:rsidRPr="00CE23AE">
        <w:rPr>
          <w:szCs w:val="20"/>
          <w:lang w:val="en-US"/>
        </w:rPr>
        <w:t xml:space="preserve"> decision</w:t>
      </w:r>
      <w:r w:rsidR="008B76F3" w:rsidRPr="00CE23AE">
        <w:rPr>
          <w:szCs w:val="20"/>
          <w:lang w:val="en-US"/>
        </w:rPr>
        <w:t xml:space="preserve"> of the Commander of the </w:t>
      </w:r>
      <w:r w:rsidR="0078516C" w:rsidRPr="00CE23AE">
        <w:rPr>
          <w:szCs w:val="20"/>
          <w:lang w:val="en-US"/>
        </w:rPr>
        <w:t>Fourth Military Zone</w:t>
      </w:r>
      <w:r w:rsidR="009B1CBC" w:rsidRPr="00CE23AE">
        <w:rPr>
          <w:szCs w:val="20"/>
          <w:lang w:val="en-US"/>
        </w:rPr>
        <w:t xml:space="preserve">, </w:t>
      </w:r>
      <w:r w:rsidR="00372242" w:rsidRPr="00CE23AE">
        <w:rPr>
          <w:szCs w:val="20"/>
          <w:lang w:val="en-US"/>
        </w:rPr>
        <w:t>in his capacity as</w:t>
      </w:r>
      <w:r w:rsidR="00DC53FD" w:rsidRPr="00CE23AE">
        <w:rPr>
          <w:szCs w:val="20"/>
          <w:lang w:val="en-US"/>
        </w:rPr>
        <w:t xml:space="preserve"> </w:t>
      </w:r>
      <w:r w:rsidR="00A055CE" w:rsidRPr="00CE23AE">
        <w:rPr>
          <w:szCs w:val="20"/>
          <w:lang w:val="en-US"/>
        </w:rPr>
        <w:t>Judge of Law</w:t>
      </w:r>
      <w:r w:rsidR="00DC53FD" w:rsidRPr="00CE23AE">
        <w:rPr>
          <w:szCs w:val="20"/>
          <w:lang w:val="en-US"/>
        </w:rPr>
        <w:t xml:space="preserve"> </w:t>
      </w:r>
      <w:r w:rsidR="00372242" w:rsidRPr="00CE23AE">
        <w:rPr>
          <w:szCs w:val="20"/>
          <w:lang w:val="en-US"/>
        </w:rPr>
        <w:t>in the</w:t>
      </w:r>
      <w:r w:rsidR="00DC53FD" w:rsidRPr="00CE23AE">
        <w:rPr>
          <w:szCs w:val="20"/>
          <w:lang w:val="en-US"/>
        </w:rPr>
        <w:t xml:space="preserve"> </w:t>
      </w:r>
      <w:r w:rsidR="00A06577" w:rsidRPr="00CE23AE">
        <w:rPr>
          <w:szCs w:val="20"/>
          <w:lang w:val="en-US"/>
        </w:rPr>
        <w:t>summary inquiry</w:t>
      </w:r>
      <w:r w:rsidR="00372242" w:rsidRPr="00CE23AE">
        <w:rPr>
          <w:szCs w:val="20"/>
          <w:lang w:val="en-US"/>
        </w:rPr>
        <w:t xml:space="preserve"> procedure</w:t>
      </w:r>
      <w:r w:rsidR="00680FC3" w:rsidRPr="00CE23AE">
        <w:rPr>
          <w:szCs w:val="20"/>
          <w:lang w:val="en-US"/>
        </w:rPr>
        <w:t>, that established the</w:t>
      </w:r>
      <w:r w:rsidR="00372242" w:rsidRPr="00CE23AE">
        <w:rPr>
          <w:szCs w:val="20"/>
          <w:lang w:val="en-US"/>
        </w:rPr>
        <w:t xml:space="preserve"> facts based on the evidence collected by the investigating judge</w:t>
      </w:r>
      <w:r w:rsidR="00680FC3" w:rsidRPr="00CE23AE">
        <w:rPr>
          <w:szCs w:val="20"/>
          <w:lang w:val="en-US"/>
        </w:rPr>
        <w:t>,</w:t>
      </w:r>
      <w:r w:rsidR="00372242" w:rsidRPr="00CE23AE">
        <w:rPr>
          <w:szCs w:val="20"/>
          <w:lang w:val="en-US"/>
        </w:rPr>
        <w:t xml:space="preserve"> </w:t>
      </w:r>
      <w:r w:rsidRPr="00CE23AE">
        <w:rPr>
          <w:szCs w:val="20"/>
          <w:lang w:val="en-US"/>
        </w:rPr>
        <w:t xml:space="preserve">and </w:t>
      </w:r>
      <w:r w:rsidR="00680FC3" w:rsidRPr="00CE23AE">
        <w:rPr>
          <w:szCs w:val="20"/>
          <w:lang w:val="en-US"/>
        </w:rPr>
        <w:t>determined</w:t>
      </w:r>
      <w:r w:rsidR="00372242" w:rsidRPr="00CE23AE">
        <w:rPr>
          <w:szCs w:val="20"/>
          <w:lang w:val="en-US"/>
        </w:rPr>
        <w:t xml:space="preserve"> the disciplinary responsibility</w:t>
      </w:r>
      <w:r w:rsidR="00680FC3" w:rsidRPr="00CE23AE">
        <w:rPr>
          <w:szCs w:val="20"/>
          <w:lang w:val="en-US"/>
        </w:rPr>
        <w:t xml:space="preserve"> and </w:t>
      </w:r>
      <w:r w:rsidR="00372242" w:rsidRPr="00CE23AE">
        <w:rPr>
          <w:szCs w:val="20"/>
          <w:lang w:val="en-US"/>
        </w:rPr>
        <w:t xml:space="preserve">the norms </w:t>
      </w:r>
      <w:r w:rsidR="00680FC3" w:rsidRPr="00CE23AE">
        <w:rPr>
          <w:szCs w:val="20"/>
          <w:lang w:val="en-US"/>
        </w:rPr>
        <w:t xml:space="preserve">that were </w:t>
      </w:r>
      <w:r w:rsidR="00372242" w:rsidRPr="00CE23AE">
        <w:rPr>
          <w:szCs w:val="20"/>
          <w:lang w:val="en-US"/>
        </w:rPr>
        <w:t xml:space="preserve">violated </w:t>
      </w:r>
      <w:r w:rsidR="009B1CBC" w:rsidRPr="00CE23AE">
        <w:rPr>
          <w:szCs w:val="20"/>
          <w:lang w:val="en-US"/>
        </w:rPr>
        <w:t>(</w:t>
      </w:r>
      <w:r w:rsidR="009B1CBC" w:rsidRPr="00CE23AE">
        <w:rPr>
          <w:i/>
          <w:szCs w:val="20"/>
          <w:lang w:val="en-US"/>
        </w:rPr>
        <w:t>supra</w:t>
      </w:r>
      <w:r w:rsidR="009B1CBC" w:rsidRPr="00CE23AE">
        <w:rPr>
          <w:szCs w:val="20"/>
          <w:lang w:val="en-US"/>
        </w:rPr>
        <w:t xml:space="preserve"> </w:t>
      </w:r>
      <w:r w:rsidR="005C743F" w:rsidRPr="00CE23AE">
        <w:rPr>
          <w:szCs w:val="20"/>
          <w:lang w:val="en-US"/>
        </w:rPr>
        <w:t>paras.</w:t>
      </w:r>
      <w:r w:rsidR="009B1CBC" w:rsidRPr="00CE23AE">
        <w:rPr>
          <w:szCs w:val="20"/>
          <w:lang w:val="en-US"/>
        </w:rPr>
        <w:t xml:space="preserve"> </w:t>
      </w:r>
      <w:r w:rsidR="009B1CBC" w:rsidRPr="00CE23AE">
        <w:rPr>
          <w:szCs w:val="20"/>
          <w:lang w:val="en-US"/>
        </w:rPr>
        <w:fldChar w:fldCharType="begin"/>
      </w:r>
      <w:r w:rsidR="009B1CBC" w:rsidRPr="00CE23AE">
        <w:rPr>
          <w:szCs w:val="20"/>
          <w:lang w:val="en-US"/>
        </w:rPr>
        <w:instrText xml:space="preserve"> REF _Ref454892534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66</w:t>
      </w:r>
      <w:r w:rsidR="009B1CBC" w:rsidRPr="00CE23AE">
        <w:rPr>
          <w:szCs w:val="20"/>
          <w:lang w:val="en-US"/>
        </w:rPr>
        <w:fldChar w:fldCharType="end"/>
      </w:r>
      <w:r w:rsidRPr="00CE23AE">
        <w:rPr>
          <w:szCs w:val="20"/>
          <w:lang w:val="en-US"/>
        </w:rPr>
        <w:t xml:space="preserve"> and </w:t>
      </w:r>
      <w:r w:rsidR="009B1CBC" w:rsidRPr="00CE23AE">
        <w:rPr>
          <w:szCs w:val="20"/>
          <w:lang w:val="en-US"/>
        </w:rPr>
        <w:fldChar w:fldCharType="begin"/>
      </w:r>
      <w:r w:rsidR="009B1CBC" w:rsidRPr="00CE23AE">
        <w:rPr>
          <w:szCs w:val="20"/>
          <w:lang w:val="en-US"/>
        </w:rPr>
        <w:instrText xml:space="preserve"> REF _Ref447296429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72</w:t>
      </w:r>
      <w:r w:rsidR="009B1CBC" w:rsidRPr="00CE23AE">
        <w:rPr>
          <w:szCs w:val="20"/>
          <w:lang w:val="en-US"/>
        </w:rPr>
        <w:fldChar w:fldCharType="end"/>
      </w:r>
      <w:r w:rsidR="009B1CBC" w:rsidRPr="00CE23AE">
        <w:rPr>
          <w:szCs w:val="20"/>
          <w:lang w:val="en-US"/>
        </w:rPr>
        <w:t xml:space="preserve"> </w:t>
      </w:r>
      <w:r w:rsidR="00680FC3" w:rsidRPr="00CE23AE">
        <w:rPr>
          <w:szCs w:val="20"/>
          <w:lang w:val="en-US"/>
        </w:rPr>
        <w:t>to</w:t>
      </w:r>
      <w:r w:rsidR="009B1CBC" w:rsidRPr="00CE23AE">
        <w:rPr>
          <w:szCs w:val="20"/>
          <w:lang w:val="en-US"/>
        </w:rPr>
        <w:t xml:space="preserve"> </w:t>
      </w:r>
      <w:r w:rsidR="009B1CBC" w:rsidRPr="00CE23AE">
        <w:rPr>
          <w:szCs w:val="20"/>
          <w:lang w:val="en-US"/>
        </w:rPr>
        <w:fldChar w:fldCharType="begin"/>
      </w:r>
      <w:r w:rsidR="009B1CBC" w:rsidRPr="00CE23AE">
        <w:rPr>
          <w:szCs w:val="20"/>
          <w:lang w:val="en-US"/>
        </w:rPr>
        <w:instrText xml:space="preserve"> REF _Ref453869088 \r \h </w:instrText>
      </w:r>
      <w:r w:rsidR="00CE23AE">
        <w:rPr>
          <w:szCs w:val="20"/>
          <w:lang w:val="en-US"/>
        </w:rPr>
        <w:instrText xml:space="preserve"> \* MERGEFORMAT </w:instrText>
      </w:r>
      <w:r w:rsidR="009B1CBC" w:rsidRPr="00CE23AE">
        <w:rPr>
          <w:szCs w:val="20"/>
          <w:lang w:val="en-US"/>
        </w:rPr>
      </w:r>
      <w:r w:rsidR="009B1CBC" w:rsidRPr="00CE23AE">
        <w:rPr>
          <w:szCs w:val="20"/>
          <w:lang w:val="en-US"/>
        </w:rPr>
        <w:fldChar w:fldCharType="separate"/>
      </w:r>
      <w:r w:rsidR="00BC2953" w:rsidRPr="00CE23AE">
        <w:rPr>
          <w:szCs w:val="20"/>
          <w:lang w:val="en-US"/>
        </w:rPr>
        <w:t>77</w:t>
      </w:r>
      <w:r w:rsidR="009B1CBC" w:rsidRPr="00CE23AE">
        <w:rPr>
          <w:szCs w:val="20"/>
          <w:lang w:val="en-US"/>
        </w:rPr>
        <w:fldChar w:fldCharType="end"/>
      </w:r>
      <w:r w:rsidR="009B1CBC" w:rsidRPr="00CE23AE">
        <w:rPr>
          <w:szCs w:val="20"/>
          <w:lang w:val="en-US"/>
        </w:rPr>
        <w:t xml:space="preserve">). </w:t>
      </w:r>
    </w:p>
    <w:p w14:paraId="0F1B02FB" w14:textId="77777777" w:rsidR="009B1CBC" w:rsidRPr="00CE23AE" w:rsidRDefault="009B1CBC" w:rsidP="009B1CBC">
      <w:pPr>
        <w:widowControl/>
        <w:tabs>
          <w:tab w:val="left" w:pos="567"/>
        </w:tabs>
        <w:suppressAutoHyphens/>
        <w:adjustRightInd/>
        <w:spacing w:line="240" w:lineRule="auto"/>
        <w:textAlignment w:val="auto"/>
        <w:rPr>
          <w:szCs w:val="20"/>
          <w:lang w:val="en-US"/>
        </w:rPr>
      </w:pPr>
    </w:p>
    <w:p w14:paraId="1A4E06C4" w14:textId="08C48C1D" w:rsidR="009B1CBC" w:rsidRPr="00CE23AE" w:rsidRDefault="00C561DF" w:rsidP="00D97B60">
      <w:pPr>
        <w:widowControl/>
        <w:numPr>
          <w:ilvl w:val="0"/>
          <w:numId w:val="6"/>
        </w:numPr>
        <w:tabs>
          <w:tab w:val="left" w:pos="567"/>
        </w:tabs>
        <w:suppressAutoHyphens/>
        <w:adjustRightInd/>
        <w:spacing w:line="240" w:lineRule="auto"/>
        <w:textAlignment w:val="auto"/>
        <w:rPr>
          <w:szCs w:val="20"/>
          <w:lang w:val="en-US"/>
        </w:rPr>
      </w:pPr>
      <w:r w:rsidRPr="00CE23AE">
        <w:rPr>
          <w:rFonts w:eastAsiaTheme="minorHAnsi"/>
          <w:szCs w:val="20"/>
          <w:lang w:val="en-US" w:eastAsia="en-US"/>
        </w:rPr>
        <w:t>The State</w:t>
      </w:r>
      <w:r w:rsidR="009B1CBC" w:rsidRPr="00CE23AE">
        <w:rPr>
          <w:rFonts w:eastAsiaTheme="minorHAnsi"/>
          <w:szCs w:val="20"/>
          <w:lang w:val="en-US" w:eastAsia="en-US"/>
        </w:rPr>
        <w:t xml:space="preserve"> </w:t>
      </w:r>
      <w:r w:rsidR="00D97B60" w:rsidRPr="00CE23AE">
        <w:rPr>
          <w:rFonts w:eastAsiaTheme="minorHAnsi"/>
          <w:szCs w:val="20"/>
          <w:lang w:val="en-US" w:eastAsia="en-US"/>
        </w:rPr>
        <w:t>also argued that</w:t>
      </w:r>
      <w:r w:rsidR="009B1CBC" w:rsidRPr="00CE23AE">
        <w:rPr>
          <w:rFonts w:eastAsiaTheme="minorHAnsi"/>
          <w:szCs w:val="20"/>
          <w:lang w:val="en-US" w:eastAsia="en-US"/>
        </w:rPr>
        <w:t xml:space="preserve"> “</w:t>
      </w:r>
      <w:r w:rsidR="00D97B60" w:rsidRPr="00CE23AE">
        <w:rPr>
          <w:rFonts w:eastAsiaTheme="minorHAnsi"/>
          <w:szCs w:val="20"/>
          <w:lang w:val="en-US" w:eastAsia="en-US"/>
        </w:rPr>
        <w:t>the</w:t>
      </w:r>
      <w:r w:rsidR="009B1CBC" w:rsidRPr="00CE23AE">
        <w:rPr>
          <w:rFonts w:eastAsiaTheme="minorHAnsi"/>
          <w:szCs w:val="20"/>
          <w:lang w:val="en-US" w:eastAsia="en-US"/>
        </w:rPr>
        <w:t xml:space="preserve"> </w:t>
      </w:r>
      <w:r w:rsidR="00A055CE" w:rsidRPr="00CE23AE">
        <w:rPr>
          <w:rFonts w:eastAsiaTheme="minorHAnsi"/>
          <w:szCs w:val="20"/>
          <w:lang w:val="en-US" w:eastAsia="en-US"/>
        </w:rPr>
        <w:t>Judge of Law</w:t>
      </w:r>
      <w:r w:rsidR="009B1CBC" w:rsidRPr="00CE23AE">
        <w:rPr>
          <w:rFonts w:eastAsiaTheme="minorHAnsi"/>
          <w:szCs w:val="20"/>
          <w:lang w:val="en-US" w:eastAsia="en-US"/>
        </w:rPr>
        <w:t xml:space="preserve"> </w:t>
      </w:r>
      <w:r w:rsidR="00D97B60" w:rsidRPr="00CE23AE">
        <w:rPr>
          <w:rFonts w:eastAsiaTheme="minorHAnsi"/>
          <w:szCs w:val="20"/>
          <w:lang w:val="en-US" w:eastAsia="en-US"/>
        </w:rPr>
        <w:t xml:space="preserve">had no influence on the discharge”; that his decision “was referred to the corresponding regulatory Board,” which “had no prior knowledge of the events.” However, although it corresponded to the Officers’ Boards to order the placing on paid leave or the discharge, the decision was taken based on the facts and the disciplinary responsibility previously established by the </w:t>
      </w:r>
      <w:r w:rsidR="00A055CE" w:rsidRPr="00CE23AE">
        <w:rPr>
          <w:szCs w:val="20"/>
          <w:lang w:val="en-US"/>
        </w:rPr>
        <w:t>Judge of Law</w:t>
      </w:r>
      <w:r w:rsidR="009B1CBC" w:rsidRPr="00CE23AE">
        <w:rPr>
          <w:szCs w:val="20"/>
          <w:lang w:val="en-US"/>
        </w:rPr>
        <w:t xml:space="preserve">, </w:t>
      </w:r>
      <w:r w:rsidR="00D97B60" w:rsidRPr="00CE23AE">
        <w:rPr>
          <w:szCs w:val="20"/>
          <w:lang w:val="en-US"/>
        </w:rPr>
        <w:t>who, in the case of Mr. Flor Freire, was</w:t>
      </w:r>
      <w:r w:rsidR="009B1CBC" w:rsidRPr="00CE23AE">
        <w:rPr>
          <w:szCs w:val="20"/>
          <w:lang w:val="en-US"/>
        </w:rPr>
        <w:t xml:space="preserve"> </w:t>
      </w:r>
      <w:r w:rsidR="008B76F3" w:rsidRPr="00CE23AE">
        <w:rPr>
          <w:szCs w:val="20"/>
          <w:lang w:val="en-US"/>
        </w:rPr>
        <w:t xml:space="preserve">the Commander of the </w:t>
      </w:r>
      <w:r w:rsidR="0078516C" w:rsidRPr="00CE23AE">
        <w:rPr>
          <w:szCs w:val="20"/>
          <w:lang w:val="en-US"/>
        </w:rPr>
        <w:t>Fourth Military Zone</w:t>
      </w:r>
      <w:r w:rsidR="00D97B60" w:rsidRPr="00CE23AE">
        <w:rPr>
          <w:szCs w:val="20"/>
          <w:lang w:val="en-US"/>
        </w:rPr>
        <w:t xml:space="preserve">. Therefore, contrary to the State’s assertion, </w:t>
      </w:r>
      <w:r w:rsidR="00B02809" w:rsidRPr="00CE23AE">
        <w:rPr>
          <w:szCs w:val="20"/>
          <w:lang w:val="en-US"/>
        </w:rPr>
        <w:t>an absence of impartiality in the</w:t>
      </w:r>
      <w:r w:rsidR="009B1CBC" w:rsidRPr="00CE23AE">
        <w:rPr>
          <w:szCs w:val="20"/>
          <w:lang w:val="en-US"/>
        </w:rPr>
        <w:t xml:space="preserve"> </w:t>
      </w:r>
      <w:r w:rsidR="00A055CE" w:rsidRPr="00CE23AE">
        <w:rPr>
          <w:szCs w:val="20"/>
          <w:lang w:val="en-US"/>
        </w:rPr>
        <w:t>Judge of Law</w:t>
      </w:r>
      <w:r w:rsidR="009B1CBC" w:rsidRPr="00CE23AE">
        <w:rPr>
          <w:szCs w:val="20"/>
          <w:lang w:val="en-US"/>
        </w:rPr>
        <w:t xml:space="preserve"> </w:t>
      </w:r>
      <w:r w:rsidR="00B02809" w:rsidRPr="00CE23AE">
        <w:rPr>
          <w:szCs w:val="20"/>
          <w:lang w:val="en-US"/>
        </w:rPr>
        <w:t>did infringe this guarantee in the disciplinary procedure</w:t>
      </w:r>
      <w:r w:rsidR="009B1CBC" w:rsidRPr="00CE23AE">
        <w:rPr>
          <w:szCs w:val="20"/>
          <w:lang w:val="en-US"/>
        </w:rPr>
        <w:t>.</w:t>
      </w:r>
    </w:p>
    <w:p w14:paraId="3E664DCB" w14:textId="77777777" w:rsidR="009B1CBC" w:rsidRPr="00CE23AE" w:rsidRDefault="009B1CBC" w:rsidP="009B1CBC">
      <w:pPr>
        <w:widowControl/>
        <w:tabs>
          <w:tab w:val="left" w:pos="567"/>
        </w:tabs>
        <w:suppressAutoHyphens/>
        <w:adjustRightInd/>
        <w:spacing w:line="240" w:lineRule="auto"/>
        <w:textAlignment w:val="auto"/>
        <w:rPr>
          <w:szCs w:val="20"/>
          <w:lang w:val="en-US"/>
        </w:rPr>
      </w:pPr>
    </w:p>
    <w:p w14:paraId="20D8B758" w14:textId="2FB820E1" w:rsidR="00B02809" w:rsidRPr="00CE23AE" w:rsidRDefault="00B02809" w:rsidP="009B1CBC">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Based on the foregoing, it cannot be affirmed that</w:t>
      </w:r>
      <w:r w:rsidR="009B1CBC" w:rsidRPr="00CE23AE">
        <w:rPr>
          <w:szCs w:val="20"/>
          <w:lang w:val="en-US"/>
        </w:rPr>
        <w:t xml:space="preserve"> </w:t>
      </w:r>
      <w:r w:rsidR="008B76F3" w:rsidRPr="00CE23AE">
        <w:rPr>
          <w:szCs w:val="20"/>
          <w:lang w:val="en-US"/>
        </w:rPr>
        <w:t xml:space="preserve">the Commander of the </w:t>
      </w:r>
      <w:r w:rsidR="0078516C" w:rsidRPr="00CE23AE">
        <w:rPr>
          <w:szCs w:val="20"/>
          <w:lang w:val="en-US"/>
        </w:rPr>
        <w:t>Fourth Military Zone</w:t>
      </w:r>
      <w:r w:rsidR="009B1CBC" w:rsidRPr="00CE23AE">
        <w:rPr>
          <w:szCs w:val="20"/>
          <w:lang w:val="en-US"/>
        </w:rPr>
        <w:t xml:space="preserve"> </w:t>
      </w:r>
      <w:r w:rsidRPr="00CE23AE">
        <w:rPr>
          <w:szCs w:val="20"/>
          <w:lang w:val="en-US"/>
        </w:rPr>
        <w:t xml:space="preserve">approached the facts without any subjective prejudice in relation to the events. To the contrary, </w:t>
      </w:r>
      <w:r w:rsidR="00525918" w:rsidRPr="00CE23AE">
        <w:rPr>
          <w:szCs w:val="20"/>
          <w:lang w:val="en-US"/>
        </w:rPr>
        <w:t xml:space="preserve">when </w:t>
      </w:r>
      <w:r w:rsidRPr="00CE23AE">
        <w:rPr>
          <w:szCs w:val="20"/>
          <w:lang w:val="en-US"/>
        </w:rPr>
        <w:t>the investigative stage culminated and he had to rule on the disciplinary responsibility of Mr. Flor Freire, he had already acted in response to the events of November 19 in his capacity as Mr. Flor Freire’s commanding officer, separately from and independently of the disciplinary procedure. The Court considers that th</w:t>
      </w:r>
      <w:r w:rsidR="00525918" w:rsidRPr="00CE23AE">
        <w:rPr>
          <w:szCs w:val="20"/>
          <w:lang w:val="en-US"/>
        </w:rPr>
        <w:t>o</w:t>
      </w:r>
      <w:r w:rsidRPr="00CE23AE">
        <w:rPr>
          <w:szCs w:val="20"/>
          <w:lang w:val="en-US"/>
        </w:rPr>
        <w:t>se actions were sufficiently significant to jeopardize his subsequent impartiality. Moreover, neither the case file, nor the procedure or the State’s arguments reveal that sufficient objective guarantees of his impartiality were provided.</w:t>
      </w:r>
      <w:r w:rsidR="0074200F" w:rsidRPr="00CE23AE">
        <w:rPr>
          <w:szCs w:val="20"/>
          <w:lang w:val="en-US"/>
        </w:rPr>
        <w:t xml:space="preserve"> In addition, the decisions of the Officers’ Boards do not reveal that they made a new and objective analysis of the facts, based on which it could be considered that the absence of impartiality of the </w:t>
      </w:r>
      <w:r w:rsidR="00A055CE" w:rsidRPr="00CE23AE">
        <w:rPr>
          <w:szCs w:val="20"/>
          <w:lang w:val="en-US"/>
        </w:rPr>
        <w:t>Court of Law</w:t>
      </w:r>
      <w:r w:rsidR="0074200F" w:rsidRPr="00CE23AE">
        <w:rPr>
          <w:szCs w:val="20"/>
          <w:lang w:val="en-US"/>
        </w:rPr>
        <w:t xml:space="preserve"> had been rectified.</w:t>
      </w:r>
    </w:p>
    <w:p w14:paraId="5BD22E5B" w14:textId="77777777" w:rsidR="009B1CBC" w:rsidRPr="00CE23AE" w:rsidRDefault="009B1CBC" w:rsidP="009B1CBC">
      <w:pPr>
        <w:widowControl/>
        <w:tabs>
          <w:tab w:val="left" w:pos="567"/>
        </w:tabs>
        <w:suppressAutoHyphens/>
        <w:adjustRightInd/>
        <w:spacing w:line="240" w:lineRule="auto"/>
        <w:textAlignment w:val="auto"/>
        <w:rPr>
          <w:szCs w:val="20"/>
          <w:lang w:val="en-US"/>
        </w:rPr>
      </w:pPr>
    </w:p>
    <w:p w14:paraId="67FDD1C5" w14:textId="502A20FE" w:rsidR="0074200F" w:rsidRPr="00CE23AE" w:rsidRDefault="00C561DF" w:rsidP="009B1CBC">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The Court</w:t>
      </w:r>
      <w:r w:rsidR="009B1CBC" w:rsidRPr="00CE23AE">
        <w:rPr>
          <w:szCs w:val="20"/>
          <w:lang w:val="en-US"/>
        </w:rPr>
        <w:t xml:space="preserve"> </w:t>
      </w:r>
      <w:r w:rsidR="0074200F" w:rsidRPr="00CE23AE">
        <w:rPr>
          <w:szCs w:val="20"/>
          <w:lang w:val="en-US"/>
        </w:rPr>
        <w:t xml:space="preserve">notes that the mere fact that Mr. Flor Freire’s superior officer was the person who exercised disciplinary powers over him is not contrary to the Convention. In certain circumstances, and particularly in the military sphere, it is logical and reasonable. The problem does not lie in the design of the norms under which Mr. Flor Freire’s superior officer was the person in charge of establishing his disciplinary responsibility. It is also not contrary to the Convention that, in the context of a disciplinary procedure, the officer is suspended from his functions as a precautionary measure </w:t>
      </w:r>
      <w:r w:rsidR="00C24067" w:rsidRPr="00CE23AE">
        <w:rPr>
          <w:szCs w:val="20"/>
          <w:lang w:val="en-US"/>
        </w:rPr>
        <w:t xml:space="preserve">until a decision is taken </w:t>
      </w:r>
      <w:r w:rsidR="0074200F" w:rsidRPr="00CE23AE">
        <w:rPr>
          <w:szCs w:val="20"/>
          <w:lang w:val="en-US"/>
        </w:rPr>
        <w:t>based on the applicable regulations. The problem is that, in the specific case of Mr. Flor Freire, the said superior officer acted and took decisions, exercising his command authority, prior to and outside the disciplinary procedure, in relation to facts that</w:t>
      </w:r>
      <w:r w:rsidR="00C24067" w:rsidRPr="00CE23AE">
        <w:rPr>
          <w:szCs w:val="20"/>
          <w:lang w:val="en-US"/>
        </w:rPr>
        <w:t xml:space="preserve">, </w:t>
      </w:r>
      <w:r w:rsidR="0074200F" w:rsidRPr="00CE23AE">
        <w:rPr>
          <w:szCs w:val="20"/>
          <w:lang w:val="en-US"/>
        </w:rPr>
        <w:t>subsequently</w:t>
      </w:r>
      <w:r w:rsidR="00C24067" w:rsidRPr="00CE23AE">
        <w:rPr>
          <w:szCs w:val="20"/>
          <w:lang w:val="en-US"/>
        </w:rPr>
        <w:t>, he</w:t>
      </w:r>
      <w:r w:rsidR="0074200F" w:rsidRPr="00CE23AE">
        <w:rPr>
          <w:szCs w:val="20"/>
          <w:lang w:val="en-US"/>
        </w:rPr>
        <w:t xml:space="preserve"> was called on to adjudicate in the said procedure. Therefore, it is not possible to affirm that his approach to the facts, in his capacity as the disciplinary judge was </w:t>
      </w:r>
      <w:r w:rsidR="00C65539" w:rsidRPr="00CE23AE">
        <w:rPr>
          <w:szCs w:val="20"/>
          <w:lang w:val="en-US"/>
        </w:rPr>
        <w:t>free of any preconceived idea of what had happened so that he could form an opinion of the events based on</w:t>
      </w:r>
      <w:r w:rsidR="00C24067" w:rsidRPr="00CE23AE">
        <w:rPr>
          <w:szCs w:val="20"/>
          <w:lang w:val="en-US"/>
        </w:rPr>
        <w:t>ly on</w:t>
      </w:r>
      <w:r w:rsidR="00C65539" w:rsidRPr="00CE23AE">
        <w:rPr>
          <w:szCs w:val="20"/>
          <w:lang w:val="en-US"/>
        </w:rPr>
        <w:t xml:space="preserve"> the evidence and arguments submitted during the procedure.</w:t>
      </w:r>
    </w:p>
    <w:p w14:paraId="7A885853" w14:textId="77777777" w:rsidR="009B1CBC" w:rsidRPr="00CE23AE" w:rsidRDefault="009B1CBC" w:rsidP="009B1CBC">
      <w:pPr>
        <w:widowControl/>
        <w:tabs>
          <w:tab w:val="left" w:pos="567"/>
        </w:tabs>
        <w:suppressAutoHyphens/>
        <w:adjustRightInd/>
        <w:spacing w:line="240" w:lineRule="auto"/>
        <w:textAlignment w:val="auto"/>
        <w:rPr>
          <w:szCs w:val="20"/>
          <w:lang w:val="en-US"/>
        </w:rPr>
      </w:pPr>
      <w:bookmarkStart w:id="432" w:name="_Ref427864546"/>
    </w:p>
    <w:p w14:paraId="3FBF41F9" w14:textId="11D3594F" w:rsidR="00582D8D" w:rsidRPr="00CE23AE" w:rsidRDefault="00C24067" w:rsidP="009B1CBC">
      <w:pPr>
        <w:widowControl/>
        <w:numPr>
          <w:ilvl w:val="0"/>
          <w:numId w:val="6"/>
        </w:numPr>
        <w:tabs>
          <w:tab w:val="left" w:pos="567"/>
        </w:tabs>
        <w:suppressAutoHyphens/>
        <w:adjustRightInd/>
        <w:spacing w:line="240" w:lineRule="auto"/>
        <w:textAlignment w:val="auto"/>
        <w:rPr>
          <w:szCs w:val="20"/>
          <w:lang w:val="en-US"/>
        </w:rPr>
      </w:pPr>
      <w:bookmarkStart w:id="433" w:name="_Ref455672103"/>
      <w:r w:rsidRPr="00CE23AE">
        <w:rPr>
          <w:szCs w:val="20"/>
          <w:lang w:val="en-US"/>
        </w:rPr>
        <w:lastRenderedPageBreak/>
        <w:t>Consequently</w:t>
      </w:r>
      <w:r w:rsidR="00C65539" w:rsidRPr="00CE23AE">
        <w:rPr>
          <w:szCs w:val="20"/>
          <w:lang w:val="en-US"/>
        </w:rPr>
        <w:t xml:space="preserve">, </w:t>
      </w:r>
      <w:r w:rsidR="00000AD5" w:rsidRPr="00CE23AE">
        <w:rPr>
          <w:szCs w:val="20"/>
          <w:lang w:val="en-US"/>
        </w:rPr>
        <w:t>th</w:t>
      </w:r>
      <w:r w:rsidR="00C65539" w:rsidRPr="00CE23AE">
        <w:rPr>
          <w:szCs w:val="20"/>
          <w:lang w:val="en-US"/>
        </w:rPr>
        <w:t>e</w:t>
      </w:r>
      <w:r w:rsidR="00000AD5" w:rsidRPr="00CE23AE">
        <w:rPr>
          <w:szCs w:val="20"/>
          <w:lang w:val="en-US"/>
        </w:rPr>
        <w:t xml:space="preserve"> Court</w:t>
      </w:r>
      <w:r w:rsidR="009B1CBC" w:rsidRPr="00CE23AE">
        <w:rPr>
          <w:szCs w:val="20"/>
          <w:lang w:val="en-US"/>
        </w:rPr>
        <w:t xml:space="preserve"> </w:t>
      </w:r>
      <w:r w:rsidR="00C65539" w:rsidRPr="00CE23AE">
        <w:rPr>
          <w:szCs w:val="20"/>
          <w:lang w:val="en-US"/>
        </w:rPr>
        <w:t>finds that</w:t>
      </w:r>
      <w:r w:rsidR="009B1CBC" w:rsidRPr="00CE23AE">
        <w:rPr>
          <w:szCs w:val="20"/>
          <w:lang w:val="en-US"/>
        </w:rPr>
        <w:t xml:space="preserve"> </w:t>
      </w:r>
      <w:r w:rsidR="008B76F3" w:rsidRPr="00CE23AE">
        <w:rPr>
          <w:szCs w:val="20"/>
          <w:lang w:val="en-US"/>
        </w:rPr>
        <w:t xml:space="preserve">the Commander of the </w:t>
      </w:r>
      <w:r w:rsidR="0078516C" w:rsidRPr="00CE23AE">
        <w:rPr>
          <w:szCs w:val="20"/>
          <w:lang w:val="en-US"/>
        </w:rPr>
        <w:t>Fourth Military Zone</w:t>
      </w:r>
      <w:r w:rsidR="009B1CBC" w:rsidRPr="00CE23AE">
        <w:rPr>
          <w:szCs w:val="20"/>
          <w:lang w:val="en-US"/>
        </w:rPr>
        <w:t xml:space="preserve"> </w:t>
      </w:r>
      <w:r w:rsidR="00C65539" w:rsidRPr="00CE23AE">
        <w:rPr>
          <w:szCs w:val="20"/>
          <w:lang w:val="en-US"/>
        </w:rPr>
        <w:t xml:space="preserve">did not meet either the subjective or the objective criteria of impartiality </w:t>
      </w:r>
      <w:r w:rsidRPr="00CE23AE">
        <w:rPr>
          <w:szCs w:val="20"/>
          <w:lang w:val="en-US"/>
        </w:rPr>
        <w:t xml:space="preserve">in order </w:t>
      </w:r>
      <w:r w:rsidR="00C65539" w:rsidRPr="00CE23AE">
        <w:rPr>
          <w:szCs w:val="20"/>
          <w:lang w:val="en-US"/>
        </w:rPr>
        <w:t xml:space="preserve">to act as </w:t>
      </w:r>
      <w:r w:rsidR="00A055CE" w:rsidRPr="00CE23AE">
        <w:rPr>
          <w:szCs w:val="20"/>
          <w:lang w:val="en-US"/>
        </w:rPr>
        <w:t>Judge of Law</w:t>
      </w:r>
      <w:r w:rsidR="009B1CBC" w:rsidRPr="00CE23AE">
        <w:rPr>
          <w:szCs w:val="20"/>
          <w:lang w:val="en-US"/>
        </w:rPr>
        <w:t xml:space="preserve"> </w:t>
      </w:r>
      <w:r w:rsidR="00C65539" w:rsidRPr="00CE23AE">
        <w:rPr>
          <w:szCs w:val="20"/>
          <w:lang w:val="en-US"/>
        </w:rPr>
        <w:t>in Mr. Flor Freire’s</w:t>
      </w:r>
      <w:r w:rsidR="009B1CBC" w:rsidRPr="00CE23AE">
        <w:rPr>
          <w:szCs w:val="20"/>
          <w:lang w:val="en-US"/>
        </w:rPr>
        <w:t xml:space="preserve"> </w:t>
      </w:r>
      <w:r w:rsidR="00A06577" w:rsidRPr="00CE23AE">
        <w:rPr>
          <w:szCs w:val="20"/>
          <w:lang w:val="en-US"/>
        </w:rPr>
        <w:t>summary inquiry</w:t>
      </w:r>
      <w:r w:rsidR="00C65539" w:rsidRPr="00CE23AE">
        <w:rPr>
          <w:szCs w:val="20"/>
          <w:lang w:val="en-US"/>
        </w:rPr>
        <w:t xml:space="preserve"> procedure</w:t>
      </w:r>
      <w:bookmarkEnd w:id="432"/>
      <w:r w:rsidR="00C65539" w:rsidRPr="00CE23AE">
        <w:rPr>
          <w:szCs w:val="20"/>
          <w:lang w:val="en-US"/>
        </w:rPr>
        <w:t xml:space="preserve"> which culminated in establishing his disciplinary responsibility. Therefore, the State violated the guarantee of impartiality recognized in</w:t>
      </w:r>
      <w:r w:rsidR="009B1CBC" w:rsidRPr="00CE23AE">
        <w:rPr>
          <w:szCs w:val="20"/>
          <w:lang w:val="en-US"/>
        </w:rPr>
        <w:t xml:space="preserve"> </w:t>
      </w:r>
      <w:r w:rsidR="00C561DF" w:rsidRPr="00CE23AE">
        <w:rPr>
          <w:szCs w:val="20"/>
          <w:lang w:val="en-US"/>
        </w:rPr>
        <w:t>Article</w:t>
      </w:r>
      <w:r w:rsidR="009B1CBC" w:rsidRPr="00CE23AE">
        <w:rPr>
          <w:szCs w:val="20"/>
          <w:lang w:val="en-US"/>
        </w:rPr>
        <w:t xml:space="preserve"> </w:t>
      </w:r>
      <w:r w:rsidR="00C561DF" w:rsidRPr="00CE23AE">
        <w:rPr>
          <w:szCs w:val="20"/>
          <w:lang w:val="en-US"/>
        </w:rPr>
        <w:t>8(1) of the Convention</w:t>
      </w:r>
      <w:r w:rsidR="009B1CBC" w:rsidRPr="00CE23AE">
        <w:rPr>
          <w:szCs w:val="20"/>
          <w:lang w:val="en-US"/>
        </w:rPr>
        <w:t xml:space="preserve">, </w:t>
      </w:r>
      <w:r w:rsidR="00C65539" w:rsidRPr="00CE23AE">
        <w:rPr>
          <w:szCs w:val="20"/>
          <w:lang w:val="en-US"/>
        </w:rPr>
        <w:t>in relation to</w:t>
      </w:r>
      <w:r w:rsidR="009B1CBC" w:rsidRPr="00CE23AE">
        <w:rPr>
          <w:szCs w:val="20"/>
          <w:lang w:val="en-US"/>
        </w:rPr>
        <w:t xml:space="preserve"> </w:t>
      </w:r>
      <w:r w:rsidR="00C561DF" w:rsidRPr="00CE23AE">
        <w:rPr>
          <w:szCs w:val="20"/>
          <w:lang w:val="en-US"/>
        </w:rPr>
        <w:t>Article 1(1)</w:t>
      </w:r>
      <w:r w:rsidR="009B1CBC" w:rsidRPr="00CE23AE">
        <w:rPr>
          <w:szCs w:val="20"/>
          <w:lang w:val="en-US"/>
        </w:rPr>
        <w:t xml:space="preserve"> </w:t>
      </w:r>
      <w:r w:rsidR="00C561DF" w:rsidRPr="00CE23AE">
        <w:rPr>
          <w:szCs w:val="20"/>
          <w:lang w:val="en-US"/>
        </w:rPr>
        <w:t>of this instrument</w:t>
      </w:r>
      <w:r w:rsidR="009B1CBC" w:rsidRPr="00CE23AE">
        <w:rPr>
          <w:szCs w:val="20"/>
          <w:lang w:val="en-US"/>
        </w:rPr>
        <w:t xml:space="preserve">, </w:t>
      </w:r>
      <w:r w:rsidR="00C561DF" w:rsidRPr="00CE23AE">
        <w:rPr>
          <w:szCs w:val="20"/>
          <w:lang w:val="en-US"/>
        </w:rPr>
        <w:t>to the detriment of</w:t>
      </w:r>
      <w:r w:rsidR="009B1CBC" w:rsidRPr="00CE23AE">
        <w:rPr>
          <w:szCs w:val="20"/>
          <w:lang w:val="en-US"/>
        </w:rPr>
        <w:t xml:space="preserve"> Homero Flor Freire.</w:t>
      </w:r>
      <w:bookmarkEnd w:id="433"/>
    </w:p>
    <w:p w14:paraId="2752CDAB" w14:textId="08F721B4" w:rsidR="00582D8D" w:rsidRPr="00CE23AE" w:rsidRDefault="00582D8D" w:rsidP="00582D8D">
      <w:pPr>
        <w:widowControl/>
        <w:suppressAutoHyphens/>
        <w:adjustRightInd/>
        <w:spacing w:line="240" w:lineRule="auto"/>
        <w:contextualSpacing/>
        <w:textAlignment w:val="auto"/>
        <w:rPr>
          <w:lang w:val="en-US"/>
        </w:rPr>
      </w:pPr>
    </w:p>
    <w:p w14:paraId="2EA8D54A" w14:textId="03077110" w:rsidR="00582D8D" w:rsidRPr="00CE23AE" w:rsidRDefault="00582D8D" w:rsidP="00B4473B">
      <w:pPr>
        <w:pStyle w:val="Ttulo4"/>
        <w:rPr>
          <w:lang w:val="en-US"/>
        </w:rPr>
      </w:pPr>
      <w:bookmarkStart w:id="434" w:name="_Toc457840618"/>
      <w:bookmarkStart w:id="435" w:name="_Toc460398551"/>
      <w:bookmarkStart w:id="436" w:name="_Toc464475011"/>
      <w:bookmarkStart w:id="437" w:name="_Toc46388398"/>
      <w:r w:rsidRPr="00CE23AE">
        <w:rPr>
          <w:lang w:val="en-US"/>
        </w:rPr>
        <w:t>A.2.</w:t>
      </w:r>
      <w:r w:rsidR="000E5624" w:rsidRPr="00CE23AE">
        <w:rPr>
          <w:lang w:val="en-US"/>
        </w:rPr>
        <w:t>b</w:t>
      </w:r>
      <w:r w:rsidRPr="00CE23AE">
        <w:rPr>
          <w:lang w:val="en-US"/>
        </w:rPr>
        <w:t xml:space="preserve"> </w:t>
      </w:r>
      <w:r w:rsidR="006D0DE1" w:rsidRPr="00CE23AE">
        <w:rPr>
          <w:lang w:val="en-US"/>
        </w:rPr>
        <w:t>The obligation to provide the reasoning</w:t>
      </w:r>
      <w:bookmarkEnd w:id="434"/>
      <w:bookmarkEnd w:id="435"/>
      <w:bookmarkEnd w:id="436"/>
      <w:bookmarkEnd w:id="437"/>
    </w:p>
    <w:p w14:paraId="05110EA2" w14:textId="77777777" w:rsidR="00F31B3A" w:rsidRPr="00CE23AE" w:rsidRDefault="00F31B3A" w:rsidP="00F31B3A">
      <w:pPr>
        <w:widowControl/>
        <w:tabs>
          <w:tab w:val="left" w:pos="567"/>
        </w:tabs>
        <w:suppressAutoHyphens/>
        <w:adjustRightInd/>
        <w:spacing w:line="240" w:lineRule="auto"/>
        <w:textAlignment w:val="auto"/>
        <w:rPr>
          <w:szCs w:val="20"/>
          <w:lang w:val="en-US"/>
        </w:rPr>
      </w:pPr>
      <w:bookmarkStart w:id="438" w:name="_Ref427863337"/>
    </w:p>
    <w:p w14:paraId="7A6B2275" w14:textId="4F81B639" w:rsidR="00F31B3A" w:rsidRPr="00CE23AE" w:rsidRDefault="006F1F79" w:rsidP="00C65539">
      <w:pPr>
        <w:widowControl/>
        <w:numPr>
          <w:ilvl w:val="0"/>
          <w:numId w:val="6"/>
        </w:numPr>
        <w:tabs>
          <w:tab w:val="left" w:pos="567"/>
        </w:tabs>
        <w:suppressAutoHyphens/>
        <w:adjustRightInd/>
        <w:spacing w:line="240" w:lineRule="auto"/>
        <w:textAlignment w:val="auto"/>
        <w:rPr>
          <w:szCs w:val="20"/>
          <w:lang w:val="en-US"/>
        </w:rPr>
      </w:pPr>
      <w:bookmarkStart w:id="439" w:name="_Ref454242864"/>
      <w:r w:rsidRPr="00CE23AE">
        <w:rPr>
          <w:lang w:val="en-US"/>
        </w:rPr>
        <w:t>The reasoning is the exter</w:t>
      </w:r>
      <w:r w:rsidR="00C65539" w:rsidRPr="00CE23AE">
        <w:rPr>
          <w:lang w:val="en-US"/>
        </w:rPr>
        <w:t>iorization</w:t>
      </w:r>
      <w:r w:rsidRPr="00CE23AE">
        <w:rPr>
          <w:lang w:val="en-US"/>
        </w:rPr>
        <w:t xml:space="preserve"> of the reasoned justification that allows a conclusion to be reached.</w:t>
      </w:r>
      <w:r w:rsidR="00F31B3A" w:rsidRPr="00CE23AE">
        <w:rPr>
          <w:vertAlign w:val="superscript"/>
          <w:lang w:val="en-US"/>
        </w:rPr>
        <w:footnoteReference w:id="253"/>
      </w:r>
      <w:r w:rsidR="00DC53FD" w:rsidRPr="00CE23AE">
        <w:rPr>
          <w:lang w:val="en-US"/>
        </w:rPr>
        <w:t xml:space="preserve"> </w:t>
      </w:r>
      <w:r w:rsidRPr="00CE23AE">
        <w:rPr>
          <w:lang w:val="en-US"/>
        </w:rPr>
        <w:t>The duty to provide the reasoning for decisi</w:t>
      </w:r>
      <w:r w:rsidR="00C65539" w:rsidRPr="00CE23AE">
        <w:rPr>
          <w:lang w:val="en-US"/>
        </w:rPr>
        <w:t>o</w:t>
      </w:r>
      <w:r w:rsidRPr="00CE23AE">
        <w:rPr>
          <w:lang w:val="en-US"/>
        </w:rPr>
        <w:t>n</w:t>
      </w:r>
      <w:r w:rsidR="00C24067" w:rsidRPr="00CE23AE">
        <w:rPr>
          <w:lang w:val="en-US"/>
        </w:rPr>
        <w:t>s</w:t>
      </w:r>
      <w:r w:rsidRPr="00CE23AE">
        <w:rPr>
          <w:lang w:val="en-US"/>
        </w:rPr>
        <w:t xml:space="preserve"> is a guarantee </w:t>
      </w:r>
      <w:r w:rsidR="00C24067" w:rsidRPr="00CE23AE">
        <w:rPr>
          <w:lang w:val="en-US"/>
        </w:rPr>
        <w:t>related</w:t>
      </w:r>
      <w:r w:rsidRPr="00CE23AE">
        <w:rPr>
          <w:lang w:val="en-US"/>
        </w:rPr>
        <w:t xml:space="preserve"> to the </w:t>
      </w:r>
      <w:r w:rsidR="00C24067" w:rsidRPr="00CE23AE">
        <w:rPr>
          <w:lang w:val="en-US"/>
        </w:rPr>
        <w:t>proper</w:t>
      </w:r>
      <w:r w:rsidRPr="00CE23AE">
        <w:rPr>
          <w:lang w:val="en-US"/>
        </w:rPr>
        <w:t xml:space="preserve"> administration of justice, that </w:t>
      </w:r>
      <w:r w:rsidR="00C24067" w:rsidRPr="00CE23AE">
        <w:rPr>
          <w:lang w:val="en-US"/>
        </w:rPr>
        <w:t>ensures that</w:t>
      </w:r>
      <w:r w:rsidRPr="00CE23AE">
        <w:rPr>
          <w:lang w:val="en-US"/>
        </w:rPr>
        <w:t xml:space="preserve"> the citizen </w:t>
      </w:r>
      <w:r w:rsidR="00C24067" w:rsidRPr="00CE23AE">
        <w:rPr>
          <w:lang w:val="en-US"/>
        </w:rPr>
        <w:t xml:space="preserve">has </w:t>
      </w:r>
      <w:r w:rsidRPr="00CE23AE">
        <w:rPr>
          <w:lang w:val="en-US"/>
        </w:rPr>
        <w:t>the right to be tried for reasons established by law, while providing credibility to judicial decisions in a democratic society.</w:t>
      </w:r>
      <w:r w:rsidR="00F31B3A" w:rsidRPr="00CE23AE">
        <w:rPr>
          <w:vertAlign w:val="superscript"/>
          <w:lang w:val="en-US"/>
        </w:rPr>
        <w:footnoteReference w:id="254"/>
      </w:r>
      <w:r w:rsidR="00F31B3A" w:rsidRPr="00CE23AE">
        <w:rPr>
          <w:lang w:val="en-US"/>
        </w:rPr>
        <w:t xml:space="preserve"> </w:t>
      </w:r>
      <w:r w:rsidR="00C65539" w:rsidRPr="00CE23AE">
        <w:rPr>
          <w:lang w:val="en-US"/>
        </w:rPr>
        <w:t>Consequently, decisions adopted by the domestic organs of the States that may affect human rights must be justified, to the contrary such decisions would be arbitrary.</w:t>
      </w:r>
      <w:r w:rsidR="00F31B3A" w:rsidRPr="00CE23AE">
        <w:rPr>
          <w:vertAlign w:val="superscript"/>
          <w:lang w:val="en-US"/>
        </w:rPr>
        <w:footnoteReference w:id="255"/>
      </w:r>
      <w:r w:rsidR="00F31B3A" w:rsidRPr="00CE23AE">
        <w:rPr>
          <w:lang w:val="en-US"/>
        </w:rPr>
        <w:t xml:space="preserve"> </w:t>
      </w:r>
      <w:r w:rsidR="00C65539" w:rsidRPr="00CE23AE">
        <w:rPr>
          <w:lang w:val="en-US"/>
        </w:rPr>
        <w:t xml:space="preserve">The </w:t>
      </w:r>
      <w:r w:rsidR="005E2302" w:rsidRPr="00CE23AE">
        <w:rPr>
          <w:lang w:val="en-US"/>
        </w:rPr>
        <w:t>reasoning of</w:t>
      </w:r>
      <w:r w:rsidR="00C65539" w:rsidRPr="00CE23AE">
        <w:rPr>
          <w:lang w:val="en-US"/>
        </w:rPr>
        <w:t xml:space="preserve"> a ruling and certain administrative acts should </w:t>
      </w:r>
      <w:r w:rsidR="00F16954" w:rsidRPr="00CE23AE">
        <w:rPr>
          <w:lang w:val="en-US"/>
        </w:rPr>
        <w:t>reveal</w:t>
      </w:r>
      <w:r w:rsidR="00C65539" w:rsidRPr="00CE23AE">
        <w:rPr>
          <w:lang w:val="en-US"/>
        </w:rPr>
        <w:t xml:space="preserve"> the facts, reasons and norms on which the organ that issued them</w:t>
      </w:r>
      <w:r w:rsidR="00F16954" w:rsidRPr="00CE23AE">
        <w:rPr>
          <w:lang w:val="en-US"/>
        </w:rPr>
        <w:t xml:space="preserve"> based itself</w:t>
      </w:r>
      <w:r w:rsidR="00C65539" w:rsidRPr="00CE23AE">
        <w:rPr>
          <w:lang w:val="en-US"/>
        </w:rPr>
        <w:t xml:space="preserve"> in order to take its decision so that any indication of arbitrariness can be dismissed, </w:t>
      </w:r>
      <w:r w:rsidR="00F16954" w:rsidRPr="00CE23AE">
        <w:rPr>
          <w:lang w:val="en-US"/>
        </w:rPr>
        <w:t>while proving to the parties that they have been heard during the proceedings.</w:t>
      </w:r>
      <w:r w:rsidR="00F31B3A" w:rsidRPr="00CE23AE">
        <w:rPr>
          <w:vertAlign w:val="superscript"/>
          <w:lang w:val="en-US"/>
        </w:rPr>
        <w:footnoteReference w:id="256"/>
      </w:r>
      <w:r w:rsidR="00F31B3A" w:rsidRPr="00CE23AE">
        <w:rPr>
          <w:lang w:val="en-US"/>
        </w:rPr>
        <w:t xml:space="preserve"> </w:t>
      </w:r>
      <w:r w:rsidR="00F16954" w:rsidRPr="00CE23AE">
        <w:rPr>
          <w:lang w:val="en-US"/>
        </w:rPr>
        <w:t>In addition, it should show that the</w:t>
      </w:r>
      <w:r w:rsidR="00F31B3A" w:rsidRPr="00CE23AE">
        <w:rPr>
          <w:lang w:val="en-US"/>
        </w:rPr>
        <w:t xml:space="preserve"> </w:t>
      </w:r>
      <w:r w:rsidRPr="00CE23AE">
        <w:rPr>
          <w:lang w:val="en-US"/>
        </w:rPr>
        <w:t>a</w:t>
      </w:r>
      <w:r w:rsidR="00E10780" w:rsidRPr="00CE23AE">
        <w:rPr>
          <w:lang w:val="en-US"/>
        </w:rPr>
        <w:t>rguments of the parties</w:t>
      </w:r>
      <w:r w:rsidR="00C561DF" w:rsidRPr="00CE23AE">
        <w:rPr>
          <w:lang w:val="en-US"/>
        </w:rPr>
        <w:t xml:space="preserve"> </w:t>
      </w:r>
      <w:r w:rsidR="00F16954" w:rsidRPr="00CE23AE">
        <w:rPr>
          <w:lang w:val="en-US"/>
        </w:rPr>
        <w:t xml:space="preserve">have been duly taken into account </w:t>
      </w:r>
      <w:r w:rsidR="00C561DF" w:rsidRPr="00CE23AE">
        <w:rPr>
          <w:lang w:val="en-US"/>
        </w:rPr>
        <w:t xml:space="preserve">and </w:t>
      </w:r>
      <w:r w:rsidR="00F16954" w:rsidRPr="00CE23AE">
        <w:rPr>
          <w:lang w:val="en-US"/>
        </w:rPr>
        <w:t>that all the evidence has been examined.</w:t>
      </w:r>
      <w:r w:rsidR="00F31B3A" w:rsidRPr="00CE23AE">
        <w:rPr>
          <w:vertAlign w:val="superscript"/>
          <w:lang w:val="en-US"/>
        </w:rPr>
        <w:footnoteReference w:id="257"/>
      </w:r>
      <w:r w:rsidR="00F16954" w:rsidRPr="00CE23AE">
        <w:rPr>
          <w:lang w:val="en-US"/>
        </w:rPr>
        <w:t xml:space="preserve"> Consequently, the Court has concluded that the obligation to provide the reasoning for decisions is one of the necessary </w:t>
      </w:r>
      <w:r w:rsidR="00F31B3A" w:rsidRPr="00CE23AE">
        <w:rPr>
          <w:lang w:val="en-US"/>
        </w:rPr>
        <w:t>“</w:t>
      </w:r>
      <w:r w:rsidRPr="00CE23AE">
        <w:rPr>
          <w:lang w:val="en-US"/>
        </w:rPr>
        <w:t>guarantees</w:t>
      </w:r>
      <w:r w:rsidR="00F31B3A" w:rsidRPr="00CE23AE">
        <w:rPr>
          <w:lang w:val="en-US"/>
        </w:rPr>
        <w:t>”</w:t>
      </w:r>
      <w:r w:rsidRPr="00CE23AE">
        <w:rPr>
          <w:lang w:val="en-US"/>
        </w:rPr>
        <w:t xml:space="preserve"> of the due process of law</w:t>
      </w:r>
      <w:r w:rsidR="00F31B3A" w:rsidRPr="00CE23AE">
        <w:rPr>
          <w:lang w:val="en-US"/>
        </w:rPr>
        <w:t xml:space="preserve"> inclu</w:t>
      </w:r>
      <w:r w:rsidRPr="00CE23AE">
        <w:rPr>
          <w:lang w:val="en-US"/>
        </w:rPr>
        <w:t>ded in</w:t>
      </w:r>
      <w:r w:rsidR="00F31B3A" w:rsidRPr="00CE23AE">
        <w:rPr>
          <w:lang w:val="en-US"/>
        </w:rPr>
        <w:t xml:space="preserve"> </w:t>
      </w:r>
      <w:r w:rsidR="00C561DF" w:rsidRPr="00CE23AE">
        <w:rPr>
          <w:lang w:val="en-US"/>
        </w:rPr>
        <w:t>Article</w:t>
      </w:r>
      <w:r w:rsidR="00F31B3A" w:rsidRPr="00CE23AE">
        <w:rPr>
          <w:lang w:val="en-US"/>
        </w:rPr>
        <w:t xml:space="preserve"> </w:t>
      </w:r>
      <w:r w:rsidR="00C561DF" w:rsidRPr="00CE23AE">
        <w:rPr>
          <w:lang w:val="en-US"/>
        </w:rPr>
        <w:t>8(1)</w:t>
      </w:r>
      <w:r w:rsidRPr="00CE23AE">
        <w:rPr>
          <w:lang w:val="en-US"/>
        </w:rPr>
        <w:t>.</w:t>
      </w:r>
      <w:r w:rsidR="00F31B3A" w:rsidRPr="00CE23AE">
        <w:rPr>
          <w:vertAlign w:val="superscript"/>
          <w:lang w:val="en-US"/>
        </w:rPr>
        <w:footnoteReference w:id="258"/>
      </w:r>
      <w:bookmarkEnd w:id="439"/>
    </w:p>
    <w:p w14:paraId="7B15D8E3" w14:textId="77777777" w:rsidR="00F31B3A" w:rsidRPr="00CE23AE" w:rsidRDefault="00F31B3A" w:rsidP="00F31B3A">
      <w:pPr>
        <w:widowControl/>
        <w:tabs>
          <w:tab w:val="left" w:pos="567"/>
        </w:tabs>
        <w:suppressAutoHyphens/>
        <w:adjustRightInd/>
        <w:spacing w:line="240" w:lineRule="auto"/>
        <w:textAlignment w:val="auto"/>
        <w:rPr>
          <w:szCs w:val="20"/>
          <w:lang w:val="en-US"/>
        </w:rPr>
      </w:pPr>
    </w:p>
    <w:p w14:paraId="102E7C5F" w14:textId="5A931393" w:rsidR="00F31B3A" w:rsidRPr="00CE23AE" w:rsidRDefault="00C561DF" w:rsidP="00F31B3A">
      <w:pPr>
        <w:widowControl/>
        <w:numPr>
          <w:ilvl w:val="0"/>
          <w:numId w:val="6"/>
        </w:numPr>
        <w:tabs>
          <w:tab w:val="left" w:pos="567"/>
        </w:tabs>
        <w:suppressAutoHyphens/>
        <w:adjustRightInd/>
        <w:spacing w:line="240" w:lineRule="auto"/>
        <w:textAlignment w:val="auto"/>
        <w:rPr>
          <w:lang w:val="en-US"/>
        </w:rPr>
      </w:pPr>
      <w:r w:rsidRPr="00CE23AE">
        <w:rPr>
          <w:bCs/>
          <w:iCs/>
          <w:lang w:val="en-US"/>
        </w:rPr>
        <w:t>The Commission and the representative</w:t>
      </w:r>
      <w:r w:rsidR="00F31B3A" w:rsidRPr="00CE23AE">
        <w:rPr>
          <w:bCs/>
          <w:iCs/>
          <w:lang w:val="en-US"/>
        </w:rPr>
        <w:t xml:space="preserve"> </w:t>
      </w:r>
      <w:r w:rsidR="006F1F79" w:rsidRPr="00CE23AE">
        <w:rPr>
          <w:bCs/>
          <w:iCs/>
          <w:lang w:val="en-US"/>
        </w:rPr>
        <w:t>argued that no reasoning had been provided in</w:t>
      </w:r>
      <w:r w:rsidR="00F31B3A" w:rsidRPr="00CE23AE">
        <w:rPr>
          <w:bCs/>
          <w:iCs/>
          <w:lang w:val="en-US"/>
        </w:rPr>
        <w:t xml:space="preserve">: (i) </w:t>
      </w:r>
      <w:r w:rsidR="006F1F79" w:rsidRPr="00CE23AE">
        <w:rPr>
          <w:bCs/>
          <w:iCs/>
          <w:lang w:val="en-US"/>
        </w:rPr>
        <w:t>the</w:t>
      </w:r>
      <w:r w:rsidR="00F31B3A" w:rsidRPr="00CE23AE">
        <w:rPr>
          <w:bCs/>
          <w:iCs/>
          <w:lang w:val="en-US"/>
        </w:rPr>
        <w:t xml:space="preserve"> </w:t>
      </w:r>
      <w:r w:rsidR="006F1F79" w:rsidRPr="00CE23AE">
        <w:rPr>
          <w:bCs/>
          <w:iCs/>
          <w:lang w:val="en-US"/>
        </w:rPr>
        <w:t>d</w:t>
      </w:r>
      <w:r w:rsidR="008B76F3" w:rsidRPr="00CE23AE">
        <w:rPr>
          <w:bCs/>
          <w:iCs/>
          <w:lang w:val="en-US"/>
        </w:rPr>
        <w:t>ecisions of the Junior</w:t>
      </w:r>
      <w:r w:rsidR="008B76F3" w:rsidRPr="00CE23AE">
        <w:rPr>
          <w:lang w:val="en-US"/>
        </w:rPr>
        <w:t xml:space="preserve"> and </w:t>
      </w:r>
      <w:r w:rsidR="00847B25" w:rsidRPr="00CE23AE">
        <w:rPr>
          <w:lang w:val="en-US"/>
        </w:rPr>
        <w:t>Senior Officers Board</w:t>
      </w:r>
      <w:r w:rsidR="008B76F3" w:rsidRPr="00CE23AE">
        <w:rPr>
          <w:lang w:val="en-US"/>
        </w:rPr>
        <w:t>s</w:t>
      </w:r>
      <w:r w:rsidR="00F31B3A" w:rsidRPr="00CE23AE">
        <w:rPr>
          <w:lang w:val="en-US"/>
        </w:rPr>
        <w:t xml:space="preserve">, </w:t>
      </w:r>
      <w:r w:rsidR="006F1F79" w:rsidRPr="00CE23AE">
        <w:rPr>
          <w:lang w:val="en-US"/>
        </w:rPr>
        <w:t>which c</w:t>
      </w:r>
      <w:r w:rsidR="00DE794A" w:rsidRPr="00CE23AE">
        <w:rPr>
          <w:lang w:val="en-US"/>
        </w:rPr>
        <w:t>haracterized</w:t>
      </w:r>
      <w:r w:rsidR="006F1F79" w:rsidRPr="00CE23AE">
        <w:rPr>
          <w:lang w:val="en-US"/>
        </w:rPr>
        <w:t xml:space="preserve"> the misconduct committed and </w:t>
      </w:r>
      <w:r w:rsidR="005E2302" w:rsidRPr="00CE23AE">
        <w:rPr>
          <w:lang w:val="en-US"/>
        </w:rPr>
        <w:t>accepted the recommendation</w:t>
      </w:r>
      <w:r w:rsidR="006F1F79" w:rsidRPr="00CE23AE">
        <w:rPr>
          <w:lang w:val="en-US"/>
        </w:rPr>
        <w:t xml:space="preserve"> of </w:t>
      </w:r>
      <w:r w:rsidR="000366A6" w:rsidRPr="00CE23AE">
        <w:rPr>
          <w:lang w:val="en-US"/>
        </w:rPr>
        <w:t xml:space="preserve">the </w:t>
      </w:r>
      <w:r w:rsidR="00A055CE" w:rsidRPr="00CE23AE">
        <w:rPr>
          <w:lang w:val="en-US"/>
        </w:rPr>
        <w:t>Court of Law</w:t>
      </w:r>
      <w:r w:rsidR="00F31B3A" w:rsidRPr="00CE23AE">
        <w:rPr>
          <w:lang w:val="en-US"/>
        </w:rPr>
        <w:t xml:space="preserve"> </w:t>
      </w:r>
      <w:r w:rsidR="006F1F79" w:rsidRPr="00CE23AE">
        <w:rPr>
          <w:lang w:val="en-US"/>
        </w:rPr>
        <w:t xml:space="preserve">that the punishment should be discharge from the service, as well as in (ii) the decisions </w:t>
      </w:r>
      <w:r w:rsidR="00AC18A9" w:rsidRPr="00CE23AE">
        <w:rPr>
          <w:lang w:val="en-US"/>
        </w:rPr>
        <w:t xml:space="preserve">of the </w:t>
      </w:r>
      <w:r w:rsidR="009B2300" w:rsidRPr="00CE23AE">
        <w:rPr>
          <w:lang w:val="en-US"/>
        </w:rPr>
        <w:t>Sixth Civil Court</w:t>
      </w:r>
      <w:r w:rsidRPr="00CE23AE">
        <w:rPr>
          <w:lang w:val="en-US"/>
        </w:rPr>
        <w:t xml:space="preserve"> and the </w:t>
      </w:r>
      <w:r w:rsidR="000366A6" w:rsidRPr="00CE23AE">
        <w:rPr>
          <w:lang w:val="en-US"/>
        </w:rPr>
        <w:t>Constitutional Court</w:t>
      </w:r>
      <w:r w:rsidR="00F31B3A" w:rsidRPr="00CE23AE">
        <w:rPr>
          <w:lang w:val="en-US"/>
        </w:rPr>
        <w:t xml:space="preserve"> </w:t>
      </w:r>
      <w:r w:rsidR="006F1F79" w:rsidRPr="00CE23AE">
        <w:rPr>
          <w:lang w:val="en-US"/>
        </w:rPr>
        <w:t xml:space="preserve">in the context of the amparo proceeding. The </w:t>
      </w:r>
      <w:r w:rsidR="005E2302" w:rsidRPr="00CE23AE">
        <w:rPr>
          <w:lang w:val="en-US"/>
        </w:rPr>
        <w:t xml:space="preserve">Court </w:t>
      </w:r>
      <w:r w:rsidR="006F1F79" w:rsidRPr="00CE23AE">
        <w:rPr>
          <w:lang w:val="en-US"/>
        </w:rPr>
        <w:t>will refer, first, to the decisions of the Officers’ Boards, and then, as pertinent, to the decisions in the amparo proceeding</w:t>
      </w:r>
      <w:r w:rsidR="00DC53FD" w:rsidRPr="00CE23AE">
        <w:rPr>
          <w:lang w:val="en-US"/>
        </w:rPr>
        <w:t>.</w:t>
      </w:r>
    </w:p>
    <w:p w14:paraId="6265FE62" w14:textId="77777777" w:rsidR="00F31B3A" w:rsidRPr="00CE23AE" w:rsidRDefault="00F31B3A" w:rsidP="00F31B3A">
      <w:pPr>
        <w:widowControl/>
        <w:tabs>
          <w:tab w:val="left" w:pos="567"/>
        </w:tabs>
        <w:suppressAutoHyphens/>
        <w:adjustRightInd/>
        <w:spacing w:line="240" w:lineRule="auto"/>
        <w:textAlignment w:val="auto"/>
        <w:rPr>
          <w:lang w:val="en-US"/>
        </w:rPr>
      </w:pPr>
    </w:p>
    <w:p w14:paraId="7DDCE671" w14:textId="5F9E4B47" w:rsidR="00F31B3A" w:rsidRPr="00CE23AE" w:rsidRDefault="00F16954" w:rsidP="00D202D1">
      <w:pPr>
        <w:pStyle w:val="PrrafodeSentencia"/>
        <w:suppressAutoHyphens/>
        <w:rPr>
          <w:lang w:val="en-US"/>
        </w:rPr>
      </w:pPr>
      <w:r w:rsidRPr="00CE23AE">
        <w:rPr>
          <w:lang w:val="en-US"/>
        </w:rPr>
        <w:t>In the case of disciplinary sanctions, the requirement of justification is greater than in</w:t>
      </w:r>
      <w:r w:rsidR="005E2302" w:rsidRPr="00CE23AE">
        <w:rPr>
          <w:lang w:val="en-US"/>
        </w:rPr>
        <w:t xml:space="preserve"> </w:t>
      </w:r>
      <w:r w:rsidRPr="00CE23AE">
        <w:rPr>
          <w:lang w:val="en-US"/>
        </w:rPr>
        <w:t>an</w:t>
      </w:r>
      <w:r w:rsidR="005E2302" w:rsidRPr="00CE23AE">
        <w:rPr>
          <w:lang w:val="en-US"/>
        </w:rPr>
        <w:t>y</w:t>
      </w:r>
      <w:r w:rsidRPr="00CE23AE">
        <w:rPr>
          <w:lang w:val="en-US"/>
        </w:rPr>
        <w:t xml:space="preserve"> </w:t>
      </w:r>
      <w:r w:rsidR="005E2302" w:rsidRPr="00CE23AE">
        <w:rPr>
          <w:lang w:val="en-US"/>
        </w:rPr>
        <w:t xml:space="preserve">other </w:t>
      </w:r>
      <w:r w:rsidRPr="00CE23AE">
        <w:rPr>
          <w:lang w:val="en-US"/>
        </w:rPr>
        <w:t>administrative act, owing to the purpose of disciplinary control (</w:t>
      </w:r>
      <w:r w:rsidRPr="00CE23AE">
        <w:rPr>
          <w:i/>
          <w:lang w:val="en-US"/>
        </w:rPr>
        <w:t>supra</w:t>
      </w:r>
      <w:r w:rsidRPr="00CE23AE">
        <w:rPr>
          <w:lang w:val="en-US"/>
        </w:rPr>
        <w:t xml:space="preserve"> para. </w:t>
      </w:r>
      <w:r w:rsidRPr="00CE23AE">
        <w:rPr>
          <w:lang w:val="en-US"/>
        </w:rPr>
        <w:fldChar w:fldCharType="begin"/>
      </w:r>
      <w:r w:rsidRPr="00CE23AE">
        <w:rPr>
          <w:lang w:val="en-US"/>
        </w:rPr>
        <w:instrText xml:space="preserve"> REF _Ref464476804 \r \h </w:instrText>
      </w:r>
      <w:r w:rsidR="00CE23AE">
        <w:rPr>
          <w:lang w:val="en-US"/>
        </w:rPr>
        <w:instrText xml:space="preserve"> \* MERGEFORMAT </w:instrText>
      </w:r>
      <w:r w:rsidRPr="00CE23AE">
        <w:rPr>
          <w:lang w:val="en-US"/>
        </w:rPr>
      </w:r>
      <w:r w:rsidRPr="00CE23AE">
        <w:rPr>
          <w:lang w:val="en-US"/>
        </w:rPr>
        <w:fldChar w:fldCharType="separate"/>
      </w:r>
      <w:r w:rsidRPr="00CE23AE">
        <w:rPr>
          <w:lang w:val="en-US"/>
        </w:rPr>
        <w:t>150</w:t>
      </w:r>
      <w:r w:rsidRPr="00CE23AE">
        <w:rPr>
          <w:lang w:val="en-US"/>
        </w:rPr>
        <w:fldChar w:fldCharType="end"/>
      </w:r>
      <w:r w:rsidRPr="00CE23AE">
        <w:rPr>
          <w:lang w:val="en-US"/>
        </w:rPr>
        <w:t>) and, consequently, it is necessary to analyze the gravity of the conduct and the proportionality of the sanction.</w:t>
      </w:r>
      <w:r w:rsidR="00F31B3A" w:rsidRPr="00CE23AE">
        <w:rPr>
          <w:bCs/>
          <w:iCs/>
          <w:vertAlign w:val="superscript"/>
          <w:lang w:val="en-US"/>
        </w:rPr>
        <w:footnoteReference w:id="259"/>
      </w:r>
      <w:r w:rsidR="00F31B3A" w:rsidRPr="00CE23AE">
        <w:rPr>
          <w:lang w:val="en-US"/>
        </w:rPr>
        <w:t xml:space="preserve"> </w:t>
      </w:r>
      <w:r w:rsidRPr="00CE23AE">
        <w:rPr>
          <w:lang w:val="en-US"/>
        </w:rPr>
        <w:t>In the disciplinary sphere</w:t>
      </w:r>
      <w:r w:rsidR="00D202D1" w:rsidRPr="00CE23AE">
        <w:rPr>
          <w:lang w:val="en-US"/>
        </w:rPr>
        <w:t xml:space="preserve">, </w:t>
      </w:r>
      <w:r w:rsidR="005E2302" w:rsidRPr="00CE23AE">
        <w:rPr>
          <w:lang w:val="en-US"/>
        </w:rPr>
        <w:t xml:space="preserve">it is essential that </w:t>
      </w:r>
      <w:r w:rsidR="00D202D1" w:rsidRPr="00CE23AE">
        <w:rPr>
          <w:lang w:val="en-US"/>
        </w:rPr>
        <w:t>the act that constituted an offense</w:t>
      </w:r>
      <w:r w:rsidRPr="00CE23AE">
        <w:rPr>
          <w:lang w:val="en-US"/>
        </w:rPr>
        <w:t xml:space="preserve"> is </w:t>
      </w:r>
      <w:r w:rsidR="005E2302" w:rsidRPr="00CE23AE">
        <w:rPr>
          <w:lang w:val="en-US"/>
        </w:rPr>
        <w:t>indicated precisely</w:t>
      </w:r>
      <w:r w:rsidR="00D202D1" w:rsidRPr="00CE23AE">
        <w:rPr>
          <w:lang w:val="en-US"/>
        </w:rPr>
        <w:t xml:space="preserve"> and </w:t>
      </w:r>
      <w:r w:rsidR="005E2302" w:rsidRPr="00CE23AE">
        <w:rPr>
          <w:lang w:val="en-US"/>
        </w:rPr>
        <w:t xml:space="preserve">that arguments are developed </w:t>
      </w:r>
      <w:r w:rsidR="00D202D1" w:rsidRPr="00CE23AE">
        <w:rPr>
          <w:lang w:val="en-US"/>
        </w:rPr>
        <w:t>that allow it to be concluded that the conduct of which the person concerned is accused is sufficient</w:t>
      </w:r>
      <w:r w:rsidR="005E2302" w:rsidRPr="00CE23AE">
        <w:rPr>
          <w:lang w:val="en-US"/>
        </w:rPr>
        <w:t>ly</w:t>
      </w:r>
      <w:r w:rsidR="00D202D1" w:rsidRPr="00CE23AE">
        <w:rPr>
          <w:lang w:val="en-US"/>
        </w:rPr>
        <w:t xml:space="preserve"> important to justify </w:t>
      </w:r>
      <w:r w:rsidR="005E2302" w:rsidRPr="00CE23AE">
        <w:rPr>
          <w:lang w:val="en-US"/>
        </w:rPr>
        <w:t>his</w:t>
      </w:r>
      <w:r w:rsidR="00D202D1" w:rsidRPr="00CE23AE">
        <w:rPr>
          <w:lang w:val="en-US"/>
        </w:rPr>
        <w:t xml:space="preserve"> separat</w:t>
      </w:r>
      <w:r w:rsidR="005E2302" w:rsidRPr="00CE23AE">
        <w:rPr>
          <w:lang w:val="en-US"/>
        </w:rPr>
        <w:t>ion</w:t>
      </w:r>
      <w:r w:rsidR="00D202D1" w:rsidRPr="00CE23AE">
        <w:rPr>
          <w:lang w:val="en-US"/>
        </w:rPr>
        <w:t xml:space="preserve"> from his post.</w:t>
      </w:r>
      <w:r w:rsidR="00F31B3A" w:rsidRPr="00CE23AE">
        <w:rPr>
          <w:rStyle w:val="Refdenotaalpie"/>
          <w:lang w:val="en-US"/>
        </w:rPr>
        <w:footnoteReference w:id="260"/>
      </w:r>
    </w:p>
    <w:p w14:paraId="1E816C06" w14:textId="77777777" w:rsidR="00F31B3A" w:rsidRPr="00CE23AE" w:rsidRDefault="00F31B3A" w:rsidP="00F31B3A">
      <w:pPr>
        <w:widowControl/>
        <w:tabs>
          <w:tab w:val="left" w:pos="567"/>
        </w:tabs>
        <w:suppressAutoHyphens/>
        <w:adjustRightInd/>
        <w:spacing w:line="240" w:lineRule="auto"/>
        <w:textAlignment w:val="auto"/>
        <w:rPr>
          <w:szCs w:val="20"/>
          <w:lang w:val="en-US"/>
        </w:rPr>
      </w:pPr>
    </w:p>
    <w:p w14:paraId="6619D61A" w14:textId="0F05F456" w:rsidR="00F31B3A" w:rsidRPr="00CE23AE" w:rsidRDefault="00D202D1" w:rsidP="00D202D1">
      <w:pPr>
        <w:widowControl/>
        <w:numPr>
          <w:ilvl w:val="0"/>
          <w:numId w:val="6"/>
        </w:numPr>
        <w:tabs>
          <w:tab w:val="left" w:pos="567"/>
        </w:tabs>
        <w:suppressAutoHyphens/>
        <w:adjustRightInd/>
        <w:spacing w:line="240" w:lineRule="auto"/>
        <w:textAlignment w:val="auto"/>
        <w:rPr>
          <w:szCs w:val="20"/>
          <w:lang w:val="en-US"/>
        </w:rPr>
      </w:pPr>
      <w:r w:rsidRPr="00CE23AE">
        <w:rPr>
          <w:lang w:val="en-US"/>
        </w:rPr>
        <w:t>In addition, in the case of supposed disciplinary offenses, the reasons why the norm or norms in question have been violated must be indicated expressly, precisely, clearly and without ambiguity, to allow the person concerned to exercise his right of defense fully,</w:t>
      </w:r>
      <w:bookmarkStart w:id="440" w:name="_Ref241298370"/>
      <w:r w:rsidR="00F31B3A" w:rsidRPr="00CE23AE">
        <w:rPr>
          <w:vertAlign w:val="superscript"/>
          <w:lang w:val="en-US"/>
        </w:rPr>
        <w:footnoteReference w:id="261"/>
      </w:r>
      <w:bookmarkEnd w:id="440"/>
      <w:r w:rsidRPr="00CE23AE">
        <w:rPr>
          <w:lang w:val="en-US"/>
        </w:rPr>
        <w:t xml:space="preserve"> when appealing the decision. The Court underscores that the absence of adequate reasoning in disciplinary decisions may have a direct effect on the ability of the victims to exercise an adequate defense in any subsequent appeals.</w:t>
      </w:r>
    </w:p>
    <w:p w14:paraId="08379EEE" w14:textId="77777777" w:rsidR="00F31B3A" w:rsidRPr="00CE23AE" w:rsidRDefault="00F31B3A" w:rsidP="00F31B3A">
      <w:pPr>
        <w:widowControl/>
        <w:tabs>
          <w:tab w:val="left" w:pos="567"/>
        </w:tabs>
        <w:suppressAutoHyphens/>
        <w:adjustRightInd/>
        <w:spacing w:line="240" w:lineRule="auto"/>
        <w:textAlignment w:val="auto"/>
        <w:rPr>
          <w:szCs w:val="20"/>
          <w:lang w:val="en-US"/>
        </w:rPr>
      </w:pPr>
    </w:p>
    <w:p w14:paraId="58D8D11F" w14:textId="77C4272D" w:rsidR="00F31B3A" w:rsidRPr="00CE23AE" w:rsidRDefault="00D202D1" w:rsidP="00D202D1">
      <w:pPr>
        <w:widowControl/>
        <w:numPr>
          <w:ilvl w:val="0"/>
          <w:numId w:val="6"/>
        </w:numPr>
        <w:tabs>
          <w:tab w:val="left" w:pos="567"/>
        </w:tabs>
        <w:suppressAutoHyphens/>
        <w:adjustRightInd/>
        <w:spacing w:line="240" w:lineRule="auto"/>
        <w:textAlignment w:val="auto"/>
        <w:rPr>
          <w:lang w:val="en-US"/>
        </w:rPr>
      </w:pPr>
      <w:bookmarkStart w:id="441" w:name="_Ref454242677"/>
      <w:r w:rsidRPr="00CE23AE">
        <w:rPr>
          <w:lang w:val="en-US"/>
        </w:rPr>
        <w:t>That said</w:t>
      </w:r>
      <w:r w:rsidR="00F31B3A" w:rsidRPr="00CE23AE">
        <w:rPr>
          <w:lang w:val="en-US"/>
        </w:rPr>
        <w:t xml:space="preserve">, </w:t>
      </w:r>
      <w:r w:rsidR="00C561DF" w:rsidRPr="00CE23AE">
        <w:rPr>
          <w:lang w:val="en-US"/>
        </w:rPr>
        <w:t>the Court</w:t>
      </w:r>
      <w:r w:rsidR="00F31B3A" w:rsidRPr="00CE23AE">
        <w:rPr>
          <w:lang w:val="en-US"/>
        </w:rPr>
        <w:t xml:space="preserve"> </w:t>
      </w:r>
      <w:r w:rsidRPr="00CE23AE">
        <w:rPr>
          <w:lang w:val="en-US"/>
        </w:rPr>
        <w:t>holds that, for the purposes of the guarantees established in</w:t>
      </w:r>
      <w:r w:rsidR="00F31B3A" w:rsidRPr="00CE23AE">
        <w:rPr>
          <w:lang w:val="en-US"/>
        </w:rPr>
        <w:t xml:space="preserve"> </w:t>
      </w:r>
      <w:r w:rsidR="00C561DF" w:rsidRPr="00CE23AE">
        <w:rPr>
          <w:lang w:val="en-US"/>
        </w:rPr>
        <w:t>Article</w:t>
      </w:r>
      <w:r w:rsidR="00F31B3A" w:rsidRPr="00CE23AE">
        <w:rPr>
          <w:lang w:val="en-US"/>
        </w:rPr>
        <w:t xml:space="preserve"> </w:t>
      </w:r>
      <w:r w:rsidR="00C561DF" w:rsidRPr="00CE23AE">
        <w:rPr>
          <w:lang w:val="en-US"/>
        </w:rPr>
        <w:t>8(1) of the Convention</w:t>
      </w:r>
      <w:r w:rsidR="00F31B3A" w:rsidRPr="00CE23AE">
        <w:rPr>
          <w:lang w:val="en-US"/>
        </w:rPr>
        <w:t xml:space="preserve">, </w:t>
      </w:r>
      <w:r w:rsidRPr="00CE23AE">
        <w:rPr>
          <w:lang w:val="en-US"/>
        </w:rPr>
        <w:t>the proceedings must be examined as a whole; that is, analyzing all their stages, and not by an isolated evaluation of a single deficient phase, unless its effects permeate the whole proceedings and were not rectified at a subsequent stage. The Court has also recognized that the scope of the guarantees established in</w:t>
      </w:r>
      <w:r w:rsidR="00F31B3A" w:rsidRPr="00CE23AE">
        <w:rPr>
          <w:lang w:val="en-US"/>
        </w:rPr>
        <w:t xml:space="preserve"> </w:t>
      </w:r>
      <w:r w:rsidR="00C561DF" w:rsidRPr="00CE23AE">
        <w:rPr>
          <w:lang w:val="en-US"/>
        </w:rPr>
        <w:t>Article</w:t>
      </w:r>
      <w:r w:rsidR="00F31B3A" w:rsidRPr="00CE23AE">
        <w:rPr>
          <w:lang w:val="en-US"/>
        </w:rPr>
        <w:t xml:space="preserve"> </w:t>
      </w:r>
      <w:r w:rsidR="00C561DF" w:rsidRPr="00CE23AE">
        <w:rPr>
          <w:lang w:val="en-US"/>
        </w:rPr>
        <w:t>8(1) of the Convention</w:t>
      </w:r>
      <w:r w:rsidR="00F31B3A" w:rsidRPr="00CE23AE">
        <w:rPr>
          <w:lang w:val="en-US"/>
        </w:rPr>
        <w:t xml:space="preserve">, </w:t>
      </w:r>
      <w:r w:rsidRPr="00CE23AE">
        <w:rPr>
          <w:lang w:val="en-US"/>
        </w:rPr>
        <w:t>such as the obligation to provide the reasoning, will depend on the nature of the proceedings and the subject matter on which rulings are made.</w:t>
      </w:r>
      <w:r w:rsidR="00F31B3A" w:rsidRPr="00CE23AE">
        <w:rPr>
          <w:rStyle w:val="Refdenotaalpie"/>
          <w:lang w:val="en-US"/>
        </w:rPr>
        <w:footnoteReference w:id="262"/>
      </w:r>
      <w:r w:rsidR="00F31B3A" w:rsidRPr="00CE23AE">
        <w:rPr>
          <w:lang w:val="en-US"/>
        </w:rPr>
        <w:t xml:space="preserve"> </w:t>
      </w:r>
      <w:r w:rsidRPr="00CE23AE">
        <w:rPr>
          <w:lang w:val="en-US"/>
        </w:rPr>
        <w:t xml:space="preserve">The obligation to provide the reasoning does not require a </w:t>
      </w:r>
      <w:r w:rsidR="0048312C" w:rsidRPr="00CE23AE">
        <w:rPr>
          <w:lang w:val="en-US"/>
        </w:rPr>
        <w:t xml:space="preserve">detailed </w:t>
      </w:r>
      <w:r w:rsidRPr="00CE23AE">
        <w:rPr>
          <w:lang w:val="en-US"/>
        </w:rPr>
        <w:t xml:space="preserve">response to </w:t>
      </w:r>
      <w:r w:rsidR="0048312C" w:rsidRPr="00CE23AE">
        <w:rPr>
          <w:lang w:val="en-US"/>
        </w:rPr>
        <w:t>each and every argument of the parties,</w:t>
      </w:r>
      <w:r w:rsidR="00F31B3A" w:rsidRPr="00CE23AE">
        <w:rPr>
          <w:rStyle w:val="Refdenotaalpie"/>
          <w:lang w:val="en-US"/>
        </w:rPr>
        <w:footnoteReference w:id="263"/>
      </w:r>
      <w:r w:rsidR="0048312C" w:rsidRPr="00CE23AE">
        <w:rPr>
          <w:lang w:val="en-US"/>
        </w:rPr>
        <w:t xml:space="preserve"> but rather a response to the main and essential arguments on the purpose of the dispute that guarantees to the parties that they have been heard during the proceedings</w:t>
      </w:r>
      <w:r w:rsidR="00F31B3A" w:rsidRPr="00CE23AE">
        <w:rPr>
          <w:lang w:val="en-US"/>
        </w:rPr>
        <w:t xml:space="preserve">. </w:t>
      </w:r>
    </w:p>
    <w:bookmarkEnd w:id="441"/>
    <w:p w14:paraId="10DB891A" w14:textId="77777777" w:rsidR="00F31B3A" w:rsidRPr="00CE23AE" w:rsidRDefault="00F31B3A" w:rsidP="00F31B3A">
      <w:pPr>
        <w:widowControl/>
        <w:tabs>
          <w:tab w:val="left" w:pos="567"/>
        </w:tabs>
        <w:suppressAutoHyphens/>
        <w:adjustRightInd/>
        <w:spacing w:line="240" w:lineRule="auto"/>
        <w:textAlignment w:val="auto"/>
        <w:rPr>
          <w:lang w:val="en-US"/>
        </w:rPr>
      </w:pPr>
    </w:p>
    <w:p w14:paraId="51276111" w14:textId="570E2B90" w:rsidR="00F31B3A" w:rsidRPr="00CE23AE" w:rsidRDefault="006F1F79" w:rsidP="00F31B3A">
      <w:pPr>
        <w:widowControl/>
        <w:numPr>
          <w:ilvl w:val="0"/>
          <w:numId w:val="6"/>
        </w:numPr>
        <w:tabs>
          <w:tab w:val="left" w:pos="567"/>
        </w:tabs>
        <w:suppressAutoHyphens/>
        <w:adjustRightInd/>
        <w:spacing w:line="240" w:lineRule="auto"/>
        <w:textAlignment w:val="auto"/>
        <w:rPr>
          <w:lang w:val="en-US"/>
        </w:rPr>
      </w:pPr>
      <w:r w:rsidRPr="00CE23AE">
        <w:rPr>
          <w:lang w:val="en-US"/>
        </w:rPr>
        <w:t>Regarding the facts of this case</w:t>
      </w:r>
      <w:r w:rsidR="00F31B3A" w:rsidRPr="00CE23AE">
        <w:rPr>
          <w:lang w:val="en-US"/>
        </w:rPr>
        <w:t xml:space="preserve">, </w:t>
      </w:r>
      <w:r w:rsidR="00C561DF" w:rsidRPr="00CE23AE">
        <w:rPr>
          <w:lang w:val="en-US"/>
        </w:rPr>
        <w:t>the Court</w:t>
      </w:r>
      <w:r w:rsidR="00F31B3A" w:rsidRPr="00CE23AE">
        <w:rPr>
          <w:lang w:val="en-US"/>
        </w:rPr>
        <w:t xml:space="preserve"> </w:t>
      </w:r>
      <w:r w:rsidRPr="00CE23AE">
        <w:rPr>
          <w:lang w:val="en-US"/>
        </w:rPr>
        <w:t xml:space="preserve">notes that the decisions of the Officers’ Boards were notified to </w:t>
      </w:r>
      <w:r w:rsidR="008B76F3" w:rsidRPr="00CE23AE">
        <w:rPr>
          <w:lang w:val="en-US"/>
        </w:rPr>
        <w:t>Mr.</w:t>
      </w:r>
      <w:r w:rsidR="00F31B3A" w:rsidRPr="00CE23AE">
        <w:rPr>
          <w:lang w:val="en-US"/>
        </w:rPr>
        <w:t xml:space="preserve"> Flor Freire </w:t>
      </w:r>
      <w:r w:rsidRPr="00CE23AE">
        <w:rPr>
          <w:lang w:val="en-US"/>
        </w:rPr>
        <w:t>by</w:t>
      </w:r>
      <w:r w:rsidR="00F31B3A" w:rsidRPr="00CE23AE">
        <w:rPr>
          <w:lang w:val="en-US"/>
        </w:rPr>
        <w:t xml:space="preserve"> </w:t>
      </w:r>
      <w:r w:rsidR="008B76F3" w:rsidRPr="00CE23AE">
        <w:rPr>
          <w:lang w:val="en-US"/>
        </w:rPr>
        <w:t>memorandum</w:t>
      </w:r>
      <w:r w:rsidR="00F31B3A" w:rsidRPr="00CE23AE">
        <w:rPr>
          <w:lang w:val="en-US"/>
        </w:rPr>
        <w:t>s</w:t>
      </w:r>
      <w:r w:rsidRPr="00CE23AE">
        <w:rPr>
          <w:lang w:val="en-US"/>
        </w:rPr>
        <w:t xml:space="preserve"> </w:t>
      </w:r>
      <w:r w:rsidR="005E2302" w:rsidRPr="00CE23AE">
        <w:rPr>
          <w:lang w:val="en-US"/>
        </w:rPr>
        <w:t>containing</w:t>
      </w:r>
      <w:r w:rsidRPr="00CE23AE">
        <w:rPr>
          <w:lang w:val="en-US"/>
        </w:rPr>
        <w:t xml:space="preserve"> the </w:t>
      </w:r>
      <w:r w:rsidR="00A873E4" w:rsidRPr="00CE23AE">
        <w:rPr>
          <w:lang w:val="en-US"/>
        </w:rPr>
        <w:t>decision</w:t>
      </w:r>
      <w:r w:rsidRPr="00CE23AE">
        <w:rPr>
          <w:lang w:val="en-US"/>
        </w:rPr>
        <w:t xml:space="preserve"> </w:t>
      </w:r>
      <w:r w:rsidR="00F31B3A" w:rsidRPr="00CE23AE">
        <w:rPr>
          <w:lang w:val="en-US"/>
        </w:rPr>
        <w:t>(</w:t>
      </w:r>
      <w:r w:rsidR="00F31B3A" w:rsidRPr="00CE23AE">
        <w:rPr>
          <w:i/>
          <w:lang w:val="en-US"/>
        </w:rPr>
        <w:t>supra</w:t>
      </w:r>
      <w:r w:rsidR="00F31B3A" w:rsidRPr="00CE23AE">
        <w:rPr>
          <w:lang w:val="en-US"/>
        </w:rPr>
        <w:t xml:space="preserve"> </w:t>
      </w:r>
      <w:r w:rsidR="005C743F" w:rsidRPr="00CE23AE">
        <w:rPr>
          <w:lang w:val="en-US"/>
        </w:rPr>
        <w:t>paras.</w:t>
      </w:r>
      <w:r w:rsidR="00F31B3A" w:rsidRPr="00CE23AE">
        <w:rPr>
          <w:lang w:val="en-US"/>
        </w:rPr>
        <w:t xml:space="preserve"> </w:t>
      </w:r>
      <w:r w:rsidR="00F31B3A" w:rsidRPr="00CE23AE">
        <w:rPr>
          <w:lang w:val="en-US"/>
        </w:rPr>
        <w:fldChar w:fldCharType="begin"/>
      </w:r>
      <w:r w:rsidR="00F31B3A" w:rsidRPr="00CE23AE">
        <w:rPr>
          <w:lang w:val="en-US"/>
        </w:rPr>
        <w:instrText xml:space="preserve"> REF _Ref447297666 \r \h </w:instrText>
      </w:r>
      <w:r w:rsidR="00CE23AE">
        <w:rPr>
          <w:lang w:val="en-US"/>
        </w:rPr>
        <w:instrText xml:space="preserve"> \* MERGEFORMAT </w:instrText>
      </w:r>
      <w:r w:rsidR="00F31B3A" w:rsidRPr="00CE23AE">
        <w:rPr>
          <w:lang w:val="en-US"/>
        </w:rPr>
      </w:r>
      <w:r w:rsidR="00F31B3A" w:rsidRPr="00CE23AE">
        <w:rPr>
          <w:lang w:val="en-US"/>
        </w:rPr>
        <w:fldChar w:fldCharType="separate"/>
      </w:r>
      <w:r w:rsidR="00BC2953" w:rsidRPr="00CE23AE">
        <w:rPr>
          <w:lang w:val="en-US"/>
        </w:rPr>
        <w:t>79</w:t>
      </w:r>
      <w:r w:rsidR="00F31B3A" w:rsidRPr="00CE23AE">
        <w:rPr>
          <w:lang w:val="en-US"/>
        </w:rPr>
        <w:fldChar w:fldCharType="end"/>
      </w:r>
      <w:r w:rsidR="00C561DF" w:rsidRPr="00CE23AE">
        <w:rPr>
          <w:lang w:val="en-US"/>
        </w:rPr>
        <w:t xml:space="preserve"> and </w:t>
      </w:r>
      <w:r w:rsidR="00F31B3A" w:rsidRPr="00CE23AE">
        <w:rPr>
          <w:lang w:val="en-US"/>
        </w:rPr>
        <w:fldChar w:fldCharType="begin"/>
      </w:r>
      <w:r w:rsidR="00F31B3A" w:rsidRPr="00CE23AE">
        <w:rPr>
          <w:lang w:val="en-US"/>
        </w:rPr>
        <w:instrText xml:space="preserve"> REF _Ref453869467 \r \h </w:instrText>
      </w:r>
      <w:r w:rsidR="00CE23AE">
        <w:rPr>
          <w:lang w:val="en-US"/>
        </w:rPr>
        <w:instrText xml:space="preserve"> \* MERGEFORMAT </w:instrText>
      </w:r>
      <w:r w:rsidR="00F31B3A" w:rsidRPr="00CE23AE">
        <w:rPr>
          <w:lang w:val="en-US"/>
        </w:rPr>
      </w:r>
      <w:r w:rsidR="00F31B3A" w:rsidRPr="00CE23AE">
        <w:rPr>
          <w:lang w:val="en-US"/>
        </w:rPr>
        <w:fldChar w:fldCharType="separate"/>
      </w:r>
      <w:r w:rsidR="00BC2953" w:rsidRPr="00CE23AE">
        <w:rPr>
          <w:lang w:val="en-US"/>
        </w:rPr>
        <w:t>82</w:t>
      </w:r>
      <w:r w:rsidR="00F31B3A" w:rsidRPr="00CE23AE">
        <w:rPr>
          <w:lang w:val="en-US"/>
        </w:rPr>
        <w:fldChar w:fldCharType="end"/>
      </w:r>
      <w:r w:rsidR="00F31B3A" w:rsidRPr="00CE23AE">
        <w:rPr>
          <w:lang w:val="en-US"/>
        </w:rPr>
        <w:t xml:space="preserve">). </w:t>
      </w:r>
      <w:r w:rsidRPr="00CE23AE">
        <w:rPr>
          <w:lang w:val="en-US"/>
        </w:rPr>
        <w:t>The text</w:t>
      </w:r>
      <w:r w:rsidR="008B76F3" w:rsidRPr="00CE23AE">
        <w:rPr>
          <w:lang w:val="en-US"/>
        </w:rPr>
        <w:t xml:space="preserve"> of the </w:t>
      </w:r>
      <w:r w:rsidR="0078516C" w:rsidRPr="00CE23AE">
        <w:rPr>
          <w:lang w:val="en-US"/>
        </w:rPr>
        <w:t>decision</w:t>
      </w:r>
      <w:r w:rsidR="008B76F3" w:rsidRPr="00CE23AE">
        <w:rPr>
          <w:lang w:val="en-US"/>
        </w:rPr>
        <w:t xml:space="preserve"> of the </w:t>
      </w:r>
      <w:r w:rsidR="00C347F4" w:rsidRPr="00CE23AE">
        <w:rPr>
          <w:lang w:val="en-US"/>
        </w:rPr>
        <w:t>Junior Officers Board</w:t>
      </w:r>
      <w:r w:rsidR="00F31B3A" w:rsidRPr="00CE23AE">
        <w:rPr>
          <w:lang w:val="en-US"/>
        </w:rPr>
        <w:t xml:space="preserve"> </w:t>
      </w:r>
      <w:r w:rsidRPr="00CE23AE">
        <w:rPr>
          <w:lang w:val="en-US"/>
        </w:rPr>
        <w:t xml:space="preserve">consists exclusively of the following: </w:t>
      </w:r>
    </w:p>
    <w:p w14:paraId="6EC3B2F9" w14:textId="77777777" w:rsidR="00F31B3A" w:rsidRPr="00CE23AE" w:rsidRDefault="00F31B3A" w:rsidP="00F31B3A">
      <w:pPr>
        <w:widowControl/>
        <w:tabs>
          <w:tab w:val="left" w:pos="567"/>
        </w:tabs>
        <w:suppressAutoHyphens/>
        <w:adjustRightInd/>
        <w:spacing w:line="240" w:lineRule="auto"/>
        <w:ind w:right="615"/>
        <w:textAlignment w:val="auto"/>
        <w:rPr>
          <w:szCs w:val="20"/>
          <w:lang w:val="en-US"/>
        </w:rPr>
      </w:pPr>
    </w:p>
    <w:p w14:paraId="64B5E694" w14:textId="0133FABC" w:rsidR="00F31B3A" w:rsidRPr="00CE23AE" w:rsidRDefault="006F1F79" w:rsidP="006F1F79">
      <w:pPr>
        <w:widowControl/>
        <w:autoSpaceDE w:val="0"/>
        <w:autoSpaceDN w:val="0"/>
        <w:spacing w:line="240" w:lineRule="auto"/>
        <w:ind w:left="567" w:right="615"/>
        <w:textAlignment w:val="auto"/>
        <w:rPr>
          <w:rFonts w:eastAsiaTheme="minorHAnsi"/>
          <w:sz w:val="18"/>
          <w:szCs w:val="18"/>
          <w:lang w:val="en-US" w:eastAsia="en-US"/>
        </w:rPr>
      </w:pPr>
      <w:r w:rsidRPr="00CE23AE">
        <w:rPr>
          <w:rFonts w:eastAsiaTheme="minorHAnsi"/>
          <w:sz w:val="18"/>
          <w:szCs w:val="18"/>
          <w:lang w:val="en-US" w:eastAsia="en-US"/>
        </w:rPr>
        <w:t>By decision</w:t>
      </w:r>
      <w:r w:rsidR="008B76F3" w:rsidRPr="00CE23AE">
        <w:rPr>
          <w:rFonts w:eastAsiaTheme="minorHAnsi"/>
          <w:sz w:val="18"/>
          <w:szCs w:val="18"/>
          <w:lang w:val="en-US" w:eastAsia="en-US"/>
        </w:rPr>
        <w:t xml:space="preserve"> of the </w:t>
      </w:r>
      <w:r w:rsidR="00C347F4" w:rsidRPr="00CE23AE">
        <w:rPr>
          <w:rFonts w:eastAsiaTheme="minorHAnsi"/>
          <w:sz w:val="18"/>
          <w:szCs w:val="18"/>
          <w:lang w:val="en-US" w:eastAsia="en-US"/>
        </w:rPr>
        <w:t>Junior Officers Board</w:t>
      </w:r>
      <w:r w:rsidR="008B76F3" w:rsidRPr="00CE23AE">
        <w:rPr>
          <w:rFonts w:eastAsiaTheme="minorHAnsi"/>
          <w:sz w:val="18"/>
          <w:szCs w:val="18"/>
          <w:lang w:val="en-US" w:eastAsia="en-US"/>
        </w:rPr>
        <w:t xml:space="preserve"> of the </w:t>
      </w:r>
      <w:r w:rsidR="008B76F3" w:rsidRPr="00CE23AE">
        <w:rPr>
          <w:rFonts w:eastAsiaTheme="minorHAnsi" w:cs="Arial"/>
          <w:sz w:val="18"/>
          <w:szCs w:val="18"/>
          <w:lang w:val="en-US" w:eastAsia="en-US"/>
        </w:rPr>
        <w:t>Ground Forces</w:t>
      </w:r>
      <w:r w:rsidR="00F31B3A" w:rsidRPr="00CE23AE">
        <w:rPr>
          <w:rFonts w:eastAsiaTheme="minorHAnsi"/>
          <w:sz w:val="18"/>
          <w:szCs w:val="18"/>
          <w:lang w:val="en-US" w:eastAsia="en-US"/>
        </w:rPr>
        <w:t xml:space="preserve">, </w:t>
      </w:r>
      <w:r w:rsidRPr="00CE23AE">
        <w:rPr>
          <w:rFonts w:eastAsiaTheme="minorHAnsi"/>
          <w:sz w:val="18"/>
          <w:szCs w:val="18"/>
          <w:lang w:val="en-US" w:eastAsia="en-US"/>
        </w:rPr>
        <w:t xml:space="preserve">the present memorandum informs you, Lieutenant Flor Freire, that in the session held on Thursday, May 3 of this year, this body decided: That, </w:t>
      </w:r>
      <w:r w:rsidRPr="00CE23AE">
        <w:rPr>
          <w:rFonts w:eastAsiaTheme="minorHAnsi"/>
          <w:i/>
          <w:iCs/>
          <w:sz w:val="18"/>
          <w:szCs w:val="18"/>
          <w:u w:val="single"/>
          <w:lang w:val="en-US" w:eastAsia="en-US"/>
        </w:rPr>
        <w:t xml:space="preserve">lacking legal grounds that </w:t>
      </w:r>
      <w:r w:rsidR="0015354B" w:rsidRPr="00CE23AE">
        <w:rPr>
          <w:rFonts w:eastAsiaTheme="minorHAnsi"/>
          <w:i/>
          <w:iCs/>
          <w:sz w:val="18"/>
          <w:szCs w:val="18"/>
          <w:u w:val="single"/>
          <w:lang w:val="en-US" w:eastAsia="en-US"/>
        </w:rPr>
        <w:t xml:space="preserve">would </w:t>
      </w:r>
      <w:r w:rsidRPr="00CE23AE">
        <w:rPr>
          <w:rFonts w:eastAsiaTheme="minorHAnsi"/>
          <w:i/>
          <w:iCs/>
          <w:sz w:val="18"/>
          <w:szCs w:val="18"/>
          <w:u w:val="single"/>
          <w:lang w:val="en-US" w:eastAsia="en-US"/>
        </w:rPr>
        <w:t>permit a contrary ruling,</w:t>
      </w:r>
      <w:r w:rsidRPr="00CE23AE">
        <w:rPr>
          <w:rFonts w:eastAsiaTheme="minorHAnsi"/>
          <w:sz w:val="18"/>
          <w:szCs w:val="18"/>
          <w:lang w:val="en-US" w:eastAsia="en-US"/>
        </w:rPr>
        <w:t xml:space="preserve"> the re</w:t>
      </w:r>
      <w:r w:rsidR="005E2302" w:rsidRPr="00CE23AE">
        <w:rPr>
          <w:rFonts w:eastAsiaTheme="minorHAnsi"/>
          <w:sz w:val="18"/>
          <w:szCs w:val="18"/>
          <w:lang w:val="en-US" w:eastAsia="en-US"/>
        </w:rPr>
        <w:t>commendation</w:t>
      </w:r>
      <w:r w:rsidRPr="00CE23AE">
        <w:rPr>
          <w:rFonts w:eastAsiaTheme="minorHAnsi"/>
          <w:sz w:val="18"/>
          <w:szCs w:val="18"/>
          <w:lang w:val="en-US" w:eastAsia="en-US"/>
        </w:rPr>
        <w:t xml:space="preserve"> of the </w:t>
      </w:r>
      <w:r w:rsidR="00A055CE" w:rsidRPr="00CE23AE">
        <w:rPr>
          <w:rFonts w:eastAsiaTheme="minorHAnsi"/>
          <w:sz w:val="18"/>
          <w:szCs w:val="18"/>
          <w:lang w:val="en-US" w:eastAsia="en-US"/>
        </w:rPr>
        <w:t>Court of Law</w:t>
      </w:r>
      <w:r w:rsidRPr="00CE23AE">
        <w:rPr>
          <w:rFonts w:eastAsiaTheme="minorHAnsi"/>
          <w:sz w:val="18"/>
          <w:szCs w:val="18"/>
          <w:lang w:val="en-US" w:eastAsia="en-US"/>
        </w:rPr>
        <w:t xml:space="preserve"> of the </w:t>
      </w:r>
      <w:r w:rsidRPr="00CE23AE">
        <w:rPr>
          <w:rFonts w:eastAsiaTheme="minorHAnsi" w:cs="Arial"/>
          <w:sz w:val="18"/>
          <w:szCs w:val="18"/>
          <w:lang w:val="en-US" w:eastAsia="en-US"/>
        </w:rPr>
        <w:t xml:space="preserve">Fourth Military Zone, issued in the decision in </w:t>
      </w:r>
      <w:r w:rsidR="00A06577" w:rsidRPr="00CE23AE">
        <w:rPr>
          <w:rFonts w:eastAsiaTheme="minorHAnsi"/>
          <w:sz w:val="18"/>
          <w:szCs w:val="18"/>
          <w:lang w:val="en-US" w:eastAsia="en-US"/>
        </w:rPr>
        <w:t>Summary inquiry</w:t>
      </w:r>
      <w:r w:rsidRPr="00CE23AE">
        <w:rPr>
          <w:rFonts w:eastAsiaTheme="minorHAnsi"/>
          <w:sz w:val="18"/>
          <w:szCs w:val="18"/>
          <w:lang w:val="en-US" w:eastAsia="en-US"/>
        </w:rPr>
        <w:t xml:space="preserve"> No. 20-2000-IV-DE-JM-1 is a</w:t>
      </w:r>
      <w:r w:rsidR="00A873E4" w:rsidRPr="00CE23AE">
        <w:rPr>
          <w:rFonts w:eastAsiaTheme="minorHAnsi"/>
          <w:sz w:val="18"/>
          <w:szCs w:val="18"/>
          <w:lang w:val="en-US" w:eastAsia="en-US"/>
        </w:rPr>
        <w:t>ccept</w:t>
      </w:r>
      <w:r w:rsidRPr="00CE23AE">
        <w:rPr>
          <w:rFonts w:eastAsiaTheme="minorHAnsi"/>
          <w:sz w:val="18"/>
          <w:szCs w:val="18"/>
          <w:lang w:val="en-US" w:eastAsia="en-US"/>
        </w:rPr>
        <w:t>ed; that is</w:t>
      </w:r>
      <w:r w:rsidR="00A873E4" w:rsidRPr="00CE23AE">
        <w:rPr>
          <w:rFonts w:eastAsiaTheme="minorHAnsi"/>
          <w:sz w:val="18"/>
          <w:szCs w:val="18"/>
          <w:lang w:val="en-US" w:eastAsia="en-US"/>
        </w:rPr>
        <w:t>,</w:t>
      </w:r>
      <w:r w:rsidRPr="00CE23AE">
        <w:rPr>
          <w:rFonts w:eastAsiaTheme="minorHAnsi"/>
          <w:sz w:val="18"/>
          <w:szCs w:val="18"/>
          <w:lang w:val="en-US" w:eastAsia="en-US"/>
        </w:rPr>
        <w:t xml:space="preserve"> that you shall be placed on paid leave prior to your discharge from active service with the Ground Forces, in application of the provisions of art.76(i) of </w:t>
      </w:r>
      <w:r w:rsidR="008B76F3" w:rsidRPr="00CE23AE">
        <w:rPr>
          <w:rFonts w:eastAsiaTheme="minorHAnsi"/>
          <w:sz w:val="18"/>
          <w:szCs w:val="18"/>
          <w:lang w:val="en-US" w:eastAsia="en-US"/>
        </w:rPr>
        <w:t>the Law on Armed Forces Personnel</w:t>
      </w:r>
      <w:r w:rsidR="00F31B3A" w:rsidRPr="00CE23AE">
        <w:rPr>
          <w:rFonts w:eastAsiaTheme="minorHAnsi"/>
          <w:sz w:val="18"/>
          <w:szCs w:val="18"/>
          <w:lang w:val="en-US" w:eastAsia="en-US"/>
        </w:rPr>
        <w:t xml:space="preserve"> </w:t>
      </w:r>
      <w:r w:rsidRPr="00CE23AE">
        <w:rPr>
          <w:rFonts w:eastAsiaTheme="minorHAnsi"/>
          <w:sz w:val="18"/>
          <w:szCs w:val="18"/>
          <w:lang w:val="en-US" w:eastAsia="en-US"/>
        </w:rPr>
        <w:t>in force</w:t>
      </w:r>
      <w:r w:rsidR="00F31B3A" w:rsidRPr="00CE23AE">
        <w:rPr>
          <w:rStyle w:val="Refdenotaalpie"/>
          <w:sz w:val="18"/>
          <w:szCs w:val="18"/>
          <w:lang w:val="en-US"/>
        </w:rPr>
        <w:footnoteReference w:id="264"/>
      </w:r>
      <w:r w:rsidR="00F31B3A" w:rsidRPr="00CE23AE">
        <w:rPr>
          <w:rFonts w:eastAsiaTheme="minorHAnsi"/>
          <w:sz w:val="18"/>
          <w:szCs w:val="18"/>
          <w:lang w:val="en-US" w:eastAsia="en-US"/>
        </w:rPr>
        <w:t xml:space="preserve"> </w:t>
      </w:r>
      <w:r w:rsidR="00F31B3A" w:rsidRPr="00CE23AE">
        <w:rPr>
          <w:rFonts w:eastAsiaTheme="minorHAnsi" w:cs="Arial"/>
          <w:i/>
          <w:sz w:val="18"/>
          <w:szCs w:val="18"/>
          <w:lang w:val="en-US" w:eastAsia="en-US"/>
        </w:rPr>
        <w:t>(</w:t>
      </w:r>
      <w:r w:rsidRPr="00CE23AE">
        <w:rPr>
          <w:i/>
          <w:sz w:val="18"/>
          <w:szCs w:val="18"/>
          <w:lang w:val="en-US"/>
        </w:rPr>
        <w:t>italics and underlining added</w:t>
      </w:r>
      <w:r w:rsidR="00F31B3A" w:rsidRPr="00CE23AE">
        <w:rPr>
          <w:rFonts w:eastAsiaTheme="minorHAnsi" w:cs="Arial"/>
          <w:i/>
          <w:sz w:val="18"/>
          <w:szCs w:val="18"/>
          <w:lang w:val="en-US" w:eastAsia="en-US"/>
        </w:rPr>
        <w:t>)</w:t>
      </w:r>
      <w:r w:rsidRPr="00CE23AE">
        <w:rPr>
          <w:rFonts w:eastAsiaTheme="minorHAnsi" w:cs="Arial"/>
          <w:i/>
          <w:sz w:val="18"/>
          <w:szCs w:val="18"/>
          <w:lang w:val="en-US" w:eastAsia="en-US"/>
        </w:rPr>
        <w:t>.</w:t>
      </w:r>
    </w:p>
    <w:p w14:paraId="315B99CD" w14:textId="77777777" w:rsidR="00F31B3A" w:rsidRPr="00CE23AE" w:rsidRDefault="00F31B3A" w:rsidP="00F31B3A">
      <w:pPr>
        <w:widowControl/>
        <w:autoSpaceDE w:val="0"/>
        <w:autoSpaceDN w:val="0"/>
        <w:spacing w:line="240" w:lineRule="auto"/>
        <w:ind w:left="567" w:right="615"/>
        <w:textAlignment w:val="auto"/>
        <w:rPr>
          <w:rFonts w:eastAsiaTheme="minorHAnsi"/>
          <w:sz w:val="18"/>
          <w:szCs w:val="18"/>
          <w:lang w:val="en-US" w:eastAsia="en-US"/>
        </w:rPr>
      </w:pPr>
    </w:p>
    <w:p w14:paraId="222825BE" w14:textId="01567E02" w:rsidR="00F31B3A" w:rsidRPr="00CE23AE" w:rsidRDefault="006F1F79" w:rsidP="00F31B3A">
      <w:pPr>
        <w:widowControl/>
        <w:numPr>
          <w:ilvl w:val="0"/>
          <w:numId w:val="6"/>
        </w:numPr>
        <w:tabs>
          <w:tab w:val="left" w:pos="567"/>
        </w:tabs>
        <w:suppressAutoHyphens/>
        <w:adjustRightInd/>
        <w:spacing w:line="240" w:lineRule="auto"/>
        <w:textAlignment w:val="auto"/>
        <w:rPr>
          <w:lang w:val="en-US"/>
        </w:rPr>
      </w:pPr>
      <w:r w:rsidRPr="00CE23AE">
        <w:rPr>
          <w:lang w:val="en-US"/>
        </w:rPr>
        <w:t>Similarly</w:t>
      </w:r>
      <w:r w:rsidR="00F31B3A" w:rsidRPr="00CE23AE">
        <w:rPr>
          <w:lang w:val="en-US"/>
        </w:rPr>
        <w:t xml:space="preserve">, </w:t>
      </w:r>
      <w:r w:rsidRPr="00CE23AE">
        <w:rPr>
          <w:lang w:val="en-US"/>
        </w:rPr>
        <w:t>the text</w:t>
      </w:r>
      <w:r w:rsidR="008B76F3" w:rsidRPr="00CE23AE">
        <w:rPr>
          <w:lang w:val="en-US"/>
        </w:rPr>
        <w:t xml:space="preserve"> of the </w:t>
      </w:r>
      <w:r w:rsidR="0078516C" w:rsidRPr="00CE23AE">
        <w:rPr>
          <w:lang w:val="en-US"/>
        </w:rPr>
        <w:t>decision</w:t>
      </w:r>
      <w:r w:rsidR="008B76F3" w:rsidRPr="00CE23AE">
        <w:rPr>
          <w:lang w:val="en-US"/>
        </w:rPr>
        <w:t xml:space="preserve"> of the </w:t>
      </w:r>
      <w:r w:rsidR="00847B25" w:rsidRPr="00CE23AE">
        <w:rPr>
          <w:lang w:val="en-US"/>
        </w:rPr>
        <w:t>Senior Officers Board</w:t>
      </w:r>
      <w:r w:rsidR="00F31B3A" w:rsidRPr="00CE23AE">
        <w:rPr>
          <w:lang w:val="en-US"/>
        </w:rPr>
        <w:t xml:space="preserve"> </w:t>
      </w:r>
      <w:r w:rsidRPr="00CE23AE">
        <w:rPr>
          <w:lang w:val="en-US"/>
        </w:rPr>
        <w:t>consists exclusively of the following</w:t>
      </w:r>
      <w:r w:rsidR="00F31B3A" w:rsidRPr="00CE23AE">
        <w:rPr>
          <w:lang w:val="en-US"/>
        </w:rPr>
        <w:t xml:space="preserve">: </w:t>
      </w:r>
    </w:p>
    <w:p w14:paraId="793C9C72" w14:textId="77777777" w:rsidR="00F31B3A" w:rsidRPr="00CE23AE" w:rsidRDefault="00F31B3A" w:rsidP="00F31B3A">
      <w:pPr>
        <w:widowControl/>
        <w:tabs>
          <w:tab w:val="left" w:pos="567"/>
        </w:tabs>
        <w:suppressAutoHyphens/>
        <w:adjustRightInd/>
        <w:spacing w:line="240" w:lineRule="auto"/>
        <w:textAlignment w:val="auto"/>
        <w:rPr>
          <w:lang w:val="en-US"/>
        </w:rPr>
      </w:pPr>
    </w:p>
    <w:p w14:paraId="254ACAFC" w14:textId="63CA4975" w:rsidR="00F31B3A" w:rsidRPr="00CE23AE" w:rsidRDefault="006F1F79" w:rsidP="00F31B3A">
      <w:pPr>
        <w:widowControl/>
        <w:autoSpaceDE w:val="0"/>
        <w:autoSpaceDN w:val="0"/>
        <w:spacing w:line="240" w:lineRule="auto"/>
        <w:ind w:left="567" w:right="615"/>
        <w:textAlignment w:val="auto"/>
        <w:rPr>
          <w:rFonts w:eastAsiaTheme="minorHAnsi" w:cs="Arial"/>
          <w:sz w:val="18"/>
          <w:szCs w:val="18"/>
          <w:lang w:val="en-US" w:eastAsia="en-US"/>
        </w:rPr>
      </w:pPr>
      <w:r w:rsidRPr="00CE23AE">
        <w:rPr>
          <w:rFonts w:eastAsiaTheme="minorHAnsi" w:cs="Arial"/>
          <w:sz w:val="18"/>
          <w:szCs w:val="18"/>
          <w:lang w:val="en-US" w:eastAsia="en-US"/>
        </w:rPr>
        <w:t>This memorandum is to inform you, Lieutenant Flor Freire, that</w:t>
      </w:r>
      <w:r w:rsidR="00F31B3A" w:rsidRPr="00CE23AE">
        <w:rPr>
          <w:rFonts w:eastAsiaTheme="minorHAnsi" w:cs="Arial"/>
          <w:sz w:val="18"/>
          <w:szCs w:val="18"/>
          <w:lang w:val="en-US" w:eastAsia="en-US"/>
        </w:rPr>
        <w:t xml:space="preserve"> </w:t>
      </w:r>
      <w:r w:rsidR="008B76F3" w:rsidRPr="00CE23AE">
        <w:rPr>
          <w:rFonts w:eastAsiaTheme="minorHAnsi" w:cs="Arial"/>
          <w:sz w:val="18"/>
          <w:szCs w:val="18"/>
          <w:lang w:val="en-US" w:eastAsia="en-US"/>
        </w:rPr>
        <w:t xml:space="preserve">the </w:t>
      </w:r>
      <w:r w:rsidR="00847B25" w:rsidRPr="00CE23AE">
        <w:rPr>
          <w:rFonts w:eastAsiaTheme="minorHAnsi" w:cs="Arial"/>
          <w:sz w:val="18"/>
          <w:szCs w:val="18"/>
          <w:lang w:val="en-US" w:eastAsia="en-US"/>
        </w:rPr>
        <w:t>Senior Officers Board</w:t>
      </w:r>
      <w:r w:rsidR="008B76F3" w:rsidRPr="00CE23AE">
        <w:rPr>
          <w:rFonts w:eastAsiaTheme="minorHAnsi" w:cs="Arial"/>
          <w:sz w:val="18"/>
          <w:szCs w:val="18"/>
          <w:lang w:val="en-US" w:eastAsia="en-US"/>
        </w:rPr>
        <w:t xml:space="preserve"> of the Ground Forces</w:t>
      </w:r>
      <w:r w:rsidR="00F31B3A" w:rsidRPr="00CE23AE">
        <w:rPr>
          <w:rFonts w:eastAsiaTheme="minorHAnsi" w:cs="Arial"/>
          <w:sz w:val="18"/>
          <w:szCs w:val="18"/>
          <w:lang w:val="en-US" w:eastAsia="en-US"/>
        </w:rPr>
        <w:t xml:space="preserve">, </w:t>
      </w:r>
      <w:r w:rsidRPr="00CE23AE">
        <w:rPr>
          <w:rFonts w:eastAsiaTheme="minorHAnsi" w:cs="Arial"/>
          <w:sz w:val="18"/>
          <w:szCs w:val="18"/>
          <w:lang w:val="en-US" w:eastAsia="en-US"/>
        </w:rPr>
        <w:t>in the session held on</w:t>
      </w:r>
      <w:r w:rsidR="008B76F3" w:rsidRPr="00CE23AE">
        <w:rPr>
          <w:rFonts w:eastAsiaTheme="minorHAnsi" w:cs="Arial"/>
          <w:sz w:val="18"/>
          <w:szCs w:val="18"/>
          <w:lang w:val="en-US" w:eastAsia="en-US"/>
        </w:rPr>
        <w:t xml:space="preserve"> July 18,</w:t>
      </w:r>
      <w:r w:rsidR="00F31B3A" w:rsidRPr="00CE23AE">
        <w:rPr>
          <w:rFonts w:eastAsiaTheme="minorHAnsi" w:cs="Arial"/>
          <w:sz w:val="18"/>
          <w:szCs w:val="18"/>
          <w:lang w:val="en-US" w:eastAsia="en-US"/>
        </w:rPr>
        <w:t xml:space="preserve"> 2001, </w:t>
      </w:r>
      <w:r w:rsidRPr="00CE23AE">
        <w:rPr>
          <w:rFonts w:eastAsiaTheme="minorHAnsi" w:cs="Arial"/>
          <w:sz w:val="18"/>
          <w:szCs w:val="18"/>
          <w:lang w:val="en-US" w:eastAsia="en-US"/>
        </w:rPr>
        <w:t>in application of</w:t>
      </w:r>
      <w:r w:rsidR="00F31B3A" w:rsidRPr="00CE23AE">
        <w:rPr>
          <w:rFonts w:eastAsiaTheme="minorHAnsi" w:cs="Arial"/>
          <w:sz w:val="18"/>
          <w:szCs w:val="18"/>
          <w:lang w:val="en-US" w:eastAsia="en-US"/>
        </w:rPr>
        <w:t xml:space="preserve"> </w:t>
      </w:r>
      <w:r w:rsidRPr="00CE23AE">
        <w:rPr>
          <w:rFonts w:eastAsiaTheme="minorHAnsi" w:cs="Arial"/>
          <w:sz w:val="18"/>
          <w:szCs w:val="18"/>
          <w:lang w:val="en-US" w:eastAsia="en-US"/>
        </w:rPr>
        <w:t>a</w:t>
      </w:r>
      <w:r w:rsidR="00F31B3A" w:rsidRPr="00CE23AE">
        <w:rPr>
          <w:rFonts w:eastAsiaTheme="minorHAnsi" w:cs="Arial"/>
          <w:sz w:val="18"/>
          <w:szCs w:val="18"/>
          <w:lang w:val="en-US" w:eastAsia="en-US"/>
        </w:rPr>
        <w:t>rt. 200</w:t>
      </w:r>
      <w:r w:rsidRPr="00CE23AE">
        <w:rPr>
          <w:rFonts w:eastAsiaTheme="minorHAnsi" w:cs="Arial"/>
          <w:sz w:val="18"/>
          <w:szCs w:val="18"/>
          <w:lang w:val="en-US" w:eastAsia="en-US"/>
        </w:rPr>
        <w:t>(c</w:t>
      </w:r>
      <w:r w:rsidR="00F31B3A" w:rsidRPr="00CE23AE">
        <w:rPr>
          <w:rFonts w:eastAsiaTheme="minorHAnsi" w:cs="Arial"/>
          <w:sz w:val="18"/>
          <w:szCs w:val="18"/>
          <w:lang w:val="en-US" w:eastAsia="en-US"/>
        </w:rPr>
        <w:t>) (</w:t>
      </w:r>
      <w:r w:rsidRPr="00CE23AE">
        <w:rPr>
          <w:rFonts w:eastAsiaTheme="minorHAnsi" w:cs="Arial"/>
          <w:sz w:val="18"/>
          <w:szCs w:val="18"/>
          <w:lang w:val="en-US" w:eastAsia="en-US"/>
        </w:rPr>
        <w:t>amended</w:t>
      </w:r>
      <w:r w:rsidR="00F31B3A" w:rsidRPr="00CE23AE">
        <w:rPr>
          <w:rFonts w:eastAsiaTheme="minorHAnsi" w:cs="Arial"/>
          <w:sz w:val="18"/>
          <w:szCs w:val="18"/>
          <w:lang w:val="en-US" w:eastAsia="en-US"/>
        </w:rPr>
        <w:t>)</w:t>
      </w:r>
      <w:r w:rsidR="008B76F3" w:rsidRPr="00CE23AE">
        <w:rPr>
          <w:rFonts w:eastAsiaTheme="minorHAnsi" w:cs="Arial"/>
          <w:sz w:val="18"/>
          <w:szCs w:val="18"/>
          <w:lang w:val="en-US" w:eastAsia="en-US"/>
        </w:rPr>
        <w:t xml:space="preserve"> of the Law on Armed Forces Personnel</w:t>
      </w:r>
      <w:r w:rsidR="00F31B3A" w:rsidRPr="00CE23AE">
        <w:rPr>
          <w:rFonts w:eastAsiaTheme="minorHAnsi" w:cs="Arial"/>
          <w:sz w:val="18"/>
          <w:szCs w:val="18"/>
          <w:lang w:val="en-US" w:eastAsia="en-US"/>
        </w:rPr>
        <w:t xml:space="preserve">, </w:t>
      </w:r>
      <w:r w:rsidRPr="00CE23AE">
        <w:rPr>
          <w:rFonts w:eastAsiaTheme="minorHAnsi" w:cs="Arial"/>
          <w:sz w:val="18"/>
          <w:szCs w:val="18"/>
          <w:lang w:val="en-US" w:eastAsia="en-US"/>
        </w:rPr>
        <w:t>in conformity with a</w:t>
      </w:r>
      <w:r w:rsidR="00F31B3A" w:rsidRPr="00CE23AE">
        <w:rPr>
          <w:rFonts w:eastAsiaTheme="minorHAnsi" w:cs="Arial"/>
          <w:sz w:val="18"/>
          <w:szCs w:val="18"/>
          <w:lang w:val="en-US" w:eastAsia="en-US"/>
        </w:rPr>
        <w:t>rt. 7</w:t>
      </w:r>
      <w:r w:rsidR="00C561DF" w:rsidRPr="00CE23AE">
        <w:rPr>
          <w:rFonts w:eastAsiaTheme="minorHAnsi" w:cs="Arial"/>
          <w:sz w:val="18"/>
          <w:szCs w:val="18"/>
          <w:lang w:val="en-US" w:eastAsia="en-US"/>
        </w:rPr>
        <w:t xml:space="preserve"> of the </w:t>
      </w:r>
      <w:r w:rsidR="00A873E4" w:rsidRPr="00CE23AE">
        <w:rPr>
          <w:rFonts w:eastAsiaTheme="minorHAnsi" w:cs="Arial"/>
          <w:sz w:val="18"/>
          <w:szCs w:val="18"/>
          <w:lang w:val="en-US" w:eastAsia="en-US"/>
        </w:rPr>
        <w:t>rules of procedure</w:t>
      </w:r>
      <w:r w:rsidRPr="00CE23AE">
        <w:rPr>
          <w:rFonts w:eastAsiaTheme="minorHAnsi" w:cs="Arial"/>
          <w:sz w:val="18"/>
          <w:szCs w:val="18"/>
          <w:lang w:val="en-US" w:eastAsia="en-US"/>
        </w:rPr>
        <w:t xml:space="preserve"> for Junior and Senior Officers Boards of the Armed Forces, DECIDES, that rejecting the appeal filed, </w:t>
      </w:r>
      <w:r w:rsidRPr="00CE23AE">
        <w:rPr>
          <w:rFonts w:eastAsiaTheme="minorHAnsi"/>
          <w:i/>
          <w:iCs/>
          <w:sz w:val="18"/>
          <w:szCs w:val="18"/>
          <w:u w:val="single"/>
          <w:lang w:val="en-US" w:eastAsia="en-US"/>
        </w:rPr>
        <w:t xml:space="preserve">lacking legal grounds that </w:t>
      </w:r>
      <w:r w:rsidR="0015354B" w:rsidRPr="00CE23AE">
        <w:rPr>
          <w:rFonts w:eastAsiaTheme="minorHAnsi"/>
          <w:i/>
          <w:iCs/>
          <w:sz w:val="18"/>
          <w:szCs w:val="18"/>
          <w:u w:val="single"/>
          <w:lang w:val="en-US" w:eastAsia="en-US"/>
        </w:rPr>
        <w:t>would p</w:t>
      </w:r>
      <w:r w:rsidRPr="00CE23AE">
        <w:rPr>
          <w:rFonts w:eastAsiaTheme="minorHAnsi"/>
          <w:i/>
          <w:iCs/>
          <w:sz w:val="18"/>
          <w:szCs w:val="18"/>
          <w:u w:val="single"/>
          <w:lang w:val="en-US" w:eastAsia="en-US"/>
        </w:rPr>
        <w:t>ermit a contrary ruling,</w:t>
      </w:r>
      <w:r w:rsidRPr="00CE23AE">
        <w:rPr>
          <w:rFonts w:eastAsiaTheme="minorHAnsi" w:cs="Arial"/>
          <w:sz w:val="18"/>
          <w:szCs w:val="18"/>
          <w:lang w:val="en-US" w:eastAsia="en-US"/>
        </w:rPr>
        <w:t xml:space="preserve"> </w:t>
      </w:r>
      <w:r w:rsidR="00A873E4" w:rsidRPr="00CE23AE">
        <w:rPr>
          <w:rFonts w:eastAsiaTheme="minorHAnsi" w:cs="Arial"/>
          <w:sz w:val="18"/>
          <w:szCs w:val="18"/>
          <w:lang w:val="en-US" w:eastAsia="en-US"/>
        </w:rPr>
        <w:t>it</w:t>
      </w:r>
      <w:r w:rsidRPr="00CE23AE">
        <w:rPr>
          <w:rFonts w:eastAsiaTheme="minorHAnsi" w:cs="Arial"/>
          <w:sz w:val="18"/>
          <w:szCs w:val="18"/>
          <w:lang w:val="en-US" w:eastAsia="en-US"/>
        </w:rPr>
        <w:t xml:space="preserve"> confirm</w:t>
      </w:r>
      <w:r w:rsidR="00A873E4" w:rsidRPr="00CE23AE">
        <w:rPr>
          <w:rFonts w:eastAsiaTheme="minorHAnsi" w:cs="Arial"/>
          <w:sz w:val="18"/>
          <w:szCs w:val="18"/>
          <w:lang w:val="en-US" w:eastAsia="en-US"/>
        </w:rPr>
        <w:t>s</w:t>
      </w:r>
      <w:r w:rsidRPr="00CE23AE">
        <w:rPr>
          <w:rFonts w:eastAsiaTheme="minorHAnsi" w:cs="Arial"/>
          <w:sz w:val="18"/>
          <w:szCs w:val="18"/>
          <w:lang w:val="en-US" w:eastAsia="en-US"/>
        </w:rPr>
        <w:t xml:space="preserve"> all aspects of the decision adopted by </w:t>
      </w:r>
      <w:r w:rsidR="008B76F3" w:rsidRPr="00CE23AE">
        <w:rPr>
          <w:rFonts w:eastAsiaTheme="minorHAnsi" w:cs="Arial"/>
          <w:sz w:val="18"/>
          <w:szCs w:val="18"/>
          <w:lang w:val="en-US" w:eastAsia="en-US"/>
        </w:rPr>
        <w:t xml:space="preserve">the </w:t>
      </w:r>
      <w:r w:rsidR="00C347F4" w:rsidRPr="00CE23AE">
        <w:rPr>
          <w:rFonts w:eastAsiaTheme="minorHAnsi" w:cs="Arial"/>
          <w:sz w:val="18"/>
          <w:szCs w:val="18"/>
          <w:lang w:val="en-US" w:eastAsia="en-US"/>
        </w:rPr>
        <w:t>Junior Officers Board</w:t>
      </w:r>
      <w:r w:rsidR="008B76F3" w:rsidRPr="00CE23AE">
        <w:rPr>
          <w:rFonts w:eastAsiaTheme="minorHAnsi" w:cs="Arial"/>
          <w:sz w:val="18"/>
          <w:szCs w:val="18"/>
          <w:lang w:val="en-US" w:eastAsia="en-US"/>
        </w:rPr>
        <w:t xml:space="preserve"> of the Ground Forces</w:t>
      </w:r>
      <w:r w:rsidR="00F31B3A" w:rsidRPr="00CE23AE">
        <w:rPr>
          <w:rFonts w:eastAsiaTheme="minorHAnsi" w:cs="Arial"/>
          <w:sz w:val="18"/>
          <w:szCs w:val="18"/>
          <w:lang w:val="en-US" w:eastAsia="en-US"/>
        </w:rPr>
        <w:t xml:space="preserve">; </w:t>
      </w:r>
      <w:r w:rsidRPr="00CE23AE">
        <w:rPr>
          <w:rFonts w:eastAsiaTheme="minorHAnsi" w:cs="Arial"/>
          <w:sz w:val="18"/>
          <w:szCs w:val="18"/>
          <w:lang w:val="en-US" w:eastAsia="en-US"/>
        </w:rPr>
        <w:t xml:space="preserve">that is, </w:t>
      </w:r>
      <w:r w:rsidR="00A873E4" w:rsidRPr="00CE23AE">
        <w:rPr>
          <w:rFonts w:eastAsiaTheme="minorHAnsi" w:cs="Arial"/>
          <w:sz w:val="18"/>
          <w:szCs w:val="18"/>
          <w:lang w:val="en-US" w:eastAsia="en-US"/>
        </w:rPr>
        <w:t>it</w:t>
      </w:r>
      <w:r w:rsidRPr="00CE23AE">
        <w:rPr>
          <w:rFonts w:eastAsiaTheme="minorHAnsi" w:cs="Arial"/>
          <w:sz w:val="18"/>
          <w:szCs w:val="18"/>
          <w:lang w:val="en-US" w:eastAsia="en-US"/>
        </w:rPr>
        <w:t xml:space="preserve"> a</w:t>
      </w:r>
      <w:r w:rsidR="00A873E4" w:rsidRPr="00CE23AE">
        <w:rPr>
          <w:rFonts w:eastAsiaTheme="minorHAnsi" w:cs="Arial"/>
          <w:sz w:val="18"/>
          <w:szCs w:val="18"/>
          <w:lang w:val="en-US" w:eastAsia="en-US"/>
        </w:rPr>
        <w:t>ccepts the recommendation</w:t>
      </w:r>
      <w:r w:rsidRPr="00CE23AE">
        <w:rPr>
          <w:rFonts w:eastAsiaTheme="minorHAnsi" w:cs="Arial"/>
          <w:sz w:val="18"/>
          <w:szCs w:val="18"/>
          <w:lang w:val="en-US" w:eastAsia="en-US"/>
        </w:rPr>
        <w:t xml:space="preserve"> </w:t>
      </w:r>
      <w:r w:rsidR="000366A6" w:rsidRPr="00CE23AE">
        <w:rPr>
          <w:rFonts w:eastAsiaTheme="minorHAnsi" w:cs="Arial"/>
          <w:sz w:val="18"/>
          <w:szCs w:val="18"/>
          <w:lang w:val="en-US" w:eastAsia="en-US"/>
        </w:rPr>
        <w:t xml:space="preserve">of the </w:t>
      </w:r>
      <w:r w:rsidR="00A055CE" w:rsidRPr="00CE23AE">
        <w:rPr>
          <w:rFonts w:eastAsiaTheme="minorHAnsi" w:cs="Arial"/>
          <w:sz w:val="18"/>
          <w:szCs w:val="18"/>
          <w:lang w:val="en-US" w:eastAsia="en-US"/>
        </w:rPr>
        <w:t>Court of Law</w:t>
      </w:r>
      <w:r w:rsidR="008B76F3" w:rsidRPr="00CE23AE">
        <w:rPr>
          <w:rFonts w:eastAsiaTheme="minorHAnsi" w:cs="Arial"/>
          <w:sz w:val="18"/>
          <w:szCs w:val="18"/>
          <w:lang w:val="en-US" w:eastAsia="en-US"/>
        </w:rPr>
        <w:t xml:space="preserve"> of the </w:t>
      </w:r>
      <w:r w:rsidR="0078516C" w:rsidRPr="00CE23AE">
        <w:rPr>
          <w:rFonts w:eastAsiaTheme="minorHAnsi" w:cs="Arial"/>
          <w:sz w:val="18"/>
          <w:szCs w:val="18"/>
          <w:lang w:val="en-US" w:eastAsia="en-US"/>
        </w:rPr>
        <w:t>Fourth Military Zone</w:t>
      </w:r>
      <w:r w:rsidR="00F31B3A" w:rsidRPr="00CE23AE">
        <w:rPr>
          <w:rFonts w:eastAsiaTheme="minorHAnsi" w:cs="Arial"/>
          <w:sz w:val="18"/>
          <w:szCs w:val="18"/>
          <w:lang w:val="en-US" w:eastAsia="en-US"/>
        </w:rPr>
        <w:t xml:space="preserve">, </w:t>
      </w:r>
      <w:r w:rsidRPr="00CE23AE">
        <w:rPr>
          <w:rFonts w:eastAsiaTheme="minorHAnsi" w:cs="Arial"/>
          <w:sz w:val="18"/>
          <w:szCs w:val="18"/>
          <w:lang w:val="en-US" w:eastAsia="en-US"/>
        </w:rPr>
        <w:t>issued by the decision in</w:t>
      </w:r>
      <w:r w:rsidR="00F31B3A" w:rsidRPr="00CE23AE">
        <w:rPr>
          <w:rFonts w:eastAsiaTheme="minorHAnsi" w:cs="Arial"/>
          <w:sz w:val="18"/>
          <w:szCs w:val="18"/>
          <w:lang w:val="en-US" w:eastAsia="en-US"/>
        </w:rPr>
        <w:t xml:space="preserve"> </w:t>
      </w:r>
      <w:r w:rsidR="00A06577" w:rsidRPr="00CE23AE">
        <w:rPr>
          <w:rFonts w:eastAsiaTheme="minorHAnsi" w:cs="Arial"/>
          <w:sz w:val="18"/>
          <w:szCs w:val="18"/>
          <w:lang w:val="en-US" w:eastAsia="en-US"/>
        </w:rPr>
        <w:t>Summary inquiry</w:t>
      </w:r>
      <w:r w:rsidR="00F31B3A" w:rsidRPr="00CE23AE">
        <w:rPr>
          <w:rFonts w:eastAsiaTheme="minorHAnsi" w:cs="Arial"/>
          <w:sz w:val="18"/>
          <w:szCs w:val="18"/>
          <w:lang w:val="en-US" w:eastAsia="en-US"/>
        </w:rPr>
        <w:t xml:space="preserve"> N</w:t>
      </w:r>
      <w:r w:rsidRPr="00CE23AE">
        <w:rPr>
          <w:rFonts w:eastAsiaTheme="minorHAnsi" w:cs="Arial"/>
          <w:sz w:val="18"/>
          <w:szCs w:val="18"/>
          <w:lang w:val="en-US" w:eastAsia="en-US"/>
        </w:rPr>
        <w:t>o</w:t>
      </w:r>
      <w:r w:rsidR="00F31B3A" w:rsidRPr="00CE23AE">
        <w:rPr>
          <w:rFonts w:eastAsiaTheme="minorHAnsi" w:cs="Arial"/>
          <w:sz w:val="18"/>
          <w:szCs w:val="18"/>
          <w:lang w:val="en-US" w:eastAsia="en-US"/>
        </w:rPr>
        <w:t xml:space="preserve">. 20-2000-IV-DE-JM-1, </w:t>
      </w:r>
      <w:r w:rsidRPr="00CE23AE">
        <w:rPr>
          <w:rFonts w:eastAsiaTheme="minorHAnsi" w:cs="Arial"/>
          <w:sz w:val="18"/>
          <w:szCs w:val="18"/>
          <w:lang w:val="en-US" w:eastAsia="en-US"/>
        </w:rPr>
        <w:t>that the misconduct be confirmed and you be placed on paid leave, in application of the provisions of a</w:t>
      </w:r>
      <w:r w:rsidR="00F31B3A" w:rsidRPr="00CE23AE">
        <w:rPr>
          <w:rFonts w:eastAsiaTheme="minorHAnsi" w:cs="Arial"/>
          <w:sz w:val="18"/>
          <w:szCs w:val="18"/>
          <w:lang w:val="en-US" w:eastAsia="en-US"/>
        </w:rPr>
        <w:t>rt. 76</w:t>
      </w:r>
      <w:r w:rsidRPr="00CE23AE">
        <w:rPr>
          <w:rFonts w:eastAsiaTheme="minorHAnsi" w:cs="Arial"/>
          <w:sz w:val="18"/>
          <w:szCs w:val="18"/>
          <w:lang w:val="en-US" w:eastAsia="en-US"/>
        </w:rPr>
        <w:t>(</w:t>
      </w:r>
      <w:r w:rsidR="00F31B3A" w:rsidRPr="00CE23AE">
        <w:rPr>
          <w:rFonts w:eastAsiaTheme="minorHAnsi" w:cs="Arial"/>
          <w:sz w:val="18"/>
          <w:szCs w:val="18"/>
          <w:lang w:val="en-US" w:eastAsia="en-US"/>
        </w:rPr>
        <w:t>i)</w:t>
      </w:r>
      <w:r w:rsidR="008B76F3" w:rsidRPr="00CE23AE">
        <w:rPr>
          <w:rFonts w:eastAsiaTheme="minorHAnsi" w:cs="Arial"/>
          <w:sz w:val="18"/>
          <w:szCs w:val="18"/>
          <w:lang w:val="en-US" w:eastAsia="en-US"/>
        </w:rPr>
        <w:t xml:space="preserve"> of the Law on Armed Forces Personnel</w:t>
      </w:r>
      <w:r w:rsidR="00F31B3A" w:rsidRPr="00CE23AE">
        <w:rPr>
          <w:rFonts w:eastAsiaTheme="minorHAnsi" w:cs="Arial"/>
          <w:sz w:val="18"/>
          <w:szCs w:val="18"/>
          <w:lang w:val="en-US" w:eastAsia="en-US"/>
        </w:rPr>
        <w:t xml:space="preserve"> </w:t>
      </w:r>
      <w:r w:rsidRPr="00CE23AE">
        <w:rPr>
          <w:rFonts w:eastAsiaTheme="minorHAnsi" w:cs="Arial"/>
          <w:sz w:val="18"/>
          <w:szCs w:val="18"/>
          <w:lang w:val="en-US" w:eastAsia="en-US"/>
        </w:rPr>
        <w:t>in force</w:t>
      </w:r>
      <w:r w:rsidR="00F31B3A" w:rsidRPr="00CE23AE">
        <w:rPr>
          <w:rStyle w:val="Refdenotaalpie"/>
          <w:sz w:val="18"/>
          <w:szCs w:val="18"/>
          <w:lang w:val="en-US"/>
        </w:rPr>
        <w:footnoteReference w:id="265"/>
      </w:r>
      <w:r w:rsidR="00F31B3A" w:rsidRPr="00CE23AE">
        <w:rPr>
          <w:rFonts w:eastAsiaTheme="minorHAnsi" w:cs="Arial"/>
          <w:sz w:val="18"/>
          <w:szCs w:val="18"/>
          <w:lang w:val="en-US" w:eastAsia="en-US"/>
        </w:rPr>
        <w:t xml:space="preserve"> </w:t>
      </w:r>
      <w:r w:rsidRPr="00CE23AE">
        <w:rPr>
          <w:rFonts w:eastAsiaTheme="minorHAnsi" w:cs="Arial"/>
          <w:i/>
          <w:sz w:val="18"/>
          <w:szCs w:val="18"/>
          <w:lang w:val="en-US" w:eastAsia="en-US"/>
        </w:rPr>
        <w:t>(</w:t>
      </w:r>
      <w:r w:rsidRPr="00CE23AE">
        <w:rPr>
          <w:i/>
          <w:sz w:val="18"/>
          <w:szCs w:val="18"/>
          <w:lang w:val="en-US"/>
        </w:rPr>
        <w:t>italics and underlining added</w:t>
      </w:r>
      <w:r w:rsidRPr="00CE23AE">
        <w:rPr>
          <w:rFonts w:eastAsiaTheme="minorHAnsi" w:cs="Arial"/>
          <w:i/>
          <w:sz w:val="18"/>
          <w:szCs w:val="18"/>
          <w:lang w:val="en-US" w:eastAsia="en-US"/>
        </w:rPr>
        <w:t>).</w:t>
      </w:r>
    </w:p>
    <w:p w14:paraId="4159EBE8" w14:textId="77777777" w:rsidR="00F31B3A" w:rsidRPr="00CE23AE" w:rsidRDefault="00F31B3A" w:rsidP="00F31B3A">
      <w:pPr>
        <w:widowControl/>
        <w:autoSpaceDE w:val="0"/>
        <w:autoSpaceDN w:val="0"/>
        <w:spacing w:line="240" w:lineRule="auto"/>
        <w:ind w:left="567" w:right="615"/>
        <w:textAlignment w:val="auto"/>
        <w:rPr>
          <w:rFonts w:eastAsiaTheme="minorHAnsi" w:cs="Arial"/>
          <w:sz w:val="18"/>
          <w:szCs w:val="18"/>
          <w:lang w:val="en-US" w:eastAsia="en-US"/>
        </w:rPr>
      </w:pPr>
    </w:p>
    <w:p w14:paraId="31BBEC43" w14:textId="793FF1E5" w:rsidR="00F31B3A" w:rsidRPr="00CE23AE" w:rsidRDefault="006F1F79" w:rsidP="0048312C">
      <w:pPr>
        <w:pStyle w:val="PrrafodeSentencia"/>
        <w:rPr>
          <w:lang w:val="en-US"/>
        </w:rPr>
      </w:pPr>
      <w:r w:rsidRPr="00CE23AE">
        <w:rPr>
          <w:lang w:val="en-US"/>
        </w:rPr>
        <w:t xml:space="preserve">These decisions were adopted by the respective Boards in sessions held on May 3 and </w:t>
      </w:r>
      <w:r w:rsidR="008B76F3" w:rsidRPr="00CE23AE">
        <w:rPr>
          <w:lang w:val="en-US"/>
        </w:rPr>
        <w:t>July 18,</w:t>
      </w:r>
      <w:r w:rsidR="00F31B3A" w:rsidRPr="00CE23AE">
        <w:rPr>
          <w:lang w:val="en-US"/>
        </w:rPr>
        <w:t xml:space="preserve"> 2001, respectiv</w:t>
      </w:r>
      <w:r w:rsidRPr="00CE23AE">
        <w:rPr>
          <w:lang w:val="en-US"/>
        </w:rPr>
        <w:t>ely; minutes were kept for the two meetings</w:t>
      </w:r>
      <w:r w:rsidR="00F31B3A" w:rsidRPr="00CE23AE">
        <w:rPr>
          <w:rStyle w:val="Refdenotaalpie"/>
          <w:lang w:val="en-US"/>
        </w:rPr>
        <w:footnoteReference w:id="266"/>
      </w:r>
      <w:r w:rsidR="00C561DF" w:rsidRPr="00CE23AE">
        <w:rPr>
          <w:lang w:val="en-US"/>
        </w:rPr>
        <w:t xml:space="preserve"> and </w:t>
      </w:r>
      <w:r w:rsidRPr="00CE23AE">
        <w:rPr>
          <w:lang w:val="en-US"/>
        </w:rPr>
        <w:t>the decision was taken based on a report prepared by Claims and Miscellaneous Affairs Committees of each Board, pursuant to a</w:t>
      </w:r>
      <w:r w:rsidR="00C561DF" w:rsidRPr="00CE23AE">
        <w:rPr>
          <w:lang w:val="en-US"/>
        </w:rPr>
        <w:t>rticles</w:t>
      </w:r>
      <w:r w:rsidR="00F31B3A" w:rsidRPr="00CE23AE">
        <w:rPr>
          <w:lang w:val="en-US"/>
        </w:rPr>
        <w:t xml:space="preserve"> 22, 23</w:t>
      </w:r>
      <w:r w:rsidR="00C561DF" w:rsidRPr="00CE23AE">
        <w:rPr>
          <w:lang w:val="en-US"/>
        </w:rPr>
        <w:t xml:space="preserve"> and </w:t>
      </w:r>
      <w:r w:rsidR="00F31B3A" w:rsidRPr="00CE23AE">
        <w:rPr>
          <w:lang w:val="en-US"/>
        </w:rPr>
        <w:t>24</w:t>
      </w:r>
      <w:r w:rsidR="00C561DF" w:rsidRPr="00CE23AE">
        <w:rPr>
          <w:lang w:val="en-US"/>
        </w:rPr>
        <w:t xml:space="preserve"> of the </w:t>
      </w:r>
      <w:r w:rsidR="00A873E4" w:rsidRPr="00CE23AE">
        <w:rPr>
          <w:lang w:val="en-US"/>
        </w:rPr>
        <w:t>r</w:t>
      </w:r>
      <w:r w:rsidR="00C561DF" w:rsidRPr="00CE23AE">
        <w:rPr>
          <w:lang w:val="en-US"/>
        </w:rPr>
        <w:t xml:space="preserve">ules of </w:t>
      </w:r>
      <w:r w:rsidRPr="00CE23AE">
        <w:rPr>
          <w:lang w:val="en-US"/>
        </w:rPr>
        <w:t>p</w:t>
      </w:r>
      <w:r w:rsidR="00C561DF" w:rsidRPr="00CE23AE">
        <w:rPr>
          <w:lang w:val="en-US"/>
        </w:rPr>
        <w:t>rocedure</w:t>
      </w:r>
      <w:r w:rsidRPr="00CE23AE">
        <w:rPr>
          <w:lang w:val="en-US"/>
        </w:rPr>
        <w:t xml:space="preserve"> for the Junior and Senior Officers Boards of the Armed Forces.</w:t>
      </w:r>
      <w:r w:rsidR="00F31B3A" w:rsidRPr="00CE23AE">
        <w:rPr>
          <w:rStyle w:val="Refdenotaalpie"/>
          <w:lang w:val="en-US"/>
        </w:rPr>
        <w:footnoteReference w:id="267"/>
      </w:r>
      <w:r w:rsidR="00F31B3A" w:rsidRPr="00CE23AE">
        <w:rPr>
          <w:lang w:val="en-US"/>
        </w:rPr>
        <w:t xml:space="preserve"> </w:t>
      </w:r>
      <w:r w:rsidR="00C561DF" w:rsidRPr="00CE23AE">
        <w:rPr>
          <w:lang w:val="en-US"/>
        </w:rPr>
        <w:t>The Commission and the representative</w:t>
      </w:r>
      <w:r w:rsidR="00F31B3A" w:rsidRPr="00CE23AE">
        <w:rPr>
          <w:lang w:val="en-US"/>
        </w:rPr>
        <w:t xml:space="preserve"> </w:t>
      </w:r>
      <w:r w:rsidRPr="00CE23AE">
        <w:rPr>
          <w:lang w:val="en-US"/>
        </w:rPr>
        <w:t>have argued that</w:t>
      </w:r>
      <w:r w:rsidR="00F31B3A" w:rsidRPr="00CE23AE">
        <w:rPr>
          <w:lang w:val="en-US"/>
        </w:rPr>
        <w:t xml:space="preserve"> </w:t>
      </w:r>
      <w:r w:rsidR="00F5102B" w:rsidRPr="00CE23AE">
        <w:rPr>
          <w:lang w:val="en-US"/>
        </w:rPr>
        <w:t>Mr. Flor</w:t>
      </w:r>
      <w:r w:rsidR="00F31B3A" w:rsidRPr="00CE23AE">
        <w:rPr>
          <w:lang w:val="en-US"/>
        </w:rPr>
        <w:t xml:space="preserve"> Freire </w:t>
      </w:r>
      <w:r w:rsidRPr="00CE23AE">
        <w:rPr>
          <w:lang w:val="en-US"/>
        </w:rPr>
        <w:t>was not notified of the complete decision</w:t>
      </w:r>
      <w:r w:rsidR="00A873E4" w:rsidRPr="00CE23AE">
        <w:rPr>
          <w:lang w:val="en-US"/>
        </w:rPr>
        <w:t>s</w:t>
      </w:r>
      <w:r w:rsidRPr="00CE23AE">
        <w:rPr>
          <w:lang w:val="en-US"/>
        </w:rPr>
        <w:t xml:space="preserve"> taken by these bodies or their justification, but merely </w:t>
      </w:r>
      <w:r w:rsidR="00A873E4" w:rsidRPr="00CE23AE">
        <w:rPr>
          <w:lang w:val="en-US"/>
        </w:rPr>
        <w:t>received</w:t>
      </w:r>
      <w:r w:rsidR="00F31B3A" w:rsidRPr="00CE23AE">
        <w:rPr>
          <w:lang w:val="en-US"/>
        </w:rPr>
        <w:t xml:space="preserve"> </w:t>
      </w:r>
      <w:r w:rsidR="008B76F3" w:rsidRPr="00CE23AE">
        <w:rPr>
          <w:lang w:val="en-US"/>
        </w:rPr>
        <w:t>memorandum</w:t>
      </w:r>
      <w:r w:rsidR="00F31B3A" w:rsidRPr="00CE23AE">
        <w:rPr>
          <w:lang w:val="en-US"/>
        </w:rPr>
        <w:t xml:space="preserve">s </w:t>
      </w:r>
      <w:r w:rsidRPr="00CE23AE">
        <w:rPr>
          <w:lang w:val="en-US"/>
        </w:rPr>
        <w:t>that contain</w:t>
      </w:r>
      <w:r w:rsidR="00A873E4" w:rsidRPr="00CE23AE">
        <w:rPr>
          <w:lang w:val="en-US"/>
        </w:rPr>
        <w:t>ed</w:t>
      </w:r>
      <w:r w:rsidRPr="00CE23AE">
        <w:rPr>
          <w:lang w:val="en-US"/>
        </w:rPr>
        <w:t xml:space="preserve"> the </w:t>
      </w:r>
      <w:r w:rsidR="00A873E4" w:rsidRPr="00CE23AE">
        <w:rPr>
          <w:lang w:val="en-US"/>
        </w:rPr>
        <w:t>decision</w:t>
      </w:r>
      <w:r w:rsidRPr="00CE23AE">
        <w:rPr>
          <w:lang w:val="en-US"/>
        </w:rPr>
        <w:t>. According to information provided by the State as helpful evidence, the minutes or decisions established in Chapter IV</w:t>
      </w:r>
      <w:r w:rsidR="00F31B3A" w:rsidRPr="00CE23AE">
        <w:rPr>
          <w:lang w:val="en-US"/>
        </w:rPr>
        <w:t xml:space="preserve"> </w:t>
      </w:r>
      <w:r w:rsidR="00C561DF" w:rsidRPr="00CE23AE">
        <w:rPr>
          <w:lang w:val="en-US" w:eastAsia="x-none"/>
        </w:rPr>
        <w:t xml:space="preserve">of the </w:t>
      </w:r>
      <w:r w:rsidR="00C561DF" w:rsidRPr="00CE23AE">
        <w:rPr>
          <w:lang w:val="en-US"/>
        </w:rPr>
        <w:t xml:space="preserve">Rules of </w:t>
      </w:r>
      <w:r w:rsidRPr="00CE23AE">
        <w:rPr>
          <w:lang w:val="en-US"/>
        </w:rPr>
        <w:t xml:space="preserve">procedure for the </w:t>
      </w:r>
      <w:r w:rsidRPr="00CE23AE">
        <w:rPr>
          <w:lang w:val="en-US" w:eastAsia="x-none"/>
        </w:rPr>
        <w:t>Junior and Senior Officers Boards of the Armed Forces</w:t>
      </w:r>
      <w:r w:rsidR="00F31B3A" w:rsidRPr="00CE23AE">
        <w:rPr>
          <w:lang w:val="en-US"/>
        </w:rPr>
        <w:t xml:space="preserve"> “</w:t>
      </w:r>
      <w:r w:rsidR="006C4675" w:rsidRPr="00CE23AE">
        <w:rPr>
          <w:lang w:val="en-US"/>
        </w:rPr>
        <w:t xml:space="preserve">do not form part of the </w:t>
      </w:r>
      <w:r w:rsidR="00A06577" w:rsidRPr="00CE23AE">
        <w:rPr>
          <w:lang w:val="en-US" w:eastAsia="x-none"/>
        </w:rPr>
        <w:t>summary inquiry</w:t>
      </w:r>
      <w:r w:rsidR="00F31B3A" w:rsidRPr="00CE23AE">
        <w:rPr>
          <w:lang w:val="en-US"/>
        </w:rPr>
        <w:t>”</w:t>
      </w:r>
      <w:r w:rsidR="00F31B3A" w:rsidRPr="00CE23AE">
        <w:rPr>
          <w:lang w:val="en-US" w:eastAsia="x-none"/>
        </w:rPr>
        <w:t xml:space="preserve">, </w:t>
      </w:r>
      <w:r w:rsidR="0048312C" w:rsidRPr="00CE23AE">
        <w:rPr>
          <w:lang w:val="en-US" w:eastAsia="x-none"/>
        </w:rPr>
        <w:t xml:space="preserve">because they are considered to be “purely administrative procedures that deal with the military and professional situation of the officers.” The decisions adopted are notified by memorandums that set out the </w:t>
      </w:r>
      <w:r w:rsidR="00A873E4" w:rsidRPr="00CE23AE">
        <w:rPr>
          <w:lang w:val="en-US" w:eastAsia="x-none"/>
        </w:rPr>
        <w:t>decision</w:t>
      </w:r>
      <w:r w:rsidR="0048312C" w:rsidRPr="00CE23AE">
        <w:rPr>
          <w:lang w:val="en-US" w:eastAsia="x-none"/>
        </w:rPr>
        <w:t xml:space="preserve">, as in the case </w:t>
      </w:r>
      <w:r w:rsidR="006C4675" w:rsidRPr="00CE23AE">
        <w:rPr>
          <w:lang w:val="en-US"/>
        </w:rPr>
        <w:t>on May 7</w:t>
      </w:r>
      <w:r w:rsidR="00C561DF" w:rsidRPr="00CE23AE">
        <w:rPr>
          <w:lang w:val="en-US"/>
        </w:rPr>
        <w:t xml:space="preserve"> and </w:t>
      </w:r>
      <w:r w:rsidR="006C4675" w:rsidRPr="00CE23AE">
        <w:rPr>
          <w:lang w:val="en-US"/>
        </w:rPr>
        <w:t>o</w:t>
      </w:r>
      <w:r w:rsidR="008B76F3" w:rsidRPr="00CE23AE">
        <w:rPr>
          <w:lang w:val="en-US"/>
        </w:rPr>
        <w:t>n July 18,</w:t>
      </w:r>
      <w:r w:rsidR="00F31B3A" w:rsidRPr="00CE23AE">
        <w:rPr>
          <w:lang w:val="en-US"/>
        </w:rPr>
        <w:t xml:space="preserve"> 2001 (</w:t>
      </w:r>
      <w:r w:rsidR="00F31B3A" w:rsidRPr="00CE23AE">
        <w:rPr>
          <w:i/>
          <w:lang w:val="en-US"/>
        </w:rPr>
        <w:t xml:space="preserve">supra </w:t>
      </w:r>
      <w:r w:rsidR="005C743F" w:rsidRPr="00CE23AE">
        <w:rPr>
          <w:lang w:val="en-US"/>
        </w:rPr>
        <w:t>paras.</w:t>
      </w:r>
      <w:r w:rsidR="00F31B3A" w:rsidRPr="00CE23AE">
        <w:rPr>
          <w:lang w:val="en-US"/>
        </w:rPr>
        <w:t xml:space="preserve"> </w:t>
      </w:r>
      <w:r w:rsidR="00F31B3A" w:rsidRPr="00CE23AE">
        <w:rPr>
          <w:lang w:val="en-US"/>
        </w:rPr>
        <w:fldChar w:fldCharType="begin"/>
      </w:r>
      <w:r w:rsidR="00F31B3A" w:rsidRPr="00CE23AE">
        <w:rPr>
          <w:lang w:val="en-US"/>
        </w:rPr>
        <w:instrText xml:space="preserve"> REF _Ref447297666 \r \h </w:instrText>
      </w:r>
      <w:r w:rsidR="00CE23AE">
        <w:rPr>
          <w:lang w:val="en-US"/>
        </w:rPr>
        <w:instrText xml:space="preserve"> \* MERGEFORMAT </w:instrText>
      </w:r>
      <w:r w:rsidR="00F31B3A" w:rsidRPr="00CE23AE">
        <w:rPr>
          <w:lang w:val="en-US"/>
        </w:rPr>
      </w:r>
      <w:r w:rsidR="00F31B3A" w:rsidRPr="00CE23AE">
        <w:rPr>
          <w:lang w:val="en-US"/>
        </w:rPr>
        <w:fldChar w:fldCharType="separate"/>
      </w:r>
      <w:r w:rsidR="00BC2953" w:rsidRPr="00CE23AE">
        <w:rPr>
          <w:lang w:val="en-US"/>
        </w:rPr>
        <w:t>79</w:t>
      </w:r>
      <w:r w:rsidR="00F31B3A" w:rsidRPr="00CE23AE">
        <w:rPr>
          <w:lang w:val="en-US"/>
        </w:rPr>
        <w:fldChar w:fldCharType="end"/>
      </w:r>
      <w:r w:rsidR="00C561DF" w:rsidRPr="00CE23AE">
        <w:rPr>
          <w:lang w:val="en-US"/>
        </w:rPr>
        <w:t xml:space="preserve"> and </w:t>
      </w:r>
      <w:r w:rsidR="00F31B3A" w:rsidRPr="00CE23AE">
        <w:rPr>
          <w:lang w:val="en-US"/>
        </w:rPr>
        <w:fldChar w:fldCharType="begin"/>
      </w:r>
      <w:r w:rsidR="00F31B3A" w:rsidRPr="00CE23AE">
        <w:rPr>
          <w:lang w:val="en-US"/>
        </w:rPr>
        <w:instrText xml:space="preserve"> REF _Ref453869467 \r \h </w:instrText>
      </w:r>
      <w:r w:rsidR="00CE23AE">
        <w:rPr>
          <w:lang w:val="en-US"/>
        </w:rPr>
        <w:instrText xml:space="preserve"> \* MERGEFORMAT </w:instrText>
      </w:r>
      <w:r w:rsidR="00F31B3A" w:rsidRPr="00CE23AE">
        <w:rPr>
          <w:lang w:val="en-US"/>
        </w:rPr>
      </w:r>
      <w:r w:rsidR="00F31B3A" w:rsidRPr="00CE23AE">
        <w:rPr>
          <w:lang w:val="en-US"/>
        </w:rPr>
        <w:fldChar w:fldCharType="separate"/>
      </w:r>
      <w:r w:rsidR="00BC2953" w:rsidRPr="00CE23AE">
        <w:rPr>
          <w:lang w:val="en-US"/>
        </w:rPr>
        <w:t>82</w:t>
      </w:r>
      <w:r w:rsidR="00F31B3A" w:rsidRPr="00CE23AE">
        <w:rPr>
          <w:lang w:val="en-US"/>
        </w:rPr>
        <w:fldChar w:fldCharType="end"/>
      </w:r>
      <w:r w:rsidR="00F31B3A" w:rsidRPr="00CE23AE">
        <w:rPr>
          <w:lang w:val="en-US"/>
        </w:rPr>
        <w:t xml:space="preserve">). </w:t>
      </w:r>
      <w:r w:rsidR="006C4675" w:rsidRPr="00CE23AE">
        <w:rPr>
          <w:lang w:val="en-US"/>
        </w:rPr>
        <w:t>However</w:t>
      </w:r>
      <w:r w:rsidR="00F31B3A" w:rsidRPr="00CE23AE">
        <w:rPr>
          <w:lang w:val="en-US"/>
        </w:rPr>
        <w:t>, Ecuador indic</w:t>
      </w:r>
      <w:r w:rsidR="0048312C" w:rsidRPr="00CE23AE">
        <w:rPr>
          <w:lang w:val="en-US"/>
        </w:rPr>
        <w:t xml:space="preserve">ated that “when [an officer] requests this, personally or through his lawyer, certified copies are handed over of the part corresponding to them [in the minutes of the Boards, but] in this case, there is no information that </w:t>
      </w:r>
      <w:r w:rsidR="0048312C" w:rsidRPr="00CE23AE">
        <w:rPr>
          <w:lang w:val="en-US" w:eastAsia="x-none"/>
        </w:rPr>
        <w:t>Home</w:t>
      </w:r>
      <w:r w:rsidR="0048312C" w:rsidRPr="00CE23AE">
        <w:rPr>
          <w:lang w:val="en-US"/>
        </w:rPr>
        <w:t>ro Flor requested this documentation</w:t>
      </w:r>
      <w:r w:rsidR="00F31B3A" w:rsidRPr="00CE23AE">
        <w:rPr>
          <w:lang w:val="en-US"/>
        </w:rPr>
        <w:t>”</w:t>
      </w:r>
      <w:r w:rsidR="0048312C" w:rsidRPr="00CE23AE">
        <w:rPr>
          <w:lang w:val="en-US"/>
        </w:rPr>
        <w:t>;</w:t>
      </w:r>
      <w:r w:rsidR="00F31B3A" w:rsidRPr="00CE23AE">
        <w:rPr>
          <w:rStyle w:val="Refdenotaalpie"/>
          <w:lang w:val="en-US"/>
        </w:rPr>
        <w:footnoteReference w:id="268"/>
      </w:r>
      <w:r w:rsidR="00F31B3A" w:rsidRPr="00CE23AE">
        <w:rPr>
          <w:lang w:val="en-US"/>
        </w:rPr>
        <w:t xml:space="preserve"> </w:t>
      </w:r>
      <w:r w:rsidR="0048312C" w:rsidRPr="00CE23AE">
        <w:rPr>
          <w:lang w:val="en-US"/>
        </w:rPr>
        <w:t>also, there is no evidence of this in the file of the instant case.</w:t>
      </w:r>
    </w:p>
    <w:p w14:paraId="11639D09" w14:textId="4B2C00A4" w:rsidR="00F31B3A" w:rsidRPr="00CE23AE" w:rsidRDefault="00F31B3A" w:rsidP="00F31B3A">
      <w:pPr>
        <w:pStyle w:val="PrrafodeSentencia"/>
        <w:numPr>
          <w:ilvl w:val="0"/>
          <w:numId w:val="0"/>
        </w:numPr>
        <w:rPr>
          <w:lang w:val="en-US"/>
        </w:rPr>
      </w:pPr>
    </w:p>
    <w:p w14:paraId="712FFC50" w14:textId="24845DCD" w:rsidR="0015354B" w:rsidRPr="00CE23AE" w:rsidRDefault="0015354B" w:rsidP="00F31B3A">
      <w:pPr>
        <w:pStyle w:val="PrrafodeSentencia"/>
        <w:rPr>
          <w:lang w:val="en-US"/>
        </w:rPr>
      </w:pPr>
      <w:r w:rsidRPr="00CE23AE">
        <w:rPr>
          <w:lang w:val="en-US"/>
        </w:rPr>
        <w:t>That said</w:t>
      </w:r>
      <w:r w:rsidR="00F31B3A" w:rsidRPr="00CE23AE">
        <w:rPr>
          <w:lang w:val="en-US"/>
        </w:rPr>
        <w:t xml:space="preserve">, </w:t>
      </w:r>
      <w:r w:rsidR="00000AD5" w:rsidRPr="00CE23AE">
        <w:rPr>
          <w:lang w:val="en-US"/>
        </w:rPr>
        <w:t>this Court</w:t>
      </w:r>
      <w:r w:rsidR="00F31B3A" w:rsidRPr="00CE23AE">
        <w:rPr>
          <w:lang w:val="en-US"/>
        </w:rPr>
        <w:t xml:space="preserve"> </w:t>
      </w:r>
      <w:r w:rsidRPr="00CE23AE">
        <w:rPr>
          <w:lang w:val="en-US"/>
        </w:rPr>
        <w:t>points out that both decisions refer to</w:t>
      </w:r>
      <w:r w:rsidR="00A873E4" w:rsidRPr="00CE23AE">
        <w:rPr>
          <w:lang w:val="en-US"/>
        </w:rPr>
        <w:t xml:space="preserve"> and cite</w:t>
      </w:r>
      <w:r w:rsidRPr="00CE23AE">
        <w:rPr>
          <w:lang w:val="en-US"/>
        </w:rPr>
        <w:t xml:space="preserve"> the </w:t>
      </w:r>
      <w:r w:rsidR="0013582A" w:rsidRPr="00CE23AE">
        <w:rPr>
          <w:lang w:val="en-US"/>
        </w:rPr>
        <w:t>decision of the Court of Law</w:t>
      </w:r>
      <w:r w:rsidR="00A873E4" w:rsidRPr="00CE23AE">
        <w:rPr>
          <w:lang w:val="en-US"/>
        </w:rPr>
        <w:t xml:space="preserve">, </w:t>
      </w:r>
      <w:r w:rsidR="00F31B3A" w:rsidRPr="00CE23AE">
        <w:rPr>
          <w:lang w:val="en-US"/>
        </w:rPr>
        <w:t>“</w:t>
      </w:r>
      <w:r w:rsidR="006C4675" w:rsidRPr="00CE23AE">
        <w:rPr>
          <w:rFonts w:eastAsiaTheme="minorHAnsi"/>
          <w:lang w:val="en-US" w:eastAsia="en-US"/>
        </w:rPr>
        <w:t xml:space="preserve">lacking legal grounds that </w:t>
      </w:r>
      <w:r w:rsidRPr="00CE23AE">
        <w:rPr>
          <w:rFonts w:eastAsiaTheme="minorHAnsi"/>
          <w:lang w:val="en-US" w:eastAsia="en-US"/>
        </w:rPr>
        <w:t xml:space="preserve">would </w:t>
      </w:r>
      <w:r w:rsidR="006C4675" w:rsidRPr="00CE23AE">
        <w:rPr>
          <w:rFonts w:eastAsiaTheme="minorHAnsi"/>
          <w:lang w:val="en-US" w:eastAsia="en-US"/>
        </w:rPr>
        <w:t>permit a contrary ruling</w:t>
      </w:r>
      <w:r w:rsidRPr="00CE23AE">
        <w:rPr>
          <w:rFonts w:eastAsiaTheme="minorHAnsi"/>
          <w:lang w:val="en-US" w:eastAsia="en-US"/>
        </w:rPr>
        <w:t>.</w:t>
      </w:r>
      <w:r w:rsidR="00F31B3A" w:rsidRPr="00CE23AE">
        <w:rPr>
          <w:lang w:val="en-US"/>
        </w:rPr>
        <w:t xml:space="preserve">” </w:t>
      </w:r>
      <w:r w:rsidR="00A873E4" w:rsidRPr="00CE23AE">
        <w:rPr>
          <w:lang w:val="en-US"/>
        </w:rPr>
        <w:t>In his ruling,</w:t>
      </w:r>
      <w:r w:rsidRPr="00CE23AE">
        <w:rPr>
          <w:lang w:val="en-US"/>
        </w:rPr>
        <w:t xml:space="preserve"> the</w:t>
      </w:r>
      <w:r w:rsidR="00F31B3A" w:rsidRPr="00CE23AE">
        <w:rPr>
          <w:lang w:val="en-US"/>
        </w:rPr>
        <w:t xml:space="preserve"> </w:t>
      </w:r>
      <w:r w:rsidR="00A055CE" w:rsidRPr="00CE23AE">
        <w:rPr>
          <w:lang w:val="en-US"/>
        </w:rPr>
        <w:t>Judge of Law</w:t>
      </w:r>
      <w:r w:rsidR="00F31B3A" w:rsidRPr="00CE23AE">
        <w:rPr>
          <w:lang w:val="en-US"/>
        </w:rPr>
        <w:t xml:space="preserve"> </w:t>
      </w:r>
      <w:r w:rsidRPr="00CE23AE">
        <w:rPr>
          <w:lang w:val="en-US"/>
        </w:rPr>
        <w:t xml:space="preserve">examined the evidence, established the facts and offered a justification for the application of the norms cited to those facts </w:t>
      </w:r>
      <w:r w:rsidR="00F31B3A" w:rsidRPr="00CE23AE">
        <w:rPr>
          <w:lang w:val="en-US"/>
        </w:rPr>
        <w:t>(</w:t>
      </w:r>
      <w:r w:rsidR="00F31B3A" w:rsidRPr="00CE23AE">
        <w:rPr>
          <w:i/>
          <w:lang w:val="en-US"/>
        </w:rPr>
        <w:t xml:space="preserve">supra </w:t>
      </w:r>
      <w:r w:rsidR="005C743F" w:rsidRPr="00CE23AE">
        <w:rPr>
          <w:lang w:val="en-US"/>
        </w:rPr>
        <w:t>paras.</w:t>
      </w:r>
      <w:r w:rsidR="00F31B3A" w:rsidRPr="00CE23AE">
        <w:rPr>
          <w:b/>
          <w:lang w:val="en-US"/>
        </w:rPr>
        <w:t xml:space="preserve"> </w:t>
      </w:r>
      <w:r w:rsidR="00F31B3A" w:rsidRPr="00CE23AE">
        <w:rPr>
          <w:lang w:val="en-US"/>
        </w:rPr>
        <w:fldChar w:fldCharType="begin"/>
      </w:r>
      <w:r w:rsidR="00F31B3A" w:rsidRPr="00CE23AE">
        <w:rPr>
          <w:lang w:val="en-US"/>
        </w:rPr>
        <w:instrText xml:space="preserve"> REF _Ref447296429 \r \h </w:instrText>
      </w:r>
      <w:r w:rsidR="00A210F2" w:rsidRPr="00CE23AE">
        <w:rPr>
          <w:lang w:val="en-US"/>
        </w:rPr>
        <w:instrText xml:space="preserve"> \* MERGEFORMAT </w:instrText>
      </w:r>
      <w:r w:rsidR="00F31B3A" w:rsidRPr="00CE23AE">
        <w:rPr>
          <w:lang w:val="en-US"/>
        </w:rPr>
      </w:r>
      <w:r w:rsidR="00F31B3A" w:rsidRPr="00CE23AE">
        <w:rPr>
          <w:lang w:val="en-US"/>
        </w:rPr>
        <w:fldChar w:fldCharType="separate"/>
      </w:r>
      <w:r w:rsidR="00BC2953" w:rsidRPr="00CE23AE">
        <w:rPr>
          <w:lang w:val="en-US"/>
        </w:rPr>
        <w:t>72</w:t>
      </w:r>
      <w:r w:rsidR="00F31B3A" w:rsidRPr="00CE23AE">
        <w:rPr>
          <w:lang w:val="en-US"/>
        </w:rPr>
        <w:fldChar w:fldCharType="end"/>
      </w:r>
      <w:r w:rsidR="00F31B3A" w:rsidRPr="00CE23AE">
        <w:rPr>
          <w:lang w:val="en-US"/>
        </w:rPr>
        <w:t xml:space="preserve"> </w:t>
      </w:r>
      <w:r w:rsidR="006C4675" w:rsidRPr="00CE23AE">
        <w:rPr>
          <w:lang w:val="en-US"/>
        </w:rPr>
        <w:t>to</w:t>
      </w:r>
      <w:r w:rsidR="00F31B3A" w:rsidRPr="00CE23AE">
        <w:rPr>
          <w:lang w:val="en-US"/>
        </w:rPr>
        <w:t xml:space="preserve"> </w:t>
      </w:r>
      <w:r w:rsidR="00F31B3A" w:rsidRPr="00CE23AE">
        <w:rPr>
          <w:lang w:val="en-US"/>
        </w:rPr>
        <w:fldChar w:fldCharType="begin"/>
      </w:r>
      <w:r w:rsidR="00F31B3A" w:rsidRPr="00CE23AE">
        <w:rPr>
          <w:lang w:val="en-US"/>
        </w:rPr>
        <w:instrText xml:space="preserve"> REF _Ref453869088 \r \h </w:instrText>
      </w:r>
      <w:r w:rsidR="00A210F2" w:rsidRPr="00CE23AE">
        <w:rPr>
          <w:lang w:val="en-US"/>
        </w:rPr>
        <w:instrText xml:space="preserve"> \* MERGEFORMAT </w:instrText>
      </w:r>
      <w:r w:rsidR="00F31B3A" w:rsidRPr="00CE23AE">
        <w:rPr>
          <w:lang w:val="en-US"/>
        </w:rPr>
      </w:r>
      <w:r w:rsidR="00F31B3A" w:rsidRPr="00CE23AE">
        <w:rPr>
          <w:lang w:val="en-US"/>
        </w:rPr>
        <w:fldChar w:fldCharType="separate"/>
      </w:r>
      <w:r w:rsidR="00BC2953" w:rsidRPr="00CE23AE">
        <w:rPr>
          <w:lang w:val="en-US"/>
        </w:rPr>
        <w:t>77</w:t>
      </w:r>
      <w:r w:rsidR="00F31B3A" w:rsidRPr="00CE23AE">
        <w:rPr>
          <w:lang w:val="en-US"/>
        </w:rPr>
        <w:fldChar w:fldCharType="end"/>
      </w:r>
      <w:r w:rsidR="00F31B3A" w:rsidRPr="00CE23AE">
        <w:rPr>
          <w:lang w:val="en-US"/>
        </w:rPr>
        <w:t>). A</w:t>
      </w:r>
      <w:r w:rsidRPr="00CE23AE">
        <w:rPr>
          <w:lang w:val="en-US"/>
        </w:rPr>
        <w:t xml:space="preserve">lso, contrary to the arguments of </w:t>
      </w:r>
      <w:r w:rsidR="00C561DF" w:rsidRPr="00CE23AE">
        <w:rPr>
          <w:lang w:val="en-US"/>
        </w:rPr>
        <w:t>the Commission and the representative</w:t>
      </w:r>
      <w:r w:rsidR="00F31B3A" w:rsidRPr="00CE23AE">
        <w:rPr>
          <w:lang w:val="en-US"/>
        </w:rPr>
        <w:t xml:space="preserve">, </w:t>
      </w:r>
      <w:r w:rsidRPr="00CE23AE">
        <w:rPr>
          <w:lang w:val="en-US"/>
        </w:rPr>
        <w:t>this ruling did respond to the presumed victims’ allegation that the sanction was unconstitutional owing to the decriminalization of the offense of homosexuality in Ecuador. In this regard, it indicated the “special nature” of military regulations (</w:t>
      </w:r>
      <w:r w:rsidRPr="00CE23AE">
        <w:rPr>
          <w:i/>
          <w:lang w:val="en-US"/>
        </w:rPr>
        <w:t xml:space="preserve">supra </w:t>
      </w:r>
      <w:r w:rsidRPr="00CE23AE">
        <w:rPr>
          <w:lang w:val="en-US"/>
        </w:rPr>
        <w:t xml:space="preserve">para. </w:t>
      </w:r>
      <w:r w:rsidRPr="00CE23AE">
        <w:rPr>
          <w:b/>
          <w:lang w:val="en-US"/>
        </w:rPr>
        <w:fldChar w:fldCharType="begin"/>
      </w:r>
      <w:r w:rsidRPr="00CE23AE">
        <w:rPr>
          <w:lang w:val="en-US"/>
        </w:rPr>
        <w:instrText xml:space="preserve"> REF _Ref453869545 \r \h </w:instrText>
      </w:r>
      <w:r w:rsidRPr="00CE23AE">
        <w:rPr>
          <w:b/>
          <w:lang w:val="en-US"/>
        </w:rPr>
        <w:instrText xml:space="preserve"> \* MERGEFORMAT </w:instrText>
      </w:r>
      <w:r w:rsidRPr="00CE23AE">
        <w:rPr>
          <w:b/>
          <w:lang w:val="en-US"/>
        </w:rPr>
      </w:r>
      <w:r w:rsidRPr="00CE23AE">
        <w:rPr>
          <w:b/>
          <w:lang w:val="en-US"/>
        </w:rPr>
        <w:fldChar w:fldCharType="separate"/>
      </w:r>
      <w:r w:rsidRPr="00CE23AE">
        <w:rPr>
          <w:lang w:val="en-US"/>
        </w:rPr>
        <w:t>75</w:t>
      </w:r>
      <w:r w:rsidRPr="00CE23AE">
        <w:rPr>
          <w:b/>
          <w:lang w:val="en-US"/>
        </w:rPr>
        <w:fldChar w:fldCharType="end"/>
      </w:r>
      <w:r w:rsidRPr="00CE23AE">
        <w:rPr>
          <w:lang w:val="en-US"/>
        </w:rPr>
        <w:t>). The fact that the presumed victim did not find the justification satisfactory does not mean that the ruling lacked</w:t>
      </w:r>
      <w:r w:rsidR="00126142" w:rsidRPr="00CE23AE">
        <w:rPr>
          <w:lang w:val="en-US"/>
        </w:rPr>
        <w:t xml:space="preserve"> a</w:t>
      </w:r>
      <w:r w:rsidRPr="00CE23AE">
        <w:rPr>
          <w:lang w:val="en-US"/>
        </w:rPr>
        <w:t xml:space="preserve"> reasoning, </w:t>
      </w:r>
      <w:r w:rsidR="00126142" w:rsidRPr="00CE23AE">
        <w:rPr>
          <w:lang w:val="en-US"/>
        </w:rPr>
        <w:t>notwithstanding</w:t>
      </w:r>
      <w:r w:rsidRPr="00CE23AE">
        <w:rPr>
          <w:lang w:val="en-US"/>
        </w:rPr>
        <w:t xml:space="preserve"> the violations of the principle of equality before the law and the prohibition of discrimination already established (</w:t>
      </w:r>
      <w:r w:rsidRPr="00CE23AE">
        <w:rPr>
          <w:i/>
          <w:lang w:val="en-US"/>
        </w:rPr>
        <w:t xml:space="preserve">supra </w:t>
      </w:r>
      <w:r w:rsidRPr="00CE23AE">
        <w:rPr>
          <w:lang w:val="en-US"/>
        </w:rPr>
        <w:t xml:space="preserve">Chapter VIII-1). Consequently, the Court finds that the </w:t>
      </w:r>
      <w:r w:rsidR="0013582A" w:rsidRPr="00CE23AE">
        <w:rPr>
          <w:lang w:val="en-US"/>
        </w:rPr>
        <w:t>decision of the Court of Law</w:t>
      </w:r>
      <w:r w:rsidRPr="00CE23AE">
        <w:rPr>
          <w:lang w:val="en-US"/>
        </w:rPr>
        <w:t xml:space="preserve"> was sufficiently reasoned.</w:t>
      </w:r>
    </w:p>
    <w:p w14:paraId="5B13E795" w14:textId="77777777" w:rsidR="00F31B3A" w:rsidRPr="00CE23AE" w:rsidRDefault="00F31B3A" w:rsidP="00F31B3A">
      <w:pPr>
        <w:pStyle w:val="PrrafodeSentencia"/>
        <w:numPr>
          <w:ilvl w:val="0"/>
          <w:numId w:val="0"/>
        </w:numPr>
        <w:rPr>
          <w:lang w:val="en-US"/>
        </w:rPr>
      </w:pPr>
    </w:p>
    <w:p w14:paraId="25A823FC" w14:textId="252FDB2C" w:rsidR="00F31B3A" w:rsidRPr="00CE23AE" w:rsidRDefault="00C561DF" w:rsidP="00335282">
      <w:pPr>
        <w:pStyle w:val="PrrafodeSentencia"/>
        <w:rPr>
          <w:lang w:val="en-US"/>
        </w:rPr>
      </w:pPr>
      <w:r w:rsidRPr="00CE23AE">
        <w:rPr>
          <w:lang w:val="en-US"/>
        </w:rPr>
        <w:t>The Court</w:t>
      </w:r>
      <w:r w:rsidR="00F31B3A" w:rsidRPr="00CE23AE">
        <w:rPr>
          <w:lang w:val="en-US"/>
        </w:rPr>
        <w:t xml:space="preserve"> rec</w:t>
      </w:r>
      <w:r w:rsidR="0015354B" w:rsidRPr="00CE23AE">
        <w:rPr>
          <w:lang w:val="en-US"/>
        </w:rPr>
        <w:t>alls that the same guarantees cannot be required in the disciplinary sphere as in a judicial proceeding (</w:t>
      </w:r>
      <w:r w:rsidR="0015354B" w:rsidRPr="00CE23AE">
        <w:rPr>
          <w:i/>
          <w:lang w:val="en-US"/>
        </w:rPr>
        <w:t>supra</w:t>
      </w:r>
      <w:r w:rsidR="0015354B" w:rsidRPr="00CE23AE">
        <w:rPr>
          <w:lang w:val="en-US"/>
        </w:rPr>
        <w:t xml:space="preserve"> para. </w:t>
      </w:r>
      <w:r w:rsidR="0015354B" w:rsidRPr="00CE23AE">
        <w:rPr>
          <w:lang w:val="en-US"/>
        </w:rPr>
        <w:fldChar w:fldCharType="begin"/>
      </w:r>
      <w:r w:rsidR="0015354B" w:rsidRPr="00CE23AE">
        <w:rPr>
          <w:lang w:val="en-US"/>
        </w:rPr>
        <w:instrText xml:space="preserve"> REF _Ref464730282 \r \h </w:instrText>
      </w:r>
      <w:r w:rsidR="00CE23AE">
        <w:rPr>
          <w:lang w:val="en-US"/>
        </w:rPr>
        <w:instrText xml:space="preserve"> \* MERGEFORMAT </w:instrText>
      </w:r>
      <w:r w:rsidR="0015354B" w:rsidRPr="00CE23AE">
        <w:rPr>
          <w:lang w:val="en-US"/>
        </w:rPr>
      </w:r>
      <w:r w:rsidR="0015354B" w:rsidRPr="00CE23AE">
        <w:rPr>
          <w:lang w:val="en-US"/>
        </w:rPr>
        <w:fldChar w:fldCharType="separate"/>
      </w:r>
      <w:r w:rsidR="0015354B" w:rsidRPr="00CE23AE">
        <w:rPr>
          <w:lang w:val="en-US"/>
        </w:rPr>
        <w:t>165</w:t>
      </w:r>
      <w:r w:rsidR="0015354B" w:rsidRPr="00CE23AE">
        <w:rPr>
          <w:lang w:val="en-US"/>
        </w:rPr>
        <w:fldChar w:fldCharType="end"/>
      </w:r>
      <w:r w:rsidR="0015354B" w:rsidRPr="00CE23AE">
        <w:rPr>
          <w:lang w:val="en-US"/>
        </w:rPr>
        <w:t>). Although the duty to provide reasoning is a guarantee that is due in the case of the former (</w:t>
      </w:r>
      <w:r w:rsidR="0015354B" w:rsidRPr="00CE23AE">
        <w:rPr>
          <w:i/>
          <w:lang w:val="en-US"/>
        </w:rPr>
        <w:t>supra</w:t>
      </w:r>
      <w:r w:rsidR="0015354B" w:rsidRPr="00CE23AE">
        <w:rPr>
          <w:lang w:val="en-US"/>
        </w:rPr>
        <w:t xml:space="preserve"> para. </w:t>
      </w:r>
      <w:r w:rsidR="0015354B" w:rsidRPr="00CE23AE">
        <w:rPr>
          <w:lang w:val="en-US"/>
        </w:rPr>
        <w:fldChar w:fldCharType="begin"/>
      </w:r>
      <w:r w:rsidR="0015354B" w:rsidRPr="00CE23AE">
        <w:rPr>
          <w:lang w:val="en-US"/>
        </w:rPr>
        <w:instrText xml:space="preserve"> REF _Ref454242864 \r \h  \* MERGEFORMAT </w:instrText>
      </w:r>
      <w:r w:rsidR="0015354B" w:rsidRPr="00CE23AE">
        <w:rPr>
          <w:lang w:val="en-US"/>
        </w:rPr>
      </w:r>
      <w:r w:rsidR="0015354B" w:rsidRPr="00CE23AE">
        <w:rPr>
          <w:lang w:val="en-US"/>
        </w:rPr>
        <w:fldChar w:fldCharType="separate"/>
      </w:r>
      <w:r w:rsidR="0015354B" w:rsidRPr="00CE23AE">
        <w:rPr>
          <w:lang w:val="en-US"/>
        </w:rPr>
        <w:t>182</w:t>
      </w:r>
      <w:r w:rsidR="0015354B" w:rsidRPr="00CE23AE">
        <w:rPr>
          <w:lang w:val="en-US"/>
        </w:rPr>
        <w:fldChar w:fldCharType="end"/>
      </w:r>
      <w:r w:rsidR="0015354B" w:rsidRPr="00CE23AE">
        <w:rPr>
          <w:lang w:val="en-US"/>
        </w:rPr>
        <w:t xml:space="preserve">), the Court considers that its scope will depend considerably on the matter being examined. The level of reasoning that can be required in a disciplinary matter is different from that required in a criminal matter owing to the nature of </w:t>
      </w:r>
      <w:r w:rsidR="00335282" w:rsidRPr="00CE23AE">
        <w:rPr>
          <w:lang w:val="en-US"/>
        </w:rPr>
        <w:t xml:space="preserve">the proceedings and the facts that each must decide, as well as due to the greater </w:t>
      </w:r>
      <w:r w:rsidR="00126142" w:rsidRPr="00CE23AE">
        <w:rPr>
          <w:lang w:val="en-US"/>
        </w:rPr>
        <w:t>speed</w:t>
      </w:r>
      <w:r w:rsidR="00335282" w:rsidRPr="00CE23AE">
        <w:rPr>
          <w:lang w:val="en-US"/>
        </w:rPr>
        <w:t xml:space="preserve"> that should characterize disciplinary procedures, the standard of evidence required in each type of proceedings, the rights in</w:t>
      </w:r>
      <w:r w:rsidR="00126142" w:rsidRPr="00CE23AE">
        <w:rPr>
          <w:lang w:val="en-US"/>
        </w:rPr>
        <w:t>volved</w:t>
      </w:r>
      <w:r w:rsidR="00335282" w:rsidRPr="00CE23AE">
        <w:rPr>
          <w:lang w:val="en-US"/>
        </w:rPr>
        <w:t>, and the severity of the punishment</w:t>
      </w:r>
      <w:r w:rsidR="00F31B3A" w:rsidRPr="00CE23AE">
        <w:rPr>
          <w:lang w:val="en-US"/>
        </w:rPr>
        <w:t xml:space="preserve"> (</w:t>
      </w:r>
      <w:r w:rsidR="00F31B3A" w:rsidRPr="00CE23AE">
        <w:rPr>
          <w:i/>
          <w:lang w:val="en-US"/>
        </w:rPr>
        <w:t xml:space="preserve">supra </w:t>
      </w:r>
      <w:r w:rsidR="005C743F" w:rsidRPr="00CE23AE">
        <w:rPr>
          <w:lang w:val="en-US"/>
        </w:rPr>
        <w:t>para.</w:t>
      </w:r>
      <w:r w:rsidR="00F31B3A" w:rsidRPr="00CE23AE">
        <w:rPr>
          <w:lang w:val="en-US"/>
        </w:rPr>
        <w:t xml:space="preserve"> </w:t>
      </w:r>
      <w:r w:rsidR="00F31B3A" w:rsidRPr="00CE23AE">
        <w:rPr>
          <w:lang w:val="en-US"/>
        </w:rPr>
        <w:fldChar w:fldCharType="begin"/>
      </w:r>
      <w:r w:rsidR="00F31B3A" w:rsidRPr="00CE23AE">
        <w:rPr>
          <w:lang w:val="en-US"/>
        </w:rPr>
        <w:instrText xml:space="preserve"> REF _Ref454242677 \r \h  \* MERGEFORMAT </w:instrText>
      </w:r>
      <w:r w:rsidR="00F31B3A" w:rsidRPr="00CE23AE">
        <w:rPr>
          <w:lang w:val="en-US"/>
        </w:rPr>
      </w:r>
      <w:r w:rsidR="00F31B3A" w:rsidRPr="00CE23AE">
        <w:rPr>
          <w:lang w:val="en-US"/>
        </w:rPr>
        <w:fldChar w:fldCharType="separate"/>
      </w:r>
      <w:r w:rsidR="00BC2953" w:rsidRPr="00CE23AE">
        <w:rPr>
          <w:lang w:val="en-US"/>
        </w:rPr>
        <w:t>186</w:t>
      </w:r>
      <w:r w:rsidR="00F31B3A" w:rsidRPr="00CE23AE">
        <w:rPr>
          <w:lang w:val="en-US"/>
        </w:rPr>
        <w:fldChar w:fldCharType="end"/>
      </w:r>
      <w:r w:rsidR="00F31B3A" w:rsidRPr="00CE23AE">
        <w:rPr>
          <w:lang w:val="en-US"/>
        </w:rPr>
        <w:t>).</w:t>
      </w:r>
    </w:p>
    <w:p w14:paraId="3E7940C1" w14:textId="77777777" w:rsidR="00F31B3A" w:rsidRPr="00CE23AE" w:rsidRDefault="00F31B3A" w:rsidP="00F31B3A">
      <w:pPr>
        <w:pStyle w:val="PrrafodeSentencia"/>
        <w:numPr>
          <w:ilvl w:val="0"/>
          <w:numId w:val="0"/>
        </w:numPr>
        <w:rPr>
          <w:lang w:val="en-US"/>
        </w:rPr>
      </w:pPr>
    </w:p>
    <w:p w14:paraId="4CB60D85" w14:textId="6144BD6C" w:rsidR="00F31B3A" w:rsidRPr="00CE23AE" w:rsidRDefault="00335282" w:rsidP="00F31B3A">
      <w:pPr>
        <w:widowControl/>
        <w:numPr>
          <w:ilvl w:val="0"/>
          <w:numId w:val="6"/>
        </w:numPr>
        <w:tabs>
          <w:tab w:val="left" w:pos="567"/>
        </w:tabs>
        <w:suppressAutoHyphens/>
        <w:adjustRightInd/>
        <w:spacing w:line="240" w:lineRule="auto"/>
        <w:textAlignment w:val="auto"/>
        <w:rPr>
          <w:szCs w:val="20"/>
          <w:lang w:val="en-US"/>
        </w:rPr>
      </w:pPr>
      <w:r w:rsidRPr="00CE23AE">
        <w:rPr>
          <w:lang w:val="en-US"/>
        </w:rPr>
        <w:t>In the instant case</w:t>
      </w:r>
      <w:r w:rsidR="00F31B3A" w:rsidRPr="00CE23AE">
        <w:rPr>
          <w:lang w:val="en-US"/>
        </w:rPr>
        <w:t xml:space="preserve">, </w:t>
      </w:r>
      <w:r w:rsidR="00C561DF" w:rsidRPr="00CE23AE">
        <w:rPr>
          <w:lang w:val="en-US"/>
        </w:rPr>
        <w:t>the Court</w:t>
      </w:r>
      <w:r w:rsidR="00F31B3A" w:rsidRPr="00CE23AE">
        <w:rPr>
          <w:lang w:val="en-US"/>
        </w:rPr>
        <w:t xml:space="preserve"> conside</w:t>
      </w:r>
      <w:r w:rsidRPr="00CE23AE">
        <w:rPr>
          <w:lang w:val="en-US"/>
        </w:rPr>
        <w:t>rs that the reference to</w:t>
      </w:r>
      <w:r w:rsidR="00126142" w:rsidRPr="00CE23AE">
        <w:rPr>
          <w:lang w:val="en-US"/>
        </w:rPr>
        <w:t>,</w:t>
      </w:r>
      <w:r w:rsidRPr="00CE23AE">
        <w:rPr>
          <w:lang w:val="en-US"/>
        </w:rPr>
        <w:t xml:space="preserve"> and </w:t>
      </w:r>
      <w:r w:rsidR="00126142" w:rsidRPr="00CE23AE">
        <w:rPr>
          <w:lang w:val="en-US"/>
        </w:rPr>
        <w:t xml:space="preserve">the </w:t>
      </w:r>
      <w:r w:rsidRPr="00CE23AE">
        <w:rPr>
          <w:lang w:val="en-US"/>
        </w:rPr>
        <w:t>adoption of</w:t>
      </w:r>
      <w:r w:rsidR="00126142" w:rsidRPr="00CE23AE">
        <w:rPr>
          <w:lang w:val="en-US"/>
        </w:rPr>
        <w:t>,</w:t>
      </w:r>
      <w:r w:rsidRPr="00CE23AE">
        <w:rPr>
          <w:lang w:val="en-US"/>
        </w:rPr>
        <w:t xml:space="preserve"> the factual and legal considerations </w:t>
      </w:r>
      <w:r w:rsidR="000366A6" w:rsidRPr="00CE23AE">
        <w:rPr>
          <w:lang w:val="en-US"/>
        </w:rPr>
        <w:t xml:space="preserve">of the </w:t>
      </w:r>
      <w:r w:rsidR="00A055CE" w:rsidRPr="00CE23AE">
        <w:rPr>
          <w:lang w:val="en-US"/>
        </w:rPr>
        <w:t>Court of Law</w:t>
      </w:r>
      <w:r w:rsidR="00F31B3A" w:rsidRPr="00CE23AE">
        <w:rPr>
          <w:lang w:val="en-US"/>
        </w:rPr>
        <w:t xml:space="preserve"> </w:t>
      </w:r>
      <w:r w:rsidRPr="00CE23AE">
        <w:rPr>
          <w:lang w:val="en-US"/>
        </w:rPr>
        <w:t>in the decisions of</w:t>
      </w:r>
      <w:r w:rsidR="008B76F3" w:rsidRPr="00CE23AE">
        <w:rPr>
          <w:lang w:val="en-US"/>
        </w:rPr>
        <w:t xml:space="preserve"> the </w:t>
      </w:r>
      <w:r w:rsidR="00C347F4" w:rsidRPr="00CE23AE">
        <w:rPr>
          <w:lang w:val="en-US"/>
        </w:rPr>
        <w:t>Junior Officers Board</w:t>
      </w:r>
      <w:r w:rsidR="00C561DF" w:rsidRPr="00CE23AE">
        <w:rPr>
          <w:lang w:val="en-US"/>
        </w:rPr>
        <w:t xml:space="preserve"> and</w:t>
      </w:r>
      <w:r w:rsidR="008B76F3" w:rsidRPr="00CE23AE">
        <w:rPr>
          <w:lang w:val="en-US"/>
        </w:rPr>
        <w:t xml:space="preserve"> the </w:t>
      </w:r>
      <w:r w:rsidR="00847B25" w:rsidRPr="00CE23AE">
        <w:rPr>
          <w:lang w:val="en-US"/>
        </w:rPr>
        <w:t>Senior Officers Board</w:t>
      </w:r>
      <w:r w:rsidR="00F31B3A" w:rsidRPr="00CE23AE">
        <w:rPr>
          <w:lang w:val="en-US"/>
        </w:rPr>
        <w:t xml:space="preserve"> c</w:t>
      </w:r>
      <w:r w:rsidRPr="00CE23AE">
        <w:rPr>
          <w:lang w:val="en-US"/>
        </w:rPr>
        <w:t>o</w:t>
      </w:r>
      <w:r w:rsidR="00F31B3A" w:rsidRPr="00CE23AE">
        <w:rPr>
          <w:lang w:val="en-US"/>
        </w:rPr>
        <w:t>mpl</w:t>
      </w:r>
      <w:r w:rsidRPr="00CE23AE">
        <w:rPr>
          <w:lang w:val="en-US"/>
        </w:rPr>
        <w:t xml:space="preserve">ies with the guarantee of sufficient reasoning required by </w:t>
      </w:r>
      <w:r w:rsidR="00C561DF" w:rsidRPr="00CE23AE">
        <w:rPr>
          <w:lang w:val="en-US"/>
        </w:rPr>
        <w:t>the American Convention</w:t>
      </w:r>
      <w:r w:rsidR="00F31B3A" w:rsidRPr="00CE23AE">
        <w:rPr>
          <w:lang w:val="en-US"/>
        </w:rPr>
        <w:t xml:space="preserve">. </w:t>
      </w:r>
      <w:r w:rsidRPr="00CE23AE">
        <w:rPr>
          <w:lang w:val="en-US"/>
        </w:rPr>
        <w:t>In the briefs of the appeal before both Boards,</w:t>
      </w:r>
      <w:r w:rsidR="00F31B3A" w:rsidRPr="00CE23AE">
        <w:rPr>
          <w:lang w:val="en-US"/>
        </w:rPr>
        <w:t xml:space="preserve"> </w:t>
      </w:r>
      <w:r w:rsidR="00C561DF" w:rsidRPr="00CE23AE">
        <w:rPr>
          <w:lang w:val="en-US"/>
        </w:rPr>
        <w:t>the presumed victim</w:t>
      </w:r>
      <w:r w:rsidR="00F31B3A" w:rsidRPr="00CE23AE">
        <w:rPr>
          <w:lang w:val="en-US"/>
        </w:rPr>
        <w:t xml:space="preserve"> </w:t>
      </w:r>
      <w:r w:rsidRPr="00CE23AE">
        <w:rPr>
          <w:lang w:val="en-US"/>
        </w:rPr>
        <w:t xml:space="preserve">did not submit any additional or essential argument that required a specific </w:t>
      </w:r>
      <w:r w:rsidR="00126142" w:rsidRPr="00CE23AE">
        <w:rPr>
          <w:lang w:val="en-US"/>
        </w:rPr>
        <w:t xml:space="preserve">response, </w:t>
      </w:r>
      <w:r w:rsidRPr="00CE23AE">
        <w:rPr>
          <w:lang w:val="en-US"/>
        </w:rPr>
        <w:t xml:space="preserve">separate from </w:t>
      </w:r>
      <w:r w:rsidR="008B76F3" w:rsidRPr="00CE23AE">
        <w:rPr>
          <w:lang w:val="en-US"/>
        </w:rPr>
        <w:t xml:space="preserve">the </w:t>
      </w:r>
      <w:r w:rsidR="0078516C" w:rsidRPr="00CE23AE">
        <w:rPr>
          <w:lang w:val="en-US"/>
        </w:rPr>
        <w:t>decision</w:t>
      </w:r>
      <w:r w:rsidR="000366A6" w:rsidRPr="00CE23AE">
        <w:rPr>
          <w:lang w:val="en-US"/>
        </w:rPr>
        <w:t xml:space="preserve"> of the </w:t>
      </w:r>
      <w:r w:rsidR="00A055CE" w:rsidRPr="00CE23AE">
        <w:rPr>
          <w:lang w:val="en-US"/>
        </w:rPr>
        <w:t>Court of Law</w:t>
      </w:r>
      <w:r w:rsidRPr="00CE23AE">
        <w:rPr>
          <w:i/>
          <w:lang w:val="en-US"/>
        </w:rPr>
        <w:t>.</w:t>
      </w:r>
      <w:r w:rsidR="00F31B3A" w:rsidRPr="00CE23AE">
        <w:rPr>
          <w:rStyle w:val="Refdenotaalpie"/>
          <w:lang w:val="en-US"/>
        </w:rPr>
        <w:footnoteReference w:id="269"/>
      </w:r>
      <w:r w:rsidR="00F31B3A" w:rsidRPr="00CE23AE">
        <w:rPr>
          <w:lang w:val="en-US"/>
        </w:rPr>
        <w:t xml:space="preserve"> </w:t>
      </w:r>
      <w:r w:rsidRPr="00CE23AE">
        <w:rPr>
          <w:lang w:val="en-US"/>
        </w:rPr>
        <w:t>Since they did not diverge from the reasoning</w:t>
      </w:r>
      <w:r w:rsidR="00F31B3A" w:rsidRPr="00CE23AE">
        <w:rPr>
          <w:lang w:val="en-US"/>
        </w:rPr>
        <w:t xml:space="preserve"> </w:t>
      </w:r>
      <w:r w:rsidR="000366A6" w:rsidRPr="00CE23AE">
        <w:rPr>
          <w:lang w:val="en-US"/>
        </w:rPr>
        <w:t xml:space="preserve">of the </w:t>
      </w:r>
      <w:r w:rsidR="00A055CE" w:rsidRPr="00CE23AE">
        <w:rPr>
          <w:lang w:val="en-US"/>
        </w:rPr>
        <w:t>Court of Law</w:t>
      </w:r>
      <w:r w:rsidR="00F31B3A" w:rsidRPr="00CE23AE">
        <w:rPr>
          <w:lang w:val="en-US"/>
        </w:rPr>
        <w:t>,</w:t>
      </w:r>
      <w:r w:rsidRPr="00CE23AE">
        <w:rPr>
          <w:lang w:val="en-US"/>
        </w:rPr>
        <w:t xml:space="preserve"> the two Boards </w:t>
      </w:r>
      <w:r w:rsidRPr="00CE23AE">
        <w:rPr>
          <w:lang w:val="en-US"/>
        </w:rPr>
        <w:lastRenderedPageBreak/>
        <w:t xml:space="preserve">adopted </w:t>
      </w:r>
      <w:r w:rsidR="00126142" w:rsidRPr="00CE23AE">
        <w:rPr>
          <w:lang w:val="en-US"/>
        </w:rPr>
        <w:t>its</w:t>
      </w:r>
      <w:r w:rsidRPr="00CE23AE">
        <w:rPr>
          <w:lang w:val="en-US"/>
        </w:rPr>
        <w:t xml:space="preserve"> considerations as their own. Consequently, the presumed victim’s exercise of his right of defense in the case of the two administrative acts was guaranteed by the </w:t>
      </w:r>
      <w:r w:rsidR="005024E2" w:rsidRPr="00CE23AE">
        <w:rPr>
          <w:lang w:val="en-US"/>
        </w:rPr>
        <w:t>considerations</w:t>
      </w:r>
      <w:r w:rsidR="000366A6" w:rsidRPr="00CE23AE">
        <w:rPr>
          <w:lang w:val="en-US"/>
        </w:rPr>
        <w:t xml:space="preserve"> of the </w:t>
      </w:r>
      <w:r w:rsidR="00A055CE" w:rsidRPr="00CE23AE">
        <w:rPr>
          <w:lang w:val="en-US"/>
        </w:rPr>
        <w:t>Court of Law</w:t>
      </w:r>
      <w:r w:rsidR="00F31B3A" w:rsidRPr="00CE23AE">
        <w:rPr>
          <w:lang w:val="en-US"/>
        </w:rPr>
        <w:t>.</w:t>
      </w:r>
    </w:p>
    <w:p w14:paraId="7F31863F" w14:textId="77777777" w:rsidR="00F31B3A" w:rsidRPr="00CE23AE" w:rsidRDefault="00F31B3A" w:rsidP="00F31B3A">
      <w:pPr>
        <w:widowControl/>
        <w:tabs>
          <w:tab w:val="left" w:pos="567"/>
        </w:tabs>
        <w:suppressAutoHyphens/>
        <w:adjustRightInd/>
        <w:spacing w:line="240" w:lineRule="auto"/>
        <w:textAlignment w:val="auto"/>
        <w:rPr>
          <w:szCs w:val="20"/>
          <w:lang w:val="en-US"/>
        </w:rPr>
      </w:pPr>
    </w:p>
    <w:p w14:paraId="29F82469" w14:textId="14422A95" w:rsidR="00F31B3A" w:rsidRPr="00CE23AE" w:rsidRDefault="006C4675" w:rsidP="00F31B3A">
      <w:pPr>
        <w:widowControl/>
        <w:numPr>
          <w:ilvl w:val="0"/>
          <w:numId w:val="6"/>
        </w:numPr>
        <w:tabs>
          <w:tab w:val="left" w:pos="567"/>
        </w:tabs>
        <w:suppressAutoHyphens/>
        <w:adjustRightInd/>
        <w:spacing w:line="240" w:lineRule="auto"/>
        <w:textAlignment w:val="auto"/>
        <w:rPr>
          <w:szCs w:val="20"/>
          <w:lang w:val="en-US"/>
        </w:rPr>
      </w:pPr>
      <w:bookmarkStart w:id="442" w:name="_Ref455672223"/>
      <w:r w:rsidRPr="00CE23AE">
        <w:rPr>
          <w:lang w:val="en-US"/>
        </w:rPr>
        <w:t>Therefore,</w:t>
      </w:r>
      <w:r w:rsidR="00F31B3A" w:rsidRPr="00CE23AE">
        <w:rPr>
          <w:lang w:val="en-US"/>
        </w:rPr>
        <w:t xml:space="preserve"> </w:t>
      </w:r>
      <w:r w:rsidR="00C561DF" w:rsidRPr="00CE23AE">
        <w:rPr>
          <w:lang w:val="en-US"/>
        </w:rPr>
        <w:t>the Court</w:t>
      </w:r>
      <w:r w:rsidR="00F31B3A" w:rsidRPr="00CE23AE">
        <w:rPr>
          <w:lang w:val="en-US"/>
        </w:rPr>
        <w:t xml:space="preserve"> conclu</w:t>
      </w:r>
      <w:r w:rsidRPr="00CE23AE">
        <w:rPr>
          <w:lang w:val="en-US"/>
        </w:rPr>
        <w:t>des that the absence of a new analysis of the facts and the ap</w:t>
      </w:r>
      <w:r w:rsidR="00335282" w:rsidRPr="00CE23AE">
        <w:rPr>
          <w:lang w:val="en-US"/>
        </w:rPr>
        <w:t>p</w:t>
      </w:r>
      <w:r w:rsidRPr="00CE23AE">
        <w:rPr>
          <w:lang w:val="en-US"/>
        </w:rPr>
        <w:t xml:space="preserve">licable law in the decisions </w:t>
      </w:r>
      <w:r w:rsidR="008B76F3" w:rsidRPr="00CE23AE">
        <w:rPr>
          <w:lang w:val="en-US"/>
        </w:rPr>
        <w:t xml:space="preserve">of the Junior and </w:t>
      </w:r>
      <w:r w:rsidR="00847B25" w:rsidRPr="00CE23AE">
        <w:rPr>
          <w:lang w:val="en-US"/>
        </w:rPr>
        <w:t>Senior Officers Board</w:t>
      </w:r>
      <w:r w:rsidR="008B76F3" w:rsidRPr="00CE23AE">
        <w:rPr>
          <w:lang w:val="en-US"/>
        </w:rPr>
        <w:t>s</w:t>
      </w:r>
      <w:r w:rsidR="00F31B3A" w:rsidRPr="00CE23AE">
        <w:rPr>
          <w:lang w:val="en-US"/>
        </w:rPr>
        <w:t xml:space="preserve"> </w:t>
      </w:r>
      <w:r w:rsidRPr="00CE23AE">
        <w:rPr>
          <w:lang w:val="en-US"/>
        </w:rPr>
        <w:t xml:space="preserve">did not constitute a violation of the obligation to provide the reasoning, insofar </w:t>
      </w:r>
      <w:r w:rsidR="00126142" w:rsidRPr="00CE23AE">
        <w:rPr>
          <w:lang w:val="en-US"/>
        </w:rPr>
        <w:t xml:space="preserve">as </w:t>
      </w:r>
      <w:r w:rsidRPr="00CE23AE">
        <w:rPr>
          <w:lang w:val="en-US"/>
        </w:rPr>
        <w:t xml:space="preserve">those bodies adopted the factual and legal considerations of </w:t>
      </w:r>
      <w:r w:rsidR="00C347F4" w:rsidRPr="00CE23AE">
        <w:rPr>
          <w:lang w:val="en-US"/>
        </w:rPr>
        <w:t xml:space="preserve">the </w:t>
      </w:r>
      <w:r w:rsidR="00A055CE" w:rsidRPr="00CE23AE">
        <w:rPr>
          <w:lang w:val="en-US"/>
        </w:rPr>
        <w:t>Court of Law</w:t>
      </w:r>
      <w:r w:rsidR="00F31B3A" w:rsidRPr="00CE23AE">
        <w:rPr>
          <w:lang w:val="en-US"/>
        </w:rPr>
        <w:t xml:space="preserve"> </w:t>
      </w:r>
      <w:r w:rsidRPr="00CE23AE">
        <w:rPr>
          <w:lang w:val="en-US"/>
        </w:rPr>
        <w:t>as their own</w:t>
      </w:r>
      <w:r w:rsidR="00F31B3A" w:rsidRPr="00CE23AE">
        <w:rPr>
          <w:lang w:val="en-US"/>
        </w:rPr>
        <w:t xml:space="preserve">. </w:t>
      </w:r>
      <w:r w:rsidRPr="00CE23AE">
        <w:rPr>
          <w:lang w:val="en-US"/>
        </w:rPr>
        <w:t xml:space="preserve">Consequently, the State is not responsible for violating </w:t>
      </w:r>
      <w:r w:rsidR="00996128" w:rsidRPr="00CE23AE">
        <w:rPr>
          <w:lang w:val="en-US"/>
        </w:rPr>
        <w:t>Article</w:t>
      </w:r>
      <w:r w:rsidR="00F31B3A" w:rsidRPr="00CE23AE">
        <w:rPr>
          <w:lang w:val="en-US"/>
        </w:rPr>
        <w:t xml:space="preserve"> </w:t>
      </w:r>
      <w:r w:rsidR="00C561DF" w:rsidRPr="00CE23AE">
        <w:rPr>
          <w:lang w:val="en-US"/>
        </w:rPr>
        <w:t>8(1) of the Convention</w:t>
      </w:r>
      <w:r w:rsidR="00F31B3A" w:rsidRPr="00CE23AE">
        <w:rPr>
          <w:lang w:val="en-US"/>
        </w:rPr>
        <w:t xml:space="preserve">, </w:t>
      </w:r>
      <w:r w:rsidRPr="00CE23AE">
        <w:rPr>
          <w:lang w:val="en-US"/>
        </w:rPr>
        <w:t>in relation to</w:t>
      </w:r>
      <w:r w:rsidR="00F31B3A" w:rsidRPr="00CE23AE">
        <w:rPr>
          <w:lang w:val="en-US"/>
        </w:rPr>
        <w:t xml:space="preserve"> </w:t>
      </w:r>
      <w:r w:rsidR="00C561DF" w:rsidRPr="00CE23AE">
        <w:rPr>
          <w:lang w:val="en-US"/>
        </w:rPr>
        <w:t>Article 1(1)</w:t>
      </w:r>
      <w:r w:rsidR="002A283F" w:rsidRPr="00CE23AE">
        <w:rPr>
          <w:lang w:val="en-US"/>
        </w:rPr>
        <w:t xml:space="preserve"> </w:t>
      </w:r>
      <w:r w:rsidRPr="00CE23AE">
        <w:rPr>
          <w:lang w:val="en-US"/>
        </w:rPr>
        <w:t>of this instrument, for this reason.</w:t>
      </w:r>
      <w:bookmarkEnd w:id="442"/>
    </w:p>
    <w:p w14:paraId="2F999DD9" w14:textId="77777777" w:rsidR="00F31B3A" w:rsidRPr="00CE23AE" w:rsidRDefault="00F31B3A" w:rsidP="00F31B3A">
      <w:pPr>
        <w:widowControl/>
        <w:tabs>
          <w:tab w:val="left" w:pos="567"/>
        </w:tabs>
        <w:suppressAutoHyphens/>
        <w:adjustRightInd/>
        <w:spacing w:line="240" w:lineRule="auto"/>
        <w:textAlignment w:val="auto"/>
        <w:rPr>
          <w:lang w:val="en-US" w:eastAsia="x-none"/>
        </w:rPr>
      </w:pPr>
    </w:p>
    <w:p w14:paraId="30AB49A3" w14:textId="40ABB32E" w:rsidR="00582D8D" w:rsidRPr="00CE23AE" w:rsidRDefault="006C4675" w:rsidP="00F31B3A">
      <w:pPr>
        <w:widowControl/>
        <w:numPr>
          <w:ilvl w:val="0"/>
          <w:numId w:val="6"/>
        </w:numPr>
        <w:tabs>
          <w:tab w:val="left" w:pos="567"/>
        </w:tabs>
        <w:suppressAutoHyphens/>
        <w:adjustRightInd/>
        <w:spacing w:line="240" w:lineRule="auto"/>
        <w:textAlignment w:val="auto"/>
        <w:rPr>
          <w:lang w:val="en-US" w:eastAsia="x-none"/>
        </w:rPr>
      </w:pPr>
      <w:bookmarkStart w:id="443" w:name="_Ref464744265"/>
      <w:r w:rsidRPr="00CE23AE">
        <w:rPr>
          <w:lang w:val="en-US"/>
        </w:rPr>
        <w:t xml:space="preserve">Lastly, regarding the alleged absence of justification for the decisions in the context of the amparo proceeding, the Court notes that these arguments are substantially identical to the arguments on the presumed ineffectiveness of that remedy. Consequently, the arguments will be examined in the following section when deciding on the </w:t>
      </w:r>
      <w:r w:rsidR="00AC18A9" w:rsidRPr="00CE23AE">
        <w:rPr>
          <w:lang w:val="en-US"/>
        </w:rPr>
        <w:t>alleged violation of</w:t>
      </w:r>
      <w:r w:rsidR="00996128" w:rsidRPr="00CE23AE">
        <w:rPr>
          <w:lang w:val="en-US"/>
        </w:rPr>
        <w:t xml:space="preserve"> Article</w:t>
      </w:r>
      <w:r w:rsidR="00F31B3A" w:rsidRPr="00CE23AE">
        <w:rPr>
          <w:lang w:val="en-US"/>
        </w:rPr>
        <w:t xml:space="preserve"> 25</w:t>
      </w:r>
      <w:r w:rsidR="00C561DF" w:rsidRPr="00CE23AE">
        <w:rPr>
          <w:lang w:val="en-US"/>
        </w:rPr>
        <w:t xml:space="preserve"> of the American Convention</w:t>
      </w:r>
      <w:r w:rsidR="00F31B3A" w:rsidRPr="00CE23AE">
        <w:rPr>
          <w:lang w:val="en-US"/>
        </w:rPr>
        <w:t>.</w:t>
      </w:r>
      <w:bookmarkEnd w:id="443"/>
      <w:r w:rsidR="00F31B3A" w:rsidRPr="00CE23AE">
        <w:rPr>
          <w:lang w:val="en-US"/>
        </w:rPr>
        <w:t xml:space="preserve"> </w:t>
      </w:r>
      <w:r w:rsidR="00582D8D" w:rsidRPr="00CE23AE">
        <w:rPr>
          <w:lang w:val="en-US"/>
        </w:rPr>
        <w:t xml:space="preserve"> </w:t>
      </w:r>
    </w:p>
    <w:p w14:paraId="3634ACE2" w14:textId="77777777" w:rsidR="00A71C2C" w:rsidRPr="00CE23AE" w:rsidRDefault="00A71C2C" w:rsidP="00582D8D">
      <w:pPr>
        <w:pStyle w:val="Prrafodelista"/>
        <w:widowControl/>
        <w:suppressAutoHyphens/>
        <w:adjustRightInd/>
        <w:spacing w:line="240" w:lineRule="auto"/>
        <w:ind w:left="1080"/>
        <w:contextualSpacing/>
        <w:textAlignment w:val="auto"/>
        <w:rPr>
          <w:szCs w:val="20"/>
          <w:lang w:val="en-US"/>
        </w:rPr>
      </w:pPr>
    </w:p>
    <w:p w14:paraId="1DD93C8F" w14:textId="3DEF22F9" w:rsidR="00582D8D" w:rsidRPr="00CE23AE" w:rsidRDefault="006C4675" w:rsidP="0072590B">
      <w:pPr>
        <w:pStyle w:val="Ttulo2"/>
        <w:numPr>
          <w:ilvl w:val="0"/>
          <w:numId w:val="25"/>
        </w:numPr>
        <w:ind w:left="1134"/>
        <w:rPr>
          <w:lang w:val="en-US"/>
        </w:rPr>
      </w:pPr>
      <w:bookmarkStart w:id="444" w:name="_Toc46388399"/>
      <w:r w:rsidRPr="00CE23AE">
        <w:rPr>
          <w:lang w:val="en-US"/>
        </w:rPr>
        <w:t>Right to an effective remedy</w:t>
      </w:r>
      <w:bookmarkEnd w:id="444"/>
    </w:p>
    <w:p w14:paraId="31F5075A" w14:textId="77777777" w:rsidR="009009F9" w:rsidRPr="00CE23AE" w:rsidRDefault="009009F9" w:rsidP="009009F9">
      <w:pPr>
        <w:rPr>
          <w:lang w:val="en-US" w:eastAsia="es-MX"/>
        </w:rPr>
      </w:pPr>
    </w:p>
    <w:p w14:paraId="2027D386" w14:textId="4FA42978" w:rsidR="00582D8D" w:rsidRPr="00CE23AE" w:rsidRDefault="00582D8D" w:rsidP="00582D8D">
      <w:pPr>
        <w:pStyle w:val="Ttulo3"/>
        <w:rPr>
          <w:lang w:val="en-US"/>
        </w:rPr>
      </w:pPr>
      <w:bookmarkStart w:id="445" w:name="_Toc454891515"/>
      <w:bookmarkStart w:id="446" w:name="_Toc457840620"/>
      <w:bookmarkStart w:id="447" w:name="_Toc460398552"/>
      <w:bookmarkStart w:id="448" w:name="_Toc464475013"/>
      <w:bookmarkStart w:id="449" w:name="_Toc46388400"/>
      <w:r w:rsidRPr="00CE23AE">
        <w:rPr>
          <w:lang w:val="en-US"/>
        </w:rPr>
        <w:t xml:space="preserve">B.1 </w:t>
      </w:r>
      <w:r w:rsidR="00E10780" w:rsidRPr="00CE23AE">
        <w:rPr>
          <w:lang w:val="en-US"/>
        </w:rPr>
        <w:t>Arguments of the parties</w:t>
      </w:r>
      <w:r w:rsidR="00C561DF" w:rsidRPr="00CE23AE">
        <w:rPr>
          <w:lang w:val="en-US"/>
        </w:rPr>
        <w:t xml:space="preserve"> and of the Commission</w:t>
      </w:r>
      <w:bookmarkEnd w:id="445"/>
      <w:bookmarkEnd w:id="446"/>
      <w:bookmarkEnd w:id="447"/>
      <w:bookmarkEnd w:id="448"/>
      <w:bookmarkEnd w:id="449"/>
    </w:p>
    <w:p w14:paraId="08E1D535" w14:textId="77777777" w:rsidR="005A2EB2" w:rsidRPr="00CE23AE" w:rsidRDefault="005A2EB2" w:rsidP="005A2EB2">
      <w:pPr>
        <w:rPr>
          <w:lang w:val="en-US"/>
        </w:rPr>
      </w:pPr>
    </w:p>
    <w:p w14:paraId="4502F214" w14:textId="01D5D83A" w:rsidR="00335282" w:rsidRPr="00CE23AE" w:rsidRDefault="00C561DF" w:rsidP="00863327">
      <w:pPr>
        <w:pStyle w:val="PrrafodeSentencia"/>
        <w:rPr>
          <w:b/>
          <w:lang w:val="en-US"/>
        </w:rPr>
      </w:pPr>
      <w:r w:rsidRPr="00CE23AE">
        <w:rPr>
          <w:rFonts w:eastAsiaTheme="minorHAnsi" w:cs="Arial"/>
          <w:lang w:val="en-US" w:eastAsia="en-US"/>
        </w:rPr>
        <w:t xml:space="preserve">The </w:t>
      </w:r>
      <w:r w:rsidRPr="00CE23AE">
        <w:rPr>
          <w:rFonts w:eastAsiaTheme="minorHAnsi" w:cs="Arial"/>
          <w:b/>
          <w:bCs/>
          <w:i/>
          <w:iCs/>
          <w:lang w:val="en-US" w:eastAsia="en-US"/>
        </w:rPr>
        <w:t>Commission</w:t>
      </w:r>
      <w:r w:rsidR="005A2EB2" w:rsidRPr="00CE23AE">
        <w:rPr>
          <w:lang w:val="en-US"/>
        </w:rPr>
        <w:t xml:space="preserve"> </w:t>
      </w:r>
      <w:r w:rsidR="00335282" w:rsidRPr="00CE23AE">
        <w:rPr>
          <w:lang w:val="en-US"/>
        </w:rPr>
        <w:t>argued that neither</w:t>
      </w:r>
      <w:r w:rsidR="005A2EB2" w:rsidRPr="00CE23AE">
        <w:rPr>
          <w:lang w:val="en-US"/>
        </w:rPr>
        <w:t xml:space="preserve"> </w:t>
      </w:r>
      <w:r w:rsidR="0078516C" w:rsidRPr="00CE23AE">
        <w:rPr>
          <w:lang w:val="en-US"/>
        </w:rPr>
        <w:t>the decision</w:t>
      </w:r>
      <w:r w:rsidR="00AC18A9" w:rsidRPr="00CE23AE">
        <w:rPr>
          <w:lang w:val="en-US"/>
        </w:rPr>
        <w:t xml:space="preserve"> of the </w:t>
      </w:r>
      <w:r w:rsidR="009B2300" w:rsidRPr="00CE23AE">
        <w:rPr>
          <w:lang w:val="en-US"/>
        </w:rPr>
        <w:t>Sixth Civil Court</w:t>
      </w:r>
      <w:r w:rsidR="005A2EB2" w:rsidRPr="00CE23AE">
        <w:rPr>
          <w:lang w:val="en-US"/>
        </w:rPr>
        <w:t xml:space="preserve"> </w:t>
      </w:r>
      <w:r w:rsidR="00335282" w:rsidRPr="00CE23AE">
        <w:rPr>
          <w:lang w:val="en-US"/>
        </w:rPr>
        <w:t>nor that</w:t>
      </w:r>
      <w:r w:rsidRPr="00CE23AE">
        <w:rPr>
          <w:lang w:val="en-US"/>
        </w:rPr>
        <w:t xml:space="preserve"> of the </w:t>
      </w:r>
      <w:r w:rsidR="000366A6" w:rsidRPr="00CE23AE">
        <w:rPr>
          <w:lang w:val="en-US"/>
        </w:rPr>
        <w:t>Constitutional Court</w:t>
      </w:r>
      <w:r w:rsidR="005A2EB2" w:rsidRPr="00CE23AE">
        <w:rPr>
          <w:lang w:val="en-US"/>
        </w:rPr>
        <w:t xml:space="preserve"> </w:t>
      </w:r>
      <w:r w:rsidR="00335282" w:rsidRPr="00CE23AE">
        <w:rPr>
          <w:lang w:val="en-US"/>
        </w:rPr>
        <w:t xml:space="preserve">included a ruling on the merits of the matters submitted by </w:t>
      </w:r>
      <w:r w:rsidR="00F5102B" w:rsidRPr="00CE23AE">
        <w:rPr>
          <w:lang w:val="en-US"/>
        </w:rPr>
        <w:t>Mr. Flor</w:t>
      </w:r>
      <w:r w:rsidR="004578A4" w:rsidRPr="00CE23AE">
        <w:rPr>
          <w:lang w:val="en-US"/>
        </w:rPr>
        <w:t xml:space="preserve"> Freire</w:t>
      </w:r>
      <w:r w:rsidR="00335282" w:rsidRPr="00CE23AE">
        <w:rPr>
          <w:lang w:val="en-US"/>
        </w:rPr>
        <w:t xml:space="preserve"> – that is, the possible </w:t>
      </w:r>
      <w:r w:rsidR="00863327" w:rsidRPr="00CE23AE">
        <w:rPr>
          <w:lang w:val="en-US"/>
        </w:rPr>
        <w:t xml:space="preserve">breach of constitutional rights. Consequently, it argued that the application for amparo did not constitute an effective mechanism. The Commission asked the Court to declare that Article 25 of the Convention had been violated considering that “the failure to state the reasoning in the decisions on the application for </w:t>
      </w:r>
      <w:r w:rsidR="00282386" w:rsidRPr="00CE23AE">
        <w:rPr>
          <w:lang w:val="en-US"/>
        </w:rPr>
        <w:t>amparo</w:t>
      </w:r>
      <w:r w:rsidR="00863327" w:rsidRPr="00CE23AE">
        <w:rPr>
          <w:lang w:val="en-US"/>
        </w:rPr>
        <w:t xml:space="preserve"> filed by Homero Flor kept him from having effective access</w:t>
      </w:r>
      <w:r w:rsidR="00863327" w:rsidRPr="00CE23AE">
        <w:rPr>
          <w:b/>
          <w:lang w:val="en-US"/>
        </w:rPr>
        <w:t xml:space="preserve"> </w:t>
      </w:r>
      <w:r w:rsidR="00863327" w:rsidRPr="00CE23AE">
        <w:rPr>
          <w:color w:val="000000"/>
          <w:lang w:val="en-US"/>
        </w:rPr>
        <w:t>to judicial protection that would protect the rights affected by the action of the military authorities aimed at punishing the alleged victim’s perceived sexual orientation</w:t>
      </w:r>
      <w:r w:rsidR="00863327" w:rsidRPr="00CE23AE">
        <w:rPr>
          <w:rFonts w:cs="Arial"/>
          <w:lang w:val="en-US"/>
        </w:rPr>
        <w:t>.”</w:t>
      </w:r>
    </w:p>
    <w:p w14:paraId="1F1639AE" w14:textId="77777777" w:rsidR="005A2EB2" w:rsidRPr="00CE23AE" w:rsidRDefault="005A2EB2" w:rsidP="005A2EB2">
      <w:pPr>
        <w:pStyle w:val="PrrafodeSentencia"/>
        <w:numPr>
          <w:ilvl w:val="0"/>
          <w:numId w:val="0"/>
        </w:numPr>
        <w:rPr>
          <w:b/>
          <w:lang w:val="en-US"/>
        </w:rPr>
      </w:pPr>
    </w:p>
    <w:p w14:paraId="32AF8222" w14:textId="47A9D42B" w:rsidR="005A2EB2" w:rsidRPr="00CE23AE" w:rsidRDefault="00C561DF" w:rsidP="006E1380">
      <w:pPr>
        <w:pStyle w:val="PrrafodeSentencia"/>
        <w:rPr>
          <w:rFonts w:eastAsia="MS Mincho" w:cs="TimesNewRomanPSMT"/>
          <w:lang w:val="en-US" w:eastAsia="en-US"/>
        </w:rPr>
      </w:pPr>
      <w:r w:rsidRPr="00CE23AE">
        <w:rPr>
          <w:lang w:val="en-US"/>
        </w:rPr>
        <w:t xml:space="preserve">The </w:t>
      </w:r>
      <w:r w:rsidRPr="00CE23AE">
        <w:rPr>
          <w:b/>
          <w:bCs/>
          <w:i/>
          <w:iCs/>
          <w:lang w:val="en-US"/>
        </w:rPr>
        <w:t>representative</w:t>
      </w:r>
      <w:r w:rsidR="005A2EB2" w:rsidRPr="00CE23AE">
        <w:rPr>
          <w:b/>
          <w:bCs/>
          <w:i/>
          <w:iCs/>
          <w:lang w:val="en-US"/>
        </w:rPr>
        <w:t xml:space="preserve"> </w:t>
      </w:r>
      <w:r w:rsidR="00863327" w:rsidRPr="00CE23AE">
        <w:rPr>
          <w:lang w:val="en-US"/>
        </w:rPr>
        <w:t>argued that</w:t>
      </w:r>
      <w:r w:rsidR="005A2EB2" w:rsidRPr="00CE23AE">
        <w:rPr>
          <w:lang w:val="en-US"/>
        </w:rPr>
        <w:t xml:space="preserve"> </w:t>
      </w:r>
      <w:r w:rsidR="0078516C" w:rsidRPr="00CE23AE">
        <w:rPr>
          <w:lang w:val="en-US"/>
        </w:rPr>
        <w:t>the Sixth Civil Court of Pichincha</w:t>
      </w:r>
      <w:r w:rsidRPr="00CE23AE">
        <w:rPr>
          <w:lang w:val="en-US"/>
        </w:rPr>
        <w:t xml:space="preserve"> and the </w:t>
      </w:r>
      <w:r w:rsidR="000366A6" w:rsidRPr="00CE23AE">
        <w:rPr>
          <w:lang w:val="en-US"/>
        </w:rPr>
        <w:t>Constitutional Court</w:t>
      </w:r>
      <w:r w:rsidR="005A2EB2" w:rsidRPr="00CE23AE">
        <w:rPr>
          <w:lang w:val="en-US"/>
        </w:rPr>
        <w:t xml:space="preserve"> </w:t>
      </w:r>
      <w:r w:rsidR="00863327" w:rsidRPr="00CE23AE">
        <w:rPr>
          <w:lang w:val="en-US"/>
        </w:rPr>
        <w:t xml:space="preserve">had decided not to rule on the merits of the case based on the argument that the matter was under the military jurisdiction and that, presumably, the </w:t>
      </w:r>
      <w:r w:rsidR="00A055CE" w:rsidRPr="00CE23AE">
        <w:rPr>
          <w:lang w:val="en-US"/>
        </w:rPr>
        <w:t>Judge of Law</w:t>
      </w:r>
      <w:r w:rsidR="00863327" w:rsidRPr="00CE23AE">
        <w:rPr>
          <w:lang w:val="en-US"/>
        </w:rPr>
        <w:t xml:space="preserve"> had not committed any unlawful act. According to the representative, “the State failed in its obligation to provide an effective remedy to protect the rights established in both the Constitution and the law.” He indicated that, although </w:t>
      </w:r>
      <w:r w:rsidR="00863327" w:rsidRPr="00CE23AE">
        <w:rPr>
          <w:rFonts w:eastAsia="MS Mincho" w:cs="TimesNewRomanPSMT"/>
          <w:lang w:val="en-US" w:eastAsia="en-US"/>
        </w:rPr>
        <w:t xml:space="preserve">Mr. Flor Freire was able to file a remedy, this </w:t>
      </w:r>
      <w:r w:rsidR="007855BC" w:rsidRPr="00CE23AE">
        <w:rPr>
          <w:rFonts w:eastAsia="MS Mincho" w:cs="TimesNewRomanPSMT"/>
          <w:lang w:val="en-US" w:eastAsia="en-US"/>
        </w:rPr>
        <w:t>has no</w:t>
      </w:r>
      <w:r w:rsidR="00863327" w:rsidRPr="00CE23AE">
        <w:rPr>
          <w:rFonts w:eastAsia="MS Mincho" w:cs="TimesNewRomanPSMT"/>
          <w:lang w:val="en-US" w:eastAsia="en-US"/>
        </w:rPr>
        <w:t xml:space="preserve"> effect. According to the representative, in this case, “no authority of a judicial nature ruled on whether or not Mr. Flor’s rights had been violated,” so that there had not been a true control of conventionality and Mr. Flor Freire did not have an adequate and effective remedy to protect him from the </w:t>
      </w:r>
      <w:r w:rsidR="007855BC" w:rsidRPr="00CE23AE">
        <w:rPr>
          <w:rFonts w:eastAsia="MS Mincho" w:cs="TimesNewRomanPSMT"/>
          <w:lang w:val="en-US" w:eastAsia="en-US"/>
        </w:rPr>
        <w:t>infringement</w:t>
      </w:r>
      <w:r w:rsidR="00863327" w:rsidRPr="00CE23AE">
        <w:rPr>
          <w:rFonts w:eastAsia="MS Mincho" w:cs="TimesNewRomanPSMT"/>
          <w:lang w:val="en-US" w:eastAsia="en-US"/>
        </w:rPr>
        <w:t xml:space="preserve"> of his rights, in violation</w:t>
      </w:r>
      <w:r w:rsidR="006E1380" w:rsidRPr="00CE23AE">
        <w:rPr>
          <w:rFonts w:eastAsia="MS Mincho" w:cs="TimesNewRomanPSMT"/>
          <w:lang w:val="en-US" w:eastAsia="en-US"/>
        </w:rPr>
        <w:t xml:space="preserve"> </w:t>
      </w:r>
      <w:r w:rsidR="00996128" w:rsidRPr="00CE23AE">
        <w:rPr>
          <w:rFonts w:eastAsia="MS Mincho" w:cs="TimesNewRomanPSMT"/>
          <w:lang w:val="en-US" w:eastAsia="en-US"/>
        </w:rPr>
        <w:t>of Article</w:t>
      </w:r>
      <w:r w:rsidR="005A2EB2" w:rsidRPr="00CE23AE">
        <w:rPr>
          <w:rFonts w:eastAsia="MS Mincho" w:cs="TimesNewRomanPSMT"/>
          <w:lang w:val="en-US" w:eastAsia="en-US"/>
        </w:rPr>
        <w:t xml:space="preserve"> </w:t>
      </w:r>
      <w:r w:rsidRPr="00CE23AE">
        <w:rPr>
          <w:rFonts w:eastAsia="MS Mincho" w:cs="TimesNewRomanPSMT"/>
          <w:lang w:val="en-US" w:eastAsia="en-US"/>
        </w:rPr>
        <w:t>25(1) of the Convention</w:t>
      </w:r>
      <w:r w:rsidR="005A2EB2" w:rsidRPr="00CE23AE">
        <w:rPr>
          <w:rFonts w:eastAsia="MS Mincho" w:cs="TimesNewRomanPSMT"/>
          <w:lang w:val="en-US" w:eastAsia="en-US"/>
        </w:rPr>
        <w:t xml:space="preserve">. </w:t>
      </w:r>
      <w:r w:rsidR="007855BC" w:rsidRPr="00CE23AE">
        <w:rPr>
          <w:rFonts w:eastAsia="MS Mincho" w:cs="TimesNewRomanPSMT"/>
          <w:lang w:val="en-US" w:eastAsia="en-US"/>
        </w:rPr>
        <w:t>Furthermore, the representative</w:t>
      </w:r>
      <w:r w:rsidR="006E1380" w:rsidRPr="00CE23AE">
        <w:rPr>
          <w:rFonts w:eastAsia="MS Mincho" w:cs="TimesNewRomanPSMT"/>
          <w:lang w:val="en-US" w:eastAsia="en-US"/>
        </w:rPr>
        <w:t xml:space="preserve"> argued that, for the same reasons, the State had also failed to comply with the obligation derived from </w:t>
      </w:r>
      <w:r w:rsidR="00996128" w:rsidRPr="00CE23AE">
        <w:rPr>
          <w:rFonts w:eastAsia="MS Mincho" w:cs="TimesNewRomanPSMT"/>
          <w:lang w:val="en-US" w:eastAsia="en-US"/>
        </w:rPr>
        <w:t>Article</w:t>
      </w:r>
      <w:r w:rsidR="004F481E" w:rsidRPr="00CE23AE">
        <w:rPr>
          <w:rFonts w:eastAsia="MS Mincho" w:cs="TimesNewRomanPSMT"/>
          <w:lang w:val="en-US" w:eastAsia="en-US"/>
        </w:rPr>
        <w:t xml:space="preserve"> 2</w:t>
      </w:r>
      <w:r w:rsidRPr="00CE23AE">
        <w:rPr>
          <w:rFonts w:eastAsia="MS Mincho" w:cs="TimesNewRomanPSMT"/>
          <w:lang w:val="en-US" w:eastAsia="en-US"/>
        </w:rPr>
        <w:t xml:space="preserve"> of the Convention</w:t>
      </w:r>
      <w:r w:rsidR="004F481E" w:rsidRPr="00CE23AE">
        <w:rPr>
          <w:rFonts w:eastAsia="MS Mincho" w:cs="TimesNewRomanPSMT"/>
          <w:lang w:val="en-US" w:eastAsia="en-US"/>
        </w:rPr>
        <w:t xml:space="preserve"> </w:t>
      </w:r>
      <w:r w:rsidR="006E1380" w:rsidRPr="00CE23AE">
        <w:rPr>
          <w:rFonts w:eastAsia="MS Mincho" w:cs="TimesNewRomanPSMT"/>
          <w:lang w:val="en-US" w:eastAsia="en-US"/>
        </w:rPr>
        <w:t xml:space="preserve">because it had not adopted the “measures of an administrative nature to avoid the continuation of the legal effects </w:t>
      </w:r>
      <w:r w:rsidR="004F481E" w:rsidRPr="00CE23AE">
        <w:rPr>
          <w:rFonts w:eastAsia="MS Mincho" w:cs="TimesNewRomanPSMT"/>
          <w:lang w:val="en-US" w:eastAsia="en-US"/>
        </w:rPr>
        <w:t>[</w:t>
      </w:r>
      <w:r w:rsidR="00996128" w:rsidRPr="00CE23AE">
        <w:rPr>
          <w:rFonts w:eastAsia="MS Mincho" w:cs="TimesNewRomanPSMT"/>
          <w:lang w:val="en-US" w:eastAsia="en-US"/>
        </w:rPr>
        <w:t xml:space="preserve">of </w:t>
      </w:r>
      <w:r w:rsidR="006E1380" w:rsidRPr="00CE23AE">
        <w:rPr>
          <w:rFonts w:eastAsia="MS Mincho" w:cs="TimesNewRomanPSMT"/>
          <w:lang w:val="en-US" w:eastAsia="en-US"/>
        </w:rPr>
        <w:t>a</w:t>
      </w:r>
      <w:r w:rsidR="00996128" w:rsidRPr="00CE23AE">
        <w:rPr>
          <w:rFonts w:eastAsia="MS Mincho" w:cs="TimesNewRomanPSMT"/>
          <w:lang w:val="en-US" w:eastAsia="en-US"/>
        </w:rPr>
        <w:t>rticle</w:t>
      </w:r>
      <w:r w:rsidR="004F481E" w:rsidRPr="00CE23AE">
        <w:rPr>
          <w:rFonts w:eastAsia="MS Mincho" w:cs="TimesNewRomanPSMT"/>
          <w:lang w:val="en-US" w:eastAsia="en-US"/>
        </w:rPr>
        <w:t xml:space="preserve"> 117</w:t>
      </w:r>
      <w:r w:rsidRPr="00CE23AE">
        <w:rPr>
          <w:rFonts w:eastAsia="MS Mincho" w:cs="TimesNewRomanPSMT"/>
          <w:lang w:val="en-US" w:eastAsia="en-US"/>
        </w:rPr>
        <w:t xml:space="preserve"> of the </w:t>
      </w:r>
      <w:r w:rsidR="009C5D46" w:rsidRPr="00CE23AE">
        <w:rPr>
          <w:rFonts w:eastAsia="MS Mincho" w:cs="TimesNewRomanPSMT"/>
          <w:lang w:val="en-US" w:eastAsia="en-US"/>
        </w:rPr>
        <w:t>Military Discipline Regulations</w:t>
      </w:r>
      <w:r w:rsidR="004F481E" w:rsidRPr="00CE23AE">
        <w:rPr>
          <w:rFonts w:eastAsia="MS Mincho" w:cs="TimesNewRomanPSMT"/>
          <w:lang w:val="en-US" w:eastAsia="en-US"/>
        </w:rPr>
        <w:t>]</w:t>
      </w:r>
      <w:r w:rsidR="006E1380" w:rsidRPr="00CE23AE">
        <w:rPr>
          <w:rFonts w:eastAsia="MS Mincho" w:cs="TimesNewRomanPSMT"/>
          <w:lang w:val="en-US" w:eastAsia="en-US"/>
        </w:rPr>
        <w:t>.</w:t>
      </w:r>
      <w:r w:rsidR="004F481E" w:rsidRPr="00CE23AE">
        <w:rPr>
          <w:rFonts w:eastAsia="MS Mincho" w:cs="TimesNewRomanPSMT"/>
          <w:lang w:val="en-US" w:eastAsia="en-US"/>
        </w:rPr>
        <w:t>”</w:t>
      </w:r>
      <w:r w:rsidR="006E1380" w:rsidRPr="00CE23AE">
        <w:rPr>
          <w:rFonts w:eastAsia="MS Mincho" w:cs="TimesNewRomanPSMT"/>
          <w:lang w:val="en-US" w:eastAsia="en-US"/>
        </w:rPr>
        <w:t xml:space="preserve"> He indicated that </w:t>
      </w:r>
      <w:r w:rsidR="00F5102B" w:rsidRPr="00CE23AE">
        <w:rPr>
          <w:rFonts w:eastAsia="MS Mincho" w:cs="TimesNewRomanPSMT"/>
          <w:lang w:val="en-US" w:eastAsia="en-US"/>
        </w:rPr>
        <w:t>Mr. Flor</w:t>
      </w:r>
      <w:r w:rsidR="004F481E" w:rsidRPr="00CE23AE">
        <w:rPr>
          <w:rFonts w:eastAsia="MS Mincho" w:cs="TimesNewRomanPSMT"/>
          <w:lang w:val="en-US" w:eastAsia="en-US"/>
        </w:rPr>
        <w:t xml:space="preserve"> Freire ha</w:t>
      </w:r>
      <w:r w:rsidR="006E1380" w:rsidRPr="00CE23AE">
        <w:rPr>
          <w:rFonts w:eastAsia="MS Mincho" w:cs="TimesNewRomanPSMT"/>
          <w:lang w:val="en-US" w:eastAsia="en-US"/>
        </w:rPr>
        <w:t>d filed a series of requests with the national authorities to obtain adequate protection of his rights, but “he never obtained a favorable result and, to the contrary, […] all the authorities have preferred to uphold the legal effects of the ruling on his discharge from the ranks of the military.</w:t>
      </w:r>
      <w:r w:rsidR="004F481E" w:rsidRPr="00CE23AE">
        <w:rPr>
          <w:rFonts w:eastAsia="MS Mincho" w:cs="TimesNewRomanPSMT"/>
          <w:lang w:val="en-US" w:eastAsia="en-US"/>
        </w:rPr>
        <w:t>”</w:t>
      </w:r>
      <w:r w:rsidR="00E31F44" w:rsidRPr="00CE23AE">
        <w:rPr>
          <w:rFonts w:eastAsia="MS Mincho" w:cs="TimesNewRomanPSMT"/>
          <w:lang w:val="en-US" w:eastAsia="en-US"/>
        </w:rPr>
        <w:t xml:space="preserve"> </w:t>
      </w:r>
    </w:p>
    <w:p w14:paraId="1220157E" w14:textId="77777777" w:rsidR="005A2EB2" w:rsidRPr="00CE23AE" w:rsidRDefault="005A2EB2" w:rsidP="005A2EB2">
      <w:pPr>
        <w:pStyle w:val="PrrafodeSentencia"/>
        <w:numPr>
          <w:ilvl w:val="0"/>
          <w:numId w:val="0"/>
        </w:numPr>
        <w:rPr>
          <w:b/>
          <w:lang w:val="en-US"/>
        </w:rPr>
      </w:pPr>
    </w:p>
    <w:p w14:paraId="73E52CA8" w14:textId="5D82CB7A" w:rsidR="005A2EB2" w:rsidRPr="00CE23AE" w:rsidRDefault="00C561DF" w:rsidP="006A3667">
      <w:pPr>
        <w:pStyle w:val="PrrafodeSentencia"/>
        <w:rPr>
          <w:lang w:val="en-US"/>
        </w:rPr>
      </w:pPr>
      <w:r w:rsidRPr="00CE23AE">
        <w:rPr>
          <w:lang w:val="en-US"/>
        </w:rPr>
        <w:t xml:space="preserve">The </w:t>
      </w:r>
      <w:r w:rsidRPr="00CE23AE">
        <w:rPr>
          <w:b/>
          <w:bCs/>
          <w:i/>
          <w:iCs/>
          <w:lang w:val="en-US"/>
        </w:rPr>
        <w:t>State</w:t>
      </w:r>
      <w:r w:rsidR="005A2EB2" w:rsidRPr="00CE23AE">
        <w:rPr>
          <w:b/>
          <w:bCs/>
          <w:i/>
          <w:iCs/>
          <w:lang w:val="en-US"/>
        </w:rPr>
        <w:t xml:space="preserve"> </w:t>
      </w:r>
      <w:r w:rsidR="006E1380" w:rsidRPr="00CE23AE">
        <w:rPr>
          <w:lang w:val="en-US"/>
        </w:rPr>
        <w:t xml:space="preserve">argued that both the application for </w:t>
      </w:r>
      <w:r w:rsidR="00C92ACA" w:rsidRPr="00CE23AE">
        <w:rPr>
          <w:lang w:val="en-US"/>
        </w:rPr>
        <w:t>constitutional amparo</w:t>
      </w:r>
      <w:r w:rsidR="006E1380" w:rsidRPr="00CE23AE">
        <w:rPr>
          <w:lang w:val="en-US"/>
        </w:rPr>
        <w:t xml:space="preserve"> and the </w:t>
      </w:r>
      <w:r w:rsidR="006A3667" w:rsidRPr="00CE23AE">
        <w:rPr>
          <w:lang w:val="en-US"/>
        </w:rPr>
        <w:t xml:space="preserve">full </w:t>
      </w:r>
      <w:r w:rsidR="006E1380" w:rsidRPr="00CE23AE">
        <w:rPr>
          <w:lang w:val="en-US"/>
        </w:rPr>
        <w:t>contentious administrative jurisdiction remedy</w:t>
      </w:r>
      <w:r w:rsidR="006A3667" w:rsidRPr="00CE23AE">
        <w:rPr>
          <w:lang w:val="en-US"/>
        </w:rPr>
        <w:t xml:space="preserve"> were available to the presumed victim. However, the first remedy was filed incorrectly, and the second was not filed before the domestic courts. It indicated that the application for amparo was not adequate in this case; therefore, the judges, in compliance with </w:t>
      </w:r>
      <w:r w:rsidR="006A3667" w:rsidRPr="00CE23AE">
        <w:rPr>
          <w:lang w:val="en-US"/>
        </w:rPr>
        <w:lastRenderedPageBreak/>
        <w:t>domestic requirements on jurisdiction, did not rule on the substantive merits and had to reject the application for amparo as inadmissible. Ecuador also indicated that, even though the application for amparo was not appropriate, the judicial authorities had decided it within a reasonable time and pursuant to the laws</w:t>
      </w:r>
      <w:r w:rsidR="007855BC" w:rsidRPr="00CE23AE">
        <w:rPr>
          <w:lang w:val="en-US"/>
        </w:rPr>
        <w:t xml:space="preserve"> then</w:t>
      </w:r>
      <w:r w:rsidR="006A3667" w:rsidRPr="00CE23AE">
        <w:rPr>
          <w:lang w:val="en-US"/>
        </w:rPr>
        <w:t xml:space="preserve"> in force. Added to this, it argued that “the action for </w:t>
      </w:r>
      <w:r w:rsidR="00C92ACA" w:rsidRPr="00CE23AE">
        <w:rPr>
          <w:lang w:val="en-US"/>
        </w:rPr>
        <w:t>constitutional amparo</w:t>
      </w:r>
      <w:r w:rsidR="006A3667" w:rsidRPr="00CE23AE">
        <w:rPr>
          <w:lang w:val="en-US"/>
        </w:rPr>
        <w:t xml:space="preserve"> allowed the applicant to have extensive participation by submitting briefs and probative documents, and also to take part in the public hearing held by </w:t>
      </w:r>
      <w:r w:rsidR="0078516C" w:rsidRPr="00CE23AE">
        <w:rPr>
          <w:lang w:val="en-US"/>
        </w:rPr>
        <w:t>the Sixth Civil Court of Pichincha</w:t>
      </w:r>
      <w:r w:rsidR="006A3667" w:rsidRPr="00CE23AE">
        <w:rPr>
          <w:lang w:val="en-US"/>
        </w:rPr>
        <w:t>, which shows that</w:t>
      </w:r>
      <w:r w:rsidR="005A2EB2" w:rsidRPr="00CE23AE">
        <w:rPr>
          <w:lang w:val="en-US"/>
        </w:rPr>
        <w:t xml:space="preserve"> </w:t>
      </w:r>
      <w:r w:rsidR="00F5102B" w:rsidRPr="00CE23AE">
        <w:rPr>
          <w:lang w:val="en-US"/>
        </w:rPr>
        <w:t>Mr. Flor</w:t>
      </w:r>
      <w:r w:rsidR="005A2EB2" w:rsidRPr="00CE23AE">
        <w:rPr>
          <w:lang w:val="en-US"/>
        </w:rPr>
        <w:t xml:space="preserve"> </w:t>
      </w:r>
      <w:r w:rsidR="006A3667" w:rsidRPr="00CE23AE">
        <w:rPr>
          <w:lang w:val="en-US"/>
        </w:rPr>
        <w:t xml:space="preserve">was always accorded due legal process.” According to the State, </w:t>
      </w:r>
      <w:r w:rsidR="005A2EB2" w:rsidRPr="00CE23AE">
        <w:rPr>
          <w:lang w:val="en-US"/>
        </w:rPr>
        <w:t>“</w:t>
      </w:r>
      <w:r w:rsidRPr="00CE23AE">
        <w:rPr>
          <w:lang w:val="en-US"/>
        </w:rPr>
        <w:t>the Inter-American Commission</w:t>
      </w:r>
      <w:r w:rsidR="005A2EB2" w:rsidRPr="00CE23AE">
        <w:rPr>
          <w:lang w:val="en-US"/>
        </w:rPr>
        <w:t xml:space="preserve"> […] </w:t>
      </w:r>
      <w:r w:rsidR="006A3667" w:rsidRPr="00CE23AE">
        <w:rPr>
          <w:lang w:val="en-US"/>
        </w:rPr>
        <w:t xml:space="preserve">failed to make a detailed </w:t>
      </w:r>
      <w:r w:rsidR="00522A39" w:rsidRPr="00CE23AE">
        <w:rPr>
          <w:lang w:val="en-US"/>
        </w:rPr>
        <w:t>analysis</w:t>
      </w:r>
      <w:r w:rsidR="006A3667" w:rsidRPr="00CE23AE">
        <w:rPr>
          <w:lang w:val="en-US"/>
        </w:rPr>
        <w:t xml:space="preserve"> of this international obligation and merely indicated the presumed existence of a lack of reasoning in the decisions o</w:t>
      </w:r>
      <w:r w:rsidR="007855BC" w:rsidRPr="00CE23AE">
        <w:rPr>
          <w:lang w:val="en-US"/>
        </w:rPr>
        <w:t>n</w:t>
      </w:r>
      <w:r w:rsidR="006A3667" w:rsidRPr="00CE23AE">
        <w:rPr>
          <w:lang w:val="en-US"/>
        </w:rPr>
        <w:t xml:space="preserve"> the application for constitutional amparo, without considering that the rulings issued responded to the fact that </w:t>
      </w:r>
      <w:r w:rsidRPr="00CE23AE">
        <w:rPr>
          <w:lang w:val="en-US"/>
        </w:rPr>
        <w:t>the presumed victim</w:t>
      </w:r>
      <w:r w:rsidR="005A2EB2" w:rsidRPr="00CE23AE">
        <w:rPr>
          <w:lang w:val="en-US"/>
        </w:rPr>
        <w:t xml:space="preserve"> </w:t>
      </w:r>
      <w:r w:rsidR="006A3667" w:rsidRPr="00CE23AE">
        <w:rPr>
          <w:lang w:val="en-US"/>
        </w:rPr>
        <w:t>had erroneously filed an action that was inappropriate, and failed to refer to the analysis of the contentious administrative proceeding that should have been filed and meets inter-American standards.</w:t>
      </w:r>
      <w:r w:rsidR="005A2EB2" w:rsidRPr="00CE23AE">
        <w:rPr>
          <w:lang w:val="en-US"/>
        </w:rPr>
        <w:t xml:space="preserve">” </w:t>
      </w:r>
    </w:p>
    <w:p w14:paraId="7EFBB292" w14:textId="77777777" w:rsidR="00A71C2C" w:rsidRPr="00CE23AE" w:rsidRDefault="00A71C2C" w:rsidP="00582D8D">
      <w:pPr>
        <w:rPr>
          <w:lang w:val="en-US"/>
        </w:rPr>
      </w:pPr>
    </w:p>
    <w:p w14:paraId="18FE9309" w14:textId="53BDE151" w:rsidR="00582D8D" w:rsidRPr="00CE23AE" w:rsidRDefault="00582D8D" w:rsidP="00582D8D">
      <w:pPr>
        <w:pStyle w:val="Ttulo3"/>
        <w:rPr>
          <w:lang w:val="en-US"/>
        </w:rPr>
      </w:pPr>
      <w:bookmarkStart w:id="450" w:name="_Toc454891516"/>
      <w:bookmarkStart w:id="451" w:name="_Toc457840621"/>
      <w:bookmarkStart w:id="452" w:name="_Toc460398553"/>
      <w:bookmarkStart w:id="453" w:name="_Toc464475014"/>
      <w:bookmarkStart w:id="454" w:name="_Toc46388401"/>
      <w:r w:rsidRPr="00CE23AE">
        <w:rPr>
          <w:lang w:val="en-US"/>
        </w:rPr>
        <w:t xml:space="preserve">B.2 </w:t>
      </w:r>
      <w:r w:rsidR="005024E2" w:rsidRPr="00CE23AE">
        <w:rPr>
          <w:lang w:val="en-US"/>
        </w:rPr>
        <w:t>Considerations</w:t>
      </w:r>
      <w:r w:rsidR="00C561DF" w:rsidRPr="00CE23AE">
        <w:rPr>
          <w:lang w:val="en-US"/>
        </w:rPr>
        <w:t xml:space="preserve"> of the Court</w:t>
      </w:r>
      <w:bookmarkEnd w:id="450"/>
      <w:bookmarkEnd w:id="451"/>
      <w:bookmarkEnd w:id="452"/>
      <w:bookmarkEnd w:id="453"/>
      <w:bookmarkEnd w:id="454"/>
    </w:p>
    <w:p w14:paraId="795B8DD1" w14:textId="77777777" w:rsidR="00582D8D" w:rsidRPr="00CE23AE" w:rsidRDefault="00582D8D" w:rsidP="00582D8D">
      <w:pPr>
        <w:widowControl/>
        <w:tabs>
          <w:tab w:val="left" w:pos="567"/>
        </w:tabs>
        <w:suppressAutoHyphens/>
        <w:adjustRightInd/>
        <w:spacing w:line="240" w:lineRule="auto"/>
        <w:textAlignment w:val="auto"/>
        <w:rPr>
          <w:szCs w:val="20"/>
          <w:lang w:val="en-US"/>
        </w:rPr>
      </w:pPr>
    </w:p>
    <w:p w14:paraId="6FB38DA5" w14:textId="398EA94E" w:rsidR="008A1E21" w:rsidRPr="00CE23AE" w:rsidRDefault="00C561DF" w:rsidP="006A3667">
      <w:pPr>
        <w:widowControl/>
        <w:numPr>
          <w:ilvl w:val="0"/>
          <w:numId w:val="6"/>
        </w:numPr>
        <w:tabs>
          <w:tab w:val="left" w:pos="567"/>
        </w:tabs>
        <w:suppressAutoHyphens/>
        <w:adjustRightInd/>
        <w:spacing w:line="240" w:lineRule="auto"/>
        <w:textAlignment w:val="auto"/>
        <w:rPr>
          <w:szCs w:val="20"/>
          <w:lang w:val="en-US"/>
        </w:rPr>
      </w:pPr>
      <w:bookmarkStart w:id="455" w:name="_Ref455672303"/>
      <w:bookmarkEnd w:id="438"/>
      <w:r w:rsidRPr="00CE23AE">
        <w:rPr>
          <w:lang w:val="en-US"/>
        </w:rPr>
        <w:t>The Court</w:t>
      </w:r>
      <w:r w:rsidR="008A1E21" w:rsidRPr="00CE23AE">
        <w:rPr>
          <w:lang w:val="en-US"/>
        </w:rPr>
        <w:t xml:space="preserve"> </w:t>
      </w:r>
      <w:r w:rsidR="006A3667" w:rsidRPr="00CE23AE">
        <w:rPr>
          <w:lang w:val="en-US"/>
        </w:rPr>
        <w:t>has indicated that</w:t>
      </w:r>
      <w:r w:rsidR="008A1E21" w:rsidRPr="00CE23AE">
        <w:rPr>
          <w:lang w:val="en-US"/>
        </w:rPr>
        <w:t xml:space="preserve"> </w:t>
      </w:r>
      <w:r w:rsidRPr="00CE23AE">
        <w:rPr>
          <w:lang w:val="en-US"/>
        </w:rPr>
        <w:t>Article</w:t>
      </w:r>
      <w:r w:rsidR="008A1E21" w:rsidRPr="00CE23AE">
        <w:rPr>
          <w:lang w:val="en-US"/>
        </w:rPr>
        <w:t xml:space="preserve"> </w:t>
      </w:r>
      <w:r w:rsidRPr="00CE23AE">
        <w:rPr>
          <w:lang w:val="en-US"/>
        </w:rPr>
        <w:t>25(1) of the Convention</w:t>
      </w:r>
      <w:r w:rsidR="008A1E21" w:rsidRPr="00CE23AE">
        <w:rPr>
          <w:lang w:val="en-US"/>
        </w:rPr>
        <w:t xml:space="preserve"> </w:t>
      </w:r>
      <w:r w:rsidR="006A3667" w:rsidRPr="00CE23AE">
        <w:rPr>
          <w:lang w:val="en-US"/>
        </w:rPr>
        <w:t>establishes the obligation of the States Parties to guarantee, to all persons subject to their jurisdiction, a simple</w:t>
      </w:r>
      <w:r w:rsidR="00DC22B6" w:rsidRPr="00CE23AE">
        <w:rPr>
          <w:lang w:val="en-US"/>
        </w:rPr>
        <w:t xml:space="preserve">, </w:t>
      </w:r>
      <w:r w:rsidR="006A3667" w:rsidRPr="00CE23AE">
        <w:rPr>
          <w:lang w:val="en-US"/>
        </w:rPr>
        <w:t xml:space="preserve">prompt </w:t>
      </w:r>
      <w:r w:rsidR="00DC22B6" w:rsidRPr="00CE23AE">
        <w:rPr>
          <w:lang w:val="en-US"/>
        </w:rPr>
        <w:t xml:space="preserve">and effective </w:t>
      </w:r>
      <w:r w:rsidR="006A3667" w:rsidRPr="00CE23AE">
        <w:rPr>
          <w:lang w:val="en-US"/>
        </w:rPr>
        <w:t xml:space="preserve">remedy </w:t>
      </w:r>
      <w:r w:rsidR="00DC22B6" w:rsidRPr="00CE23AE">
        <w:rPr>
          <w:lang w:val="en-US"/>
        </w:rPr>
        <w:t>before a competent judge or court. The Court recalls its consistent case law establishing that this remedy must be adequate and effective.</w:t>
      </w:r>
      <w:r w:rsidR="00DC22B6" w:rsidRPr="00CE23AE">
        <w:rPr>
          <w:vertAlign w:val="superscript"/>
          <w:lang w:val="en-US"/>
        </w:rPr>
        <w:footnoteReference w:id="270"/>
      </w:r>
      <w:r w:rsidR="00DC22B6" w:rsidRPr="00CE23AE">
        <w:rPr>
          <w:lang w:val="en-US"/>
        </w:rPr>
        <w:t xml:space="preserve"> Regarding the effectiveness of the remedy, </w:t>
      </w:r>
      <w:r w:rsidR="00DC22B6" w:rsidRPr="00CE23AE">
        <w:rPr>
          <w:rFonts w:cs="Arial"/>
          <w:lang w:val="en-US"/>
        </w:rPr>
        <w:t>for such a remedy to exist, it is not sufficient that it be provided for by the Constitution or by law or that it be formally recognized, but rather it must be truly effective in establishing whether there has been a violation of human rights and in providing redress.</w:t>
      </w:r>
      <w:r w:rsidR="008A1E21" w:rsidRPr="00CE23AE">
        <w:rPr>
          <w:rStyle w:val="Refdenotaalpie"/>
          <w:lang w:val="en-US"/>
        </w:rPr>
        <w:footnoteReference w:id="271"/>
      </w:r>
      <w:r w:rsidR="00DC22B6" w:rsidRPr="00CE23AE">
        <w:rPr>
          <w:lang w:val="en-US"/>
        </w:rPr>
        <w:t xml:space="preserve"> Thus, the proceedings must be addressed at materializing the protection of the right recognized in the judicial ruling by the appropriate application of this ruling,</w:t>
      </w:r>
      <w:r w:rsidR="008A1E21" w:rsidRPr="00CE23AE">
        <w:rPr>
          <w:rStyle w:val="Refdenotaalpie"/>
          <w:lang w:val="en-US"/>
        </w:rPr>
        <w:footnoteReference w:id="272"/>
      </w:r>
      <w:bookmarkEnd w:id="455"/>
    </w:p>
    <w:p w14:paraId="564DE5F5" w14:textId="77777777" w:rsidR="008A1E21" w:rsidRPr="00CE23AE" w:rsidRDefault="008A1E21" w:rsidP="008A1E21">
      <w:pPr>
        <w:widowControl/>
        <w:tabs>
          <w:tab w:val="left" w:pos="567"/>
        </w:tabs>
        <w:suppressAutoHyphens/>
        <w:adjustRightInd/>
        <w:spacing w:line="240" w:lineRule="auto"/>
        <w:textAlignment w:val="auto"/>
        <w:rPr>
          <w:szCs w:val="20"/>
          <w:lang w:val="en-US"/>
        </w:rPr>
      </w:pPr>
    </w:p>
    <w:p w14:paraId="057BBAF4" w14:textId="29FB1A58" w:rsidR="008A1E21" w:rsidRPr="00CE23AE" w:rsidRDefault="00C561DF" w:rsidP="00DC22B6">
      <w:pPr>
        <w:widowControl/>
        <w:numPr>
          <w:ilvl w:val="0"/>
          <w:numId w:val="6"/>
        </w:numPr>
        <w:tabs>
          <w:tab w:val="left" w:pos="567"/>
        </w:tabs>
        <w:suppressAutoHyphens/>
        <w:adjustRightInd/>
        <w:spacing w:line="240" w:lineRule="auto"/>
        <w:textAlignment w:val="auto"/>
        <w:rPr>
          <w:szCs w:val="20"/>
          <w:lang w:val="en-US"/>
        </w:rPr>
      </w:pPr>
      <w:r w:rsidRPr="00CE23AE">
        <w:rPr>
          <w:lang w:val="en-US"/>
        </w:rPr>
        <w:t>The Court</w:t>
      </w:r>
      <w:r w:rsidR="008A1E21" w:rsidRPr="00CE23AE">
        <w:rPr>
          <w:lang w:val="en-US"/>
        </w:rPr>
        <w:t xml:space="preserve"> ha</w:t>
      </w:r>
      <w:r w:rsidR="00DC22B6" w:rsidRPr="00CE23AE">
        <w:rPr>
          <w:lang w:val="en-US"/>
        </w:rPr>
        <w:t>s indicated that, pursuant to</w:t>
      </w:r>
      <w:r w:rsidR="008A1E21" w:rsidRPr="00CE23AE">
        <w:rPr>
          <w:lang w:val="en-US"/>
        </w:rPr>
        <w:t xml:space="preserve"> </w:t>
      </w:r>
      <w:r w:rsidR="00996128" w:rsidRPr="00CE23AE">
        <w:rPr>
          <w:lang w:val="en-US"/>
        </w:rPr>
        <w:t>Article</w:t>
      </w:r>
      <w:r w:rsidR="008A1E21" w:rsidRPr="00CE23AE">
        <w:rPr>
          <w:lang w:val="en-US"/>
        </w:rPr>
        <w:t xml:space="preserve"> 25</w:t>
      </w:r>
      <w:r w:rsidRPr="00CE23AE">
        <w:rPr>
          <w:lang w:val="en-US"/>
        </w:rPr>
        <w:t xml:space="preserve"> of the Convention</w:t>
      </w:r>
      <w:r w:rsidR="008A1E21" w:rsidRPr="00CE23AE">
        <w:rPr>
          <w:lang w:val="en-US"/>
        </w:rPr>
        <w:t xml:space="preserve">, </w:t>
      </w:r>
      <w:r w:rsidR="00DC22B6" w:rsidRPr="00CE23AE">
        <w:rPr>
          <w:lang w:val="en-US"/>
        </w:rPr>
        <w:t xml:space="preserve">it is possible to identify two specific obligations </w:t>
      </w:r>
      <w:r w:rsidRPr="00CE23AE">
        <w:rPr>
          <w:lang w:val="en-US"/>
        </w:rPr>
        <w:t>of the State</w:t>
      </w:r>
      <w:r w:rsidR="008A1E21" w:rsidRPr="00CE23AE">
        <w:rPr>
          <w:lang w:val="en-US"/>
        </w:rPr>
        <w:t xml:space="preserve">. </w:t>
      </w:r>
      <w:r w:rsidR="00DC22B6" w:rsidRPr="00CE23AE">
        <w:rPr>
          <w:lang w:val="en-US"/>
        </w:rPr>
        <w:t>The first, to establish by law and ensure due application of effective remedies before the competent authorities that protect everyone subject to their jurisdiction against acts that violate their fundamental rights or that result in the determination of their rights and obligations. The second, to guarantee the means of executing the respective decisions and final judgment</w:t>
      </w:r>
      <w:r w:rsidR="007855BC" w:rsidRPr="00CE23AE">
        <w:rPr>
          <w:lang w:val="en-US"/>
        </w:rPr>
        <w:t>s</w:t>
      </w:r>
      <w:r w:rsidR="00DC22B6" w:rsidRPr="00CE23AE">
        <w:rPr>
          <w:lang w:val="en-US"/>
        </w:rPr>
        <w:t xml:space="preserve"> issued by those competent authorities in order to provide effective protection to the rights declared or recognized.</w:t>
      </w:r>
      <w:r w:rsidR="008A1E21" w:rsidRPr="00CE23AE">
        <w:rPr>
          <w:vertAlign w:val="superscript"/>
          <w:lang w:val="en-US"/>
        </w:rPr>
        <w:footnoteReference w:id="273"/>
      </w:r>
      <w:r w:rsidR="008A1E21" w:rsidRPr="00CE23AE">
        <w:rPr>
          <w:lang w:val="en-US"/>
        </w:rPr>
        <w:t xml:space="preserve"> </w:t>
      </w:r>
      <w:r w:rsidR="00DC22B6" w:rsidRPr="00CE23AE">
        <w:rPr>
          <w:color w:val="000000"/>
          <w:lang w:val="en-US"/>
        </w:rPr>
        <w:t>The right established in</w:t>
      </w:r>
      <w:r w:rsidR="008A1E21" w:rsidRPr="00CE23AE">
        <w:rPr>
          <w:color w:val="000000"/>
          <w:lang w:val="en-US"/>
        </w:rPr>
        <w:t xml:space="preserve"> </w:t>
      </w:r>
      <w:r w:rsidRPr="00CE23AE">
        <w:rPr>
          <w:color w:val="000000"/>
          <w:lang w:val="en-US"/>
        </w:rPr>
        <w:t>Article</w:t>
      </w:r>
      <w:r w:rsidR="008A1E21" w:rsidRPr="00CE23AE">
        <w:rPr>
          <w:color w:val="000000"/>
          <w:lang w:val="en-US"/>
        </w:rPr>
        <w:t xml:space="preserve"> 25</w:t>
      </w:r>
      <w:r w:rsidR="008A1E21" w:rsidRPr="00CE23AE">
        <w:rPr>
          <w:lang w:val="en-US"/>
        </w:rPr>
        <w:t xml:space="preserve"> </w:t>
      </w:r>
      <w:r w:rsidR="00DC22B6" w:rsidRPr="00CE23AE">
        <w:rPr>
          <w:lang w:val="en-US"/>
        </w:rPr>
        <w:t xml:space="preserve">is closely linked to the general obligation </w:t>
      </w:r>
      <w:r w:rsidR="00996128" w:rsidRPr="00CE23AE">
        <w:rPr>
          <w:lang w:val="en-US"/>
        </w:rPr>
        <w:t>of Article</w:t>
      </w:r>
      <w:r w:rsidRPr="00CE23AE">
        <w:rPr>
          <w:lang w:val="en-US"/>
        </w:rPr>
        <w:t xml:space="preserve"> 1(1) of the Convention</w:t>
      </w:r>
      <w:r w:rsidR="008A1E21" w:rsidRPr="00CE23AE">
        <w:rPr>
          <w:lang w:val="en-US"/>
        </w:rPr>
        <w:t xml:space="preserve"> </w:t>
      </w:r>
      <w:r w:rsidR="00EE14AA" w:rsidRPr="00CE23AE">
        <w:rPr>
          <w:lang w:val="en-US"/>
        </w:rPr>
        <w:t>by attributing functions of protection to the domestic law of the States Parties.</w:t>
      </w:r>
      <w:r w:rsidR="008A1E21" w:rsidRPr="00CE23AE">
        <w:rPr>
          <w:rStyle w:val="Refdenotaalpie"/>
          <w:lang w:val="en-US"/>
        </w:rPr>
        <w:footnoteReference w:id="274"/>
      </w:r>
      <w:r w:rsidR="008A1E21" w:rsidRPr="00CE23AE">
        <w:rPr>
          <w:lang w:val="en-US"/>
        </w:rPr>
        <w:t xml:space="preserve"> </w:t>
      </w:r>
      <w:r w:rsidR="00EE14AA" w:rsidRPr="00CE23AE">
        <w:rPr>
          <w:lang w:val="en-US"/>
        </w:rPr>
        <w:t>Consequently</w:t>
      </w:r>
      <w:r w:rsidR="008A1E21" w:rsidRPr="00CE23AE">
        <w:rPr>
          <w:lang w:val="en-US"/>
        </w:rPr>
        <w:t xml:space="preserve">, </w:t>
      </w:r>
      <w:r w:rsidRPr="00CE23AE">
        <w:rPr>
          <w:lang w:val="en-US"/>
        </w:rPr>
        <w:t>the State</w:t>
      </w:r>
      <w:r w:rsidR="008A1E21" w:rsidRPr="00CE23AE">
        <w:rPr>
          <w:lang w:val="en-US"/>
        </w:rPr>
        <w:t xml:space="preserve"> </w:t>
      </w:r>
      <w:r w:rsidR="00EE14AA" w:rsidRPr="00CE23AE">
        <w:rPr>
          <w:lang w:val="en-US"/>
        </w:rPr>
        <w:t>is responsible not only for designing and enacting an effective remedy, but also for ensuring the appropriate application of this remedy by its judicial authorities.</w:t>
      </w:r>
      <w:r w:rsidR="008A1E21" w:rsidRPr="00CE23AE">
        <w:rPr>
          <w:rStyle w:val="Refdenotaalpie"/>
          <w:lang w:val="en-US"/>
        </w:rPr>
        <w:footnoteReference w:id="275"/>
      </w:r>
    </w:p>
    <w:p w14:paraId="76BFD909" w14:textId="77777777" w:rsidR="008A1E21" w:rsidRPr="00CE23AE" w:rsidRDefault="008A1E21" w:rsidP="008A1E21">
      <w:pPr>
        <w:widowControl/>
        <w:tabs>
          <w:tab w:val="left" w:pos="567"/>
        </w:tabs>
        <w:suppressAutoHyphens/>
        <w:adjustRightInd/>
        <w:spacing w:line="240" w:lineRule="auto"/>
        <w:textAlignment w:val="auto"/>
        <w:rPr>
          <w:szCs w:val="20"/>
          <w:lang w:val="en-US"/>
        </w:rPr>
      </w:pPr>
    </w:p>
    <w:p w14:paraId="38F62987" w14:textId="695A4064" w:rsidR="008A1E21" w:rsidRPr="00CE23AE" w:rsidRDefault="00EE14AA" w:rsidP="00EE14AA">
      <w:pPr>
        <w:widowControl/>
        <w:numPr>
          <w:ilvl w:val="0"/>
          <w:numId w:val="6"/>
        </w:numPr>
        <w:tabs>
          <w:tab w:val="left" w:pos="567"/>
        </w:tabs>
        <w:suppressAutoHyphens/>
        <w:adjustRightInd/>
        <w:spacing w:line="240" w:lineRule="auto"/>
        <w:textAlignment w:val="auto"/>
        <w:rPr>
          <w:szCs w:val="20"/>
          <w:lang w:val="en-US"/>
        </w:rPr>
      </w:pPr>
      <w:r w:rsidRPr="00CE23AE">
        <w:rPr>
          <w:lang w:val="en-US"/>
        </w:rPr>
        <w:lastRenderedPageBreak/>
        <w:t>In the instant case</w:t>
      </w:r>
      <w:r w:rsidR="008A1E21" w:rsidRPr="00CE23AE">
        <w:rPr>
          <w:lang w:val="en-US"/>
        </w:rPr>
        <w:t xml:space="preserve">, </w:t>
      </w:r>
      <w:r w:rsidR="00C561DF" w:rsidRPr="00CE23AE">
        <w:rPr>
          <w:lang w:val="en-US"/>
        </w:rPr>
        <w:t>the Commission and the representative</w:t>
      </w:r>
      <w:r w:rsidR="008A1E21" w:rsidRPr="00CE23AE">
        <w:rPr>
          <w:lang w:val="en-US"/>
        </w:rPr>
        <w:t xml:space="preserve"> a</w:t>
      </w:r>
      <w:r w:rsidRPr="00CE23AE">
        <w:rPr>
          <w:lang w:val="en-US"/>
        </w:rPr>
        <w:t xml:space="preserve">rgued the absence of an effective remedy because the hearing on the application for amparo did not respond to the substantive arguments of Mr. Flor Freire. The State argued principally that the application for amparo was not the appropriate remedy against the decisions of the </w:t>
      </w:r>
      <w:r w:rsidR="00A06577" w:rsidRPr="00CE23AE">
        <w:rPr>
          <w:szCs w:val="20"/>
          <w:lang w:val="en-US"/>
        </w:rPr>
        <w:t>summary inquiry</w:t>
      </w:r>
      <w:r w:rsidRPr="00CE23AE">
        <w:rPr>
          <w:szCs w:val="20"/>
          <w:lang w:val="en-US"/>
        </w:rPr>
        <w:t xml:space="preserve"> procedure; rather, a </w:t>
      </w:r>
      <w:r w:rsidRPr="00CE23AE">
        <w:rPr>
          <w:lang w:val="en-US"/>
        </w:rPr>
        <w:t xml:space="preserve">full contentious administrative jurisdiction remedy should have been filed and the presumed victim did not do this. However, in its </w:t>
      </w:r>
      <w:r w:rsidR="006F4956" w:rsidRPr="00CE23AE">
        <w:rPr>
          <w:lang w:val="en-US"/>
        </w:rPr>
        <w:t>final written arguments</w:t>
      </w:r>
      <w:r w:rsidRPr="00CE23AE">
        <w:rPr>
          <w:lang w:val="en-US"/>
        </w:rPr>
        <w:t>,</w:t>
      </w:r>
      <w:r w:rsidR="008A1E21" w:rsidRPr="00CE23AE">
        <w:rPr>
          <w:lang w:val="en-US"/>
        </w:rPr>
        <w:t xml:space="preserve"> Ecuador a</w:t>
      </w:r>
      <w:r w:rsidRPr="00CE23AE">
        <w:rPr>
          <w:lang w:val="en-US"/>
        </w:rPr>
        <w:t>rgued that both remedies were available to</w:t>
      </w:r>
      <w:r w:rsidR="008A1E21" w:rsidRPr="00CE23AE">
        <w:rPr>
          <w:lang w:val="en-US"/>
        </w:rPr>
        <w:t xml:space="preserve"> </w:t>
      </w:r>
      <w:r w:rsidR="00F5102B" w:rsidRPr="00CE23AE">
        <w:rPr>
          <w:lang w:val="en-US"/>
        </w:rPr>
        <w:t>Mr. Flor</w:t>
      </w:r>
      <w:r w:rsidR="008A1E21" w:rsidRPr="00CE23AE">
        <w:rPr>
          <w:lang w:val="en-US"/>
        </w:rPr>
        <w:t xml:space="preserve"> Freire</w:t>
      </w:r>
      <w:r w:rsidRPr="00CE23AE">
        <w:rPr>
          <w:lang w:val="en-US"/>
        </w:rPr>
        <w:t>, and that the application for amparo had been filed incorrectly, while it reiterated that the contentious administrative remedy had never been filed</w:t>
      </w:r>
      <w:r w:rsidR="008A1E21" w:rsidRPr="00CE23AE">
        <w:rPr>
          <w:lang w:val="en-US"/>
        </w:rPr>
        <w:t xml:space="preserve">. </w:t>
      </w:r>
      <w:r w:rsidRPr="00CE23AE">
        <w:rPr>
          <w:lang w:val="en-US"/>
        </w:rPr>
        <w:t xml:space="preserve">In this regard, the Court deems it pertinent to rule, first, on the alleged availability of the full contentious administrative jurisdiction remedy, its appropriateness and effectiveness, and will then rule, as pertinent, on the effectiveness of the remedy of </w:t>
      </w:r>
      <w:r w:rsidR="008A1E21" w:rsidRPr="00CE23AE">
        <w:rPr>
          <w:lang w:val="en-US"/>
        </w:rPr>
        <w:t>amparo.</w:t>
      </w:r>
      <w:r w:rsidR="008A1E21" w:rsidRPr="00CE23AE">
        <w:rPr>
          <w:b/>
          <w:lang w:val="en-US"/>
        </w:rPr>
        <w:t xml:space="preserve"> </w:t>
      </w:r>
    </w:p>
    <w:p w14:paraId="56A3F23D" w14:textId="77777777" w:rsidR="008A1E21" w:rsidRPr="00CE23AE" w:rsidRDefault="008A1E21" w:rsidP="008A1E21">
      <w:pPr>
        <w:widowControl/>
        <w:tabs>
          <w:tab w:val="left" w:pos="567"/>
        </w:tabs>
        <w:suppressAutoHyphens/>
        <w:adjustRightInd/>
        <w:spacing w:line="240" w:lineRule="auto"/>
        <w:textAlignment w:val="auto"/>
        <w:rPr>
          <w:szCs w:val="20"/>
          <w:lang w:val="en-US"/>
        </w:rPr>
      </w:pPr>
    </w:p>
    <w:p w14:paraId="6A90F1F6" w14:textId="6641587E" w:rsidR="008A1E21" w:rsidRPr="00CE23AE" w:rsidRDefault="001D14D9" w:rsidP="008A1E21">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In this regard, the Law on the Contentious Administrative Jurisdiction</w:t>
      </w:r>
      <w:r w:rsidR="008A1E21" w:rsidRPr="00CE23AE">
        <w:rPr>
          <w:szCs w:val="20"/>
          <w:lang w:val="en-US"/>
        </w:rPr>
        <w:t xml:space="preserve"> </w:t>
      </w:r>
      <w:r w:rsidR="009E0CD2" w:rsidRPr="00CE23AE">
        <w:rPr>
          <w:szCs w:val="20"/>
          <w:lang w:val="en-US"/>
        </w:rPr>
        <w:t>establishes that</w:t>
      </w:r>
      <w:r w:rsidR="008A1E21" w:rsidRPr="00CE23AE">
        <w:rPr>
          <w:szCs w:val="20"/>
          <w:lang w:val="en-US"/>
        </w:rPr>
        <w:t>:</w:t>
      </w:r>
    </w:p>
    <w:p w14:paraId="559F6878" w14:textId="77777777" w:rsidR="008A1E21" w:rsidRPr="00CE23AE" w:rsidRDefault="008A1E21" w:rsidP="001F6FCD">
      <w:pPr>
        <w:widowControl/>
        <w:tabs>
          <w:tab w:val="left" w:pos="567"/>
        </w:tabs>
        <w:suppressAutoHyphens/>
        <w:adjustRightInd/>
        <w:spacing w:line="240" w:lineRule="auto"/>
        <w:textAlignment w:val="auto"/>
        <w:rPr>
          <w:szCs w:val="20"/>
          <w:lang w:val="en-US"/>
        </w:rPr>
      </w:pPr>
    </w:p>
    <w:p w14:paraId="70499D36" w14:textId="212E749E" w:rsidR="00F85C48" w:rsidRPr="00CE23AE" w:rsidRDefault="008A1E21" w:rsidP="001F6FCD">
      <w:pPr>
        <w:widowControl/>
        <w:tabs>
          <w:tab w:val="left" w:pos="567"/>
        </w:tabs>
        <w:suppressAutoHyphens/>
        <w:adjustRightInd/>
        <w:spacing w:line="240" w:lineRule="auto"/>
        <w:ind w:left="567" w:right="615"/>
        <w:textAlignment w:val="auto"/>
        <w:rPr>
          <w:sz w:val="18"/>
          <w:szCs w:val="18"/>
          <w:lang w:val="en-US"/>
        </w:rPr>
      </w:pPr>
      <w:r w:rsidRPr="00CE23AE">
        <w:rPr>
          <w:sz w:val="18"/>
          <w:szCs w:val="18"/>
          <w:lang w:val="en-US"/>
        </w:rPr>
        <w:t xml:space="preserve">Art. 1. </w:t>
      </w:r>
      <w:r w:rsidR="00F85C48" w:rsidRPr="00CE23AE">
        <w:rPr>
          <w:sz w:val="18"/>
          <w:szCs w:val="18"/>
          <w:lang w:val="en-US"/>
        </w:rPr>
        <w:t>The contentious administrative remedy may be filed by natural or legal persons against the regulations, acts and decisions of the Public Administration or of semi-public legal persons that are final</w:t>
      </w:r>
      <w:r w:rsidR="00F85C48" w:rsidRPr="00CE23AE">
        <w:rPr>
          <w:rStyle w:val="Refdenotaalpie"/>
          <w:sz w:val="18"/>
          <w:szCs w:val="18"/>
          <w:lang w:val="en-US"/>
        </w:rPr>
        <w:footnoteReference w:id="276"/>
      </w:r>
      <w:r w:rsidR="00F85C48" w:rsidRPr="00CE23AE">
        <w:rPr>
          <w:sz w:val="18"/>
          <w:szCs w:val="18"/>
          <w:lang w:val="en-US"/>
        </w:rPr>
        <w:t xml:space="preserve"> and violate a direct right or interest of the plaintiff. […]</w:t>
      </w:r>
    </w:p>
    <w:p w14:paraId="0EE76E92" w14:textId="77777777" w:rsidR="008A1E21" w:rsidRPr="00CE23AE" w:rsidRDefault="008A1E21" w:rsidP="001F6FCD">
      <w:pPr>
        <w:widowControl/>
        <w:tabs>
          <w:tab w:val="left" w:pos="567"/>
        </w:tabs>
        <w:suppressAutoHyphens/>
        <w:adjustRightInd/>
        <w:spacing w:line="240" w:lineRule="auto"/>
        <w:ind w:left="567" w:right="615"/>
        <w:textAlignment w:val="auto"/>
        <w:rPr>
          <w:sz w:val="18"/>
          <w:szCs w:val="18"/>
          <w:lang w:val="en-US"/>
        </w:rPr>
      </w:pPr>
    </w:p>
    <w:p w14:paraId="5F899AC6" w14:textId="305D0A21" w:rsidR="008A1E21" w:rsidRPr="00CE23AE" w:rsidRDefault="00F85C48" w:rsidP="00F85C48">
      <w:pPr>
        <w:widowControl/>
        <w:tabs>
          <w:tab w:val="left" w:pos="567"/>
        </w:tabs>
        <w:suppressAutoHyphens/>
        <w:adjustRightInd/>
        <w:spacing w:line="240" w:lineRule="auto"/>
        <w:ind w:left="567" w:right="615"/>
        <w:textAlignment w:val="auto"/>
        <w:rPr>
          <w:sz w:val="18"/>
          <w:szCs w:val="18"/>
          <w:lang w:val="en-US"/>
        </w:rPr>
      </w:pPr>
      <w:r w:rsidRPr="00CE23AE">
        <w:rPr>
          <w:sz w:val="18"/>
          <w:szCs w:val="18"/>
          <w:lang w:val="en-US"/>
        </w:rPr>
        <w:t>Art. 3. There are two types of contentious administrative remedy</w:t>
      </w:r>
      <w:r w:rsidR="008A1E21" w:rsidRPr="00CE23AE">
        <w:rPr>
          <w:sz w:val="18"/>
          <w:szCs w:val="18"/>
          <w:lang w:val="en-US"/>
        </w:rPr>
        <w:t xml:space="preserve">: </w:t>
      </w:r>
      <w:r w:rsidRPr="00CE23AE">
        <w:rPr>
          <w:sz w:val="18"/>
          <w:szCs w:val="18"/>
          <w:lang w:val="en-US"/>
        </w:rPr>
        <w:t>of full jurisdiction or subjective, and of annulment or objective. The full jurisdiction or subjective remedy protects a subjective right of the plaintiff, presumably denied, ignored or not recognized, totally or partially, by the administrative act in question.</w:t>
      </w:r>
      <w:r w:rsidR="008A1E21" w:rsidRPr="00CE23AE">
        <w:rPr>
          <w:rStyle w:val="Refdenotaalpie"/>
          <w:sz w:val="18"/>
          <w:szCs w:val="18"/>
          <w:lang w:val="en-US"/>
        </w:rPr>
        <w:footnoteReference w:id="277"/>
      </w:r>
      <w:r w:rsidR="008A1E21" w:rsidRPr="00CE23AE">
        <w:rPr>
          <w:sz w:val="18"/>
          <w:szCs w:val="18"/>
          <w:lang w:val="en-US"/>
        </w:rPr>
        <w:t xml:space="preserve"> […]</w:t>
      </w:r>
    </w:p>
    <w:p w14:paraId="3D037F90" w14:textId="77777777" w:rsidR="008A1E21" w:rsidRPr="00CE23AE" w:rsidRDefault="008A1E21" w:rsidP="008A1E21">
      <w:pPr>
        <w:widowControl/>
        <w:tabs>
          <w:tab w:val="left" w:pos="567"/>
        </w:tabs>
        <w:suppressAutoHyphens/>
        <w:adjustRightInd/>
        <w:spacing w:line="240" w:lineRule="auto"/>
        <w:textAlignment w:val="auto"/>
        <w:rPr>
          <w:szCs w:val="20"/>
          <w:lang w:val="en-US"/>
        </w:rPr>
      </w:pPr>
    </w:p>
    <w:p w14:paraId="4A4184CA" w14:textId="584254E4" w:rsidR="008A1E21" w:rsidRPr="00CE23AE" w:rsidRDefault="00C561DF" w:rsidP="008A1E21">
      <w:pPr>
        <w:widowControl/>
        <w:numPr>
          <w:ilvl w:val="0"/>
          <w:numId w:val="6"/>
        </w:numPr>
        <w:tabs>
          <w:tab w:val="left" w:pos="567"/>
        </w:tabs>
        <w:suppressAutoHyphens/>
        <w:adjustRightInd/>
        <w:spacing w:line="240" w:lineRule="auto"/>
        <w:textAlignment w:val="auto"/>
        <w:rPr>
          <w:szCs w:val="20"/>
          <w:lang w:val="en-US"/>
        </w:rPr>
      </w:pPr>
      <w:r w:rsidRPr="00CE23AE">
        <w:rPr>
          <w:szCs w:val="20"/>
          <w:lang w:val="en-US"/>
        </w:rPr>
        <w:t>The representative</w:t>
      </w:r>
      <w:r w:rsidR="008A1E21" w:rsidRPr="00CE23AE">
        <w:rPr>
          <w:szCs w:val="20"/>
          <w:lang w:val="en-US"/>
        </w:rPr>
        <w:t xml:space="preserve"> ha</w:t>
      </w:r>
      <w:r w:rsidR="005F744F" w:rsidRPr="00CE23AE">
        <w:rPr>
          <w:szCs w:val="20"/>
          <w:lang w:val="en-US"/>
        </w:rPr>
        <w:t>s argued that this remedy was not admissible in the case of administrative acts of the military authorities based on</w:t>
      </w:r>
      <w:r w:rsidR="008A1E21" w:rsidRPr="00CE23AE">
        <w:rPr>
          <w:szCs w:val="20"/>
          <w:lang w:val="en-US"/>
        </w:rPr>
        <w:t xml:space="preserve"> </w:t>
      </w:r>
      <w:r w:rsidR="005F744F" w:rsidRPr="00CE23AE">
        <w:rPr>
          <w:szCs w:val="20"/>
          <w:lang w:val="en-US"/>
        </w:rPr>
        <w:t>a</w:t>
      </w:r>
      <w:r w:rsidRPr="00CE23AE">
        <w:rPr>
          <w:szCs w:val="20"/>
          <w:lang w:val="en-US"/>
        </w:rPr>
        <w:t>rticle</w:t>
      </w:r>
      <w:r w:rsidR="008A1E21" w:rsidRPr="00CE23AE">
        <w:rPr>
          <w:szCs w:val="20"/>
          <w:lang w:val="en-US"/>
        </w:rPr>
        <w:t xml:space="preserve"> 6</w:t>
      </w:r>
      <w:r w:rsidR="005F744F" w:rsidRPr="00CE23AE">
        <w:rPr>
          <w:szCs w:val="20"/>
          <w:lang w:val="en-US"/>
        </w:rPr>
        <w:t>(c)</w:t>
      </w:r>
      <w:r w:rsidR="008A1E21" w:rsidRPr="00CE23AE">
        <w:rPr>
          <w:szCs w:val="20"/>
          <w:lang w:val="en-US"/>
        </w:rPr>
        <w:t xml:space="preserve"> </w:t>
      </w:r>
      <w:r w:rsidR="005F744F" w:rsidRPr="00CE23AE">
        <w:rPr>
          <w:szCs w:val="20"/>
          <w:lang w:val="en-US"/>
        </w:rPr>
        <w:t>of the Law on the Contentious Administrative Jurisdiction. This establishes that</w:t>
      </w:r>
      <w:r w:rsidR="008A1E21" w:rsidRPr="00CE23AE">
        <w:rPr>
          <w:szCs w:val="20"/>
          <w:lang w:val="en-US"/>
        </w:rPr>
        <w:t>:</w:t>
      </w:r>
    </w:p>
    <w:p w14:paraId="4E900C2E" w14:textId="174242F6" w:rsidR="008A1E21" w:rsidRPr="00CE23AE" w:rsidRDefault="008A1E21" w:rsidP="008A1E21">
      <w:pPr>
        <w:widowControl/>
        <w:tabs>
          <w:tab w:val="left" w:pos="567"/>
        </w:tabs>
        <w:suppressAutoHyphens/>
        <w:adjustRightInd/>
        <w:spacing w:line="240" w:lineRule="auto"/>
        <w:textAlignment w:val="auto"/>
        <w:rPr>
          <w:szCs w:val="20"/>
          <w:lang w:val="en-US"/>
        </w:rPr>
      </w:pPr>
    </w:p>
    <w:p w14:paraId="07300F8A" w14:textId="58A0227E" w:rsidR="008A1E21" w:rsidRPr="00CE23AE" w:rsidRDefault="005F744F" w:rsidP="005F744F">
      <w:pPr>
        <w:widowControl/>
        <w:tabs>
          <w:tab w:val="left" w:pos="567"/>
        </w:tabs>
        <w:suppressAutoHyphens/>
        <w:adjustRightInd/>
        <w:spacing w:line="240" w:lineRule="auto"/>
        <w:ind w:left="567" w:right="615"/>
        <w:textAlignment w:val="auto"/>
        <w:rPr>
          <w:sz w:val="18"/>
          <w:szCs w:val="18"/>
          <w:lang w:val="en-US"/>
        </w:rPr>
      </w:pPr>
      <w:r w:rsidRPr="00CE23AE">
        <w:rPr>
          <w:sz w:val="18"/>
          <w:szCs w:val="18"/>
          <w:lang w:val="en-US"/>
        </w:rPr>
        <w:t>The following do not correspond to</w:t>
      </w:r>
      <w:r w:rsidR="008A1E21" w:rsidRPr="00CE23AE">
        <w:rPr>
          <w:sz w:val="18"/>
          <w:szCs w:val="18"/>
          <w:lang w:val="en-US"/>
        </w:rPr>
        <w:t xml:space="preserve"> </w:t>
      </w:r>
      <w:r w:rsidR="00F85C48" w:rsidRPr="00CE23AE">
        <w:rPr>
          <w:sz w:val="18"/>
          <w:szCs w:val="18"/>
          <w:lang w:val="en-US"/>
        </w:rPr>
        <w:t>the contentious administrative jurisdiction</w:t>
      </w:r>
      <w:r w:rsidR="008A1E21" w:rsidRPr="00CE23AE">
        <w:rPr>
          <w:sz w:val="18"/>
          <w:szCs w:val="18"/>
          <w:lang w:val="en-US"/>
        </w:rPr>
        <w:t xml:space="preserve">: […] </w:t>
      </w:r>
      <w:r w:rsidRPr="00CE23AE">
        <w:rPr>
          <w:sz w:val="18"/>
          <w:szCs w:val="18"/>
          <w:lang w:val="en-US"/>
        </w:rPr>
        <w:t>(</w:t>
      </w:r>
      <w:r w:rsidR="008A1E21" w:rsidRPr="00CE23AE">
        <w:rPr>
          <w:sz w:val="18"/>
          <w:szCs w:val="18"/>
          <w:lang w:val="en-US"/>
        </w:rPr>
        <w:t xml:space="preserve">c) </w:t>
      </w:r>
      <w:r w:rsidRPr="00CE23AE">
        <w:rPr>
          <w:sz w:val="18"/>
          <w:szCs w:val="18"/>
          <w:lang w:val="en-US"/>
        </w:rPr>
        <w:t xml:space="preserve">The matters that arise in relation to political acts of the Government, such as those that affect the defense of national territory, international relations, internal security of the State and </w:t>
      </w:r>
      <w:r w:rsidRPr="00CE23AE">
        <w:rPr>
          <w:i/>
          <w:iCs/>
          <w:sz w:val="18"/>
          <w:szCs w:val="18"/>
          <w:u w:val="single"/>
          <w:lang w:val="en-US"/>
        </w:rPr>
        <w:t xml:space="preserve">the organization of the </w:t>
      </w:r>
      <w:r w:rsidR="006B1478" w:rsidRPr="00CE23AE">
        <w:rPr>
          <w:i/>
          <w:iCs/>
          <w:sz w:val="18"/>
          <w:szCs w:val="18"/>
          <w:u w:val="single"/>
          <w:lang w:val="en-US"/>
        </w:rPr>
        <w:t xml:space="preserve">security services, </w:t>
      </w:r>
      <w:r w:rsidRPr="00CE23AE">
        <w:rPr>
          <w:sz w:val="18"/>
          <w:szCs w:val="18"/>
          <w:lang w:val="en-US"/>
        </w:rPr>
        <w:t xml:space="preserve">without prejudice to </w:t>
      </w:r>
      <w:r w:rsidR="007855BC" w:rsidRPr="00CE23AE">
        <w:rPr>
          <w:sz w:val="18"/>
          <w:szCs w:val="18"/>
          <w:lang w:val="en-US"/>
        </w:rPr>
        <w:t>any</w:t>
      </w:r>
      <w:r w:rsidRPr="00CE23AE">
        <w:rPr>
          <w:sz w:val="18"/>
          <w:szCs w:val="18"/>
          <w:lang w:val="en-US"/>
        </w:rPr>
        <w:t xml:space="preserve"> compensation that might be admissible, the determination of which corresponds to the contentious administrative jurisdiction.</w:t>
      </w:r>
      <w:r w:rsidR="009A01B8" w:rsidRPr="00CE23AE">
        <w:rPr>
          <w:sz w:val="18"/>
          <w:szCs w:val="18"/>
          <w:lang w:val="en-US"/>
        </w:rPr>
        <w:t xml:space="preserve"> […]</w:t>
      </w:r>
      <w:r w:rsidR="008A1E21" w:rsidRPr="00CE23AE">
        <w:rPr>
          <w:rStyle w:val="Refdenotaalpie"/>
          <w:sz w:val="18"/>
          <w:szCs w:val="18"/>
          <w:lang w:val="en-US"/>
        </w:rPr>
        <w:footnoteReference w:id="278"/>
      </w:r>
      <w:r w:rsidR="008A1E21" w:rsidRPr="00CE23AE">
        <w:rPr>
          <w:sz w:val="18"/>
          <w:szCs w:val="18"/>
          <w:lang w:val="en-US"/>
        </w:rPr>
        <w:t xml:space="preserve"> </w:t>
      </w:r>
      <w:r w:rsidR="008A1E21" w:rsidRPr="00CE23AE">
        <w:rPr>
          <w:i/>
          <w:sz w:val="18"/>
          <w:szCs w:val="18"/>
          <w:lang w:val="en-US"/>
        </w:rPr>
        <w:t>(</w:t>
      </w:r>
      <w:r w:rsidRPr="00CE23AE">
        <w:rPr>
          <w:i/>
          <w:sz w:val="18"/>
          <w:szCs w:val="18"/>
          <w:lang w:val="en-US"/>
        </w:rPr>
        <w:t>italics and underlining added</w:t>
      </w:r>
      <w:r w:rsidR="008A1E21" w:rsidRPr="00CE23AE">
        <w:rPr>
          <w:i/>
          <w:sz w:val="18"/>
          <w:szCs w:val="18"/>
          <w:lang w:val="en-US"/>
        </w:rPr>
        <w:t>)</w:t>
      </w:r>
      <w:r w:rsidRPr="00CE23AE">
        <w:rPr>
          <w:i/>
          <w:sz w:val="18"/>
          <w:szCs w:val="18"/>
          <w:lang w:val="en-US"/>
        </w:rPr>
        <w:t>.</w:t>
      </w:r>
    </w:p>
    <w:p w14:paraId="59D0D7E7" w14:textId="77777777" w:rsidR="008A1E21" w:rsidRPr="00CE23AE" w:rsidRDefault="008A1E21" w:rsidP="008A1E21">
      <w:pPr>
        <w:pStyle w:val="PrrafodeSentencia"/>
        <w:numPr>
          <w:ilvl w:val="0"/>
          <w:numId w:val="0"/>
        </w:numPr>
        <w:rPr>
          <w:lang w:val="en-US"/>
        </w:rPr>
      </w:pPr>
    </w:p>
    <w:p w14:paraId="3BF7B0A7" w14:textId="3687C255" w:rsidR="008A1E21" w:rsidRPr="00CE23AE" w:rsidRDefault="005F744F" w:rsidP="00605875">
      <w:pPr>
        <w:pStyle w:val="PrrafodeSentencia"/>
        <w:rPr>
          <w:bCs/>
          <w:lang w:val="en-US"/>
        </w:rPr>
      </w:pPr>
      <w:r w:rsidRPr="00CE23AE">
        <w:rPr>
          <w:lang w:val="en-US"/>
        </w:rPr>
        <w:t>The</w:t>
      </w:r>
      <w:r w:rsidR="00C561DF" w:rsidRPr="00CE23AE">
        <w:rPr>
          <w:lang w:val="en-US"/>
        </w:rPr>
        <w:t xml:space="preserve"> representative</w:t>
      </w:r>
      <w:r w:rsidR="008A1E21" w:rsidRPr="00CE23AE">
        <w:rPr>
          <w:lang w:val="en-US"/>
        </w:rPr>
        <w:t xml:space="preserve"> </w:t>
      </w:r>
      <w:r w:rsidRPr="00CE23AE">
        <w:rPr>
          <w:lang w:val="en-US"/>
        </w:rPr>
        <w:t>referred to a 1994 jurisprudential opinion of the Ecuadorian Supreme Court</w:t>
      </w:r>
      <w:r w:rsidR="008A1E21" w:rsidRPr="00CE23AE">
        <w:rPr>
          <w:rStyle w:val="Refdenotaalpie"/>
          <w:lang w:val="en-US"/>
        </w:rPr>
        <w:footnoteReference w:id="279"/>
      </w:r>
      <w:r w:rsidR="008A1E21" w:rsidRPr="00CE23AE">
        <w:rPr>
          <w:lang w:val="en-US"/>
        </w:rPr>
        <w:t xml:space="preserve"> (</w:t>
      </w:r>
      <w:r w:rsidR="008A1E21" w:rsidRPr="00CE23AE">
        <w:rPr>
          <w:i/>
          <w:lang w:val="en-US"/>
        </w:rPr>
        <w:t>supra</w:t>
      </w:r>
      <w:r w:rsidR="001F6FCD" w:rsidRPr="00CE23AE">
        <w:rPr>
          <w:lang w:val="en-US"/>
        </w:rPr>
        <w:t xml:space="preserve"> </w:t>
      </w:r>
      <w:r w:rsidR="005C743F" w:rsidRPr="00CE23AE">
        <w:rPr>
          <w:lang w:val="en-US"/>
        </w:rPr>
        <w:t>para.</w:t>
      </w:r>
      <w:r w:rsidR="008A1E21" w:rsidRPr="00CE23AE">
        <w:rPr>
          <w:lang w:val="en-US"/>
        </w:rPr>
        <w:t xml:space="preserve"> </w:t>
      </w:r>
      <w:r w:rsidR="008A1E21" w:rsidRPr="00CE23AE">
        <w:rPr>
          <w:lang w:val="en-US"/>
        </w:rPr>
        <w:fldChar w:fldCharType="begin"/>
      </w:r>
      <w:r w:rsidR="008A1E21" w:rsidRPr="00CE23AE">
        <w:rPr>
          <w:lang w:val="en-US"/>
        </w:rPr>
        <w:instrText xml:space="preserve"> REF _Ref460342500 \r \h  \* MERGEFORMAT </w:instrText>
      </w:r>
      <w:r w:rsidR="008A1E21" w:rsidRPr="00CE23AE">
        <w:rPr>
          <w:lang w:val="en-US"/>
        </w:rPr>
      </w:r>
      <w:r w:rsidR="008A1E21" w:rsidRPr="00CE23AE">
        <w:rPr>
          <w:lang w:val="en-US"/>
        </w:rPr>
        <w:fldChar w:fldCharType="separate"/>
      </w:r>
      <w:r w:rsidR="00BC2953" w:rsidRPr="00CE23AE">
        <w:rPr>
          <w:lang w:val="en-US"/>
        </w:rPr>
        <w:t>25</w:t>
      </w:r>
      <w:r w:rsidR="008A1E21" w:rsidRPr="00CE23AE">
        <w:rPr>
          <w:lang w:val="en-US"/>
        </w:rPr>
        <w:fldChar w:fldCharType="end"/>
      </w:r>
      <w:r w:rsidR="00196ED2" w:rsidRPr="00CE23AE">
        <w:rPr>
          <w:lang w:val="en-US"/>
        </w:rPr>
        <w:t>).</w:t>
      </w:r>
      <w:r w:rsidR="008A1E21" w:rsidRPr="00CE23AE">
        <w:rPr>
          <w:lang w:val="en-US"/>
        </w:rPr>
        <w:t xml:space="preserve"> </w:t>
      </w:r>
      <w:r w:rsidRPr="00CE23AE">
        <w:rPr>
          <w:lang w:val="en-US"/>
        </w:rPr>
        <w:t>However</w:t>
      </w:r>
      <w:r w:rsidR="008A1E21" w:rsidRPr="00CE23AE">
        <w:rPr>
          <w:lang w:val="en-US"/>
        </w:rPr>
        <w:t>, Ecuador ha</w:t>
      </w:r>
      <w:r w:rsidRPr="00CE23AE">
        <w:rPr>
          <w:lang w:val="en-US"/>
        </w:rPr>
        <w:t xml:space="preserve">s indicated repeatedly that the decision to discharge </w:t>
      </w:r>
      <w:r w:rsidR="00000AE1" w:rsidRPr="00CE23AE">
        <w:rPr>
          <w:lang w:val="en-US"/>
        </w:rPr>
        <w:t>Mr.</w:t>
      </w:r>
      <w:r w:rsidR="00F5102B" w:rsidRPr="00CE23AE">
        <w:rPr>
          <w:lang w:val="en-US"/>
        </w:rPr>
        <w:t xml:space="preserve"> Flor</w:t>
      </w:r>
      <w:r w:rsidR="008A1E21" w:rsidRPr="00CE23AE">
        <w:rPr>
          <w:lang w:val="en-US"/>
        </w:rPr>
        <w:t xml:space="preserve"> Freire, “constitu</w:t>
      </w:r>
      <w:r w:rsidRPr="00CE23AE">
        <w:rPr>
          <w:lang w:val="en-US"/>
        </w:rPr>
        <w:t xml:space="preserve">ted an administrative act of sanction and not an act that affected the </w:t>
      </w:r>
      <w:r w:rsidRPr="00CE23AE">
        <w:rPr>
          <w:lang w:val="en-US"/>
        </w:rPr>
        <w:lastRenderedPageBreak/>
        <w:t xml:space="preserve">structure or the organization of the </w:t>
      </w:r>
      <w:r w:rsidR="000334B8" w:rsidRPr="00CE23AE">
        <w:rPr>
          <w:lang w:val="en-US"/>
        </w:rPr>
        <w:t>security services</w:t>
      </w:r>
      <w:r w:rsidRPr="00CE23AE">
        <w:rPr>
          <w:lang w:val="en-US"/>
        </w:rPr>
        <w:t>.</w:t>
      </w:r>
      <w:r w:rsidR="008A1E21" w:rsidRPr="00CE23AE">
        <w:rPr>
          <w:lang w:val="en-US"/>
        </w:rPr>
        <w:t xml:space="preserve">” </w:t>
      </w:r>
      <w:r w:rsidR="00000AD5" w:rsidRPr="00CE23AE">
        <w:rPr>
          <w:lang w:val="en-US"/>
        </w:rPr>
        <w:t>Th</w:t>
      </w:r>
      <w:r w:rsidR="000334B8" w:rsidRPr="00CE23AE">
        <w:rPr>
          <w:lang w:val="en-US"/>
        </w:rPr>
        <w:t>e</w:t>
      </w:r>
      <w:r w:rsidR="00000AD5" w:rsidRPr="00CE23AE">
        <w:rPr>
          <w:lang w:val="en-US"/>
        </w:rPr>
        <w:t xml:space="preserve"> Court</w:t>
      </w:r>
      <w:r w:rsidR="008A1E21" w:rsidRPr="00CE23AE">
        <w:rPr>
          <w:lang w:val="en-US"/>
        </w:rPr>
        <w:t xml:space="preserve"> rec</w:t>
      </w:r>
      <w:r w:rsidRPr="00CE23AE">
        <w:rPr>
          <w:lang w:val="en-US"/>
        </w:rPr>
        <w:t xml:space="preserve">alls that, even though at the admissibility stage before </w:t>
      </w:r>
      <w:r w:rsidR="00C561DF" w:rsidRPr="00CE23AE">
        <w:rPr>
          <w:lang w:val="en-US"/>
        </w:rPr>
        <w:t>the Commission</w:t>
      </w:r>
      <w:r w:rsidR="008A1E21" w:rsidRPr="00CE23AE">
        <w:rPr>
          <w:lang w:val="en-US"/>
        </w:rPr>
        <w:t xml:space="preserve"> </w:t>
      </w:r>
      <w:r w:rsidR="00C561DF" w:rsidRPr="00CE23AE">
        <w:rPr>
          <w:lang w:val="en-US"/>
        </w:rPr>
        <w:t>the State</w:t>
      </w:r>
      <w:r w:rsidR="008A1E21" w:rsidRPr="00CE23AE">
        <w:rPr>
          <w:lang w:val="en-US"/>
        </w:rPr>
        <w:t xml:space="preserve"> </w:t>
      </w:r>
      <w:r w:rsidRPr="00CE23AE">
        <w:rPr>
          <w:lang w:val="en-US"/>
        </w:rPr>
        <w:t xml:space="preserve">did not prove that this remedy was available or that it was appropriate with regard to the violations alleged by </w:t>
      </w:r>
      <w:r w:rsidR="00F5102B" w:rsidRPr="00CE23AE">
        <w:rPr>
          <w:lang w:val="en-US"/>
        </w:rPr>
        <w:t>Mr. Flor</w:t>
      </w:r>
      <w:r w:rsidR="008A1E21" w:rsidRPr="00CE23AE">
        <w:rPr>
          <w:lang w:val="en-US"/>
        </w:rPr>
        <w:t xml:space="preserve"> Freire (</w:t>
      </w:r>
      <w:r w:rsidR="008A1E21" w:rsidRPr="00CE23AE">
        <w:rPr>
          <w:i/>
          <w:lang w:val="en-US"/>
        </w:rPr>
        <w:t>supra</w:t>
      </w:r>
      <w:r w:rsidR="008A1E21" w:rsidRPr="00CE23AE">
        <w:rPr>
          <w:lang w:val="en-US"/>
        </w:rPr>
        <w:t xml:space="preserve"> </w:t>
      </w:r>
      <w:r w:rsidR="005C743F" w:rsidRPr="00CE23AE">
        <w:rPr>
          <w:lang w:val="en-US"/>
        </w:rPr>
        <w:t>paras.</w:t>
      </w:r>
      <w:r w:rsidR="008A1E21" w:rsidRPr="00CE23AE">
        <w:rPr>
          <w:lang w:val="en-US"/>
        </w:rPr>
        <w:t xml:space="preserve"> </w:t>
      </w:r>
      <w:r w:rsidR="008A1E21" w:rsidRPr="00CE23AE">
        <w:rPr>
          <w:lang w:val="en-US"/>
        </w:rPr>
        <w:fldChar w:fldCharType="begin"/>
      </w:r>
      <w:r w:rsidR="008A1E21" w:rsidRPr="00CE23AE">
        <w:rPr>
          <w:lang w:val="en-US"/>
        </w:rPr>
        <w:instrText xml:space="preserve"> REF _Ref460342500 \r \h  \* MERGEFORMAT </w:instrText>
      </w:r>
      <w:r w:rsidR="008A1E21" w:rsidRPr="00CE23AE">
        <w:rPr>
          <w:lang w:val="en-US"/>
        </w:rPr>
      </w:r>
      <w:r w:rsidR="008A1E21" w:rsidRPr="00CE23AE">
        <w:rPr>
          <w:lang w:val="en-US"/>
        </w:rPr>
        <w:fldChar w:fldCharType="separate"/>
      </w:r>
      <w:r w:rsidR="00BC2953" w:rsidRPr="00CE23AE">
        <w:rPr>
          <w:lang w:val="en-US"/>
        </w:rPr>
        <w:t>25</w:t>
      </w:r>
      <w:r w:rsidR="008A1E21" w:rsidRPr="00CE23AE">
        <w:rPr>
          <w:lang w:val="en-US"/>
        </w:rPr>
        <w:fldChar w:fldCharType="end"/>
      </w:r>
      <w:r w:rsidR="00C561DF" w:rsidRPr="00CE23AE">
        <w:rPr>
          <w:lang w:val="en-US"/>
        </w:rPr>
        <w:t xml:space="preserve"> and </w:t>
      </w:r>
      <w:r w:rsidR="008A1E21" w:rsidRPr="00CE23AE">
        <w:rPr>
          <w:lang w:val="en-US"/>
        </w:rPr>
        <w:fldChar w:fldCharType="begin"/>
      </w:r>
      <w:r w:rsidR="008A1E21" w:rsidRPr="00CE23AE">
        <w:rPr>
          <w:lang w:val="en-US"/>
        </w:rPr>
        <w:instrText xml:space="preserve"> REF _Ref455670865 \r \h  \* MERGEFORMAT </w:instrText>
      </w:r>
      <w:r w:rsidR="008A1E21" w:rsidRPr="00CE23AE">
        <w:rPr>
          <w:lang w:val="en-US"/>
        </w:rPr>
      </w:r>
      <w:r w:rsidR="008A1E21" w:rsidRPr="00CE23AE">
        <w:rPr>
          <w:lang w:val="en-US"/>
        </w:rPr>
        <w:fldChar w:fldCharType="separate"/>
      </w:r>
      <w:r w:rsidR="00BC2953" w:rsidRPr="00CE23AE">
        <w:rPr>
          <w:lang w:val="en-US"/>
        </w:rPr>
        <w:t>26</w:t>
      </w:r>
      <w:r w:rsidR="008A1E21" w:rsidRPr="00CE23AE">
        <w:rPr>
          <w:lang w:val="en-US"/>
        </w:rPr>
        <w:fldChar w:fldCharType="end"/>
      </w:r>
      <w:r w:rsidR="008A1E21" w:rsidRPr="00CE23AE">
        <w:rPr>
          <w:lang w:val="en-US"/>
        </w:rPr>
        <w:t xml:space="preserve">), </w:t>
      </w:r>
      <w:r w:rsidRPr="00CE23AE">
        <w:rPr>
          <w:lang w:val="en-US"/>
        </w:rPr>
        <w:t>before</w:t>
      </w:r>
      <w:r w:rsidR="008A1E21" w:rsidRPr="00CE23AE">
        <w:rPr>
          <w:lang w:val="en-US"/>
        </w:rPr>
        <w:t xml:space="preserve"> </w:t>
      </w:r>
      <w:r w:rsidR="00C561DF" w:rsidRPr="00CE23AE">
        <w:rPr>
          <w:lang w:val="en-US"/>
        </w:rPr>
        <w:t>the Court</w:t>
      </w:r>
      <w:r w:rsidRPr="00CE23AE">
        <w:rPr>
          <w:lang w:val="en-US"/>
        </w:rPr>
        <w:t>, both</w:t>
      </w:r>
      <w:r w:rsidR="008A1E21" w:rsidRPr="00CE23AE">
        <w:rPr>
          <w:lang w:val="en-US"/>
        </w:rPr>
        <w:t xml:space="preserve"> </w:t>
      </w:r>
      <w:r w:rsidR="00C561DF" w:rsidRPr="00CE23AE">
        <w:rPr>
          <w:lang w:val="en-US"/>
        </w:rPr>
        <w:t>the State</w:t>
      </w:r>
      <w:r w:rsidR="008A1E21" w:rsidRPr="00CE23AE">
        <w:rPr>
          <w:lang w:val="en-US"/>
        </w:rPr>
        <w:t xml:space="preserve"> </w:t>
      </w:r>
      <w:r w:rsidRPr="00CE23AE">
        <w:rPr>
          <w:lang w:val="en-US"/>
        </w:rPr>
        <w:t>and</w:t>
      </w:r>
      <w:r w:rsidR="008A1E21" w:rsidRPr="00CE23AE">
        <w:rPr>
          <w:lang w:val="en-US"/>
        </w:rPr>
        <w:t xml:space="preserve"> </w:t>
      </w:r>
      <w:r w:rsidR="00C561DF" w:rsidRPr="00CE23AE">
        <w:rPr>
          <w:lang w:val="en-US"/>
        </w:rPr>
        <w:t>the representative</w:t>
      </w:r>
      <w:r w:rsidR="008A1E21" w:rsidRPr="00CE23AE">
        <w:rPr>
          <w:lang w:val="en-US"/>
        </w:rPr>
        <w:t xml:space="preserve"> </w:t>
      </w:r>
      <w:r w:rsidRPr="00CE23AE">
        <w:rPr>
          <w:lang w:val="en-US"/>
        </w:rPr>
        <w:t>have provided specific evidence that relates to this dispute. In this regard, contradictory expert opinions have been submitted on the interpretation of the said a</w:t>
      </w:r>
      <w:r w:rsidR="00996128" w:rsidRPr="00CE23AE">
        <w:rPr>
          <w:lang w:val="en-US"/>
        </w:rPr>
        <w:t>rticle</w:t>
      </w:r>
      <w:r w:rsidR="008A1E21" w:rsidRPr="00CE23AE">
        <w:rPr>
          <w:lang w:val="en-US"/>
        </w:rPr>
        <w:t xml:space="preserve"> 6</w:t>
      </w:r>
      <w:r w:rsidRPr="00CE23AE">
        <w:rPr>
          <w:lang w:val="en-US"/>
        </w:rPr>
        <w:t>(</w:t>
      </w:r>
      <w:r w:rsidR="008A1E21" w:rsidRPr="00CE23AE">
        <w:rPr>
          <w:lang w:val="en-US"/>
        </w:rPr>
        <w:t>c</w:t>
      </w:r>
      <w:r w:rsidRPr="00CE23AE">
        <w:rPr>
          <w:lang w:val="en-US"/>
        </w:rPr>
        <w:t>)</w:t>
      </w:r>
      <w:r w:rsidR="008A1E21" w:rsidRPr="00CE23AE">
        <w:rPr>
          <w:lang w:val="en-US"/>
        </w:rPr>
        <w:t xml:space="preserve"> </w:t>
      </w:r>
      <w:r w:rsidRPr="00CE23AE">
        <w:rPr>
          <w:lang w:val="en-US"/>
        </w:rPr>
        <w:t>of the</w:t>
      </w:r>
      <w:r w:rsidR="008A1E21" w:rsidRPr="00CE23AE">
        <w:rPr>
          <w:lang w:val="en-US"/>
        </w:rPr>
        <w:t xml:space="preserve"> </w:t>
      </w:r>
      <w:r w:rsidR="00884CD0" w:rsidRPr="00CE23AE">
        <w:rPr>
          <w:lang w:val="en-US"/>
        </w:rPr>
        <w:t>Law on the Contentious Administrative Jurisdiction</w:t>
      </w:r>
      <w:r w:rsidR="008A1E21" w:rsidRPr="00CE23AE">
        <w:rPr>
          <w:lang w:val="en-US"/>
        </w:rPr>
        <w:t xml:space="preserve">. </w:t>
      </w:r>
      <w:r w:rsidRPr="00CE23AE">
        <w:rPr>
          <w:lang w:val="en-US"/>
        </w:rPr>
        <w:t xml:space="preserve">On the one hand, the joint </w:t>
      </w:r>
      <w:r w:rsidR="00522A39" w:rsidRPr="00CE23AE">
        <w:rPr>
          <w:lang w:val="en-US"/>
        </w:rPr>
        <w:t>opinion</w:t>
      </w:r>
      <w:r w:rsidRPr="00CE23AE">
        <w:rPr>
          <w:lang w:val="en-US"/>
        </w:rPr>
        <w:t xml:space="preserve"> of </w:t>
      </w:r>
      <w:r w:rsidR="008A1E21" w:rsidRPr="00CE23AE">
        <w:rPr>
          <w:lang w:val="en-US"/>
        </w:rPr>
        <w:t>Leonardo Jaramillo</w:t>
      </w:r>
      <w:r w:rsidR="00C561DF" w:rsidRPr="00CE23AE">
        <w:rPr>
          <w:lang w:val="en-US"/>
        </w:rPr>
        <w:t xml:space="preserve"> and </w:t>
      </w:r>
      <w:r w:rsidR="008A1E21" w:rsidRPr="00CE23AE">
        <w:rPr>
          <w:lang w:val="en-US"/>
        </w:rPr>
        <w:t xml:space="preserve">Fernando Casado, </w:t>
      </w:r>
      <w:r w:rsidRPr="00CE23AE">
        <w:rPr>
          <w:lang w:val="en-US"/>
        </w:rPr>
        <w:t>provided by</w:t>
      </w:r>
      <w:r w:rsidR="008A1E21" w:rsidRPr="00CE23AE">
        <w:rPr>
          <w:lang w:val="en-US"/>
        </w:rPr>
        <w:t xml:space="preserve"> </w:t>
      </w:r>
      <w:r w:rsidR="00C561DF" w:rsidRPr="00CE23AE">
        <w:rPr>
          <w:lang w:val="en-US"/>
        </w:rPr>
        <w:t>the State</w:t>
      </w:r>
      <w:r w:rsidR="008A1E21" w:rsidRPr="00CE23AE">
        <w:rPr>
          <w:lang w:val="en-US"/>
        </w:rPr>
        <w:t xml:space="preserve">, </w:t>
      </w:r>
      <w:r w:rsidRPr="00CE23AE">
        <w:rPr>
          <w:lang w:val="en-US"/>
        </w:rPr>
        <w:t>indicates that</w:t>
      </w:r>
      <w:r w:rsidR="008A1E21" w:rsidRPr="00CE23AE">
        <w:rPr>
          <w:lang w:val="en-US"/>
        </w:rPr>
        <w:t xml:space="preserve"> “</w:t>
      </w:r>
      <w:r w:rsidRPr="00CE23AE">
        <w:rPr>
          <w:lang w:val="en-US"/>
        </w:rPr>
        <w:t>a reading of the text of the article reveals that it does not expressly prevent filing judicial actions using the contentious administrative jurisdiction.</w:t>
      </w:r>
      <w:r w:rsidR="008A1E21" w:rsidRPr="00CE23AE">
        <w:rPr>
          <w:bCs/>
          <w:lang w:val="en-US"/>
        </w:rPr>
        <w:t>”</w:t>
      </w:r>
      <w:r w:rsidR="008A1E21" w:rsidRPr="00CE23AE">
        <w:rPr>
          <w:rStyle w:val="Refdenotaalpie"/>
          <w:rFonts w:eastAsiaTheme="minorHAnsi" w:cs="Arial"/>
          <w:bCs/>
          <w:lang w:val="en-US" w:eastAsia="en-US"/>
        </w:rPr>
        <w:footnoteReference w:id="280"/>
      </w:r>
      <w:r w:rsidRPr="00CE23AE">
        <w:rPr>
          <w:bCs/>
          <w:lang w:val="en-US"/>
        </w:rPr>
        <w:t xml:space="preserve"> On the other hand, expert witness</w:t>
      </w:r>
      <w:r w:rsidR="008A1E21" w:rsidRPr="00CE23AE">
        <w:rPr>
          <w:bCs/>
          <w:lang w:val="en-US"/>
        </w:rPr>
        <w:t xml:space="preserve"> Ramiro Ávila, </w:t>
      </w:r>
      <w:r w:rsidRPr="00CE23AE">
        <w:rPr>
          <w:bCs/>
          <w:lang w:val="en-US"/>
        </w:rPr>
        <w:t>offered by</w:t>
      </w:r>
      <w:r w:rsidR="008A1E21" w:rsidRPr="00CE23AE">
        <w:rPr>
          <w:bCs/>
          <w:lang w:val="en-US"/>
        </w:rPr>
        <w:t xml:space="preserve"> </w:t>
      </w:r>
      <w:r w:rsidR="00C561DF" w:rsidRPr="00CE23AE">
        <w:rPr>
          <w:bCs/>
          <w:lang w:val="en-US"/>
        </w:rPr>
        <w:t>the representative</w:t>
      </w:r>
      <w:r w:rsidR="008A1E21" w:rsidRPr="00CE23AE">
        <w:rPr>
          <w:bCs/>
          <w:lang w:val="en-US"/>
        </w:rPr>
        <w:t xml:space="preserve">, </w:t>
      </w:r>
      <w:r w:rsidRPr="00CE23AE">
        <w:rPr>
          <w:bCs/>
          <w:lang w:val="en-US"/>
        </w:rPr>
        <w:t>indicated at the</w:t>
      </w:r>
      <w:r w:rsidR="008A1E21" w:rsidRPr="00CE23AE">
        <w:rPr>
          <w:bCs/>
          <w:lang w:val="en-US"/>
        </w:rPr>
        <w:t xml:space="preserve"> </w:t>
      </w:r>
      <w:r w:rsidR="005C743F" w:rsidRPr="00CE23AE">
        <w:rPr>
          <w:bCs/>
          <w:lang w:val="en-US"/>
        </w:rPr>
        <w:t>public hearing</w:t>
      </w:r>
      <w:r w:rsidR="008A1E21" w:rsidRPr="00CE23AE">
        <w:rPr>
          <w:bCs/>
          <w:lang w:val="en-US"/>
        </w:rPr>
        <w:t xml:space="preserve"> </w:t>
      </w:r>
      <w:r w:rsidRPr="00CE23AE">
        <w:rPr>
          <w:bCs/>
          <w:lang w:val="en-US"/>
        </w:rPr>
        <w:t>that this article preven</w:t>
      </w:r>
      <w:r w:rsidR="00605875" w:rsidRPr="00CE23AE">
        <w:rPr>
          <w:bCs/>
          <w:lang w:val="en-US"/>
        </w:rPr>
        <w:t>t</w:t>
      </w:r>
      <w:r w:rsidRPr="00CE23AE">
        <w:rPr>
          <w:bCs/>
          <w:lang w:val="en-US"/>
        </w:rPr>
        <w:t xml:space="preserve">ed </w:t>
      </w:r>
      <w:r w:rsidR="00605875" w:rsidRPr="00CE23AE">
        <w:rPr>
          <w:bCs/>
          <w:lang w:val="en-US"/>
        </w:rPr>
        <w:t xml:space="preserve">the contentious administrative jurisdiction from reviewing “matters that arise in relation to the organization of the security services,” based on “a 1994 ruling </w:t>
      </w:r>
      <w:r w:rsidR="00C561DF" w:rsidRPr="00CE23AE">
        <w:rPr>
          <w:bCs/>
          <w:lang w:val="en-US"/>
        </w:rPr>
        <w:t xml:space="preserve">of the </w:t>
      </w:r>
      <w:r w:rsidR="00A457B8" w:rsidRPr="00CE23AE">
        <w:rPr>
          <w:bCs/>
          <w:lang w:val="en-US"/>
        </w:rPr>
        <w:t>Supreme Court of Justice</w:t>
      </w:r>
      <w:r w:rsidR="008A1E21" w:rsidRPr="00CE23AE">
        <w:rPr>
          <w:bCs/>
          <w:lang w:val="en-US"/>
        </w:rPr>
        <w:t xml:space="preserve"> </w:t>
      </w:r>
      <w:r w:rsidR="00605875" w:rsidRPr="00CE23AE">
        <w:rPr>
          <w:bCs/>
          <w:lang w:val="en-US"/>
        </w:rPr>
        <w:t xml:space="preserve">in the case of an Admiral, [… who] claimed </w:t>
      </w:r>
      <w:r w:rsidR="00E41391" w:rsidRPr="00CE23AE">
        <w:rPr>
          <w:bCs/>
          <w:lang w:val="en-US"/>
        </w:rPr>
        <w:t xml:space="preserve">recognition of </w:t>
      </w:r>
      <w:r w:rsidR="00605875" w:rsidRPr="00CE23AE">
        <w:rPr>
          <w:bCs/>
          <w:lang w:val="en-US"/>
        </w:rPr>
        <w:t>seniorit</w:t>
      </w:r>
      <w:r w:rsidR="00E41391" w:rsidRPr="00CE23AE">
        <w:rPr>
          <w:bCs/>
          <w:lang w:val="en-US"/>
        </w:rPr>
        <w:t>y</w:t>
      </w:r>
      <w:r w:rsidR="00605875" w:rsidRPr="00CE23AE">
        <w:rPr>
          <w:bCs/>
          <w:lang w:val="en-US"/>
        </w:rPr>
        <w:t xml:space="preserve"> </w:t>
      </w:r>
      <w:r w:rsidR="000334B8" w:rsidRPr="00CE23AE">
        <w:rPr>
          <w:bCs/>
          <w:lang w:val="en-US"/>
        </w:rPr>
        <w:t>when</w:t>
      </w:r>
      <w:r w:rsidR="00605875" w:rsidRPr="00CE23AE">
        <w:rPr>
          <w:bCs/>
          <w:lang w:val="en-US"/>
        </w:rPr>
        <w:t xml:space="preserve"> military justice </w:t>
      </w:r>
      <w:r w:rsidR="000334B8" w:rsidRPr="00CE23AE">
        <w:rPr>
          <w:bCs/>
          <w:lang w:val="en-US"/>
        </w:rPr>
        <w:t xml:space="preserve">had </w:t>
      </w:r>
      <w:r w:rsidR="00605875" w:rsidRPr="00CE23AE">
        <w:rPr>
          <w:bCs/>
          <w:lang w:val="en-US"/>
        </w:rPr>
        <w:t>denied him</w:t>
      </w:r>
      <w:r w:rsidR="00E41391" w:rsidRPr="00CE23AE">
        <w:rPr>
          <w:bCs/>
          <w:lang w:val="en-US"/>
        </w:rPr>
        <w:t xml:space="preserve"> this recognition; </w:t>
      </w:r>
      <w:r w:rsidR="00605875" w:rsidRPr="00CE23AE">
        <w:rPr>
          <w:bCs/>
          <w:lang w:val="en-US"/>
        </w:rPr>
        <w:t>it was a contentious administrative matter and the Supreme Court of Justice established that military matters or those relating to article 6(c) could not be heard by the contentious administrative justice; rather, the military disciplinary jurisdiction had total autonomy.</w:t>
      </w:r>
      <w:r w:rsidR="008A1E21" w:rsidRPr="00CE23AE">
        <w:rPr>
          <w:bCs/>
          <w:lang w:val="en-US"/>
        </w:rPr>
        <w:t>”</w:t>
      </w:r>
      <w:r w:rsidR="008A1E21" w:rsidRPr="00CE23AE">
        <w:rPr>
          <w:rStyle w:val="Refdenotaalpie"/>
          <w:bCs/>
          <w:lang w:val="en-US"/>
        </w:rPr>
        <w:footnoteReference w:id="281"/>
      </w:r>
      <w:r w:rsidR="008A1E21" w:rsidRPr="00CE23AE">
        <w:rPr>
          <w:bCs/>
          <w:lang w:val="en-US"/>
        </w:rPr>
        <w:t xml:space="preserve"> </w:t>
      </w:r>
    </w:p>
    <w:p w14:paraId="2840DA8D" w14:textId="77777777" w:rsidR="008A1E21" w:rsidRPr="00CE23AE" w:rsidRDefault="008A1E21" w:rsidP="008A1E21">
      <w:pPr>
        <w:pStyle w:val="PrrafodeSentencia"/>
        <w:numPr>
          <w:ilvl w:val="0"/>
          <w:numId w:val="0"/>
        </w:numPr>
        <w:rPr>
          <w:bCs/>
          <w:lang w:val="en-US"/>
        </w:rPr>
      </w:pPr>
    </w:p>
    <w:p w14:paraId="5B0D0B91" w14:textId="2ADB9B49" w:rsidR="008A1E21" w:rsidRPr="00CE23AE" w:rsidRDefault="00605875" w:rsidP="00605875">
      <w:pPr>
        <w:pStyle w:val="PrrafodeSentencia"/>
        <w:rPr>
          <w:b/>
          <w:bCs/>
          <w:lang w:val="en-US"/>
        </w:rPr>
      </w:pPr>
      <w:r w:rsidRPr="00CE23AE">
        <w:rPr>
          <w:bCs/>
          <w:lang w:val="en-US"/>
        </w:rPr>
        <w:t>Owing to this dispute on the interpretation of a domestic law, Ecuador provided this Court with information on several cases admitted by</w:t>
      </w:r>
      <w:r w:rsidR="008A1E21" w:rsidRPr="00CE23AE">
        <w:rPr>
          <w:bCs/>
          <w:lang w:val="en-US"/>
        </w:rPr>
        <w:t xml:space="preserve"> </w:t>
      </w:r>
      <w:r w:rsidRPr="00CE23AE">
        <w:rPr>
          <w:bCs/>
          <w:lang w:val="en-US"/>
        </w:rPr>
        <w:t xml:space="preserve">the contentious administrative jurisdiction that, according to the State, prove that </w:t>
      </w:r>
      <w:r w:rsidR="00F5102B" w:rsidRPr="00CE23AE">
        <w:rPr>
          <w:bCs/>
          <w:lang w:val="en-US"/>
        </w:rPr>
        <w:t>Mr. Flor</w:t>
      </w:r>
      <w:r w:rsidR="008A1E21" w:rsidRPr="00CE23AE">
        <w:rPr>
          <w:bCs/>
          <w:lang w:val="en-US"/>
        </w:rPr>
        <w:t xml:space="preserve"> Freire “</w:t>
      </w:r>
      <w:r w:rsidRPr="00CE23AE">
        <w:rPr>
          <w:bCs/>
          <w:lang w:val="en-US"/>
        </w:rPr>
        <w:t>was authorized to file a</w:t>
      </w:r>
      <w:r w:rsidRPr="00CE23AE">
        <w:rPr>
          <w:lang w:val="en-US"/>
        </w:rPr>
        <w:t xml:space="preserve"> full contentious administrative jurisdiction remedy</w:t>
      </w:r>
      <w:r w:rsidRPr="00CE23AE">
        <w:rPr>
          <w:bCs/>
          <w:lang w:val="en-US"/>
        </w:rPr>
        <w:t xml:space="preserve"> with regard to the administrative act of his discharge.” According to the</w:t>
      </w:r>
      <w:r w:rsidR="008A1E21" w:rsidRPr="00CE23AE">
        <w:rPr>
          <w:bCs/>
          <w:lang w:val="en-US"/>
        </w:rPr>
        <w:t xml:space="preserve"> representa</w:t>
      </w:r>
      <w:r w:rsidRPr="00CE23AE">
        <w:rPr>
          <w:bCs/>
          <w:lang w:val="en-US"/>
        </w:rPr>
        <w:t xml:space="preserve">tive, most of these “are cases subsequent to the time at which the events occurred.” In this regard, the Court notes that the State forwarded the orders admitting fifteen cases in which </w:t>
      </w:r>
      <w:r w:rsidRPr="00CE23AE">
        <w:rPr>
          <w:lang w:val="en-US"/>
        </w:rPr>
        <w:t xml:space="preserve">full contentious administrative jurisdiction remedies had been filed in relation to members of </w:t>
      </w:r>
      <w:r w:rsidR="000334B8" w:rsidRPr="00CE23AE">
        <w:rPr>
          <w:lang w:val="en-US"/>
        </w:rPr>
        <w:t xml:space="preserve">the security services </w:t>
      </w:r>
      <w:r w:rsidRPr="00CE23AE">
        <w:rPr>
          <w:lang w:val="en-US"/>
        </w:rPr>
        <w:t>(Armed Forces or National Police), presumably prejudiced by procedures to charge them or that denied promotions.</w:t>
      </w:r>
      <w:r w:rsidR="008A1E21" w:rsidRPr="00CE23AE">
        <w:rPr>
          <w:rStyle w:val="Refdenotaalpie"/>
          <w:bCs/>
          <w:lang w:val="en-US"/>
        </w:rPr>
        <w:footnoteReference w:id="282"/>
      </w:r>
      <w:r w:rsidRPr="00CE23AE">
        <w:rPr>
          <w:bCs/>
          <w:lang w:val="en-US"/>
        </w:rPr>
        <w:t xml:space="preserve"> According to the information provided the fifteen remedies were filed in </w:t>
      </w:r>
      <w:r w:rsidR="008A1E21" w:rsidRPr="00CE23AE">
        <w:rPr>
          <w:bCs/>
          <w:lang w:val="en-US"/>
        </w:rPr>
        <w:t>1999</w:t>
      </w:r>
      <w:r w:rsidR="00C21A19" w:rsidRPr="00CE23AE">
        <w:rPr>
          <w:bCs/>
          <w:lang w:val="en-US"/>
        </w:rPr>
        <w:t>,</w:t>
      </w:r>
      <w:r w:rsidR="008A1E21" w:rsidRPr="00CE23AE">
        <w:rPr>
          <w:bCs/>
          <w:lang w:val="en-US"/>
        </w:rPr>
        <w:t xml:space="preserve"> 2004</w:t>
      </w:r>
      <w:r w:rsidR="00C21A19" w:rsidRPr="00CE23AE">
        <w:rPr>
          <w:bCs/>
          <w:lang w:val="en-US"/>
        </w:rPr>
        <w:t>,</w:t>
      </w:r>
      <w:r w:rsidR="008A1E21" w:rsidRPr="00CE23AE">
        <w:rPr>
          <w:bCs/>
          <w:lang w:val="en-US"/>
        </w:rPr>
        <w:t xml:space="preserve"> 2006</w:t>
      </w:r>
      <w:r w:rsidR="00C21A19" w:rsidRPr="00CE23AE">
        <w:rPr>
          <w:bCs/>
          <w:lang w:val="en-US"/>
        </w:rPr>
        <w:t>,</w:t>
      </w:r>
      <w:r w:rsidR="008A1E21" w:rsidRPr="00CE23AE">
        <w:rPr>
          <w:bCs/>
          <w:lang w:val="en-US"/>
        </w:rPr>
        <w:t xml:space="preserve"> 2007</w:t>
      </w:r>
      <w:r w:rsidR="00C21A19" w:rsidRPr="00CE23AE">
        <w:rPr>
          <w:bCs/>
          <w:lang w:val="en-US"/>
        </w:rPr>
        <w:t>, 2008</w:t>
      </w:r>
      <w:r w:rsidR="00C561DF" w:rsidRPr="00CE23AE">
        <w:rPr>
          <w:bCs/>
          <w:lang w:val="en-US"/>
        </w:rPr>
        <w:t xml:space="preserve"> and </w:t>
      </w:r>
      <w:r w:rsidR="008A1E21" w:rsidRPr="00CE23AE">
        <w:rPr>
          <w:lang w:val="en-US"/>
        </w:rPr>
        <w:t>2009</w:t>
      </w:r>
      <w:r w:rsidRPr="00CE23AE">
        <w:rPr>
          <w:lang w:val="en-US"/>
        </w:rPr>
        <w:t>.</w:t>
      </w:r>
      <w:r w:rsidR="008A1E21" w:rsidRPr="00CE23AE">
        <w:rPr>
          <w:rStyle w:val="Refdenotaalpie"/>
          <w:bCs/>
          <w:lang w:val="en-US"/>
        </w:rPr>
        <w:footnoteReference w:id="283"/>
      </w:r>
      <w:r w:rsidR="008A1E21" w:rsidRPr="00CE23AE">
        <w:rPr>
          <w:lang w:val="en-US"/>
        </w:rPr>
        <w:t xml:space="preserve"> </w:t>
      </w:r>
    </w:p>
    <w:p w14:paraId="1E81AA4C" w14:textId="77777777" w:rsidR="008A1E21" w:rsidRPr="00CE23AE" w:rsidRDefault="008A1E21" w:rsidP="008A1E21">
      <w:pPr>
        <w:pStyle w:val="PrrafodeSentencia"/>
        <w:numPr>
          <w:ilvl w:val="0"/>
          <w:numId w:val="0"/>
        </w:numPr>
        <w:rPr>
          <w:b/>
          <w:bCs/>
          <w:lang w:val="en-US"/>
        </w:rPr>
      </w:pPr>
    </w:p>
    <w:p w14:paraId="6F6ED94F" w14:textId="55E603E8" w:rsidR="008A1E21" w:rsidRPr="00CE23AE" w:rsidRDefault="005170B0" w:rsidP="006D0924">
      <w:pPr>
        <w:pStyle w:val="PrrafodeSentencia"/>
        <w:rPr>
          <w:bCs/>
          <w:lang w:val="en-US"/>
        </w:rPr>
      </w:pPr>
      <w:bookmarkStart w:id="456" w:name="_Ref455434075"/>
      <w:r w:rsidRPr="00CE23AE">
        <w:rPr>
          <w:bCs/>
          <w:lang w:val="en-US"/>
        </w:rPr>
        <w:t>Of the cases provided to the Court by</w:t>
      </w:r>
      <w:r w:rsidR="004578A4" w:rsidRPr="00CE23AE">
        <w:rPr>
          <w:bCs/>
          <w:lang w:val="en-US"/>
        </w:rPr>
        <w:t xml:space="preserve"> </w:t>
      </w:r>
      <w:r w:rsidR="00C561DF" w:rsidRPr="00CE23AE">
        <w:rPr>
          <w:bCs/>
          <w:lang w:val="en-US"/>
        </w:rPr>
        <w:t>the State</w:t>
      </w:r>
      <w:r w:rsidR="004578A4" w:rsidRPr="00CE23AE">
        <w:rPr>
          <w:bCs/>
          <w:lang w:val="en-US"/>
        </w:rPr>
        <w:t xml:space="preserve">, </w:t>
      </w:r>
      <w:r w:rsidR="006D0924" w:rsidRPr="00CE23AE">
        <w:rPr>
          <w:bCs/>
          <w:lang w:val="en-US"/>
        </w:rPr>
        <w:t>only two them were not admitted based on  a</w:t>
      </w:r>
      <w:r w:rsidR="00C561DF" w:rsidRPr="00CE23AE">
        <w:rPr>
          <w:bCs/>
          <w:lang w:val="en-US"/>
        </w:rPr>
        <w:t>rticle</w:t>
      </w:r>
      <w:r w:rsidR="008A1E21" w:rsidRPr="00CE23AE">
        <w:rPr>
          <w:bCs/>
          <w:lang w:val="en-US"/>
        </w:rPr>
        <w:t xml:space="preserve"> 6</w:t>
      </w:r>
      <w:r w:rsidR="006D0924" w:rsidRPr="00CE23AE">
        <w:rPr>
          <w:bCs/>
          <w:lang w:val="en-US"/>
        </w:rPr>
        <w:t>(</w:t>
      </w:r>
      <w:r w:rsidR="008A1E21" w:rsidRPr="00CE23AE">
        <w:rPr>
          <w:bCs/>
          <w:lang w:val="en-US"/>
        </w:rPr>
        <w:t>c</w:t>
      </w:r>
      <w:r w:rsidR="006D0924" w:rsidRPr="00CE23AE">
        <w:rPr>
          <w:bCs/>
          <w:lang w:val="en-US"/>
        </w:rPr>
        <w:t>) of the</w:t>
      </w:r>
      <w:r w:rsidR="008A1E21" w:rsidRPr="00CE23AE">
        <w:rPr>
          <w:bCs/>
          <w:lang w:val="en-US"/>
        </w:rPr>
        <w:t xml:space="preserve"> </w:t>
      </w:r>
      <w:r w:rsidR="00884CD0" w:rsidRPr="00CE23AE">
        <w:rPr>
          <w:bCs/>
          <w:lang w:val="en-US"/>
        </w:rPr>
        <w:t>Law on the Contentious Administrative Jurisdiction</w:t>
      </w:r>
      <w:r w:rsidR="008A1E21" w:rsidRPr="00CE23AE">
        <w:rPr>
          <w:bCs/>
          <w:lang w:val="en-US"/>
        </w:rPr>
        <w:t>,</w:t>
      </w:r>
      <w:r w:rsidR="006D0924" w:rsidRPr="00CE23AE">
        <w:rPr>
          <w:bCs/>
          <w:lang w:val="en-US"/>
        </w:rPr>
        <w:t xml:space="preserve"> </w:t>
      </w:r>
      <w:r w:rsidR="000334B8" w:rsidRPr="00CE23AE">
        <w:rPr>
          <w:bCs/>
          <w:lang w:val="en-US"/>
        </w:rPr>
        <w:t xml:space="preserve">and this </w:t>
      </w:r>
      <w:r w:rsidR="006D0924" w:rsidRPr="00CE23AE">
        <w:rPr>
          <w:bCs/>
          <w:lang w:val="en-US"/>
        </w:rPr>
        <w:t>was subsequently reversed in final instance by the Administrative Chamber</w:t>
      </w:r>
      <w:r w:rsidR="00C561DF" w:rsidRPr="00CE23AE">
        <w:rPr>
          <w:bCs/>
          <w:lang w:val="en-US"/>
        </w:rPr>
        <w:t xml:space="preserve"> of the </w:t>
      </w:r>
      <w:r w:rsidR="00A457B8" w:rsidRPr="00CE23AE">
        <w:rPr>
          <w:bCs/>
          <w:lang w:val="en-US"/>
        </w:rPr>
        <w:t>Supreme Court of Justice</w:t>
      </w:r>
      <w:r w:rsidR="008A1E21" w:rsidRPr="00CE23AE">
        <w:rPr>
          <w:bCs/>
          <w:lang w:val="en-US"/>
        </w:rPr>
        <w:t xml:space="preserve"> </w:t>
      </w:r>
      <w:r w:rsidR="006D0924" w:rsidRPr="00CE23AE">
        <w:rPr>
          <w:bCs/>
          <w:lang w:val="en-US"/>
        </w:rPr>
        <w:t xml:space="preserve">by remedies of cassation decided on February 8 and June 20, </w:t>
      </w:r>
      <w:r w:rsidR="008A1E21" w:rsidRPr="00CE23AE">
        <w:rPr>
          <w:bCs/>
          <w:lang w:val="en-US"/>
        </w:rPr>
        <w:t xml:space="preserve">2007. </w:t>
      </w:r>
      <w:r w:rsidR="006D0924" w:rsidRPr="00CE23AE">
        <w:rPr>
          <w:bCs/>
          <w:lang w:val="en-US"/>
        </w:rPr>
        <w:t xml:space="preserve">In the first of these decisions, </w:t>
      </w:r>
      <w:r w:rsidR="00C561DF" w:rsidRPr="00CE23AE">
        <w:rPr>
          <w:bCs/>
          <w:lang w:val="en-US"/>
        </w:rPr>
        <w:t xml:space="preserve">the </w:t>
      </w:r>
      <w:r w:rsidR="005F744F" w:rsidRPr="00CE23AE">
        <w:rPr>
          <w:bCs/>
          <w:lang w:val="en-US"/>
        </w:rPr>
        <w:t xml:space="preserve">Supreme </w:t>
      </w:r>
      <w:r w:rsidR="005F744F" w:rsidRPr="00CE23AE">
        <w:rPr>
          <w:bCs/>
          <w:lang w:val="en-US"/>
        </w:rPr>
        <w:lastRenderedPageBreak/>
        <w:t>Court</w:t>
      </w:r>
      <w:r w:rsidR="008A1E21" w:rsidRPr="00CE23AE">
        <w:rPr>
          <w:bCs/>
          <w:lang w:val="en-US"/>
        </w:rPr>
        <w:t xml:space="preserve"> </w:t>
      </w:r>
      <w:r w:rsidR="006D0924" w:rsidRPr="00CE23AE">
        <w:rPr>
          <w:bCs/>
          <w:lang w:val="en-US"/>
        </w:rPr>
        <w:t xml:space="preserve">stipulated that the expression “organization of </w:t>
      </w:r>
      <w:r w:rsidR="000334B8" w:rsidRPr="00CE23AE">
        <w:rPr>
          <w:bCs/>
          <w:lang w:val="en-US"/>
        </w:rPr>
        <w:t>the security services</w:t>
      </w:r>
      <w:r w:rsidR="006D0924" w:rsidRPr="00CE23AE">
        <w:rPr>
          <w:bCs/>
          <w:lang w:val="en-US"/>
        </w:rPr>
        <w:t xml:space="preserve">” referred to the “general concept of its structure” and that it was “evident that the word ‘organization’ […] was not applicable </w:t>
      </w:r>
      <w:r w:rsidR="000334B8" w:rsidRPr="00CE23AE">
        <w:rPr>
          <w:bCs/>
          <w:lang w:val="en-US"/>
        </w:rPr>
        <w:t>to</w:t>
      </w:r>
      <w:r w:rsidR="006D0924" w:rsidRPr="00CE23AE">
        <w:rPr>
          <w:bCs/>
          <w:lang w:val="en-US"/>
        </w:rPr>
        <w:t xml:space="preserve"> details such as the promotion of a specific official.” It added that a</w:t>
      </w:r>
      <w:r w:rsidR="00C561DF" w:rsidRPr="00CE23AE">
        <w:rPr>
          <w:bCs/>
          <w:lang w:val="en-US"/>
        </w:rPr>
        <w:t>rticle</w:t>
      </w:r>
      <w:r w:rsidR="008A1E21" w:rsidRPr="00CE23AE">
        <w:rPr>
          <w:bCs/>
          <w:lang w:val="en-US"/>
        </w:rPr>
        <w:t xml:space="preserve"> 196</w:t>
      </w:r>
      <w:r w:rsidR="0005476C" w:rsidRPr="00CE23AE">
        <w:rPr>
          <w:bCs/>
          <w:lang w:val="en-US"/>
        </w:rPr>
        <w:t xml:space="preserve"> of the Constitution</w:t>
      </w:r>
      <w:r w:rsidR="008A1E21" w:rsidRPr="00CE23AE">
        <w:rPr>
          <w:bCs/>
          <w:lang w:val="en-US"/>
        </w:rPr>
        <w:t xml:space="preserve"> establ</w:t>
      </w:r>
      <w:r w:rsidR="006D0924" w:rsidRPr="00CE23AE">
        <w:rPr>
          <w:bCs/>
          <w:lang w:val="en-US"/>
        </w:rPr>
        <w:t>ished the possibility of contesting the administrative acts of any authority of the State, such as the denial of a promotion that was contested in that case</w:t>
      </w:r>
      <w:r w:rsidR="000334B8" w:rsidRPr="00CE23AE">
        <w:rPr>
          <w:bCs/>
          <w:lang w:val="en-US"/>
        </w:rPr>
        <w:t>, before the judicial authorities</w:t>
      </w:r>
      <w:r w:rsidR="006D0924" w:rsidRPr="00CE23AE">
        <w:rPr>
          <w:bCs/>
          <w:lang w:val="en-US"/>
        </w:rPr>
        <w:t>.</w:t>
      </w:r>
      <w:r w:rsidR="008A1E21" w:rsidRPr="00CE23AE">
        <w:rPr>
          <w:rStyle w:val="Refdenotaalpie"/>
          <w:bCs/>
          <w:lang w:val="en-US"/>
        </w:rPr>
        <w:footnoteReference w:id="284"/>
      </w:r>
      <w:r w:rsidR="008A1E21" w:rsidRPr="00CE23AE">
        <w:rPr>
          <w:bCs/>
          <w:lang w:val="en-US"/>
        </w:rPr>
        <w:t xml:space="preserve"> </w:t>
      </w:r>
      <w:r w:rsidR="006D0924" w:rsidRPr="00CE23AE">
        <w:rPr>
          <w:bCs/>
          <w:lang w:val="en-US"/>
        </w:rPr>
        <w:t>This</w:t>
      </w:r>
      <w:r w:rsidR="00000AD5" w:rsidRPr="00CE23AE">
        <w:rPr>
          <w:bCs/>
          <w:lang w:val="en-US"/>
        </w:rPr>
        <w:t xml:space="preserve"> Court</w:t>
      </w:r>
      <w:r w:rsidR="008A1E21" w:rsidRPr="00CE23AE">
        <w:rPr>
          <w:bCs/>
          <w:lang w:val="en-US"/>
        </w:rPr>
        <w:t xml:space="preserve"> </w:t>
      </w:r>
      <w:r w:rsidR="006D0924" w:rsidRPr="00CE23AE">
        <w:rPr>
          <w:bCs/>
          <w:lang w:val="en-US"/>
        </w:rPr>
        <w:t xml:space="preserve">also notes that, in at least three cases, the respondents argued the supposed lack of material competence of the contentious administrative jurisdiction to hear cases involving the security forces. However, the respective contentious administrative courts confirmed their competence based on </w:t>
      </w:r>
      <w:r w:rsidR="003348CC" w:rsidRPr="00CE23AE">
        <w:rPr>
          <w:bCs/>
          <w:lang w:val="en-US"/>
        </w:rPr>
        <w:t>constitutional</w:t>
      </w:r>
      <w:r w:rsidR="006D0924" w:rsidRPr="00CE23AE">
        <w:rPr>
          <w:bCs/>
          <w:lang w:val="en-US"/>
        </w:rPr>
        <w:t xml:space="preserve"> supremacy</w:t>
      </w:r>
      <w:r w:rsidR="003348CC" w:rsidRPr="00CE23AE">
        <w:rPr>
          <w:bCs/>
          <w:lang w:val="en-US"/>
        </w:rPr>
        <w:t xml:space="preserve"> and the provision contained in</w:t>
      </w:r>
      <w:r w:rsidR="006D0924" w:rsidRPr="00CE23AE">
        <w:rPr>
          <w:bCs/>
          <w:lang w:val="en-US"/>
        </w:rPr>
        <w:t xml:space="preserve"> </w:t>
      </w:r>
      <w:r w:rsidR="003348CC" w:rsidRPr="00CE23AE">
        <w:rPr>
          <w:bCs/>
          <w:lang w:val="en-US"/>
        </w:rPr>
        <w:t>a</w:t>
      </w:r>
      <w:r w:rsidR="00C561DF" w:rsidRPr="00CE23AE">
        <w:rPr>
          <w:bCs/>
          <w:lang w:val="en-US"/>
        </w:rPr>
        <w:t>rticle</w:t>
      </w:r>
      <w:r w:rsidR="008A1E21" w:rsidRPr="00CE23AE">
        <w:rPr>
          <w:bCs/>
          <w:lang w:val="en-US"/>
        </w:rPr>
        <w:t xml:space="preserve"> 196</w:t>
      </w:r>
      <w:r w:rsidR="0005476C" w:rsidRPr="00CE23AE">
        <w:rPr>
          <w:bCs/>
          <w:lang w:val="en-US"/>
        </w:rPr>
        <w:t xml:space="preserve"> of the </w:t>
      </w:r>
      <w:r w:rsidR="003348CC" w:rsidRPr="00CE23AE">
        <w:rPr>
          <w:bCs/>
          <w:lang w:val="en-US"/>
        </w:rPr>
        <w:t xml:space="preserve">1998 </w:t>
      </w:r>
      <w:r w:rsidR="0005476C" w:rsidRPr="00CE23AE">
        <w:rPr>
          <w:bCs/>
          <w:lang w:val="en-US"/>
        </w:rPr>
        <w:t>Constitution</w:t>
      </w:r>
      <w:r w:rsidR="003348CC" w:rsidRPr="00CE23AE">
        <w:rPr>
          <w:bCs/>
          <w:lang w:val="en-US"/>
        </w:rPr>
        <w:t>.</w:t>
      </w:r>
      <w:r w:rsidR="008A1E21" w:rsidRPr="00CE23AE">
        <w:rPr>
          <w:rStyle w:val="Refdenotaalpie"/>
          <w:bCs/>
          <w:lang w:val="en-US"/>
        </w:rPr>
        <w:footnoteReference w:id="285"/>
      </w:r>
      <w:bookmarkEnd w:id="456"/>
    </w:p>
    <w:p w14:paraId="0A939248" w14:textId="77777777" w:rsidR="008A1E21" w:rsidRPr="00CE23AE" w:rsidRDefault="008A1E21" w:rsidP="008A1E21">
      <w:pPr>
        <w:pStyle w:val="PrrafodeSentencia"/>
        <w:numPr>
          <w:ilvl w:val="0"/>
          <w:numId w:val="0"/>
        </w:numPr>
        <w:rPr>
          <w:bCs/>
          <w:lang w:val="en-US"/>
        </w:rPr>
      </w:pPr>
    </w:p>
    <w:p w14:paraId="5A5F7AE5" w14:textId="528018A9" w:rsidR="008A1E21" w:rsidRPr="00CE23AE" w:rsidRDefault="00C561DF" w:rsidP="003348CC">
      <w:pPr>
        <w:pStyle w:val="PrrafodeSentencia"/>
        <w:rPr>
          <w:bCs/>
          <w:lang w:val="en-US"/>
        </w:rPr>
      </w:pPr>
      <w:r w:rsidRPr="00CE23AE">
        <w:rPr>
          <w:bCs/>
          <w:lang w:val="en-US"/>
        </w:rPr>
        <w:t>The Court</w:t>
      </w:r>
      <w:r w:rsidR="008A1E21" w:rsidRPr="00CE23AE">
        <w:rPr>
          <w:bCs/>
          <w:lang w:val="en-US"/>
        </w:rPr>
        <w:t xml:space="preserve"> not</w:t>
      </w:r>
      <w:r w:rsidR="003348CC" w:rsidRPr="00CE23AE">
        <w:rPr>
          <w:bCs/>
          <w:lang w:val="en-US"/>
        </w:rPr>
        <w:t xml:space="preserve">es that, according to </w:t>
      </w:r>
      <w:r w:rsidRPr="00CE23AE">
        <w:rPr>
          <w:bCs/>
          <w:lang w:val="en-US"/>
        </w:rPr>
        <w:t>the representative</w:t>
      </w:r>
      <w:r w:rsidR="008A1E21" w:rsidRPr="00CE23AE">
        <w:rPr>
          <w:bCs/>
          <w:lang w:val="en-US"/>
        </w:rPr>
        <w:t xml:space="preserve">, </w:t>
      </w:r>
      <w:r w:rsidR="003348CC" w:rsidRPr="00CE23AE">
        <w:rPr>
          <w:bCs/>
          <w:lang w:val="en-US"/>
        </w:rPr>
        <w:t xml:space="preserve">most of the cases provided by the State were filed subsequent to the time of the events of this case. However, he stressed that at least one of these cases was filed and admitted in 1999, prior to Mr. Flor Freire’s proceedings, despite the fact that </w:t>
      </w:r>
      <w:r w:rsidR="006B1478" w:rsidRPr="00CE23AE">
        <w:rPr>
          <w:bCs/>
          <w:lang w:val="en-US"/>
        </w:rPr>
        <w:t>a</w:t>
      </w:r>
      <w:r w:rsidR="00996128" w:rsidRPr="00CE23AE">
        <w:rPr>
          <w:bCs/>
          <w:lang w:val="en-US"/>
        </w:rPr>
        <w:t>rticle</w:t>
      </w:r>
      <w:r w:rsidR="008A1E21" w:rsidRPr="00CE23AE">
        <w:rPr>
          <w:bCs/>
          <w:lang w:val="en-US"/>
        </w:rPr>
        <w:t xml:space="preserve"> 6</w:t>
      </w:r>
      <w:r w:rsidR="003348CC" w:rsidRPr="00CE23AE">
        <w:rPr>
          <w:bCs/>
          <w:lang w:val="en-US"/>
        </w:rPr>
        <w:t>(</w:t>
      </w:r>
      <w:r w:rsidR="008A1E21" w:rsidRPr="00CE23AE">
        <w:rPr>
          <w:bCs/>
          <w:lang w:val="en-US"/>
        </w:rPr>
        <w:t>c</w:t>
      </w:r>
      <w:r w:rsidR="003348CC" w:rsidRPr="00CE23AE">
        <w:rPr>
          <w:bCs/>
          <w:lang w:val="en-US"/>
        </w:rPr>
        <w:t>)</w:t>
      </w:r>
      <w:r w:rsidR="008A1E21" w:rsidRPr="00CE23AE">
        <w:rPr>
          <w:bCs/>
          <w:lang w:val="en-US"/>
        </w:rPr>
        <w:t xml:space="preserve"> </w:t>
      </w:r>
      <w:r w:rsidR="003348CC" w:rsidRPr="00CE23AE">
        <w:rPr>
          <w:bCs/>
          <w:lang w:val="en-US"/>
        </w:rPr>
        <w:t>of the</w:t>
      </w:r>
      <w:r w:rsidR="008A1E21" w:rsidRPr="00CE23AE">
        <w:rPr>
          <w:bCs/>
          <w:lang w:val="en-US"/>
        </w:rPr>
        <w:t xml:space="preserve"> </w:t>
      </w:r>
      <w:r w:rsidR="00884CD0" w:rsidRPr="00CE23AE">
        <w:rPr>
          <w:bCs/>
          <w:lang w:val="en-US"/>
        </w:rPr>
        <w:t>Law on the Contentious Administrative Jurisdiction</w:t>
      </w:r>
      <w:r w:rsidR="003348CC" w:rsidRPr="00CE23AE">
        <w:rPr>
          <w:bCs/>
          <w:lang w:val="en-US"/>
        </w:rPr>
        <w:t xml:space="preserve"> was in force.</w:t>
      </w:r>
      <w:r w:rsidR="001F6FCD" w:rsidRPr="00CE23AE">
        <w:rPr>
          <w:rStyle w:val="Refdenotaalpie"/>
          <w:bCs/>
          <w:lang w:val="en-US"/>
        </w:rPr>
        <w:footnoteReference w:id="286"/>
      </w:r>
      <w:r w:rsidR="003348CC" w:rsidRPr="00CE23AE">
        <w:rPr>
          <w:bCs/>
          <w:lang w:val="en-US"/>
        </w:rPr>
        <w:t xml:space="preserve"> Also, the interpretations made by </w:t>
      </w:r>
      <w:r w:rsidRPr="00CE23AE">
        <w:rPr>
          <w:bCs/>
          <w:lang w:val="en-US"/>
        </w:rPr>
        <w:t xml:space="preserve">the </w:t>
      </w:r>
      <w:r w:rsidR="00A457B8" w:rsidRPr="00CE23AE">
        <w:rPr>
          <w:bCs/>
          <w:lang w:val="en-US"/>
        </w:rPr>
        <w:t>Supreme Court of Justice</w:t>
      </w:r>
      <w:r w:rsidR="008A1E21" w:rsidRPr="00CE23AE">
        <w:rPr>
          <w:bCs/>
          <w:lang w:val="en-US"/>
        </w:rPr>
        <w:t xml:space="preserve"> </w:t>
      </w:r>
      <w:r w:rsidR="003348CC" w:rsidRPr="00CE23AE">
        <w:rPr>
          <w:bCs/>
          <w:lang w:val="en-US"/>
        </w:rPr>
        <w:t xml:space="preserve">of </w:t>
      </w:r>
      <w:r w:rsidR="008A1E21" w:rsidRPr="00CE23AE">
        <w:rPr>
          <w:bCs/>
          <w:lang w:val="en-US"/>
        </w:rPr>
        <w:t>Ecuador</w:t>
      </w:r>
      <w:r w:rsidRPr="00CE23AE">
        <w:rPr>
          <w:bCs/>
          <w:lang w:val="en-US"/>
        </w:rPr>
        <w:t xml:space="preserve"> and </w:t>
      </w:r>
      <w:r w:rsidR="003348CC" w:rsidRPr="00CE23AE">
        <w:rPr>
          <w:bCs/>
          <w:lang w:val="en-US"/>
        </w:rPr>
        <w:t>by the contentious administrative courts reveal that the said provision of the Law on the Contentious Administrative Jurisdiction did not prevent the filing of these remedies against administrative acts of the armed forces at least following the 1998 Constitution, which, in its article 196, established the possibility of contesting administrative acts of all the State authorities before the judicial authorities.</w:t>
      </w:r>
      <w:r w:rsidR="008A1E21" w:rsidRPr="00CE23AE">
        <w:rPr>
          <w:rStyle w:val="Refdenotaalpie"/>
          <w:bCs/>
          <w:lang w:val="en-US"/>
        </w:rPr>
        <w:footnoteReference w:id="287"/>
      </w:r>
    </w:p>
    <w:p w14:paraId="1BFA7983" w14:textId="77777777" w:rsidR="008A1E21" w:rsidRPr="00CE23AE" w:rsidRDefault="008A1E21" w:rsidP="008A1E21">
      <w:pPr>
        <w:pStyle w:val="PrrafodeSentencia"/>
        <w:numPr>
          <w:ilvl w:val="0"/>
          <w:numId w:val="0"/>
        </w:numPr>
        <w:rPr>
          <w:bCs/>
          <w:lang w:val="en-US"/>
        </w:rPr>
      </w:pPr>
    </w:p>
    <w:p w14:paraId="731453A7" w14:textId="0D984010" w:rsidR="008A1E21" w:rsidRPr="00CE23AE" w:rsidRDefault="008A1E21" w:rsidP="00E41391">
      <w:pPr>
        <w:pStyle w:val="PrrafodeSentencia"/>
        <w:rPr>
          <w:bCs/>
          <w:lang w:val="en-US"/>
        </w:rPr>
      </w:pPr>
      <w:r w:rsidRPr="00CE23AE">
        <w:rPr>
          <w:bCs/>
          <w:lang w:val="en-US"/>
        </w:rPr>
        <w:t>Ad</w:t>
      </w:r>
      <w:r w:rsidR="003348CC" w:rsidRPr="00CE23AE">
        <w:rPr>
          <w:bCs/>
          <w:lang w:val="en-US"/>
        </w:rPr>
        <w:t>ditionally</w:t>
      </w:r>
      <w:r w:rsidRPr="00CE23AE">
        <w:rPr>
          <w:bCs/>
          <w:lang w:val="en-US"/>
        </w:rPr>
        <w:t xml:space="preserve">, </w:t>
      </w:r>
      <w:r w:rsidR="00C561DF" w:rsidRPr="00CE23AE">
        <w:rPr>
          <w:bCs/>
          <w:lang w:val="en-US"/>
        </w:rPr>
        <w:t>the Court</w:t>
      </w:r>
      <w:r w:rsidRPr="00CE23AE">
        <w:rPr>
          <w:bCs/>
          <w:lang w:val="en-US"/>
        </w:rPr>
        <w:t xml:space="preserve"> </w:t>
      </w:r>
      <w:r w:rsidR="003348CC" w:rsidRPr="00CE23AE">
        <w:rPr>
          <w:bCs/>
          <w:lang w:val="en-US"/>
        </w:rPr>
        <w:t>underscores that the representative has failed to prove that, at the time of the events of this case, a cont</w:t>
      </w:r>
      <w:r w:rsidR="00E41391" w:rsidRPr="00CE23AE">
        <w:rPr>
          <w:bCs/>
          <w:lang w:val="en-US"/>
        </w:rPr>
        <w:t>r</w:t>
      </w:r>
      <w:r w:rsidR="003348CC" w:rsidRPr="00CE23AE">
        <w:rPr>
          <w:bCs/>
          <w:lang w:val="en-US"/>
        </w:rPr>
        <w:t xml:space="preserve">ary interpretation of the norms in force existed. Expert witness </w:t>
      </w:r>
      <w:r w:rsidRPr="00CE23AE">
        <w:rPr>
          <w:bCs/>
          <w:lang w:val="en-US"/>
        </w:rPr>
        <w:t xml:space="preserve">Ramiro Ávila </w:t>
      </w:r>
      <w:r w:rsidR="003348CC" w:rsidRPr="00CE23AE">
        <w:rPr>
          <w:bCs/>
          <w:lang w:val="en-US"/>
        </w:rPr>
        <w:t>indicated that, in</w:t>
      </w:r>
      <w:r w:rsidRPr="00CE23AE">
        <w:rPr>
          <w:bCs/>
          <w:lang w:val="en-US"/>
        </w:rPr>
        <w:t xml:space="preserve"> 1994</w:t>
      </w:r>
      <w:r w:rsidR="003348CC" w:rsidRPr="00CE23AE">
        <w:rPr>
          <w:bCs/>
          <w:lang w:val="en-US"/>
        </w:rPr>
        <w:t>, it was understood that ap</w:t>
      </w:r>
      <w:r w:rsidR="00E41391" w:rsidRPr="00CE23AE">
        <w:rPr>
          <w:bCs/>
          <w:lang w:val="en-US"/>
        </w:rPr>
        <w:t>p</w:t>
      </w:r>
      <w:r w:rsidR="003348CC" w:rsidRPr="00CE23AE">
        <w:rPr>
          <w:bCs/>
          <w:lang w:val="en-US"/>
        </w:rPr>
        <w:t>lications for amparo were admissible against disciplinary decisions,</w:t>
      </w:r>
      <w:r w:rsidRPr="00CE23AE">
        <w:rPr>
          <w:rStyle w:val="Refdenotaalpie"/>
          <w:bCs/>
          <w:lang w:val="en-US"/>
        </w:rPr>
        <w:footnoteReference w:id="288"/>
      </w:r>
      <w:r w:rsidR="003348CC" w:rsidRPr="00CE23AE">
        <w:rPr>
          <w:bCs/>
          <w:lang w:val="en-US"/>
        </w:rPr>
        <w:t xml:space="preserve"> but this does not exclude or contradict that it was possible to file a contentious administrative remedy. </w:t>
      </w:r>
      <w:r w:rsidR="006B1478" w:rsidRPr="00CE23AE">
        <w:rPr>
          <w:bCs/>
          <w:lang w:val="en-US"/>
        </w:rPr>
        <w:t>B</w:t>
      </w:r>
      <w:r w:rsidR="003348CC" w:rsidRPr="00CE23AE">
        <w:rPr>
          <w:bCs/>
          <w:lang w:val="en-US"/>
        </w:rPr>
        <w:t xml:space="preserve">oth the expert witness and </w:t>
      </w:r>
      <w:r w:rsidR="00C561DF" w:rsidRPr="00CE23AE">
        <w:rPr>
          <w:bCs/>
          <w:lang w:val="en-US"/>
        </w:rPr>
        <w:t>the representative</w:t>
      </w:r>
      <w:r w:rsidRPr="00CE23AE">
        <w:rPr>
          <w:bCs/>
          <w:lang w:val="en-US"/>
        </w:rPr>
        <w:t xml:space="preserve"> men</w:t>
      </w:r>
      <w:r w:rsidR="003348CC" w:rsidRPr="00CE23AE">
        <w:rPr>
          <w:bCs/>
          <w:lang w:val="en-US"/>
        </w:rPr>
        <w:t>tioned a 1994 case concerning a claim for recognition of seniority</w:t>
      </w:r>
      <w:r w:rsidR="00E41391" w:rsidRPr="00CE23AE">
        <w:rPr>
          <w:bCs/>
          <w:lang w:val="en-US"/>
        </w:rPr>
        <w:t xml:space="preserve">, where </w:t>
      </w:r>
      <w:r w:rsidR="00C561DF" w:rsidRPr="00CE23AE">
        <w:rPr>
          <w:bCs/>
          <w:lang w:val="en-US"/>
        </w:rPr>
        <w:t xml:space="preserve">the </w:t>
      </w:r>
      <w:r w:rsidR="00A457B8" w:rsidRPr="00CE23AE">
        <w:rPr>
          <w:bCs/>
          <w:lang w:val="en-US"/>
        </w:rPr>
        <w:t>Supreme Court of Justice</w:t>
      </w:r>
      <w:r w:rsidRPr="00CE23AE">
        <w:rPr>
          <w:bCs/>
          <w:lang w:val="en-US"/>
        </w:rPr>
        <w:t xml:space="preserve"> determin</w:t>
      </w:r>
      <w:r w:rsidR="00E41391" w:rsidRPr="00CE23AE">
        <w:rPr>
          <w:bCs/>
          <w:lang w:val="en-US"/>
        </w:rPr>
        <w:t xml:space="preserve">ed “that military matters, or </w:t>
      </w:r>
      <w:r w:rsidR="006B1478" w:rsidRPr="00CE23AE">
        <w:rPr>
          <w:bCs/>
          <w:lang w:val="en-US"/>
        </w:rPr>
        <w:t xml:space="preserve">those </w:t>
      </w:r>
      <w:r w:rsidR="00E41391" w:rsidRPr="00CE23AE">
        <w:rPr>
          <w:bCs/>
          <w:lang w:val="en-US"/>
        </w:rPr>
        <w:t>relating to article 6(c) c[ould] not be heard by contentious administrative justice; instead, the military disciplinary jurisdiction had total autonomy.</w:t>
      </w:r>
      <w:r w:rsidRPr="00CE23AE">
        <w:rPr>
          <w:bCs/>
          <w:lang w:val="en-US"/>
        </w:rPr>
        <w:t>”</w:t>
      </w:r>
      <w:r w:rsidRPr="00CE23AE">
        <w:rPr>
          <w:rStyle w:val="Refdenotaalpie"/>
          <w:lang w:val="en-US"/>
        </w:rPr>
        <w:footnoteReference w:id="289"/>
      </w:r>
      <w:r w:rsidRPr="00CE23AE">
        <w:rPr>
          <w:bCs/>
          <w:lang w:val="en-US"/>
        </w:rPr>
        <w:t xml:space="preserve"> </w:t>
      </w:r>
      <w:r w:rsidR="00E41391" w:rsidRPr="00CE23AE">
        <w:rPr>
          <w:bCs/>
          <w:lang w:val="en-US"/>
        </w:rPr>
        <w:t>However,</w:t>
      </w:r>
      <w:r w:rsidRPr="00CE23AE">
        <w:rPr>
          <w:bCs/>
          <w:lang w:val="en-US"/>
        </w:rPr>
        <w:t xml:space="preserve"> </w:t>
      </w:r>
      <w:r w:rsidR="00000AD5" w:rsidRPr="00CE23AE">
        <w:rPr>
          <w:bCs/>
          <w:lang w:val="en-US"/>
        </w:rPr>
        <w:lastRenderedPageBreak/>
        <w:t>this Court</w:t>
      </w:r>
      <w:r w:rsidRPr="00CE23AE">
        <w:rPr>
          <w:bCs/>
          <w:lang w:val="en-US"/>
        </w:rPr>
        <w:t xml:space="preserve"> </w:t>
      </w:r>
      <w:r w:rsidR="00E41391" w:rsidRPr="00CE23AE">
        <w:rPr>
          <w:bCs/>
          <w:lang w:val="en-US"/>
        </w:rPr>
        <w:t xml:space="preserve">stresses that, contrary to any case decided in 1994, at the time of the facts of this case, the 1998 </w:t>
      </w:r>
      <w:r w:rsidR="0005476C" w:rsidRPr="00CE23AE">
        <w:rPr>
          <w:bCs/>
          <w:lang w:val="en-US"/>
        </w:rPr>
        <w:t>Constitution</w:t>
      </w:r>
      <w:r w:rsidRPr="00CE23AE">
        <w:rPr>
          <w:bCs/>
          <w:lang w:val="en-US"/>
        </w:rPr>
        <w:t xml:space="preserve"> </w:t>
      </w:r>
      <w:r w:rsidR="00E41391" w:rsidRPr="00CE23AE">
        <w:rPr>
          <w:bCs/>
          <w:lang w:val="en-US"/>
        </w:rPr>
        <w:t>was in force and, based on its</w:t>
      </w:r>
      <w:r w:rsidRPr="00CE23AE">
        <w:rPr>
          <w:bCs/>
          <w:lang w:val="en-US"/>
        </w:rPr>
        <w:t xml:space="preserve"> </w:t>
      </w:r>
      <w:r w:rsidR="00E41391" w:rsidRPr="00CE23AE">
        <w:rPr>
          <w:bCs/>
          <w:lang w:val="en-US"/>
        </w:rPr>
        <w:t>a</w:t>
      </w:r>
      <w:r w:rsidR="00C561DF" w:rsidRPr="00CE23AE">
        <w:rPr>
          <w:bCs/>
          <w:lang w:val="en-US"/>
        </w:rPr>
        <w:t>rticle</w:t>
      </w:r>
      <w:r w:rsidRPr="00CE23AE">
        <w:rPr>
          <w:bCs/>
          <w:lang w:val="en-US"/>
        </w:rPr>
        <w:t xml:space="preserve"> 196</w:t>
      </w:r>
      <w:r w:rsidR="00E41391" w:rsidRPr="00CE23AE">
        <w:rPr>
          <w:bCs/>
          <w:lang w:val="en-US"/>
        </w:rPr>
        <w:t>,</w:t>
      </w:r>
      <w:r w:rsidRPr="00CE23AE">
        <w:rPr>
          <w:bCs/>
          <w:lang w:val="en-US"/>
        </w:rPr>
        <w:t xml:space="preserve"> </w:t>
      </w:r>
      <w:r w:rsidR="00C561DF" w:rsidRPr="00CE23AE">
        <w:rPr>
          <w:bCs/>
          <w:lang w:val="en-US"/>
        </w:rPr>
        <w:t xml:space="preserve">the </w:t>
      </w:r>
      <w:r w:rsidR="005F744F" w:rsidRPr="00CE23AE">
        <w:rPr>
          <w:bCs/>
          <w:lang w:val="en-US"/>
        </w:rPr>
        <w:t>Supreme Court</w:t>
      </w:r>
      <w:r w:rsidRPr="00CE23AE">
        <w:rPr>
          <w:bCs/>
          <w:lang w:val="en-US"/>
        </w:rPr>
        <w:t xml:space="preserve"> establ</w:t>
      </w:r>
      <w:r w:rsidR="00E41391" w:rsidRPr="00CE23AE">
        <w:rPr>
          <w:bCs/>
          <w:lang w:val="en-US"/>
        </w:rPr>
        <w:t xml:space="preserve">ished the full jurisdiction of the contentious administrative courts to hear this type of case, even though article </w:t>
      </w:r>
      <w:r w:rsidRPr="00CE23AE">
        <w:rPr>
          <w:bCs/>
          <w:lang w:val="en-US"/>
        </w:rPr>
        <w:t>6</w:t>
      </w:r>
      <w:r w:rsidR="00E41391" w:rsidRPr="00CE23AE">
        <w:rPr>
          <w:bCs/>
          <w:lang w:val="en-US"/>
        </w:rPr>
        <w:t>(</w:t>
      </w:r>
      <w:r w:rsidRPr="00CE23AE">
        <w:rPr>
          <w:bCs/>
          <w:lang w:val="en-US"/>
        </w:rPr>
        <w:t>c</w:t>
      </w:r>
      <w:r w:rsidR="00E41391" w:rsidRPr="00CE23AE">
        <w:rPr>
          <w:bCs/>
          <w:lang w:val="en-US"/>
        </w:rPr>
        <w:t>)</w:t>
      </w:r>
      <w:r w:rsidRPr="00CE23AE">
        <w:rPr>
          <w:bCs/>
          <w:lang w:val="en-US"/>
        </w:rPr>
        <w:t xml:space="preserve"> </w:t>
      </w:r>
      <w:r w:rsidR="00E41391" w:rsidRPr="00CE23AE">
        <w:rPr>
          <w:bCs/>
          <w:lang w:val="en-US"/>
        </w:rPr>
        <w:t>of the</w:t>
      </w:r>
      <w:r w:rsidRPr="00CE23AE">
        <w:rPr>
          <w:bCs/>
          <w:lang w:val="en-US"/>
        </w:rPr>
        <w:t xml:space="preserve"> </w:t>
      </w:r>
      <w:r w:rsidR="00884CD0" w:rsidRPr="00CE23AE">
        <w:rPr>
          <w:bCs/>
          <w:lang w:val="en-US"/>
        </w:rPr>
        <w:t>Law on the Contentious Administrative Jurisdiction</w:t>
      </w:r>
      <w:r w:rsidR="00E41391" w:rsidRPr="00CE23AE">
        <w:rPr>
          <w:bCs/>
          <w:lang w:val="en-US"/>
        </w:rPr>
        <w:t xml:space="preserve"> was in force</w:t>
      </w:r>
      <w:r w:rsidRPr="00CE23AE">
        <w:rPr>
          <w:bCs/>
          <w:lang w:val="en-US"/>
        </w:rPr>
        <w:t xml:space="preserve"> (</w:t>
      </w:r>
      <w:r w:rsidRPr="00CE23AE">
        <w:rPr>
          <w:bCs/>
          <w:i/>
          <w:lang w:val="en-US"/>
        </w:rPr>
        <w:t>supra</w:t>
      </w:r>
      <w:r w:rsidRPr="00CE23AE">
        <w:rPr>
          <w:bCs/>
          <w:lang w:val="en-US"/>
        </w:rPr>
        <w:t xml:space="preserve"> </w:t>
      </w:r>
      <w:r w:rsidR="005C743F" w:rsidRPr="00CE23AE">
        <w:rPr>
          <w:bCs/>
          <w:lang w:val="en-US"/>
        </w:rPr>
        <w:t>para.</w:t>
      </w:r>
      <w:r w:rsidRPr="00CE23AE">
        <w:rPr>
          <w:bCs/>
          <w:lang w:val="en-US"/>
        </w:rPr>
        <w:t xml:space="preserve"> </w:t>
      </w:r>
      <w:r w:rsidRPr="00CE23AE">
        <w:rPr>
          <w:bCs/>
          <w:lang w:val="en-US"/>
        </w:rPr>
        <w:fldChar w:fldCharType="begin"/>
      </w:r>
      <w:r w:rsidRPr="00CE23AE">
        <w:rPr>
          <w:bCs/>
          <w:lang w:val="en-US"/>
        </w:rPr>
        <w:instrText xml:space="preserve"> REF _Ref455434075 \r \h  \* MERGEFORMAT </w:instrText>
      </w:r>
      <w:r w:rsidRPr="00CE23AE">
        <w:rPr>
          <w:bCs/>
          <w:lang w:val="en-US"/>
        </w:rPr>
      </w:r>
      <w:r w:rsidRPr="00CE23AE">
        <w:rPr>
          <w:bCs/>
          <w:lang w:val="en-US"/>
        </w:rPr>
        <w:fldChar w:fldCharType="separate"/>
      </w:r>
      <w:r w:rsidR="00BC2953" w:rsidRPr="00CE23AE">
        <w:rPr>
          <w:bCs/>
          <w:lang w:val="en-US"/>
        </w:rPr>
        <w:t>205</w:t>
      </w:r>
      <w:r w:rsidRPr="00CE23AE">
        <w:rPr>
          <w:bCs/>
          <w:lang w:val="en-US"/>
        </w:rPr>
        <w:fldChar w:fldCharType="end"/>
      </w:r>
      <w:r w:rsidRPr="00CE23AE">
        <w:rPr>
          <w:bCs/>
          <w:lang w:val="en-US"/>
        </w:rPr>
        <w:t xml:space="preserve">). </w:t>
      </w:r>
    </w:p>
    <w:p w14:paraId="6DDA2F4B" w14:textId="77777777" w:rsidR="008A1E21" w:rsidRPr="00CE23AE" w:rsidRDefault="008A1E21" w:rsidP="008A1E21">
      <w:pPr>
        <w:pStyle w:val="PrrafodeSentencia"/>
        <w:numPr>
          <w:ilvl w:val="0"/>
          <w:numId w:val="0"/>
        </w:numPr>
        <w:rPr>
          <w:bCs/>
          <w:lang w:val="en-US"/>
        </w:rPr>
      </w:pPr>
    </w:p>
    <w:p w14:paraId="66553339" w14:textId="746642F3" w:rsidR="008A1E21" w:rsidRPr="00CE23AE" w:rsidRDefault="00402E0C" w:rsidP="008A1E21">
      <w:pPr>
        <w:pStyle w:val="PrrafodeSentencia"/>
        <w:rPr>
          <w:bCs/>
          <w:lang w:val="en-US"/>
        </w:rPr>
      </w:pPr>
      <w:r w:rsidRPr="00CE23AE">
        <w:rPr>
          <w:bCs/>
          <w:lang w:val="en-US"/>
        </w:rPr>
        <w:t xml:space="preserve">Based on the foregoing, </w:t>
      </w:r>
      <w:r w:rsidR="00C561DF" w:rsidRPr="00CE23AE">
        <w:rPr>
          <w:bCs/>
          <w:lang w:val="en-US"/>
        </w:rPr>
        <w:t>the Court</w:t>
      </w:r>
      <w:r w:rsidR="008A1E21" w:rsidRPr="00CE23AE">
        <w:rPr>
          <w:bCs/>
          <w:lang w:val="en-US"/>
        </w:rPr>
        <w:t xml:space="preserve"> conside</w:t>
      </w:r>
      <w:r w:rsidRPr="00CE23AE">
        <w:rPr>
          <w:bCs/>
          <w:lang w:val="en-US"/>
        </w:rPr>
        <w:t>rs that</w:t>
      </w:r>
      <w:r w:rsidR="008A1E21" w:rsidRPr="00CE23AE">
        <w:rPr>
          <w:bCs/>
          <w:lang w:val="en-US"/>
        </w:rPr>
        <w:t xml:space="preserve"> </w:t>
      </w:r>
      <w:r w:rsidR="00C561DF" w:rsidRPr="00CE23AE">
        <w:rPr>
          <w:bCs/>
          <w:lang w:val="en-US"/>
        </w:rPr>
        <w:t>the State</w:t>
      </w:r>
      <w:r w:rsidR="008A1E21" w:rsidRPr="00CE23AE">
        <w:rPr>
          <w:bCs/>
          <w:lang w:val="en-US"/>
        </w:rPr>
        <w:t xml:space="preserve"> ha</w:t>
      </w:r>
      <w:r w:rsidRPr="00CE23AE">
        <w:rPr>
          <w:bCs/>
          <w:lang w:val="en-US"/>
        </w:rPr>
        <w:t xml:space="preserve">s proved before this Court that </w:t>
      </w:r>
      <w:r w:rsidR="00C561DF" w:rsidRPr="00CE23AE">
        <w:rPr>
          <w:bCs/>
          <w:lang w:val="en-US"/>
        </w:rPr>
        <w:t>the presumed victim</w:t>
      </w:r>
      <w:r w:rsidR="008A1E21" w:rsidRPr="00CE23AE">
        <w:rPr>
          <w:bCs/>
          <w:lang w:val="en-US"/>
        </w:rPr>
        <w:t xml:space="preserve"> </w:t>
      </w:r>
      <w:r w:rsidRPr="00CE23AE">
        <w:rPr>
          <w:bCs/>
          <w:lang w:val="en-US"/>
        </w:rPr>
        <w:t>had the possibility of filing a</w:t>
      </w:r>
      <w:r w:rsidR="008A1E21" w:rsidRPr="00CE23AE">
        <w:rPr>
          <w:bCs/>
          <w:lang w:val="en-US"/>
        </w:rPr>
        <w:t xml:space="preserve"> </w:t>
      </w:r>
      <w:r w:rsidR="00605875" w:rsidRPr="00CE23AE">
        <w:rPr>
          <w:bCs/>
          <w:lang w:val="en-US"/>
        </w:rPr>
        <w:t xml:space="preserve">full contentious administrative jurisdiction remedy </w:t>
      </w:r>
      <w:r w:rsidRPr="00CE23AE">
        <w:rPr>
          <w:bCs/>
          <w:lang w:val="en-US"/>
        </w:rPr>
        <w:t xml:space="preserve">to contest the disciplinary decisions that culminated in his </w:t>
      </w:r>
      <w:r w:rsidR="006B1478" w:rsidRPr="00CE23AE">
        <w:rPr>
          <w:bCs/>
          <w:lang w:val="en-US"/>
        </w:rPr>
        <w:t>dis</w:t>
      </w:r>
      <w:r w:rsidRPr="00CE23AE">
        <w:rPr>
          <w:bCs/>
          <w:lang w:val="en-US"/>
        </w:rPr>
        <w:t xml:space="preserve">charge from the Army. In addition, according to the case law provided to this Court by Ecuador, this remedy could have been appropriate to obtain effective judicial protection in this case. </w:t>
      </w:r>
    </w:p>
    <w:p w14:paraId="6D9B0FF5" w14:textId="77777777" w:rsidR="008A1E21" w:rsidRPr="00CE23AE" w:rsidRDefault="008A1E21" w:rsidP="008A1E21">
      <w:pPr>
        <w:pStyle w:val="PrrafodeSentencia"/>
        <w:numPr>
          <w:ilvl w:val="0"/>
          <w:numId w:val="0"/>
        </w:numPr>
        <w:rPr>
          <w:lang w:val="en-US"/>
        </w:rPr>
      </w:pPr>
    </w:p>
    <w:p w14:paraId="738F5E6C" w14:textId="75E5C67B" w:rsidR="00402E0C" w:rsidRPr="00CE23AE" w:rsidRDefault="00402E0C" w:rsidP="008A1E21">
      <w:pPr>
        <w:pStyle w:val="PrrafodeSentencia"/>
        <w:rPr>
          <w:lang w:val="en-US"/>
        </w:rPr>
      </w:pPr>
      <w:r w:rsidRPr="00CE23AE">
        <w:rPr>
          <w:lang w:val="en-US"/>
        </w:rPr>
        <w:t xml:space="preserve">That said, in this case </w:t>
      </w:r>
      <w:r w:rsidR="00C561DF" w:rsidRPr="00CE23AE">
        <w:rPr>
          <w:bCs/>
          <w:lang w:val="en-US"/>
        </w:rPr>
        <w:t>the presumed victim</w:t>
      </w:r>
      <w:r w:rsidR="008A1E21" w:rsidRPr="00CE23AE">
        <w:rPr>
          <w:bCs/>
          <w:lang w:val="en-US"/>
        </w:rPr>
        <w:t xml:space="preserve"> </w:t>
      </w:r>
      <w:r w:rsidRPr="00CE23AE">
        <w:rPr>
          <w:bCs/>
          <w:lang w:val="en-US"/>
        </w:rPr>
        <w:t>did not file the said contentious administrative remedy. The Court considers that an analysis, in the abstract, of the norms that regulate the said remedy would not allow it to determine adequately its appropriateness and effectiveness for the specific case of Mr. Flor Freire, because much of the analysis would depend on the factual and legal arguments submitted to the judicial organ, as well as o</w:t>
      </w:r>
      <w:r w:rsidR="006B1478" w:rsidRPr="00CE23AE">
        <w:rPr>
          <w:bCs/>
          <w:lang w:val="en-US"/>
        </w:rPr>
        <w:t>n</w:t>
      </w:r>
      <w:r w:rsidRPr="00CE23AE">
        <w:rPr>
          <w:bCs/>
          <w:lang w:val="en-US"/>
        </w:rPr>
        <w:t xml:space="preserve"> the application of the respective norms that the corresponding court would have made if the remedy had been filed.</w:t>
      </w:r>
    </w:p>
    <w:p w14:paraId="177EE0A9" w14:textId="77777777" w:rsidR="008A1E21" w:rsidRPr="00CE23AE" w:rsidRDefault="008A1E21" w:rsidP="008A1E21">
      <w:pPr>
        <w:pStyle w:val="PrrafodeSentencia"/>
        <w:numPr>
          <w:ilvl w:val="0"/>
          <w:numId w:val="0"/>
        </w:numPr>
        <w:rPr>
          <w:lang w:val="en-US"/>
        </w:rPr>
      </w:pPr>
    </w:p>
    <w:p w14:paraId="493C55B9" w14:textId="7559F69B" w:rsidR="00402E0C" w:rsidRPr="00CE23AE" w:rsidRDefault="00402E0C" w:rsidP="00B34E4E">
      <w:pPr>
        <w:pStyle w:val="PrrafodeSentencia"/>
        <w:tabs>
          <w:tab w:val="clear" w:pos="12305"/>
        </w:tabs>
        <w:rPr>
          <w:lang w:val="en-US"/>
        </w:rPr>
      </w:pPr>
      <w:r w:rsidRPr="00CE23AE">
        <w:rPr>
          <w:lang w:val="en-US"/>
        </w:rPr>
        <w:t xml:space="preserve">Since the Court is unable to verify the suitability of the </w:t>
      </w:r>
      <w:r w:rsidRPr="00CE23AE">
        <w:rPr>
          <w:bCs/>
          <w:lang w:val="en-US"/>
        </w:rPr>
        <w:t>contentious administrative remedy</w:t>
      </w:r>
      <w:r w:rsidRPr="00CE23AE">
        <w:rPr>
          <w:lang w:val="en-US"/>
        </w:rPr>
        <w:t xml:space="preserve"> because Mr. Flor Freire did not file it, it is not incumbent on </w:t>
      </w:r>
      <w:r w:rsidR="006B1478" w:rsidRPr="00CE23AE">
        <w:rPr>
          <w:lang w:val="en-US"/>
        </w:rPr>
        <w:t>it</w:t>
      </w:r>
      <w:r w:rsidRPr="00CE23AE">
        <w:rPr>
          <w:lang w:val="en-US"/>
        </w:rPr>
        <w:t xml:space="preserve"> to analyze the possible effectiveness or ineffectiveness of the remedy of amparo, because even if the application for amparo </w:t>
      </w:r>
      <w:r w:rsidR="00960BBA" w:rsidRPr="00CE23AE">
        <w:rPr>
          <w:lang w:val="en-US"/>
        </w:rPr>
        <w:t>was not</w:t>
      </w:r>
      <w:r w:rsidRPr="00CE23AE">
        <w:rPr>
          <w:lang w:val="en-US"/>
        </w:rPr>
        <w:t xml:space="preserve"> effective in the case of Mr. Flor Freire, this did not exclude the possibility that the </w:t>
      </w:r>
      <w:r w:rsidRPr="00CE23AE">
        <w:rPr>
          <w:bCs/>
          <w:lang w:val="en-US"/>
        </w:rPr>
        <w:t>contentious administrative remedy could have been. Therefore, Ecuador cannot be held internationally responsible for the absence of an effective remedy when, for reasons that can be attributed to the presumed victim, the Court in unable to evaluate the appropriateness and effectiveness of the remedy that it has been proved was available.</w:t>
      </w:r>
    </w:p>
    <w:p w14:paraId="5D6FAD32" w14:textId="77777777" w:rsidR="008A1E21" w:rsidRPr="00CE23AE" w:rsidRDefault="008A1E21" w:rsidP="008A1E21">
      <w:pPr>
        <w:pStyle w:val="PrrafodeSentencia"/>
        <w:numPr>
          <w:ilvl w:val="0"/>
          <w:numId w:val="0"/>
        </w:numPr>
        <w:rPr>
          <w:lang w:val="en-US"/>
        </w:rPr>
      </w:pPr>
    </w:p>
    <w:p w14:paraId="5D1A34D8" w14:textId="09357660" w:rsidR="00582D8D" w:rsidRPr="00CE23AE" w:rsidRDefault="00402E0C" w:rsidP="008A1E21">
      <w:pPr>
        <w:pStyle w:val="PrrafodeSentencia"/>
        <w:tabs>
          <w:tab w:val="clear" w:pos="12305"/>
        </w:tabs>
        <w:rPr>
          <w:lang w:val="en-US"/>
        </w:rPr>
      </w:pPr>
      <w:bookmarkStart w:id="457" w:name="_Ref464741820"/>
      <w:r w:rsidRPr="00CE23AE">
        <w:rPr>
          <w:lang w:val="en-US"/>
        </w:rPr>
        <w:t>Consequently, as it has decided in other cases,</w:t>
      </w:r>
      <w:r w:rsidR="008A1E21" w:rsidRPr="00CE23AE">
        <w:rPr>
          <w:rStyle w:val="Refdenotaalpie"/>
          <w:lang w:val="en-US"/>
        </w:rPr>
        <w:footnoteReference w:id="290"/>
      </w:r>
      <w:r w:rsidRPr="00CE23AE">
        <w:rPr>
          <w:lang w:val="en-US"/>
        </w:rPr>
        <w:t xml:space="preserve"> the Court finds that</w:t>
      </w:r>
      <w:r w:rsidR="008A1E21" w:rsidRPr="00CE23AE">
        <w:rPr>
          <w:lang w:val="en-US"/>
        </w:rPr>
        <w:t xml:space="preserve"> </w:t>
      </w:r>
      <w:r w:rsidR="00C561DF" w:rsidRPr="00CE23AE">
        <w:rPr>
          <w:lang w:val="en-US"/>
        </w:rPr>
        <w:t>the State</w:t>
      </w:r>
      <w:r w:rsidR="008A1E21" w:rsidRPr="00CE23AE">
        <w:rPr>
          <w:lang w:val="en-US"/>
        </w:rPr>
        <w:t xml:space="preserve"> </w:t>
      </w:r>
      <w:r w:rsidRPr="00CE23AE">
        <w:rPr>
          <w:lang w:val="en-US"/>
        </w:rPr>
        <w:t>is not</w:t>
      </w:r>
      <w:r w:rsidR="008A1E21" w:rsidRPr="00CE23AE">
        <w:rPr>
          <w:lang w:val="en-US"/>
        </w:rPr>
        <w:t xml:space="preserve"> respons</w:t>
      </w:r>
      <w:r w:rsidRPr="00CE23AE">
        <w:rPr>
          <w:lang w:val="en-US"/>
        </w:rPr>
        <w:t>i</w:t>
      </w:r>
      <w:r w:rsidR="008A1E21" w:rsidRPr="00CE23AE">
        <w:rPr>
          <w:lang w:val="en-US"/>
        </w:rPr>
        <w:t xml:space="preserve">ble </w:t>
      </w:r>
      <w:r w:rsidRPr="00CE23AE">
        <w:rPr>
          <w:lang w:val="en-US"/>
        </w:rPr>
        <w:t>for the violation</w:t>
      </w:r>
      <w:r w:rsidR="008A1E21" w:rsidRPr="00CE23AE">
        <w:rPr>
          <w:lang w:val="en-US"/>
        </w:rPr>
        <w:t xml:space="preserve"> </w:t>
      </w:r>
      <w:r w:rsidR="00996128" w:rsidRPr="00CE23AE">
        <w:rPr>
          <w:lang w:val="en-US"/>
        </w:rPr>
        <w:t>of Article</w:t>
      </w:r>
      <w:r w:rsidR="001B0673" w:rsidRPr="00CE23AE">
        <w:rPr>
          <w:lang w:val="en-US"/>
        </w:rPr>
        <w:t xml:space="preserve"> </w:t>
      </w:r>
      <w:r w:rsidR="00C561DF" w:rsidRPr="00CE23AE">
        <w:rPr>
          <w:lang w:val="en-US"/>
        </w:rPr>
        <w:t>25(1) of the Convention</w:t>
      </w:r>
      <w:r w:rsidR="001B0673" w:rsidRPr="00CE23AE">
        <w:rPr>
          <w:lang w:val="en-US"/>
        </w:rPr>
        <w:t xml:space="preserve">, </w:t>
      </w:r>
      <w:r w:rsidRPr="00CE23AE">
        <w:rPr>
          <w:lang w:val="en-US"/>
        </w:rPr>
        <w:t>in relation to</w:t>
      </w:r>
      <w:r w:rsidR="001B0673" w:rsidRPr="00CE23AE">
        <w:rPr>
          <w:lang w:val="en-US"/>
        </w:rPr>
        <w:t xml:space="preserve"> </w:t>
      </w:r>
      <w:r w:rsidR="00C561DF" w:rsidRPr="00CE23AE">
        <w:rPr>
          <w:lang w:val="en-US"/>
        </w:rPr>
        <w:t xml:space="preserve">Articles 1(1) and </w:t>
      </w:r>
      <w:r w:rsidR="00196ED2" w:rsidRPr="00CE23AE">
        <w:rPr>
          <w:lang w:val="en-US"/>
        </w:rPr>
        <w:t xml:space="preserve">2 </w:t>
      </w:r>
      <w:r w:rsidR="00C561DF" w:rsidRPr="00CE23AE">
        <w:rPr>
          <w:lang w:val="en-US"/>
        </w:rPr>
        <w:t>of this instrument</w:t>
      </w:r>
      <w:r w:rsidR="001B0673" w:rsidRPr="00CE23AE">
        <w:rPr>
          <w:lang w:val="en-US"/>
        </w:rPr>
        <w:t xml:space="preserve">, </w:t>
      </w:r>
      <w:r w:rsidR="00C561DF" w:rsidRPr="00CE23AE">
        <w:rPr>
          <w:lang w:val="en-US"/>
        </w:rPr>
        <w:t>to the detriment of</w:t>
      </w:r>
      <w:r w:rsidR="001B0673" w:rsidRPr="00CE23AE">
        <w:rPr>
          <w:lang w:val="en-US"/>
        </w:rPr>
        <w:t xml:space="preserve"> </w:t>
      </w:r>
      <w:r w:rsidR="00CF3E39" w:rsidRPr="00CE23AE">
        <w:rPr>
          <w:lang w:val="en-US"/>
        </w:rPr>
        <w:t>Mr. Flor</w:t>
      </w:r>
      <w:r w:rsidR="001B0673" w:rsidRPr="00CE23AE">
        <w:rPr>
          <w:lang w:val="en-US"/>
        </w:rPr>
        <w:t xml:space="preserve"> Freire.</w:t>
      </w:r>
      <w:bookmarkEnd w:id="457"/>
      <w:r w:rsidR="001B0673" w:rsidRPr="00CE23AE">
        <w:rPr>
          <w:lang w:val="en-US"/>
        </w:rPr>
        <w:t xml:space="preserve"> </w:t>
      </w:r>
    </w:p>
    <w:p w14:paraId="516A1749" w14:textId="77777777" w:rsidR="00582D8D" w:rsidRPr="00CE23AE" w:rsidRDefault="00582D8D" w:rsidP="00582D8D">
      <w:pPr>
        <w:pStyle w:val="PrrafodeSentencia"/>
        <w:numPr>
          <w:ilvl w:val="0"/>
          <w:numId w:val="0"/>
        </w:numPr>
        <w:rPr>
          <w:lang w:val="en-US"/>
        </w:rPr>
      </w:pPr>
    </w:p>
    <w:p w14:paraId="6E0C3D09" w14:textId="5E9D397F" w:rsidR="00582D8D" w:rsidRPr="00CE23AE" w:rsidRDefault="002F5A11" w:rsidP="00B4473B">
      <w:pPr>
        <w:pStyle w:val="Ttulo1"/>
        <w:rPr>
          <w:lang w:val="en-US"/>
        </w:rPr>
      </w:pPr>
      <w:bookmarkStart w:id="458" w:name="_Toc454891517"/>
      <w:bookmarkStart w:id="459" w:name="_Toc457840622"/>
      <w:bookmarkStart w:id="460" w:name="_Toc464475015"/>
      <w:bookmarkStart w:id="461" w:name="_Toc46388402"/>
      <w:r w:rsidRPr="00CE23AE">
        <w:rPr>
          <w:lang w:val="en-US"/>
        </w:rPr>
        <w:t>I</w:t>
      </w:r>
      <w:r w:rsidR="00582D8D" w:rsidRPr="00CE23AE">
        <w:rPr>
          <w:lang w:val="en-US"/>
        </w:rPr>
        <w:t>X</w:t>
      </w:r>
      <w:bookmarkEnd w:id="458"/>
      <w:bookmarkEnd w:id="459"/>
      <w:bookmarkEnd w:id="460"/>
      <w:bookmarkEnd w:id="461"/>
    </w:p>
    <w:p w14:paraId="668E633A" w14:textId="62501E32" w:rsidR="00582D8D" w:rsidRPr="00CE23AE" w:rsidRDefault="00000AD5" w:rsidP="00B4473B">
      <w:pPr>
        <w:pStyle w:val="Ttulo1"/>
        <w:rPr>
          <w:lang w:val="en-US"/>
        </w:rPr>
      </w:pPr>
      <w:bookmarkStart w:id="462" w:name="_Toc46388403"/>
      <w:r w:rsidRPr="00CE23AE">
        <w:rPr>
          <w:lang w:val="en-US"/>
        </w:rPr>
        <w:t>REPARATIONS</w:t>
      </w:r>
      <w:bookmarkEnd w:id="462"/>
    </w:p>
    <w:p w14:paraId="7F8183B4" w14:textId="55562B1C" w:rsidR="00582D8D" w:rsidRPr="00CE23AE" w:rsidRDefault="00582D8D" w:rsidP="00B4473B">
      <w:pPr>
        <w:pStyle w:val="Ttulo1"/>
        <w:rPr>
          <w:lang w:val="en-US"/>
        </w:rPr>
      </w:pPr>
      <w:bookmarkStart w:id="463" w:name="_Toc454891519"/>
      <w:bookmarkStart w:id="464" w:name="_Toc454891598"/>
      <w:bookmarkStart w:id="465" w:name="_Toc455439061"/>
      <w:bookmarkStart w:id="466" w:name="_Toc455670402"/>
      <w:bookmarkStart w:id="467" w:name="_Toc457840624"/>
      <w:bookmarkStart w:id="468" w:name="_Toc457844749"/>
      <w:bookmarkStart w:id="469" w:name="_Toc460398733"/>
      <w:bookmarkStart w:id="470" w:name="_Toc464475017"/>
      <w:bookmarkStart w:id="471" w:name="_Toc464475117"/>
      <w:bookmarkStart w:id="472" w:name="_Toc464479767"/>
      <w:bookmarkStart w:id="473" w:name="_Toc46388404"/>
      <w:r w:rsidRPr="00CE23AE">
        <w:rPr>
          <w:lang w:val="en-US"/>
        </w:rPr>
        <w:t>(Ap</w:t>
      </w:r>
      <w:r w:rsidR="00A55B75" w:rsidRPr="00CE23AE">
        <w:rPr>
          <w:lang w:val="en-US"/>
        </w:rPr>
        <w:t>PLICATION</w:t>
      </w:r>
      <w:r w:rsidRPr="00CE23AE">
        <w:rPr>
          <w:lang w:val="en-US"/>
        </w:rPr>
        <w:t xml:space="preserve"> </w:t>
      </w:r>
      <w:r w:rsidR="00996128" w:rsidRPr="00CE23AE">
        <w:rPr>
          <w:lang w:val="en-US"/>
        </w:rPr>
        <w:t>of Article</w:t>
      </w:r>
      <w:r w:rsidRPr="00CE23AE">
        <w:rPr>
          <w:lang w:val="en-US"/>
        </w:rPr>
        <w:t xml:space="preserve"> </w:t>
      </w:r>
      <w:r w:rsidR="00C561DF" w:rsidRPr="00CE23AE">
        <w:rPr>
          <w:lang w:val="en-US"/>
        </w:rPr>
        <w:t>63(1) of the American Convention</w:t>
      </w:r>
      <w:r w:rsidRPr="00CE23AE">
        <w:rPr>
          <w:lang w:val="en-US"/>
        </w:rPr>
        <w:t>)</w:t>
      </w:r>
      <w:bookmarkEnd w:id="463"/>
      <w:bookmarkEnd w:id="464"/>
      <w:bookmarkEnd w:id="465"/>
      <w:bookmarkEnd w:id="466"/>
      <w:bookmarkEnd w:id="467"/>
      <w:bookmarkEnd w:id="468"/>
      <w:bookmarkEnd w:id="469"/>
      <w:bookmarkEnd w:id="470"/>
      <w:bookmarkEnd w:id="471"/>
      <w:bookmarkEnd w:id="472"/>
      <w:bookmarkEnd w:id="473"/>
    </w:p>
    <w:p w14:paraId="26A69637" w14:textId="77777777" w:rsidR="00582D8D" w:rsidRPr="00CE23AE" w:rsidRDefault="00582D8D" w:rsidP="00B4473B">
      <w:pPr>
        <w:pStyle w:val="PrrafodeSentencia"/>
        <w:numPr>
          <w:ilvl w:val="0"/>
          <w:numId w:val="0"/>
        </w:numPr>
        <w:rPr>
          <w:b/>
          <w:lang w:val="en-US"/>
        </w:rPr>
      </w:pPr>
    </w:p>
    <w:p w14:paraId="138561E7" w14:textId="673AB72F" w:rsidR="004E0E2F" w:rsidRPr="00CE23AE" w:rsidRDefault="00A55B75" w:rsidP="004E0E2F">
      <w:pPr>
        <w:pStyle w:val="PrrafodeSentencia"/>
        <w:tabs>
          <w:tab w:val="clear" w:pos="12305"/>
          <w:tab w:val="num" w:pos="12589"/>
        </w:tabs>
        <w:rPr>
          <w:lang w:val="en-US"/>
        </w:rPr>
      </w:pPr>
      <w:r w:rsidRPr="00CE23AE">
        <w:rPr>
          <w:lang w:val="en-US"/>
        </w:rPr>
        <w:t>Based on the provisions of</w:t>
      </w:r>
      <w:r w:rsidR="004E0E2F" w:rsidRPr="00CE23AE">
        <w:rPr>
          <w:lang w:val="en-US"/>
        </w:rPr>
        <w:t xml:space="preserve"> </w:t>
      </w:r>
      <w:r w:rsidR="00C561DF" w:rsidRPr="00CE23AE">
        <w:rPr>
          <w:lang w:val="en-US"/>
        </w:rPr>
        <w:t>Article</w:t>
      </w:r>
      <w:r w:rsidR="004E0E2F" w:rsidRPr="00CE23AE">
        <w:rPr>
          <w:lang w:val="en-US"/>
        </w:rPr>
        <w:t xml:space="preserve"> </w:t>
      </w:r>
      <w:r w:rsidR="00C561DF" w:rsidRPr="00CE23AE">
        <w:rPr>
          <w:lang w:val="en-US"/>
        </w:rPr>
        <w:t>63(1) of the American Convention</w:t>
      </w:r>
      <w:r w:rsidRPr="00CE23AE">
        <w:rPr>
          <w:lang w:val="en-US"/>
        </w:rPr>
        <w:t>,</w:t>
      </w:r>
      <w:r w:rsidR="004E0E2F" w:rsidRPr="00CE23AE">
        <w:rPr>
          <w:vertAlign w:val="superscript"/>
          <w:lang w:val="en-US"/>
        </w:rPr>
        <w:footnoteReference w:id="291"/>
      </w:r>
      <w:r w:rsidR="004E0E2F" w:rsidRPr="00CE23AE">
        <w:rPr>
          <w:lang w:val="en-US"/>
        </w:rPr>
        <w:t xml:space="preserve"> </w:t>
      </w:r>
      <w:r w:rsidR="00C561DF" w:rsidRPr="00CE23AE">
        <w:rPr>
          <w:lang w:val="en-US"/>
        </w:rPr>
        <w:t>the Court</w:t>
      </w:r>
      <w:r w:rsidR="004E0E2F" w:rsidRPr="00CE23AE">
        <w:rPr>
          <w:lang w:val="en-US"/>
        </w:rPr>
        <w:t xml:space="preserve"> ha</w:t>
      </w:r>
      <w:r w:rsidRPr="00CE23AE">
        <w:rPr>
          <w:lang w:val="en-US"/>
        </w:rPr>
        <w:t>s indicated that any violation of an international obligation that has produced harm entails the obligation to make adequate reparation,</w:t>
      </w:r>
      <w:r w:rsidR="004E0E2F" w:rsidRPr="00CE23AE">
        <w:rPr>
          <w:vertAlign w:val="superscript"/>
          <w:lang w:val="en-US"/>
        </w:rPr>
        <w:footnoteReference w:id="292"/>
      </w:r>
      <w:r w:rsidR="00C561DF" w:rsidRPr="00CE23AE">
        <w:rPr>
          <w:lang w:val="en-US"/>
        </w:rPr>
        <w:t xml:space="preserve"> and </w:t>
      </w:r>
      <w:r w:rsidRPr="00CE23AE">
        <w:rPr>
          <w:lang w:val="en-US"/>
        </w:rPr>
        <w:t>that this provisions reflects a customary norm that constitutes one of the fundamental principles of contemporary international law on State responsibility.</w:t>
      </w:r>
      <w:r w:rsidR="004E0E2F" w:rsidRPr="00CE23AE">
        <w:rPr>
          <w:vertAlign w:val="superscript"/>
          <w:lang w:val="en-US"/>
        </w:rPr>
        <w:footnoteReference w:id="293"/>
      </w:r>
    </w:p>
    <w:p w14:paraId="7F0995BC" w14:textId="77777777" w:rsidR="004E0E2F" w:rsidRPr="00CE23AE" w:rsidRDefault="004E0E2F" w:rsidP="004E0E2F">
      <w:pPr>
        <w:rPr>
          <w:rFonts w:eastAsia="Batang"/>
          <w:lang w:val="en-US"/>
        </w:rPr>
      </w:pPr>
    </w:p>
    <w:p w14:paraId="2DC23DB1" w14:textId="7355FC11" w:rsidR="004E0E2F" w:rsidRPr="00CE23AE" w:rsidRDefault="00A55B75" w:rsidP="004E0E2F">
      <w:pPr>
        <w:pStyle w:val="PrrafodeSentencia"/>
        <w:tabs>
          <w:tab w:val="clear" w:pos="12305"/>
          <w:tab w:val="num" w:pos="12589"/>
        </w:tabs>
        <w:rPr>
          <w:lang w:val="en-US"/>
        </w:rPr>
      </w:pPr>
      <w:bookmarkStart w:id="474" w:name="_Ref454322507"/>
      <w:r w:rsidRPr="00CE23AE">
        <w:rPr>
          <w:bCs/>
          <w:lang w:val="en-US"/>
        </w:rPr>
        <w:lastRenderedPageBreak/>
        <w:t>The reparation of the harm</w:t>
      </w:r>
      <w:r w:rsidR="004E0E2F" w:rsidRPr="00CE23AE">
        <w:rPr>
          <w:bCs/>
          <w:lang w:val="en-US"/>
        </w:rPr>
        <w:t xml:space="preserve"> </w:t>
      </w:r>
      <w:r w:rsidR="00B70B4F" w:rsidRPr="00CE23AE">
        <w:rPr>
          <w:bCs/>
          <w:lang w:val="en-US"/>
        </w:rPr>
        <w:t xml:space="preserve">caused by the breach of an international obligation requires, whenever possible, full restitution </w:t>
      </w:r>
      <w:r w:rsidR="004E0E2F" w:rsidRPr="00CE23AE">
        <w:rPr>
          <w:bCs/>
          <w:lang w:val="en-US"/>
        </w:rPr>
        <w:t>(</w:t>
      </w:r>
      <w:r w:rsidR="004E0E2F" w:rsidRPr="00CE23AE">
        <w:rPr>
          <w:bCs/>
          <w:i/>
          <w:lang w:val="en-US"/>
        </w:rPr>
        <w:t>restitutio in integrum</w:t>
      </w:r>
      <w:r w:rsidR="004E0E2F" w:rsidRPr="00CE23AE">
        <w:rPr>
          <w:bCs/>
          <w:lang w:val="en-US"/>
        </w:rPr>
        <w:t xml:space="preserve">), </w:t>
      </w:r>
      <w:r w:rsidR="00B70B4F" w:rsidRPr="00CE23AE">
        <w:rPr>
          <w:bCs/>
          <w:lang w:val="en-US"/>
        </w:rPr>
        <w:t xml:space="preserve">which consists in the re-establishment of the situation. If this is not feasible, as in most cases of human </w:t>
      </w:r>
      <w:r w:rsidR="00D26744" w:rsidRPr="00CE23AE">
        <w:rPr>
          <w:bCs/>
          <w:lang w:val="en-US"/>
        </w:rPr>
        <w:t>r</w:t>
      </w:r>
      <w:r w:rsidR="00B70B4F" w:rsidRPr="00CE23AE">
        <w:rPr>
          <w:bCs/>
          <w:lang w:val="en-US"/>
        </w:rPr>
        <w:t xml:space="preserve">ights violations, the Court will determine measures to </w:t>
      </w:r>
      <w:r w:rsidR="00D26744" w:rsidRPr="00CE23AE">
        <w:rPr>
          <w:bCs/>
          <w:lang w:val="en-US"/>
        </w:rPr>
        <w:t>guarantee</w:t>
      </w:r>
      <w:r w:rsidR="00B70B4F" w:rsidRPr="00CE23AE">
        <w:rPr>
          <w:bCs/>
          <w:lang w:val="en-US"/>
        </w:rPr>
        <w:t xml:space="preserve"> the violated rights and to redress the consequences of the violations.</w:t>
      </w:r>
      <w:r w:rsidR="004E0E2F" w:rsidRPr="00CE23AE">
        <w:rPr>
          <w:vertAlign w:val="superscript"/>
          <w:lang w:val="en-US"/>
        </w:rPr>
        <w:footnoteReference w:id="294"/>
      </w:r>
      <w:r w:rsidR="00B70B4F" w:rsidRPr="00CE23AE">
        <w:rPr>
          <w:bCs/>
          <w:lang w:val="en-US"/>
        </w:rPr>
        <w:t xml:space="preserve"> </w:t>
      </w:r>
      <w:r w:rsidR="00D26744" w:rsidRPr="00CE23AE">
        <w:rPr>
          <w:bCs/>
          <w:lang w:val="en-US"/>
        </w:rPr>
        <w:t>Accordingly</w:t>
      </w:r>
      <w:r w:rsidR="00B70B4F" w:rsidRPr="00CE23AE">
        <w:rPr>
          <w:bCs/>
          <w:lang w:val="en-US"/>
        </w:rPr>
        <w:t xml:space="preserve">, the Court has found it necessary to grant different measures of reparation in order to repair the harm integrally; thus, in addition to pecuniary compensation, measures of restitution, rehabilitation and satisfaction, </w:t>
      </w:r>
      <w:r w:rsidR="00C561DF" w:rsidRPr="00CE23AE">
        <w:rPr>
          <w:lang w:val="en-US"/>
        </w:rPr>
        <w:t xml:space="preserve">and </w:t>
      </w:r>
      <w:r w:rsidR="00936CD5" w:rsidRPr="00CE23AE">
        <w:rPr>
          <w:lang w:val="en-US"/>
        </w:rPr>
        <w:t>guarantees of non-repetition</w:t>
      </w:r>
      <w:r w:rsidR="004E0E2F" w:rsidRPr="00CE23AE">
        <w:rPr>
          <w:lang w:val="en-US"/>
        </w:rPr>
        <w:t xml:space="preserve"> </w:t>
      </w:r>
      <w:r w:rsidR="00495CD3" w:rsidRPr="00CE23AE">
        <w:rPr>
          <w:lang w:val="en-US"/>
        </w:rPr>
        <w:t>have special relevance for the harm caused.</w:t>
      </w:r>
      <w:r w:rsidR="004E0E2F" w:rsidRPr="00CE23AE">
        <w:rPr>
          <w:vertAlign w:val="superscript"/>
          <w:lang w:val="en-US"/>
        </w:rPr>
        <w:footnoteReference w:id="295"/>
      </w:r>
      <w:bookmarkEnd w:id="474"/>
    </w:p>
    <w:p w14:paraId="0FC57476" w14:textId="77777777" w:rsidR="004E0E2F" w:rsidRPr="00CE23AE" w:rsidRDefault="004E0E2F" w:rsidP="004E0E2F">
      <w:pPr>
        <w:rPr>
          <w:rFonts w:eastAsia="Batang"/>
          <w:lang w:val="en-US"/>
        </w:rPr>
      </w:pPr>
    </w:p>
    <w:p w14:paraId="25119F72" w14:textId="086211D0" w:rsidR="004E0E2F" w:rsidRPr="00CE23AE" w:rsidRDefault="00000AD5" w:rsidP="004E0E2F">
      <w:pPr>
        <w:pStyle w:val="PrrafodeSentencia"/>
        <w:tabs>
          <w:tab w:val="clear" w:pos="12305"/>
          <w:tab w:val="num" w:pos="12589"/>
        </w:tabs>
        <w:rPr>
          <w:lang w:val="en-US"/>
        </w:rPr>
      </w:pPr>
      <w:r w:rsidRPr="00CE23AE">
        <w:rPr>
          <w:lang w:val="en-US"/>
        </w:rPr>
        <w:t>This Court</w:t>
      </w:r>
      <w:r w:rsidR="004E0E2F" w:rsidRPr="00CE23AE">
        <w:rPr>
          <w:lang w:val="en-US"/>
        </w:rPr>
        <w:t xml:space="preserve"> ha</w:t>
      </w:r>
      <w:r w:rsidR="00495CD3" w:rsidRPr="00CE23AE">
        <w:rPr>
          <w:lang w:val="en-US"/>
        </w:rPr>
        <w:t>s established that reparations must have a causal nexus with the facts of the case, the violations declared, the damage proved, and the measures requested to redress the respective harm. Consequently, the Court must observe the concurrence of these factors to rule appropriately and pursuant to law.</w:t>
      </w:r>
      <w:r w:rsidR="004E0E2F" w:rsidRPr="00CE23AE">
        <w:rPr>
          <w:vertAlign w:val="superscript"/>
          <w:lang w:val="en-US"/>
        </w:rPr>
        <w:footnoteReference w:id="296"/>
      </w:r>
    </w:p>
    <w:p w14:paraId="301EA451" w14:textId="77777777" w:rsidR="004E0E2F" w:rsidRPr="00CE23AE" w:rsidRDefault="004E0E2F" w:rsidP="004E0E2F">
      <w:pPr>
        <w:rPr>
          <w:rFonts w:eastAsia="Batang"/>
          <w:lang w:val="en-US"/>
        </w:rPr>
      </w:pPr>
    </w:p>
    <w:p w14:paraId="22929158" w14:textId="02E8806F" w:rsidR="004E0E2F" w:rsidRPr="00CE23AE" w:rsidRDefault="00495CD3" w:rsidP="004E0E2F">
      <w:pPr>
        <w:pStyle w:val="PrrafodeSentencia"/>
        <w:tabs>
          <w:tab w:val="clear" w:pos="12305"/>
          <w:tab w:val="num" w:pos="12589"/>
        </w:tabs>
        <w:rPr>
          <w:lang w:val="en-US"/>
        </w:rPr>
      </w:pPr>
      <w:r w:rsidRPr="00CE23AE">
        <w:rPr>
          <w:lang w:val="en-US"/>
        </w:rPr>
        <w:t xml:space="preserve">Based on the violations declared in the previous chapter, the Court will proceed to analyze the claims submitted by </w:t>
      </w:r>
      <w:r w:rsidR="00C561DF" w:rsidRPr="00CE23AE">
        <w:rPr>
          <w:lang w:val="en-US"/>
        </w:rPr>
        <w:t>the Commission and the representative</w:t>
      </w:r>
      <w:r w:rsidR="004E0E2F" w:rsidRPr="00CE23AE">
        <w:rPr>
          <w:lang w:val="en-US"/>
        </w:rPr>
        <w:t xml:space="preserve">, </w:t>
      </w:r>
      <w:r w:rsidRPr="00CE23AE">
        <w:rPr>
          <w:lang w:val="en-US"/>
        </w:rPr>
        <w:t>together with the</w:t>
      </w:r>
      <w:r w:rsidR="004E0E2F" w:rsidRPr="00CE23AE">
        <w:rPr>
          <w:lang w:val="en-US"/>
        </w:rPr>
        <w:t xml:space="preserve"> </w:t>
      </w:r>
      <w:r w:rsidRPr="00CE23AE">
        <w:rPr>
          <w:lang w:val="en-US"/>
        </w:rPr>
        <w:t>a</w:t>
      </w:r>
      <w:r w:rsidR="005F350B" w:rsidRPr="00CE23AE">
        <w:rPr>
          <w:lang w:val="en-US"/>
        </w:rPr>
        <w:t>rguments</w:t>
      </w:r>
      <w:r w:rsidR="00C561DF" w:rsidRPr="00CE23AE">
        <w:rPr>
          <w:lang w:val="en-US"/>
        </w:rPr>
        <w:t xml:space="preserve"> of the State</w:t>
      </w:r>
      <w:r w:rsidR="004E0E2F" w:rsidRPr="00CE23AE">
        <w:rPr>
          <w:lang w:val="en-US"/>
        </w:rPr>
        <w:t xml:space="preserve">, </w:t>
      </w:r>
      <w:r w:rsidRPr="00CE23AE">
        <w:rPr>
          <w:lang w:val="en-US"/>
        </w:rPr>
        <w:t>in light of the criteria established in its case law concerning the nature and scope of the obligation to make reparation,</w:t>
      </w:r>
      <w:r w:rsidR="004E0E2F" w:rsidRPr="00CE23AE">
        <w:rPr>
          <w:vertAlign w:val="superscript"/>
          <w:lang w:val="en-US"/>
        </w:rPr>
        <w:footnoteReference w:id="297"/>
      </w:r>
      <w:r w:rsidRPr="00CE23AE">
        <w:rPr>
          <w:lang w:val="en-US"/>
        </w:rPr>
        <w:t xml:space="preserve"> in order to establish measures </w:t>
      </w:r>
      <w:r w:rsidR="00D26744" w:rsidRPr="00CE23AE">
        <w:rPr>
          <w:lang w:val="en-US"/>
        </w:rPr>
        <w:t xml:space="preserve">aimed at </w:t>
      </w:r>
      <w:r w:rsidRPr="00CE23AE">
        <w:rPr>
          <w:lang w:val="en-US"/>
        </w:rPr>
        <w:t>redressing the harm caused to the victims.</w:t>
      </w:r>
    </w:p>
    <w:p w14:paraId="6BDE8F3E" w14:textId="77777777" w:rsidR="004E0E2F" w:rsidRPr="00CE23AE" w:rsidRDefault="004E0E2F" w:rsidP="004E0E2F">
      <w:pPr>
        <w:rPr>
          <w:rFonts w:eastAsia="Batang"/>
          <w:lang w:val="en-US"/>
        </w:rPr>
      </w:pPr>
    </w:p>
    <w:p w14:paraId="542A3927" w14:textId="75D2FC73" w:rsidR="004E0E2F" w:rsidRPr="00CE23AE" w:rsidRDefault="00495CD3" w:rsidP="004E0E2F">
      <w:pPr>
        <w:pStyle w:val="PrrafodeSentencia"/>
        <w:tabs>
          <w:tab w:val="clear" w:pos="12305"/>
          <w:tab w:val="num" w:pos="12589"/>
        </w:tabs>
        <w:rPr>
          <w:lang w:val="en-US"/>
        </w:rPr>
      </w:pPr>
      <w:r w:rsidRPr="00CE23AE">
        <w:rPr>
          <w:lang w:val="en-US"/>
        </w:rPr>
        <w:t xml:space="preserve">International case law and, in particular, that of the Court has established repeatedly that the judgment constitutes, </w:t>
      </w:r>
      <w:r w:rsidRPr="00CE23AE">
        <w:rPr>
          <w:i/>
          <w:iCs/>
          <w:lang w:val="en-US"/>
        </w:rPr>
        <w:t>per se</w:t>
      </w:r>
      <w:r w:rsidRPr="00CE23AE">
        <w:rPr>
          <w:lang w:val="en-US"/>
        </w:rPr>
        <w:t>, a form of reparation.</w:t>
      </w:r>
      <w:r w:rsidR="004E0E2F" w:rsidRPr="00CE23AE">
        <w:rPr>
          <w:vertAlign w:val="superscript"/>
          <w:lang w:val="en-US"/>
        </w:rPr>
        <w:footnoteReference w:id="298"/>
      </w:r>
      <w:r w:rsidRPr="00CE23AE">
        <w:rPr>
          <w:lang w:val="en-US"/>
        </w:rPr>
        <w:t xml:space="preserve"> However, considering the circumstances of the case</w:t>
      </w:r>
      <w:r w:rsidR="004E0E2F" w:rsidRPr="00CE23AE">
        <w:rPr>
          <w:lang w:val="en-US"/>
        </w:rPr>
        <w:t xml:space="preserve"> </w:t>
      </w:r>
      <w:r w:rsidR="004E0E2F" w:rsidRPr="00CE23AE">
        <w:rPr>
          <w:i/>
          <w:lang w:val="en-US"/>
        </w:rPr>
        <w:t>sub judice</w:t>
      </w:r>
      <w:r w:rsidR="004E0E2F" w:rsidRPr="00CE23AE">
        <w:rPr>
          <w:lang w:val="en-US"/>
        </w:rPr>
        <w:t xml:space="preserve">, </w:t>
      </w:r>
      <w:r w:rsidRPr="00CE23AE">
        <w:rPr>
          <w:lang w:val="en-US"/>
        </w:rPr>
        <w:t xml:space="preserve">the suffering that the violations committed caused to the victim, and the change in the living conditions and other consequences of a non-pecuniary nature that the </w:t>
      </w:r>
      <w:r w:rsidR="00D26744" w:rsidRPr="00CE23AE">
        <w:rPr>
          <w:lang w:val="en-US"/>
        </w:rPr>
        <w:t xml:space="preserve">Mr. Flor Freire </w:t>
      </w:r>
      <w:r w:rsidRPr="00CE23AE">
        <w:rPr>
          <w:lang w:val="en-US"/>
        </w:rPr>
        <w:t xml:space="preserve">experienced as a result of the violations declared </w:t>
      </w:r>
      <w:r w:rsidR="00C561DF" w:rsidRPr="00CE23AE">
        <w:rPr>
          <w:lang w:val="en-US"/>
        </w:rPr>
        <w:t xml:space="preserve">to </w:t>
      </w:r>
      <w:r w:rsidR="00D26744" w:rsidRPr="00CE23AE">
        <w:rPr>
          <w:lang w:val="en-US"/>
        </w:rPr>
        <w:t>his</w:t>
      </w:r>
      <w:r w:rsidR="00C561DF" w:rsidRPr="00CE23AE">
        <w:rPr>
          <w:lang w:val="en-US"/>
        </w:rPr>
        <w:t xml:space="preserve"> detriment</w:t>
      </w:r>
      <w:r w:rsidR="004E0E2F" w:rsidRPr="00CE23AE">
        <w:rPr>
          <w:lang w:val="en-US"/>
        </w:rPr>
        <w:t xml:space="preserve">, </w:t>
      </w:r>
      <w:r w:rsidR="00C561DF" w:rsidRPr="00CE23AE">
        <w:rPr>
          <w:lang w:val="en-US"/>
        </w:rPr>
        <w:t>the Court</w:t>
      </w:r>
      <w:r w:rsidR="004E0E2F" w:rsidRPr="00CE23AE">
        <w:rPr>
          <w:lang w:val="en-US"/>
        </w:rPr>
        <w:t xml:space="preserve"> </w:t>
      </w:r>
      <w:r w:rsidRPr="00CE23AE">
        <w:rPr>
          <w:lang w:val="en-US"/>
        </w:rPr>
        <w:t>finds it pertinent to establish other measures.</w:t>
      </w:r>
    </w:p>
    <w:p w14:paraId="72DF8221" w14:textId="77777777" w:rsidR="004E0E2F" w:rsidRPr="00CE23AE" w:rsidRDefault="004E0E2F" w:rsidP="004E0E2F">
      <w:pPr>
        <w:rPr>
          <w:rFonts w:eastAsia="Batang"/>
          <w:lang w:val="en-US"/>
        </w:rPr>
      </w:pPr>
    </w:p>
    <w:p w14:paraId="03901A96" w14:textId="7C5F615D" w:rsidR="004E0E2F" w:rsidRPr="00CE23AE" w:rsidRDefault="00495CD3" w:rsidP="004E0E2F">
      <w:pPr>
        <w:pStyle w:val="Ttulo2"/>
        <w:numPr>
          <w:ilvl w:val="0"/>
          <w:numId w:val="27"/>
        </w:numPr>
        <w:ind w:left="1134"/>
        <w:rPr>
          <w:lang w:val="en-US"/>
        </w:rPr>
      </w:pPr>
      <w:bookmarkStart w:id="475" w:name="_Toc46388405"/>
      <w:r w:rsidRPr="00CE23AE">
        <w:rPr>
          <w:lang w:val="en-US"/>
        </w:rPr>
        <w:t>Injured party</w:t>
      </w:r>
      <w:bookmarkStart w:id="476" w:name="_Toc375560978"/>
      <w:bookmarkEnd w:id="475"/>
    </w:p>
    <w:p w14:paraId="4A58A3DD" w14:textId="77777777" w:rsidR="004E0E2F" w:rsidRPr="00CE23AE" w:rsidRDefault="004E0E2F" w:rsidP="004E0E2F">
      <w:pPr>
        <w:rPr>
          <w:lang w:val="en-US" w:eastAsia="es-MX"/>
        </w:rPr>
      </w:pPr>
    </w:p>
    <w:p w14:paraId="4593380A" w14:textId="2D1A25A3" w:rsidR="004E0E2F" w:rsidRPr="00CE23AE" w:rsidRDefault="00000AD5" w:rsidP="004E0E2F">
      <w:pPr>
        <w:pStyle w:val="PrrafodeSentencia"/>
        <w:tabs>
          <w:tab w:val="clear" w:pos="12305"/>
          <w:tab w:val="num" w:pos="12589"/>
        </w:tabs>
        <w:rPr>
          <w:lang w:val="en-US"/>
        </w:rPr>
      </w:pPr>
      <w:r w:rsidRPr="00CE23AE">
        <w:rPr>
          <w:lang w:val="en-US"/>
        </w:rPr>
        <w:t>This Court</w:t>
      </w:r>
      <w:r w:rsidR="004E0E2F" w:rsidRPr="00CE23AE">
        <w:rPr>
          <w:lang w:val="en-US"/>
        </w:rPr>
        <w:t xml:space="preserve"> reitera</w:t>
      </w:r>
      <w:r w:rsidR="00495CD3" w:rsidRPr="00CE23AE">
        <w:rPr>
          <w:lang w:val="en-US"/>
        </w:rPr>
        <w:t>tes that</w:t>
      </w:r>
      <w:r w:rsidR="00D26744" w:rsidRPr="00CE23AE">
        <w:rPr>
          <w:lang w:val="en-US"/>
        </w:rPr>
        <w:t xml:space="preserve">, </w:t>
      </w:r>
      <w:r w:rsidR="00495CD3" w:rsidRPr="00CE23AE">
        <w:rPr>
          <w:lang w:val="en-US"/>
        </w:rPr>
        <w:t>in the terms of</w:t>
      </w:r>
      <w:r w:rsidR="00996128" w:rsidRPr="00CE23AE">
        <w:rPr>
          <w:lang w:val="en-US"/>
        </w:rPr>
        <w:t xml:space="preserve"> Article</w:t>
      </w:r>
      <w:r w:rsidR="004E0E2F" w:rsidRPr="00CE23AE">
        <w:rPr>
          <w:lang w:val="en-US"/>
        </w:rPr>
        <w:t xml:space="preserve"> </w:t>
      </w:r>
      <w:r w:rsidR="00C561DF" w:rsidRPr="00CE23AE">
        <w:rPr>
          <w:lang w:val="en-US"/>
        </w:rPr>
        <w:t>63(1) of the Convention</w:t>
      </w:r>
      <w:r w:rsidR="004E0E2F" w:rsidRPr="00CE23AE">
        <w:rPr>
          <w:lang w:val="en-US"/>
        </w:rPr>
        <w:t xml:space="preserve">, </w:t>
      </w:r>
      <w:r w:rsidR="00D26744" w:rsidRPr="00CE23AE">
        <w:rPr>
          <w:lang w:val="en-US"/>
        </w:rPr>
        <w:t xml:space="preserve">it considers that an “injured party” </w:t>
      </w:r>
      <w:r w:rsidR="00495CD3" w:rsidRPr="00CE23AE">
        <w:rPr>
          <w:lang w:val="en-US"/>
        </w:rPr>
        <w:t xml:space="preserve">is anyone who has been declared a victim of the violation of any right recognized </w:t>
      </w:r>
      <w:r w:rsidR="00D26744" w:rsidRPr="00CE23AE">
        <w:rPr>
          <w:lang w:val="en-US"/>
        </w:rPr>
        <w:t>in this instrument</w:t>
      </w:r>
      <w:r w:rsidR="00495CD3" w:rsidRPr="00CE23AE">
        <w:rPr>
          <w:lang w:val="en-US"/>
        </w:rPr>
        <w:t>. Therefore, the Court considers that Homero Flor Freire is an injured party and, in his capacity as a victim of the violations declared in</w:t>
      </w:r>
      <w:r w:rsidR="004E0E2F" w:rsidRPr="00CE23AE">
        <w:rPr>
          <w:lang w:val="en-US"/>
        </w:rPr>
        <w:t xml:space="preserve"> </w:t>
      </w:r>
      <w:r w:rsidR="0015354B" w:rsidRPr="00CE23AE">
        <w:rPr>
          <w:lang w:val="en-US"/>
        </w:rPr>
        <w:t>Chapter</w:t>
      </w:r>
      <w:r w:rsidR="004E0E2F" w:rsidRPr="00CE23AE">
        <w:rPr>
          <w:lang w:val="en-US"/>
        </w:rPr>
        <w:t xml:space="preserve"> VIII</w:t>
      </w:r>
      <w:r w:rsidR="00495CD3" w:rsidRPr="00CE23AE">
        <w:rPr>
          <w:lang w:val="en-US"/>
        </w:rPr>
        <w:t xml:space="preserve"> he will be the beneficiary of the following measures ordered by the Court</w:t>
      </w:r>
      <w:r w:rsidR="00D26744" w:rsidRPr="00CE23AE">
        <w:rPr>
          <w:lang w:val="en-US"/>
        </w:rPr>
        <w:t>.</w:t>
      </w:r>
    </w:p>
    <w:p w14:paraId="3BD9C0E8" w14:textId="77777777" w:rsidR="004E0E2F" w:rsidRPr="00CE23AE" w:rsidRDefault="004E0E2F" w:rsidP="004E0E2F">
      <w:pPr>
        <w:pStyle w:val="PrrafodeSentencia"/>
        <w:numPr>
          <w:ilvl w:val="0"/>
          <w:numId w:val="0"/>
        </w:numPr>
        <w:rPr>
          <w:lang w:val="en-US"/>
        </w:rPr>
      </w:pPr>
    </w:p>
    <w:p w14:paraId="2BCA65FD" w14:textId="4D96357C" w:rsidR="004E0E2F" w:rsidRPr="00CE23AE" w:rsidRDefault="004E0E2F" w:rsidP="004E0E2F">
      <w:pPr>
        <w:pStyle w:val="Ttulo2"/>
        <w:numPr>
          <w:ilvl w:val="0"/>
          <w:numId w:val="27"/>
        </w:numPr>
        <w:ind w:left="1134"/>
        <w:rPr>
          <w:lang w:val="en-US"/>
        </w:rPr>
      </w:pPr>
      <w:bookmarkStart w:id="477" w:name="_Toc374024123"/>
      <w:bookmarkStart w:id="478" w:name="_Toc374024204"/>
      <w:bookmarkStart w:id="479" w:name="_Toc406580703"/>
      <w:bookmarkStart w:id="480" w:name="_Toc426108481"/>
      <w:bookmarkStart w:id="481" w:name="_Toc430339027"/>
      <w:bookmarkStart w:id="482" w:name="_Toc454891521"/>
      <w:r w:rsidRPr="00CE23AE">
        <w:rPr>
          <w:lang w:val="en-US"/>
        </w:rPr>
        <w:t xml:space="preserve"> </w:t>
      </w:r>
      <w:bookmarkStart w:id="483" w:name="_Toc457840626"/>
      <w:bookmarkStart w:id="484" w:name="_Toc460398735"/>
      <w:bookmarkStart w:id="485" w:name="_Toc464475019"/>
      <w:bookmarkStart w:id="486" w:name="_Toc46388406"/>
      <w:r w:rsidR="00495CD3" w:rsidRPr="00CE23AE">
        <w:rPr>
          <w:lang w:val="en-US"/>
        </w:rPr>
        <w:t>Measures of integral reparation: restitution, satisfaction</w:t>
      </w:r>
      <w:r w:rsidR="00C561DF" w:rsidRPr="00CE23AE">
        <w:rPr>
          <w:lang w:val="en-US"/>
        </w:rPr>
        <w:t xml:space="preserve"> and </w:t>
      </w:r>
      <w:r w:rsidR="00936CD5" w:rsidRPr="00CE23AE">
        <w:rPr>
          <w:lang w:val="en-US"/>
        </w:rPr>
        <w:t>guarantees of non-repetition</w:t>
      </w:r>
      <w:bookmarkEnd w:id="477"/>
      <w:bookmarkEnd w:id="478"/>
      <w:bookmarkEnd w:id="479"/>
      <w:bookmarkEnd w:id="480"/>
      <w:bookmarkEnd w:id="481"/>
      <w:bookmarkEnd w:id="482"/>
      <w:bookmarkEnd w:id="483"/>
      <w:bookmarkEnd w:id="484"/>
      <w:bookmarkEnd w:id="485"/>
      <w:bookmarkEnd w:id="486"/>
    </w:p>
    <w:p w14:paraId="0EB76F5C" w14:textId="77777777" w:rsidR="004E0E2F" w:rsidRPr="00CE23AE" w:rsidRDefault="004E0E2F" w:rsidP="004E0E2F">
      <w:pPr>
        <w:pStyle w:val="PrrafodeSentencia"/>
        <w:numPr>
          <w:ilvl w:val="0"/>
          <w:numId w:val="0"/>
        </w:numPr>
        <w:rPr>
          <w:lang w:val="en-US"/>
        </w:rPr>
      </w:pPr>
    </w:p>
    <w:p w14:paraId="2E37C4BC" w14:textId="7492F63B" w:rsidR="004E0E2F" w:rsidRPr="00CE23AE" w:rsidRDefault="004E0E2F" w:rsidP="004E0E2F">
      <w:pPr>
        <w:pStyle w:val="Ttulo3"/>
        <w:rPr>
          <w:rFonts w:eastAsia="Batang"/>
          <w:i/>
          <w:lang w:val="en-US" w:eastAsia="es-MX"/>
        </w:rPr>
      </w:pPr>
      <w:bookmarkStart w:id="487" w:name="_Toc454891522"/>
      <w:bookmarkStart w:id="488" w:name="_Toc457840627"/>
      <w:bookmarkStart w:id="489" w:name="_Toc460398554"/>
      <w:bookmarkStart w:id="490" w:name="_Toc460398736"/>
      <w:bookmarkStart w:id="491" w:name="_Toc464475020"/>
      <w:bookmarkStart w:id="492" w:name="_Toc46388407"/>
      <w:bookmarkStart w:id="493" w:name="_Toc426108484"/>
      <w:bookmarkStart w:id="494" w:name="_Toc430339030"/>
      <w:bookmarkEnd w:id="476"/>
      <w:r w:rsidRPr="00CE23AE">
        <w:rPr>
          <w:lang w:val="en-US"/>
        </w:rPr>
        <w:t xml:space="preserve">B.1 </w:t>
      </w:r>
      <w:r w:rsidR="00495CD3" w:rsidRPr="00CE23AE">
        <w:rPr>
          <w:rFonts w:eastAsia="Batang"/>
          <w:lang w:val="en-US" w:eastAsia="es-MX"/>
        </w:rPr>
        <w:t>Reincorporation of the victim into</w:t>
      </w:r>
      <w:r w:rsidRPr="00CE23AE">
        <w:rPr>
          <w:rFonts w:eastAsia="Batang"/>
          <w:lang w:val="en-US" w:eastAsia="es-MX"/>
        </w:rPr>
        <w:t xml:space="preserve"> </w:t>
      </w:r>
      <w:r w:rsidR="008B76F3" w:rsidRPr="00CE23AE">
        <w:rPr>
          <w:rFonts w:eastAsia="Batang"/>
          <w:lang w:val="en-US" w:eastAsia="es-MX"/>
        </w:rPr>
        <w:t>the Ground Forces</w:t>
      </w:r>
      <w:bookmarkEnd w:id="487"/>
      <w:bookmarkEnd w:id="488"/>
      <w:bookmarkEnd w:id="489"/>
      <w:bookmarkEnd w:id="490"/>
      <w:bookmarkEnd w:id="491"/>
      <w:bookmarkEnd w:id="492"/>
      <w:r w:rsidRPr="00CE23AE">
        <w:rPr>
          <w:rFonts w:eastAsia="Batang"/>
          <w:lang w:val="en-US" w:eastAsia="es-MX"/>
        </w:rPr>
        <w:t xml:space="preserve"> </w:t>
      </w:r>
    </w:p>
    <w:p w14:paraId="2C832F7F" w14:textId="77777777" w:rsidR="004E0E2F" w:rsidRPr="00CE23AE" w:rsidRDefault="004E0E2F" w:rsidP="004E0E2F">
      <w:pPr>
        <w:spacing w:line="240" w:lineRule="auto"/>
        <w:rPr>
          <w:rFonts w:eastAsia="Batang"/>
          <w:lang w:val="en-US"/>
        </w:rPr>
      </w:pPr>
    </w:p>
    <w:p w14:paraId="3FC1F4C0" w14:textId="171368BD" w:rsidR="004E0E2F" w:rsidRPr="00CE23AE" w:rsidRDefault="004E0E2F" w:rsidP="004E0E2F">
      <w:pPr>
        <w:pStyle w:val="Ttulo4"/>
        <w:rPr>
          <w:lang w:val="en-US"/>
        </w:rPr>
      </w:pPr>
      <w:bookmarkStart w:id="495" w:name="_Toc457840628"/>
      <w:bookmarkStart w:id="496" w:name="_Toc460398555"/>
      <w:bookmarkStart w:id="497" w:name="_Toc460398737"/>
      <w:bookmarkStart w:id="498" w:name="_Toc464475021"/>
      <w:bookmarkStart w:id="499" w:name="_Toc46388408"/>
      <w:r w:rsidRPr="00CE23AE">
        <w:rPr>
          <w:lang w:val="en-US"/>
        </w:rPr>
        <w:t>B.1.</w:t>
      </w:r>
      <w:r w:rsidR="000E5624" w:rsidRPr="00CE23AE">
        <w:rPr>
          <w:lang w:val="en-US"/>
        </w:rPr>
        <w:t xml:space="preserve">a </w:t>
      </w:r>
      <w:r w:rsidR="005F350B" w:rsidRPr="00CE23AE">
        <w:rPr>
          <w:lang w:val="en-US"/>
        </w:rPr>
        <w:t>Arguments</w:t>
      </w:r>
      <w:r w:rsidRPr="00CE23AE">
        <w:rPr>
          <w:lang w:val="en-US"/>
        </w:rPr>
        <w:t xml:space="preserve"> </w:t>
      </w:r>
      <w:r w:rsidR="005024E2" w:rsidRPr="00CE23AE">
        <w:rPr>
          <w:lang w:val="en-US"/>
        </w:rPr>
        <w:t>of the parties</w:t>
      </w:r>
      <w:r w:rsidR="00C561DF" w:rsidRPr="00CE23AE">
        <w:rPr>
          <w:lang w:val="en-US"/>
        </w:rPr>
        <w:t xml:space="preserve"> and of the Commission</w:t>
      </w:r>
      <w:bookmarkEnd w:id="495"/>
      <w:bookmarkEnd w:id="496"/>
      <w:bookmarkEnd w:id="497"/>
      <w:bookmarkEnd w:id="498"/>
      <w:bookmarkEnd w:id="499"/>
    </w:p>
    <w:p w14:paraId="0ED74CE2" w14:textId="77777777" w:rsidR="004E0E2F" w:rsidRPr="00CE23AE" w:rsidRDefault="004E0E2F" w:rsidP="004E0E2F">
      <w:pPr>
        <w:autoSpaceDE w:val="0"/>
        <w:autoSpaceDN w:val="0"/>
        <w:rPr>
          <w:lang w:val="en-US"/>
        </w:rPr>
      </w:pPr>
    </w:p>
    <w:p w14:paraId="74AD397D" w14:textId="057756C1" w:rsidR="004E0E2F" w:rsidRPr="00CE23AE" w:rsidRDefault="00C561DF" w:rsidP="004E0E2F">
      <w:pPr>
        <w:pStyle w:val="PrrafodeSentencia"/>
        <w:tabs>
          <w:tab w:val="clear" w:pos="12305"/>
          <w:tab w:val="num" w:pos="12589"/>
        </w:tabs>
        <w:rPr>
          <w:lang w:val="en-US" w:bidi="en-US"/>
        </w:rPr>
      </w:pPr>
      <w:r w:rsidRPr="00CE23AE">
        <w:rPr>
          <w:lang w:val="en-US" w:bidi="en-US"/>
        </w:rPr>
        <w:t xml:space="preserve">The </w:t>
      </w:r>
      <w:r w:rsidRPr="00CE23AE">
        <w:rPr>
          <w:b/>
          <w:bCs/>
          <w:i/>
          <w:iCs/>
          <w:lang w:val="en-US" w:bidi="en-US"/>
        </w:rPr>
        <w:t>Commission</w:t>
      </w:r>
      <w:r w:rsidR="004E0E2F" w:rsidRPr="00CE23AE">
        <w:rPr>
          <w:b/>
          <w:i/>
          <w:lang w:val="en-US" w:bidi="en-US"/>
        </w:rPr>
        <w:t xml:space="preserve"> </w:t>
      </w:r>
      <w:r w:rsidR="00CE3A8F" w:rsidRPr="00CE23AE">
        <w:rPr>
          <w:lang w:val="en-US" w:bidi="en-US"/>
        </w:rPr>
        <w:t>asked that</w:t>
      </w:r>
      <w:r w:rsidR="004E0E2F" w:rsidRPr="00CE23AE">
        <w:rPr>
          <w:lang w:val="en-US" w:bidi="en-US"/>
        </w:rPr>
        <w:t xml:space="preserve"> </w:t>
      </w:r>
      <w:r w:rsidR="00F5102B" w:rsidRPr="00CE23AE">
        <w:rPr>
          <w:lang w:val="en-US" w:bidi="en-US"/>
        </w:rPr>
        <w:t>Mr. Flor</w:t>
      </w:r>
      <w:r w:rsidR="004E0E2F" w:rsidRPr="00CE23AE">
        <w:rPr>
          <w:lang w:val="en-US" w:bidi="en-US"/>
        </w:rPr>
        <w:t xml:space="preserve"> Freire </w:t>
      </w:r>
      <w:r w:rsidR="00CE3A8F" w:rsidRPr="00CE23AE">
        <w:rPr>
          <w:lang w:val="en-US" w:bidi="en-US"/>
        </w:rPr>
        <w:t>be reincorporated</w:t>
      </w:r>
      <w:r w:rsidR="004E0E2F" w:rsidRPr="00CE23AE">
        <w:rPr>
          <w:lang w:val="en-US" w:bidi="en-US"/>
        </w:rPr>
        <w:t xml:space="preserve"> </w:t>
      </w:r>
      <w:r w:rsidR="00CE3A8F" w:rsidRPr="00CE23AE">
        <w:rPr>
          <w:lang w:val="en-US" w:bidi="en-US"/>
        </w:rPr>
        <w:t xml:space="preserve">into </w:t>
      </w:r>
      <w:r w:rsidR="008B76F3" w:rsidRPr="00CE23AE">
        <w:rPr>
          <w:lang w:val="en-US" w:bidi="en-US"/>
        </w:rPr>
        <w:t>the Ground Forces</w:t>
      </w:r>
      <w:r w:rsidR="004E0E2F" w:rsidRPr="00CE23AE">
        <w:rPr>
          <w:lang w:val="en-US" w:bidi="en-US"/>
        </w:rPr>
        <w:t>,</w:t>
      </w:r>
      <w:r w:rsidRPr="00CE23AE">
        <w:rPr>
          <w:lang w:val="en-US" w:bidi="en-US"/>
        </w:rPr>
        <w:t xml:space="preserve"> and </w:t>
      </w:r>
      <w:r w:rsidR="00CE3A8F" w:rsidRPr="00CE23AE">
        <w:rPr>
          <w:lang w:val="en-US" w:bidi="en-US"/>
        </w:rPr>
        <w:t xml:space="preserve">stressed that, contrary to most of the cases that the Court hears, “re-establishment of the previous situation is possible and, therefore, is appropriate as the </w:t>
      </w:r>
      <w:r w:rsidR="00251205" w:rsidRPr="00CE23AE">
        <w:rPr>
          <w:lang w:val="en-US" w:bidi="en-US"/>
        </w:rPr>
        <w:t>principal</w:t>
      </w:r>
      <w:r w:rsidR="00CE3A8F" w:rsidRPr="00CE23AE">
        <w:rPr>
          <w:lang w:val="en-US" w:bidi="en-US"/>
        </w:rPr>
        <w:t xml:space="preserve"> measure of full restitution.” It also stressed that the victim had indicated that “the most important reparation for him [was] […]  </w:t>
      </w:r>
      <w:r w:rsidR="00251205" w:rsidRPr="00CE23AE">
        <w:rPr>
          <w:lang w:val="en-US" w:bidi="en-US"/>
        </w:rPr>
        <w:t>reinstatement in</w:t>
      </w:r>
      <w:r w:rsidR="00CE3A8F" w:rsidRPr="00CE23AE">
        <w:rPr>
          <w:lang w:val="en-US" w:bidi="en-US"/>
        </w:rPr>
        <w:t xml:space="preserve"> his pos</w:t>
      </w:r>
      <w:r w:rsidR="00251205" w:rsidRPr="00CE23AE">
        <w:rPr>
          <w:lang w:val="en-US" w:bidi="en-US"/>
        </w:rPr>
        <w:t>t</w:t>
      </w:r>
      <w:r w:rsidR="00CE3A8F" w:rsidRPr="00CE23AE">
        <w:rPr>
          <w:lang w:val="en-US" w:bidi="en-US"/>
        </w:rPr>
        <w:t xml:space="preserve">.” However, </w:t>
      </w:r>
      <w:r w:rsidRPr="00CE23AE">
        <w:rPr>
          <w:rFonts w:eastAsia="Calibri" w:cs="Cambria"/>
          <w:lang w:val="en-US"/>
        </w:rPr>
        <w:t>the Commission</w:t>
      </w:r>
      <w:r w:rsidR="004E0E2F" w:rsidRPr="00CE23AE">
        <w:rPr>
          <w:rFonts w:eastAsia="Calibri" w:cs="Cambria"/>
          <w:lang w:val="en-US"/>
        </w:rPr>
        <w:t xml:space="preserve"> </w:t>
      </w:r>
      <w:r w:rsidR="00CE3A8F" w:rsidRPr="00CE23AE">
        <w:rPr>
          <w:rFonts w:eastAsia="Calibri" w:cs="Cambria"/>
          <w:lang w:val="en-US"/>
        </w:rPr>
        <w:t>recogni</w:t>
      </w:r>
      <w:r w:rsidR="00A74EEA" w:rsidRPr="00CE23AE">
        <w:rPr>
          <w:rFonts w:eastAsia="Calibri" w:cs="Cambria"/>
          <w:lang w:val="en-US"/>
        </w:rPr>
        <w:t>zed that “</w:t>
      </w:r>
      <w:r w:rsidR="00CE3A8F" w:rsidRPr="00CE23AE">
        <w:rPr>
          <w:rFonts w:eastAsia="Calibri" w:cs="Cambria"/>
          <w:lang w:val="en-US"/>
        </w:rPr>
        <w:t>certain objective circumstances</w:t>
      </w:r>
      <w:r w:rsidR="00A74EEA" w:rsidRPr="00CE23AE">
        <w:rPr>
          <w:rFonts w:eastAsia="Calibri" w:cs="Cambria"/>
          <w:lang w:val="en-US"/>
        </w:rPr>
        <w:t xml:space="preserve"> existed</w:t>
      </w:r>
      <w:r w:rsidR="00CE3A8F" w:rsidRPr="00CE23AE">
        <w:rPr>
          <w:rFonts w:eastAsia="Calibri" w:cs="Cambria"/>
          <w:lang w:val="en-US"/>
        </w:rPr>
        <w:t xml:space="preserve"> that could make [the said] reincorporation impos</w:t>
      </w:r>
      <w:r w:rsidR="00A74EEA" w:rsidRPr="00CE23AE">
        <w:rPr>
          <w:rFonts w:eastAsia="Calibri" w:cs="Cambria"/>
          <w:lang w:val="en-US"/>
        </w:rPr>
        <w:t>s</w:t>
      </w:r>
      <w:r w:rsidR="00CE3A8F" w:rsidRPr="00CE23AE">
        <w:rPr>
          <w:rFonts w:eastAsia="Calibri" w:cs="Cambria"/>
          <w:lang w:val="en-US"/>
        </w:rPr>
        <w:t xml:space="preserve">ible.” In this case, it argued that “[a]lthough the State referred to the existence of a risk to national security and presented </w:t>
      </w:r>
      <w:r w:rsidR="00E41391" w:rsidRPr="00CE23AE">
        <w:rPr>
          <w:rFonts w:eastAsia="Calibri" w:cs="Cambria"/>
          <w:lang w:val="en-US"/>
        </w:rPr>
        <w:t>expert opinion</w:t>
      </w:r>
      <w:r w:rsidR="004E0E2F" w:rsidRPr="00CE23AE">
        <w:rPr>
          <w:rFonts w:eastAsia="Calibri" w:cs="Cambria"/>
          <w:lang w:val="en-US"/>
        </w:rPr>
        <w:t>s</w:t>
      </w:r>
      <w:r w:rsidR="00CE3A8F" w:rsidRPr="00CE23AE">
        <w:rPr>
          <w:rFonts w:eastAsia="Calibri" w:cs="Cambria"/>
          <w:lang w:val="en-US"/>
        </w:rPr>
        <w:t xml:space="preserve"> in this regard, </w:t>
      </w:r>
      <w:r w:rsidR="00251205" w:rsidRPr="00CE23AE">
        <w:rPr>
          <w:rFonts w:eastAsia="Calibri" w:cs="Cambria"/>
          <w:lang w:val="en-US"/>
        </w:rPr>
        <w:t>those</w:t>
      </w:r>
      <w:r w:rsidR="00CE3A8F" w:rsidRPr="00CE23AE">
        <w:rPr>
          <w:rFonts w:eastAsia="Calibri" w:cs="Cambria"/>
          <w:lang w:val="en-US"/>
        </w:rPr>
        <w:t xml:space="preserve"> arguments are theoretical.”</w:t>
      </w:r>
    </w:p>
    <w:p w14:paraId="348363E0" w14:textId="77777777" w:rsidR="004E0E2F" w:rsidRPr="00CE23AE" w:rsidRDefault="004E0E2F" w:rsidP="004E0E2F">
      <w:pPr>
        <w:autoSpaceDE w:val="0"/>
        <w:autoSpaceDN w:val="0"/>
        <w:contextualSpacing/>
        <w:rPr>
          <w:rFonts w:cs="ArialUnicodeMS"/>
          <w:color w:val="FF0000"/>
          <w:szCs w:val="20"/>
          <w:lang w:val="en-US" w:bidi="en-US"/>
        </w:rPr>
      </w:pPr>
    </w:p>
    <w:p w14:paraId="2F9B5EC5" w14:textId="798D3979" w:rsidR="004E0E2F" w:rsidRPr="00CE23AE" w:rsidRDefault="00C561DF" w:rsidP="00FE5FD6">
      <w:pPr>
        <w:pStyle w:val="PrrafodeSentencia"/>
        <w:tabs>
          <w:tab w:val="clear" w:pos="12305"/>
          <w:tab w:val="num" w:pos="12589"/>
        </w:tabs>
        <w:rPr>
          <w:lang w:val="en-US"/>
        </w:rPr>
      </w:pPr>
      <w:r w:rsidRPr="00CE23AE">
        <w:rPr>
          <w:lang w:val="en-US"/>
        </w:rPr>
        <w:t xml:space="preserve">The </w:t>
      </w:r>
      <w:r w:rsidRPr="00CE23AE">
        <w:rPr>
          <w:b/>
          <w:bCs/>
          <w:i/>
          <w:iCs/>
          <w:lang w:val="en-US"/>
        </w:rPr>
        <w:t>representative</w:t>
      </w:r>
      <w:r w:rsidR="004E0E2F" w:rsidRPr="00CE23AE">
        <w:rPr>
          <w:lang w:val="en-US"/>
        </w:rPr>
        <w:t xml:space="preserve"> </w:t>
      </w:r>
      <w:r w:rsidR="00CE3A8F" w:rsidRPr="00CE23AE">
        <w:rPr>
          <w:lang w:val="en-US"/>
        </w:rPr>
        <w:t>asked that</w:t>
      </w:r>
      <w:r w:rsidR="004E0E2F" w:rsidRPr="00CE23AE">
        <w:rPr>
          <w:lang w:val="en-US"/>
        </w:rPr>
        <w:t xml:space="preserve"> </w:t>
      </w:r>
      <w:r w:rsidR="00F5102B" w:rsidRPr="00CE23AE">
        <w:rPr>
          <w:lang w:val="en-US"/>
        </w:rPr>
        <w:t>Mr. Flor</w:t>
      </w:r>
      <w:r w:rsidR="004E0E2F" w:rsidRPr="00CE23AE">
        <w:rPr>
          <w:lang w:val="en-US"/>
        </w:rPr>
        <w:t xml:space="preserve"> Freire </w:t>
      </w:r>
      <w:r w:rsidR="00CE3A8F" w:rsidRPr="00CE23AE">
        <w:rPr>
          <w:lang w:val="en-US"/>
        </w:rPr>
        <w:t xml:space="preserve">be reincorporated into </w:t>
      </w:r>
      <w:r w:rsidR="008B76F3" w:rsidRPr="00CE23AE">
        <w:rPr>
          <w:lang w:val="en-US"/>
        </w:rPr>
        <w:t>the Ground Forces</w:t>
      </w:r>
      <w:r w:rsidR="004E0E2F" w:rsidRPr="00CE23AE">
        <w:rPr>
          <w:lang w:val="en-US"/>
        </w:rPr>
        <w:t xml:space="preserve"> </w:t>
      </w:r>
      <w:r w:rsidR="00CE3A8F" w:rsidRPr="00CE23AE">
        <w:rPr>
          <w:lang w:val="en-US"/>
        </w:rPr>
        <w:t xml:space="preserve">with the rank that would correspond to his </w:t>
      </w:r>
      <w:r w:rsidR="00AA47AE" w:rsidRPr="00CE23AE">
        <w:rPr>
          <w:lang w:val="en-US"/>
        </w:rPr>
        <w:t>cohort</w:t>
      </w:r>
      <w:r w:rsidR="00CE3A8F" w:rsidRPr="00CE23AE">
        <w:rPr>
          <w:lang w:val="en-US"/>
        </w:rPr>
        <w:t xml:space="preserve">. In this regard, </w:t>
      </w:r>
      <w:r w:rsidR="00981BAD" w:rsidRPr="00CE23AE">
        <w:rPr>
          <w:lang w:val="en-US"/>
        </w:rPr>
        <w:t>the representative indicated</w:t>
      </w:r>
      <w:r w:rsidR="00CE3A8F" w:rsidRPr="00CE23AE">
        <w:rPr>
          <w:lang w:val="en-US"/>
        </w:rPr>
        <w:t xml:space="preserve"> that “</w:t>
      </w:r>
      <w:r w:rsidR="00FE5FD6" w:rsidRPr="00CE23AE">
        <w:rPr>
          <w:lang w:val="en-US"/>
        </w:rPr>
        <w:t>he should be reinstated in the pos</w:t>
      </w:r>
      <w:r w:rsidR="00981BAD" w:rsidRPr="00CE23AE">
        <w:rPr>
          <w:lang w:val="en-US"/>
        </w:rPr>
        <w:t>t</w:t>
      </w:r>
      <w:r w:rsidR="00FE5FD6" w:rsidRPr="00CE23AE">
        <w:rPr>
          <w:lang w:val="en-US"/>
        </w:rPr>
        <w:t xml:space="preserve"> </w:t>
      </w:r>
      <w:r w:rsidR="00981BAD" w:rsidRPr="00CE23AE">
        <w:rPr>
          <w:lang w:val="en-US"/>
        </w:rPr>
        <w:t>he would have occupied</w:t>
      </w:r>
      <w:r w:rsidR="00FE5FD6" w:rsidRPr="00CE23AE">
        <w:rPr>
          <w:lang w:val="en-US"/>
        </w:rPr>
        <w:t xml:space="preserve"> if the discriminatory act had not existed.” He also asked for the “annulment of the record and the penalty imposed for the supposed misconduct that led to </w:t>
      </w:r>
      <w:r w:rsidR="00981BAD" w:rsidRPr="00CE23AE">
        <w:rPr>
          <w:lang w:val="en-US"/>
        </w:rPr>
        <w:t>[Mr. Flor Freire]</w:t>
      </w:r>
      <w:r w:rsidR="00FE5FD6" w:rsidRPr="00CE23AE">
        <w:rPr>
          <w:lang w:val="en-US"/>
        </w:rPr>
        <w:t xml:space="preserve"> being placed on paid leave and then discharged from </w:t>
      </w:r>
      <w:r w:rsidR="008B76F3" w:rsidRPr="00CE23AE">
        <w:rPr>
          <w:lang w:val="en-US"/>
        </w:rPr>
        <w:t xml:space="preserve">the </w:t>
      </w:r>
      <w:r w:rsidR="00CB4410" w:rsidRPr="00CE23AE">
        <w:rPr>
          <w:lang w:val="en-US"/>
        </w:rPr>
        <w:t>Ecuadorian Ground Forces</w:t>
      </w:r>
      <w:r w:rsidR="00FE5FD6" w:rsidRPr="00CE23AE">
        <w:rPr>
          <w:lang w:val="en-US"/>
        </w:rPr>
        <w:t>.</w:t>
      </w:r>
      <w:r w:rsidR="004E0E2F" w:rsidRPr="00CE23AE">
        <w:rPr>
          <w:lang w:val="en-US"/>
        </w:rPr>
        <w:t>”</w:t>
      </w:r>
      <w:r w:rsidR="00FE5FD6" w:rsidRPr="00CE23AE">
        <w:rPr>
          <w:lang w:val="en-US"/>
        </w:rPr>
        <w:t xml:space="preserve"> Additionally, he requested “[p]ayment of the amount corresponding to the Armed Forces for social security contributions to future </w:t>
      </w:r>
      <w:r w:rsidR="00AA47AE" w:rsidRPr="00CE23AE">
        <w:rPr>
          <w:lang w:val="en-US"/>
        </w:rPr>
        <w:t xml:space="preserve">termination of employment and </w:t>
      </w:r>
      <w:r w:rsidR="00FE5FD6" w:rsidRPr="00CE23AE">
        <w:rPr>
          <w:lang w:val="en-US"/>
        </w:rPr>
        <w:t xml:space="preserve">retirement payments from the date of separation until his reincorporation into </w:t>
      </w:r>
      <w:r w:rsidR="008B76F3" w:rsidRPr="00CE23AE">
        <w:rPr>
          <w:lang w:val="en-US"/>
        </w:rPr>
        <w:t>the Ground Forces</w:t>
      </w:r>
      <w:r w:rsidR="004E0E2F" w:rsidRPr="00CE23AE">
        <w:rPr>
          <w:lang w:val="en-US"/>
        </w:rPr>
        <w:t xml:space="preserve">” </w:t>
      </w:r>
      <w:r w:rsidR="00FE5FD6" w:rsidRPr="00CE23AE">
        <w:rPr>
          <w:lang w:val="en-US"/>
        </w:rPr>
        <w:t>as well as maintaining</w:t>
      </w:r>
      <w:r w:rsidR="004E0E2F" w:rsidRPr="00CE23AE">
        <w:rPr>
          <w:lang w:val="en-US"/>
        </w:rPr>
        <w:t xml:space="preserve"> “</w:t>
      </w:r>
      <w:r w:rsidR="00FE5FD6" w:rsidRPr="00CE23AE">
        <w:rPr>
          <w:lang w:val="en-US"/>
        </w:rPr>
        <w:t xml:space="preserve">all the contributions made for social security to the Social Security Institute </w:t>
      </w:r>
      <w:r w:rsidR="0005476C" w:rsidRPr="00CE23AE">
        <w:rPr>
          <w:lang w:val="en-US"/>
        </w:rPr>
        <w:t xml:space="preserve">of the </w:t>
      </w:r>
      <w:r w:rsidR="009C5D46" w:rsidRPr="00CE23AE">
        <w:rPr>
          <w:lang w:val="en-US"/>
        </w:rPr>
        <w:t>Armed Forces</w:t>
      </w:r>
      <w:r w:rsidR="004E0E2F" w:rsidRPr="00CE23AE">
        <w:rPr>
          <w:lang w:val="en-US"/>
        </w:rPr>
        <w:t xml:space="preserve"> </w:t>
      </w:r>
      <w:r w:rsidR="00FE5FD6" w:rsidRPr="00CE23AE">
        <w:rPr>
          <w:lang w:val="en-US"/>
        </w:rPr>
        <w:t>in favor</w:t>
      </w:r>
      <w:r w:rsidR="004E0E2F" w:rsidRPr="00CE23AE">
        <w:rPr>
          <w:lang w:val="en-US"/>
        </w:rPr>
        <w:t xml:space="preserve"> </w:t>
      </w:r>
      <w:r w:rsidR="00000AE1" w:rsidRPr="00CE23AE">
        <w:rPr>
          <w:lang w:val="en-US"/>
        </w:rPr>
        <w:t>of Mr.</w:t>
      </w:r>
      <w:r w:rsidR="00F5102B" w:rsidRPr="00CE23AE">
        <w:rPr>
          <w:lang w:val="en-US"/>
        </w:rPr>
        <w:t xml:space="preserve"> Flor</w:t>
      </w:r>
      <w:r w:rsidR="004E0E2F" w:rsidRPr="00CE23AE">
        <w:rPr>
          <w:lang w:val="en-US"/>
        </w:rPr>
        <w:t xml:space="preserve"> Freire </w:t>
      </w:r>
      <w:r w:rsidR="00FE5FD6" w:rsidRPr="00CE23AE">
        <w:rPr>
          <w:lang w:val="en-US"/>
        </w:rPr>
        <w:t>from</w:t>
      </w:r>
      <w:r w:rsidR="004E0E2F" w:rsidRPr="00CE23AE">
        <w:rPr>
          <w:lang w:val="en-US"/>
        </w:rPr>
        <w:t xml:space="preserve"> 1992</w:t>
      </w:r>
      <w:r w:rsidRPr="00CE23AE">
        <w:rPr>
          <w:lang w:val="en-US"/>
        </w:rPr>
        <w:t xml:space="preserve"> </w:t>
      </w:r>
      <w:r w:rsidR="00FE5FD6" w:rsidRPr="00CE23AE">
        <w:rPr>
          <w:lang w:val="en-US"/>
        </w:rPr>
        <w:t>to</w:t>
      </w:r>
      <w:r w:rsidR="004E0E2F" w:rsidRPr="00CE23AE">
        <w:rPr>
          <w:lang w:val="en-US"/>
        </w:rPr>
        <w:t xml:space="preserve"> 2002,</w:t>
      </w:r>
      <w:r w:rsidR="00FE5FD6" w:rsidRPr="00CE23AE">
        <w:rPr>
          <w:lang w:val="en-US"/>
        </w:rPr>
        <w:t xml:space="preserve"> as well</w:t>
      </w:r>
      <w:r w:rsidR="004E0E2F" w:rsidRPr="00CE23AE">
        <w:rPr>
          <w:lang w:val="en-US"/>
        </w:rPr>
        <w:t xml:space="preserve"> as […] </w:t>
      </w:r>
      <w:r w:rsidR="00FE5FD6" w:rsidRPr="00CE23AE">
        <w:rPr>
          <w:lang w:val="en-US"/>
        </w:rPr>
        <w:t>all the rights for severance and other benefits, even contingency funds.”</w:t>
      </w:r>
      <w:r w:rsidR="004E0E2F" w:rsidRPr="00CE23AE">
        <w:rPr>
          <w:lang w:val="en-US"/>
        </w:rPr>
        <w:t xml:space="preserve"> </w:t>
      </w:r>
    </w:p>
    <w:p w14:paraId="768F6F99" w14:textId="77777777" w:rsidR="004E0E2F" w:rsidRPr="00CE23AE" w:rsidRDefault="004E0E2F" w:rsidP="004E0E2F">
      <w:pPr>
        <w:pStyle w:val="PrrafodeSentencia"/>
        <w:numPr>
          <w:ilvl w:val="0"/>
          <w:numId w:val="0"/>
        </w:numPr>
        <w:rPr>
          <w:rFonts w:cs="ArialUnicodeMS"/>
          <w:lang w:val="en-US" w:bidi="en-US"/>
        </w:rPr>
      </w:pPr>
    </w:p>
    <w:p w14:paraId="77B93E15" w14:textId="6FA99BD8" w:rsidR="004E0E2F" w:rsidRPr="00CE23AE" w:rsidRDefault="00C561DF" w:rsidP="004E0E2F">
      <w:pPr>
        <w:pStyle w:val="PrrafodeSentencia"/>
        <w:tabs>
          <w:tab w:val="clear" w:pos="12305"/>
          <w:tab w:val="num" w:pos="12589"/>
        </w:tabs>
        <w:rPr>
          <w:rFonts w:cs="ArialUnicodeMS"/>
          <w:lang w:val="en-US" w:bidi="en-US"/>
        </w:rPr>
      </w:pPr>
      <w:r w:rsidRPr="00CE23AE">
        <w:rPr>
          <w:rFonts w:cs="ArialUnicodeMS"/>
          <w:lang w:val="en-US" w:bidi="en-US"/>
        </w:rPr>
        <w:t xml:space="preserve">The </w:t>
      </w:r>
      <w:r w:rsidRPr="00CE23AE">
        <w:rPr>
          <w:rFonts w:cs="ArialUnicodeMS"/>
          <w:b/>
          <w:bCs/>
          <w:i/>
          <w:iCs/>
          <w:lang w:val="en-US" w:bidi="en-US"/>
        </w:rPr>
        <w:t>State</w:t>
      </w:r>
      <w:r w:rsidR="004E0E2F" w:rsidRPr="00CE23AE">
        <w:rPr>
          <w:rFonts w:cs="ArialUnicodeMS"/>
          <w:lang w:val="en-US" w:bidi="en-US"/>
        </w:rPr>
        <w:t xml:space="preserve"> argu</w:t>
      </w:r>
      <w:r w:rsidR="00FE5FD6" w:rsidRPr="00CE23AE">
        <w:rPr>
          <w:rFonts w:cs="ArialUnicodeMS"/>
          <w:lang w:val="en-US" w:bidi="en-US"/>
        </w:rPr>
        <w:t xml:space="preserve">ed that it was impossible to reinstate </w:t>
      </w:r>
      <w:r w:rsidR="00000AE1" w:rsidRPr="00CE23AE">
        <w:rPr>
          <w:rFonts w:cs="ArialUnicodeMS"/>
          <w:lang w:val="en-US" w:bidi="en-US"/>
        </w:rPr>
        <w:t>Mr.</w:t>
      </w:r>
      <w:r w:rsidR="00F5102B" w:rsidRPr="00CE23AE">
        <w:rPr>
          <w:rFonts w:cs="ArialUnicodeMS"/>
          <w:lang w:val="en-US" w:bidi="en-US"/>
        </w:rPr>
        <w:t xml:space="preserve"> Flor</w:t>
      </w:r>
      <w:r w:rsidR="004E0E2F" w:rsidRPr="00CE23AE">
        <w:rPr>
          <w:rFonts w:cs="ArialUnicodeMS"/>
          <w:lang w:val="en-US" w:bidi="en-US"/>
        </w:rPr>
        <w:t xml:space="preserve"> Freire </w:t>
      </w:r>
      <w:r w:rsidR="00FE5FD6" w:rsidRPr="00CE23AE">
        <w:rPr>
          <w:rFonts w:cs="ArialUnicodeMS"/>
          <w:lang w:val="en-US" w:bidi="en-US"/>
        </w:rPr>
        <w:t xml:space="preserve">in the </w:t>
      </w:r>
      <w:r w:rsidR="00981BAD" w:rsidRPr="00CE23AE">
        <w:rPr>
          <w:rFonts w:cs="ArialUnicodeMS"/>
          <w:lang w:val="en-US" w:bidi="en-US"/>
        </w:rPr>
        <w:t>A</w:t>
      </w:r>
      <w:r w:rsidR="00FE5FD6" w:rsidRPr="00CE23AE">
        <w:rPr>
          <w:rFonts w:cs="ArialUnicodeMS"/>
          <w:lang w:val="en-US" w:bidi="en-US"/>
        </w:rPr>
        <w:t xml:space="preserve">rmed </w:t>
      </w:r>
      <w:r w:rsidR="00981BAD" w:rsidRPr="00CE23AE">
        <w:rPr>
          <w:rFonts w:cs="ArialUnicodeMS"/>
          <w:lang w:val="en-US" w:bidi="en-US"/>
        </w:rPr>
        <w:t>F</w:t>
      </w:r>
      <w:r w:rsidR="00FE5FD6" w:rsidRPr="00CE23AE">
        <w:rPr>
          <w:rFonts w:cs="ArialUnicodeMS"/>
          <w:lang w:val="en-US" w:bidi="en-US"/>
        </w:rPr>
        <w:t xml:space="preserve">orces, based on a legal and technical analysis it had made, which proved that such an action was not viable. It also argued the “existence of risks” to the unit and to public security. Regarding the contributions to social security requested by </w:t>
      </w:r>
      <w:r w:rsidRPr="00CE23AE">
        <w:rPr>
          <w:rFonts w:cs="ArialUnicodeMS"/>
          <w:lang w:val="en-US" w:bidi="en-US"/>
        </w:rPr>
        <w:t>the representative</w:t>
      </w:r>
      <w:r w:rsidR="004E0E2F" w:rsidRPr="00CE23AE">
        <w:rPr>
          <w:rFonts w:cs="ArialUnicodeMS"/>
          <w:lang w:val="en-US" w:bidi="en-US"/>
        </w:rPr>
        <w:t xml:space="preserve">, </w:t>
      </w:r>
      <w:r w:rsidRPr="00CE23AE">
        <w:rPr>
          <w:rFonts w:cs="ArialUnicodeMS"/>
          <w:lang w:val="en-US" w:bidi="en-US"/>
        </w:rPr>
        <w:t>the State</w:t>
      </w:r>
      <w:r w:rsidR="004E0E2F" w:rsidRPr="00CE23AE">
        <w:rPr>
          <w:rFonts w:cs="ArialUnicodeMS"/>
          <w:lang w:val="en-US" w:bidi="en-US"/>
        </w:rPr>
        <w:t xml:space="preserve"> </w:t>
      </w:r>
      <w:r w:rsidR="00FE5FD6" w:rsidRPr="00CE23AE">
        <w:rPr>
          <w:rFonts w:cs="ArialUnicodeMS"/>
          <w:lang w:val="en-US" w:bidi="en-US"/>
        </w:rPr>
        <w:t>argued that</w:t>
      </w:r>
      <w:r w:rsidR="004E0E2F" w:rsidRPr="00CE23AE">
        <w:rPr>
          <w:rFonts w:cs="ArialUnicodeMS"/>
          <w:lang w:val="en-US" w:bidi="en-US"/>
        </w:rPr>
        <w:t xml:space="preserve"> </w:t>
      </w:r>
      <w:r w:rsidR="00F5102B" w:rsidRPr="00CE23AE">
        <w:rPr>
          <w:rFonts w:cs="ArialUnicodeMS"/>
          <w:lang w:val="en-US" w:bidi="en-US"/>
        </w:rPr>
        <w:t>Mr. Flor</w:t>
      </w:r>
      <w:r w:rsidR="004E0E2F" w:rsidRPr="00CE23AE">
        <w:rPr>
          <w:rFonts w:cs="ArialUnicodeMS"/>
          <w:lang w:val="en-US" w:bidi="en-US"/>
        </w:rPr>
        <w:t xml:space="preserve"> Freire ha</w:t>
      </w:r>
      <w:r w:rsidR="00FE5FD6" w:rsidRPr="00CE23AE">
        <w:rPr>
          <w:rFonts w:cs="ArialUnicodeMS"/>
          <w:lang w:val="en-US" w:bidi="en-US"/>
        </w:rPr>
        <w:t xml:space="preserve">d received an income from </w:t>
      </w:r>
      <w:r w:rsidR="00981BAD" w:rsidRPr="00CE23AE">
        <w:rPr>
          <w:rFonts w:cs="ArialUnicodeMS"/>
          <w:lang w:val="en-US" w:bidi="en-US"/>
        </w:rPr>
        <w:t xml:space="preserve">his </w:t>
      </w:r>
      <w:r w:rsidR="00FE5FD6" w:rsidRPr="00CE23AE">
        <w:rPr>
          <w:rFonts w:cs="ArialUnicodeMS"/>
          <w:lang w:val="en-US" w:bidi="en-US"/>
        </w:rPr>
        <w:t>remuneration as a private employee, “</w:t>
      </w:r>
      <w:r w:rsidR="00981BAD" w:rsidRPr="00CE23AE">
        <w:rPr>
          <w:rFonts w:cs="ArialUnicodeMS"/>
          <w:lang w:val="en-US" w:bidi="en-US"/>
        </w:rPr>
        <w:t>with</w:t>
      </w:r>
      <w:r w:rsidR="00FE5FD6" w:rsidRPr="00CE23AE">
        <w:rPr>
          <w:rFonts w:cs="ArialUnicodeMS"/>
          <w:lang w:val="en-US" w:bidi="en-US"/>
        </w:rPr>
        <w:t xml:space="preserve"> access to employment benefits and to the social security system.”</w:t>
      </w:r>
    </w:p>
    <w:p w14:paraId="188FB56D" w14:textId="77777777" w:rsidR="004E0E2F" w:rsidRPr="00CE23AE" w:rsidRDefault="004E0E2F" w:rsidP="004E0E2F">
      <w:pPr>
        <w:pStyle w:val="PrrafodeSentencia"/>
        <w:numPr>
          <w:ilvl w:val="0"/>
          <w:numId w:val="0"/>
        </w:numPr>
        <w:rPr>
          <w:rFonts w:cs="ArialUnicodeMS"/>
          <w:lang w:val="en-US" w:bidi="en-US"/>
        </w:rPr>
      </w:pPr>
    </w:p>
    <w:p w14:paraId="5C2FCB92" w14:textId="644D83F3" w:rsidR="004E0E2F" w:rsidRPr="00CE23AE" w:rsidRDefault="004E0E2F" w:rsidP="004E0E2F">
      <w:pPr>
        <w:pStyle w:val="Ttulo4"/>
        <w:rPr>
          <w:lang w:val="en-US"/>
        </w:rPr>
      </w:pPr>
      <w:bookmarkStart w:id="500" w:name="_Toc457840629"/>
      <w:bookmarkStart w:id="501" w:name="_Toc460398556"/>
      <w:bookmarkStart w:id="502" w:name="_Toc460398738"/>
      <w:bookmarkStart w:id="503" w:name="_Toc464475022"/>
      <w:bookmarkStart w:id="504" w:name="_Toc46388409"/>
      <w:r w:rsidRPr="00CE23AE">
        <w:rPr>
          <w:lang w:val="en-US"/>
        </w:rPr>
        <w:t>B.1.</w:t>
      </w:r>
      <w:r w:rsidR="000E5624" w:rsidRPr="00CE23AE">
        <w:rPr>
          <w:lang w:val="en-US"/>
        </w:rPr>
        <w:t>b</w:t>
      </w:r>
      <w:r w:rsidRPr="00CE23AE">
        <w:rPr>
          <w:lang w:val="en-US"/>
        </w:rPr>
        <w:t xml:space="preserve"> </w:t>
      </w:r>
      <w:r w:rsidR="005024E2" w:rsidRPr="00CE23AE">
        <w:rPr>
          <w:lang w:val="en-US"/>
        </w:rPr>
        <w:t>Considerations</w:t>
      </w:r>
      <w:r w:rsidR="00C561DF" w:rsidRPr="00CE23AE">
        <w:rPr>
          <w:lang w:val="en-US"/>
        </w:rPr>
        <w:t xml:space="preserve"> of the Court</w:t>
      </w:r>
      <w:bookmarkEnd w:id="500"/>
      <w:bookmarkEnd w:id="501"/>
      <w:bookmarkEnd w:id="502"/>
      <w:bookmarkEnd w:id="503"/>
      <w:bookmarkEnd w:id="504"/>
    </w:p>
    <w:p w14:paraId="30A189FD" w14:textId="77777777" w:rsidR="004E0E2F" w:rsidRPr="00CE23AE" w:rsidRDefault="004E0E2F" w:rsidP="004E0E2F">
      <w:pPr>
        <w:autoSpaceDE w:val="0"/>
        <w:autoSpaceDN w:val="0"/>
        <w:contextualSpacing/>
        <w:rPr>
          <w:rFonts w:cs="ArialUnicodeMS"/>
          <w:szCs w:val="20"/>
          <w:lang w:val="en-US" w:bidi="en-US"/>
        </w:rPr>
      </w:pPr>
    </w:p>
    <w:p w14:paraId="4037829B" w14:textId="1677C789" w:rsidR="004E0E2F" w:rsidRPr="00CE23AE" w:rsidRDefault="00000AD5" w:rsidP="004E0E2F">
      <w:pPr>
        <w:pStyle w:val="PrrafodeSentencia"/>
        <w:tabs>
          <w:tab w:val="clear" w:pos="12305"/>
          <w:tab w:val="num" w:pos="12589"/>
        </w:tabs>
        <w:rPr>
          <w:spacing w:val="-2"/>
          <w:lang w:val="en-US"/>
        </w:rPr>
      </w:pPr>
      <w:bookmarkStart w:id="505" w:name="_Ref455672306"/>
      <w:r w:rsidRPr="00CE23AE">
        <w:rPr>
          <w:lang w:val="en-US"/>
        </w:rPr>
        <w:t>This Court</w:t>
      </w:r>
      <w:r w:rsidR="004E0E2F" w:rsidRPr="00CE23AE">
        <w:rPr>
          <w:lang w:val="en-US"/>
        </w:rPr>
        <w:t xml:space="preserve"> </w:t>
      </w:r>
      <w:r w:rsidR="00F84E8E" w:rsidRPr="00CE23AE">
        <w:rPr>
          <w:lang w:val="en-US"/>
        </w:rPr>
        <w:t xml:space="preserve">has determined that the separation </w:t>
      </w:r>
      <w:r w:rsidR="008B76F3" w:rsidRPr="00CE23AE">
        <w:rPr>
          <w:rFonts w:eastAsia="Calibri" w:cs="Verdana"/>
          <w:lang w:val="en-US"/>
        </w:rPr>
        <w:t>of Homero</w:t>
      </w:r>
      <w:r w:rsidR="004E0E2F" w:rsidRPr="00CE23AE">
        <w:rPr>
          <w:rFonts w:eastAsia="Calibri" w:cs="Verdana"/>
          <w:lang w:val="en-US"/>
        </w:rPr>
        <w:t xml:space="preserve"> Flor Freire </w:t>
      </w:r>
      <w:r w:rsidR="00F84E8E" w:rsidRPr="00CE23AE">
        <w:rPr>
          <w:rFonts w:eastAsia="Calibri" w:cs="Verdana"/>
          <w:lang w:val="en-US"/>
        </w:rPr>
        <w:t xml:space="preserve">from his post as a military officer </w:t>
      </w:r>
      <w:r w:rsidR="008B76F3" w:rsidRPr="00CE23AE">
        <w:rPr>
          <w:rFonts w:eastAsia="Calibri" w:cs="Verdana"/>
          <w:lang w:val="en-US"/>
        </w:rPr>
        <w:t xml:space="preserve">of the </w:t>
      </w:r>
      <w:r w:rsidR="00CB4410" w:rsidRPr="00CE23AE">
        <w:rPr>
          <w:rFonts w:eastAsia="Calibri" w:cs="Verdana"/>
          <w:lang w:val="en-US"/>
        </w:rPr>
        <w:t>Ecuadorian Ground Forces</w:t>
      </w:r>
      <w:r w:rsidR="004E0E2F" w:rsidRPr="00CE23AE">
        <w:rPr>
          <w:lang w:val="en-US"/>
        </w:rPr>
        <w:t xml:space="preserve"> </w:t>
      </w:r>
      <w:r w:rsidR="00F84E8E" w:rsidRPr="00CE23AE">
        <w:rPr>
          <w:lang w:val="en-US"/>
        </w:rPr>
        <w:t xml:space="preserve">was the result of a disciplinary procedure that violated the right to equality before the law and the prohibition of </w:t>
      </w:r>
      <w:r w:rsidR="00FA0123" w:rsidRPr="00CE23AE">
        <w:rPr>
          <w:lang w:val="en-US"/>
        </w:rPr>
        <w:t>discrimination</w:t>
      </w:r>
      <w:r w:rsidR="004E0E2F" w:rsidRPr="00CE23AE">
        <w:rPr>
          <w:lang w:val="en-US"/>
        </w:rPr>
        <w:t xml:space="preserve"> </w:t>
      </w:r>
      <w:r w:rsidR="00F84E8E" w:rsidRPr="00CE23AE">
        <w:rPr>
          <w:lang w:val="en-US"/>
        </w:rPr>
        <w:t>and</w:t>
      </w:r>
      <w:r w:rsidR="00981BAD" w:rsidRPr="00CE23AE">
        <w:rPr>
          <w:lang w:val="en-US"/>
        </w:rPr>
        <w:t>,</w:t>
      </w:r>
      <w:r w:rsidR="00F84E8E" w:rsidRPr="00CE23AE">
        <w:rPr>
          <w:lang w:val="en-US"/>
        </w:rPr>
        <w:t xml:space="preserve"> during which</w:t>
      </w:r>
      <w:r w:rsidR="00981BAD" w:rsidRPr="00CE23AE">
        <w:rPr>
          <w:lang w:val="en-US"/>
        </w:rPr>
        <w:t>,</w:t>
      </w:r>
      <w:r w:rsidR="00F84E8E" w:rsidRPr="00CE23AE">
        <w:rPr>
          <w:lang w:val="en-US"/>
        </w:rPr>
        <w:t xml:space="preserve"> the guarantee of impartiality was also violated</w:t>
      </w:r>
      <w:r w:rsidR="004E0E2F" w:rsidRPr="00CE23AE">
        <w:rPr>
          <w:lang w:val="en-US"/>
        </w:rPr>
        <w:t xml:space="preserve"> </w:t>
      </w:r>
      <w:r w:rsidR="00F84E8E" w:rsidRPr="00CE23AE">
        <w:rPr>
          <w:lang w:val="en-US"/>
        </w:rPr>
        <w:t>(</w:t>
      </w:r>
      <w:r w:rsidR="004E0E2F" w:rsidRPr="00CE23AE">
        <w:rPr>
          <w:i/>
          <w:lang w:val="en-US"/>
        </w:rPr>
        <w:t>supra</w:t>
      </w:r>
      <w:r w:rsidR="004E0E2F" w:rsidRPr="00CE23AE">
        <w:rPr>
          <w:lang w:val="en-US"/>
        </w:rPr>
        <w:t xml:space="preserve"> </w:t>
      </w:r>
      <w:r w:rsidR="005C743F" w:rsidRPr="00CE23AE">
        <w:rPr>
          <w:lang w:val="en-US"/>
        </w:rPr>
        <w:t>paras.</w:t>
      </w:r>
      <w:r w:rsidR="004E0E2F" w:rsidRPr="00CE23AE">
        <w:rPr>
          <w:lang w:val="en-US"/>
        </w:rPr>
        <w:t xml:space="preserve"> </w:t>
      </w:r>
      <w:r w:rsidR="004E0E2F" w:rsidRPr="00CE23AE">
        <w:rPr>
          <w:lang w:val="en-US"/>
        </w:rPr>
        <w:fldChar w:fldCharType="begin"/>
      </w:r>
      <w:r w:rsidR="004E0E2F" w:rsidRPr="00CE23AE">
        <w:rPr>
          <w:lang w:val="en-US"/>
        </w:rPr>
        <w:instrText xml:space="preserve"> REF _Ref455483917 \r \h </w:instrText>
      </w:r>
      <w:r w:rsidR="00CE23AE">
        <w:rPr>
          <w:lang w:val="en-US"/>
        </w:rPr>
        <w:instrText xml:space="preserve"> \* MERGEFORMAT </w:instrText>
      </w:r>
      <w:r w:rsidR="004E0E2F" w:rsidRPr="00CE23AE">
        <w:rPr>
          <w:lang w:val="en-US"/>
        </w:rPr>
      </w:r>
      <w:r w:rsidR="004E0E2F" w:rsidRPr="00CE23AE">
        <w:rPr>
          <w:lang w:val="en-US"/>
        </w:rPr>
        <w:fldChar w:fldCharType="separate"/>
      </w:r>
      <w:r w:rsidR="00BC2953" w:rsidRPr="00CE23AE">
        <w:rPr>
          <w:lang w:val="en-US"/>
        </w:rPr>
        <w:t>108</w:t>
      </w:r>
      <w:r w:rsidR="004E0E2F" w:rsidRPr="00CE23AE">
        <w:rPr>
          <w:lang w:val="en-US"/>
        </w:rPr>
        <w:fldChar w:fldCharType="end"/>
      </w:r>
      <w:r w:rsidR="004E0E2F" w:rsidRPr="00CE23AE">
        <w:rPr>
          <w:lang w:val="en-US"/>
        </w:rPr>
        <w:t xml:space="preserve"> </w:t>
      </w:r>
      <w:r w:rsidR="00F84E8E" w:rsidRPr="00CE23AE">
        <w:rPr>
          <w:lang w:val="en-US"/>
        </w:rPr>
        <w:t>to</w:t>
      </w:r>
      <w:r w:rsidR="004E0E2F" w:rsidRPr="00CE23AE">
        <w:rPr>
          <w:lang w:val="en-US"/>
        </w:rPr>
        <w:t xml:space="preserve"> </w:t>
      </w:r>
      <w:r w:rsidR="004E0E2F" w:rsidRPr="00CE23AE">
        <w:rPr>
          <w:lang w:val="en-US"/>
        </w:rPr>
        <w:fldChar w:fldCharType="begin"/>
      </w:r>
      <w:r w:rsidR="004E0E2F" w:rsidRPr="00CE23AE">
        <w:rPr>
          <w:lang w:val="en-US"/>
        </w:rPr>
        <w:instrText xml:space="preserve"> REF _Ref453868596 \r \h </w:instrText>
      </w:r>
      <w:r w:rsidR="00CE23AE">
        <w:rPr>
          <w:lang w:val="en-US"/>
        </w:rPr>
        <w:instrText xml:space="preserve"> \* MERGEFORMAT </w:instrText>
      </w:r>
      <w:r w:rsidR="004E0E2F" w:rsidRPr="00CE23AE">
        <w:rPr>
          <w:lang w:val="en-US"/>
        </w:rPr>
      </w:r>
      <w:r w:rsidR="004E0E2F" w:rsidRPr="00CE23AE">
        <w:rPr>
          <w:lang w:val="en-US"/>
        </w:rPr>
        <w:fldChar w:fldCharType="separate"/>
      </w:r>
      <w:r w:rsidR="00BC2953" w:rsidRPr="00CE23AE">
        <w:rPr>
          <w:lang w:val="en-US"/>
        </w:rPr>
        <w:t>140</w:t>
      </w:r>
      <w:r w:rsidR="004E0E2F" w:rsidRPr="00CE23AE">
        <w:rPr>
          <w:lang w:val="en-US"/>
        </w:rPr>
        <w:fldChar w:fldCharType="end"/>
      </w:r>
      <w:r w:rsidR="00C561DF" w:rsidRPr="00CE23AE">
        <w:rPr>
          <w:lang w:val="en-US"/>
        </w:rPr>
        <w:t xml:space="preserve"> and </w:t>
      </w:r>
      <w:r w:rsidR="00370490" w:rsidRPr="00CE23AE">
        <w:rPr>
          <w:lang w:val="en-US"/>
        </w:rPr>
        <w:fldChar w:fldCharType="begin"/>
      </w:r>
      <w:r w:rsidR="00370490" w:rsidRPr="00CE23AE">
        <w:rPr>
          <w:lang w:val="en-US"/>
        </w:rPr>
        <w:instrText xml:space="preserve"> REF _Ref455672087 \r \h </w:instrText>
      </w:r>
      <w:r w:rsidR="00CE23AE">
        <w:rPr>
          <w:lang w:val="en-US"/>
        </w:rPr>
        <w:instrText xml:space="preserve"> \* MERGEFORMAT </w:instrText>
      </w:r>
      <w:r w:rsidR="00370490" w:rsidRPr="00CE23AE">
        <w:rPr>
          <w:lang w:val="en-US"/>
        </w:rPr>
      </w:r>
      <w:r w:rsidR="00370490" w:rsidRPr="00CE23AE">
        <w:rPr>
          <w:lang w:val="en-US"/>
        </w:rPr>
        <w:fldChar w:fldCharType="separate"/>
      </w:r>
      <w:r w:rsidR="00BC2953" w:rsidRPr="00CE23AE">
        <w:rPr>
          <w:lang w:val="en-US"/>
        </w:rPr>
        <w:t>168</w:t>
      </w:r>
      <w:r w:rsidR="00370490" w:rsidRPr="00CE23AE">
        <w:rPr>
          <w:lang w:val="en-US"/>
        </w:rPr>
        <w:fldChar w:fldCharType="end"/>
      </w:r>
      <w:r w:rsidR="00370490" w:rsidRPr="00CE23AE">
        <w:rPr>
          <w:lang w:val="en-US"/>
        </w:rPr>
        <w:t xml:space="preserve"> </w:t>
      </w:r>
      <w:r w:rsidR="00F84E8E" w:rsidRPr="00CE23AE">
        <w:rPr>
          <w:lang w:val="en-US"/>
        </w:rPr>
        <w:t>to</w:t>
      </w:r>
      <w:r w:rsidR="004E0E2F" w:rsidRPr="00CE23AE">
        <w:rPr>
          <w:lang w:val="en-US"/>
        </w:rPr>
        <w:t xml:space="preserve"> </w:t>
      </w:r>
      <w:r w:rsidR="004E0E2F" w:rsidRPr="00CE23AE">
        <w:rPr>
          <w:lang w:val="en-US"/>
        </w:rPr>
        <w:fldChar w:fldCharType="begin"/>
      </w:r>
      <w:r w:rsidR="004E0E2F" w:rsidRPr="00CE23AE">
        <w:rPr>
          <w:lang w:val="en-US"/>
        </w:rPr>
        <w:instrText xml:space="preserve"> REF _Ref455672103 \r \h </w:instrText>
      </w:r>
      <w:r w:rsidR="00CE23AE">
        <w:rPr>
          <w:lang w:val="en-US"/>
        </w:rPr>
        <w:instrText xml:space="preserve"> \* MERGEFORMAT </w:instrText>
      </w:r>
      <w:r w:rsidR="004E0E2F" w:rsidRPr="00CE23AE">
        <w:rPr>
          <w:lang w:val="en-US"/>
        </w:rPr>
      </w:r>
      <w:r w:rsidR="004E0E2F" w:rsidRPr="00CE23AE">
        <w:rPr>
          <w:lang w:val="en-US"/>
        </w:rPr>
        <w:fldChar w:fldCharType="separate"/>
      </w:r>
      <w:r w:rsidR="00BC2953" w:rsidRPr="00CE23AE">
        <w:rPr>
          <w:lang w:val="en-US"/>
        </w:rPr>
        <w:t>181</w:t>
      </w:r>
      <w:r w:rsidR="004E0E2F" w:rsidRPr="00CE23AE">
        <w:rPr>
          <w:lang w:val="en-US"/>
        </w:rPr>
        <w:fldChar w:fldCharType="end"/>
      </w:r>
      <w:r w:rsidR="004E0E2F" w:rsidRPr="00CE23AE">
        <w:rPr>
          <w:lang w:val="en-US"/>
        </w:rPr>
        <w:t xml:space="preserve">). </w:t>
      </w:r>
      <w:r w:rsidR="00F84E8E" w:rsidRPr="00CE23AE">
        <w:rPr>
          <w:lang w:val="en-US"/>
        </w:rPr>
        <w:t xml:space="preserve">In cases of arbitrary dismissals, the Court has considered that the immediate reincorporation of the victim to the </w:t>
      </w:r>
      <w:r w:rsidR="00522A39" w:rsidRPr="00CE23AE">
        <w:rPr>
          <w:lang w:val="en-US"/>
        </w:rPr>
        <w:t>post</w:t>
      </w:r>
      <w:r w:rsidR="00F84E8E" w:rsidRPr="00CE23AE">
        <w:rPr>
          <w:lang w:val="en-US"/>
        </w:rPr>
        <w:t xml:space="preserve"> he would have occupied if he had not been arbitrarily removed from the institution is, in principle, the most appropriate measure of reparation</w:t>
      </w:r>
      <w:r w:rsidR="004E0E2F" w:rsidRPr="00CE23AE">
        <w:rPr>
          <w:rStyle w:val="Refdenotaalpie"/>
          <w:rFonts w:eastAsia="MS ????"/>
          <w:lang w:val="en-US"/>
        </w:rPr>
        <w:footnoteReference w:id="299"/>
      </w:r>
      <w:r w:rsidR="00C561DF" w:rsidRPr="00CE23AE">
        <w:rPr>
          <w:lang w:val="en-US"/>
        </w:rPr>
        <w:t xml:space="preserve"> and </w:t>
      </w:r>
      <w:r w:rsidR="00F84E8E" w:rsidRPr="00CE23AE">
        <w:rPr>
          <w:lang w:val="en-US"/>
        </w:rPr>
        <w:t>the one that best accords with the full restitution that the reparation of the harm caused should seek</w:t>
      </w:r>
      <w:r w:rsidR="004E0E2F" w:rsidRPr="00CE23AE">
        <w:rPr>
          <w:bCs/>
          <w:lang w:val="en-US"/>
        </w:rPr>
        <w:t xml:space="preserve"> (</w:t>
      </w:r>
      <w:r w:rsidR="004E0E2F" w:rsidRPr="00CE23AE">
        <w:rPr>
          <w:bCs/>
          <w:i/>
          <w:lang w:val="en-US"/>
        </w:rPr>
        <w:t>supra</w:t>
      </w:r>
      <w:r w:rsidR="004E0E2F" w:rsidRPr="00CE23AE">
        <w:rPr>
          <w:bCs/>
          <w:lang w:val="en-US"/>
        </w:rPr>
        <w:t xml:space="preserve"> </w:t>
      </w:r>
      <w:r w:rsidR="005C743F" w:rsidRPr="00CE23AE">
        <w:rPr>
          <w:bCs/>
          <w:lang w:val="en-US"/>
        </w:rPr>
        <w:t>para.</w:t>
      </w:r>
      <w:r w:rsidR="004E0E2F" w:rsidRPr="00CE23AE">
        <w:rPr>
          <w:bCs/>
          <w:lang w:val="en-US"/>
        </w:rPr>
        <w:t xml:space="preserve"> </w:t>
      </w:r>
      <w:r w:rsidR="004E0E2F" w:rsidRPr="00CE23AE">
        <w:rPr>
          <w:bCs/>
          <w:lang w:val="en-US"/>
        </w:rPr>
        <w:fldChar w:fldCharType="begin"/>
      </w:r>
      <w:r w:rsidR="004E0E2F" w:rsidRPr="00CE23AE">
        <w:rPr>
          <w:bCs/>
          <w:lang w:val="en-US"/>
        </w:rPr>
        <w:instrText xml:space="preserve"> REF _Ref454322507 \r \h </w:instrText>
      </w:r>
      <w:r w:rsidR="00CE23AE">
        <w:rPr>
          <w:bCs/>
          <w:lang w:val="en-US"/>
        </w:rPr>
        <w:instrText xml:space="preserve"> \* MERGEFORMAT </w:instrText>
      </w:r>
      <w:r w:rsidR="004E0E2F" w:rsidRPr="00CE23AE">
        <w:rPr>
          <w:bCs/>
          <w:lang w:val="en-US"/>
        </w:rPr>
      </w:r>
      <w:r w:rsidR="004E0E2F" w:rsidRPr="00CE23AE">
        <w:rPr>
          <w:bCs/>
          <w:lang w:val="en-US"/>
        </w:rPr>
        <w:fldChar w:fldCharType="separate"/>
      </w:r>
      <w:r w:rsidR="00BC2953" w:rsidRPr="00CE23AE">
        <w:rPr>
          <w:bCs/>
          <w:lang w:val="en-US"/>
        </w:rPr>
        <w:t>213</w:t>
      </w:r>
      <w:r w:rsidR="004E0E2F" w:rsidRPr="00CE23AE">
        <w:rPr>
          <w:bCs/>
          <w:lang w:val="en-US"/>
        </w:rPr>
        <w:fldChar w:fldCharType="end"/>
      </w:r>
      <w:r w:rsidR="004E0E2F" w:rsidRPr="00CE23AE">
        <w:rPr>
          <w:bCs/>
          <w:lang w:val="en-US"/>
        </w:rPr>
        <w:t xml:space="preserve">). </w:t>
      </w:r>
      <w:r w:rsidR="00F84E8E" w:rsidRPr="00CE23AE">
        <w:rPr>
          <w:bCs/>
          <w:lang w:val="en-US"/>
        </w:rPr>
        <w:t>However, the Court has recognized that there are objective circumstances why this might not be possible.</w:t>
      </w:r>
      <w:r w:rsidR="004E0E2F" w:rsidRPr="00CE23AE">
        <w:rPr>
          <w:rStyle w:val="Refdenotaalpie"/>
          <w:rFonts w:eastAsia="MS ????"/>
          <w:lang w:val="en-US"/>
        </w:rPr>
        <w:footnoteReference w:id="300"/>
      </w:r>
      <w:bookmarkEnd w:id="505"/>
      <w:r w:rsidR="004E0E2F" w:rsidRPr="00CE23AE">
        <w:rPr>
          <w:lang w:val="en-US"/>
        </w:rPr>
        <w:t xml:space="preserve"> </w:t>
      </w:r>
    </w:p>
    <w:p w14:paraId="2C9A4A07" w14:textId="77777777" w:rsidR="004E0E2F" w:rsidRPr="00CE23AE" w:rsidRDefault="004E0E2F" w:rsidP="004E0E2F">
      <w:pPr>
        <w:contextualSpacing/>
        <w:rPr>
          <w:spacing w:val="-2"/>
          <w:szCs w:val="20"/>
          <w:lang w:val="en-US"/>
        </w:rPr>
      </w:pPr>
    </w:p>
    <w:p w14:paraId="3616C097" w14:textId="4894BA99" w:rsidR="004E0E2F" w:rsidRPr="00CE23AE" w:rsidRDefault="00F84E8E" w:rsidP="004E0E2F">
      <w:pPr>
        <w:pStyle w:val="PrrafodeSentencia"/>
        <w:tabs>
          <w:tab w:val="clear" w:pos="12305"/>
          <w:tab w:val="num" w:pos="12589"/>
        </w:tabs>
        <w:rPr>
          <w:b/>
          <w:spacing w:val="-2"/>
          <w:lang w:val="en-US"/>
        </w:rPr>
      </w:pPr>
      <w:r w:rsidRPr="00CE23AE">
        <w:rPr>
          <w:rFonts w:eastAsia="Calibri" w:cs="Cambria"/>
          <w:lang w:val="en-US"/>
        </w:rPr>
        <w:t>In the instant case</w:t>
      </w:r>
      <w:r w:rsidR="004E0E2F" w:rsidRPr="00CE23AE">
        <w:rPr>
          <w:rFonts w:eastAsia="Calibri" w:cs="Cambria"/>
          <w:lang w:val="en-US"/>
        </w:rPr>
        <w:t xml:space="preserve">, </w:t>
      </w:r>
      <w:r w:rsidR="00C561DF" w:rsidRPr="00CE23AE">
        <w:rPr>
          <w:rFonts w:eastAsia="Calibri" w:cs="Cambria"/>
          <w:lang w:val="en-US"/>
        </w:rPr>
        <w:t>the State</w:t>
      </w:r>
      <w:r w:rsidR="004E0E2F" w:rsidRPr="00CE23AE">
        <w:rPr>
          <w:rFonts w:eastAsia="Calibri" w:cs="Cambria"/>
          <w:lang w:val="en-US"/>
        </w:rPr>
        <w:t xml:space="preserve"> ha</w:t>
      </w:r>
      <w:r w:rsidRPr="00CE23AE">
        <w:rPr>
          <w:rFonts w:eastAsia="Calibri" w:cs="Cambria"/>
          <w:lang w:val="en-US"/>
        </w:rPr>
        <w:t>s argued that it is not viable to reincorporate</w:t>
      </w:r>
      <w:r w:rsidR="004E0E2F" w:rsidRPr="00CE23AE">
        <w:rPr>
          <w:rFonts w:eastAsia="Calibri" w:cs="Cambria"/>
          <w:lang w:val="en-US"/>
        </w:rPr>
        <w:t xml:space="preserve"> </w:t>
      </w:r>
      <w:r w:rsidR="00000AE1" w:rsidRPr="00CE23AE">
        <w:rPr>
          <w:rFonts w:eastAsia="Calibri" w:cs="Cambria"/>
          <w:lang w:val="en-US"/>
        </w:rPr>
        <w:t>Mr.</w:t>
      </w:r>
      <w:r w:rsidR="00F5102B" w:rsidRPr="00CE23AE">
        <w:rPr>
          <w:rFonts w:eastAsia="Calibri" w:cs="Cambria"/>
          <w:lang w:val="en-US"/>
        </w:rPr>
        <w:t xml:space="preserve"> Flor</w:t>
      </w:r>
      <w:r w:rsidR="004E0E2F" w:rsidRPr="00CE23AE">
        <w:rPr>
          <w:rFonts w:eastAsia="Calibri" w:cs="Cambria"/>
          <w:lang w:val="en-US"/>
        </w:rPr>
        <w:t xml:space="preserve"> Freire </w:t>
      </w:r>
      <w:r w:rsidRPr="00CE23AE">
        <w:rPr>
          <w:rFonts w:eastAsia="Calibri" w:cs="Cambria"/>
          <w:lang w:val="en-US"/>
        </w:rPr>
        <w:t>into</w:t>
      </w:r>
      <w:r w:rsidR="004E0E2F" w:rsidRPr="00CE23AE">
        <w:rPr>
          <w:rFonts w:eastAsia="Calibri" w:cs="Cambria"/>
          <w:lang w:val="en-US"/>
        </w:rPr>
        <w:t xml:space="preserve"> </w:t>
      </w:r>
      <w:r w:rsidR="009C5D46" w:rsidRPr="00CE23AE">
        <w:rPr>
          <w:rFonts w:eastAsia="Calibri" w:cs="Cambria"/>
          <w:lang w:val="en-US"/>
        </w:rPr>
        <w:t>the Armed Forces</w:t>
      </w:r>
      <w:r w:rsidR="004E0E2F" w:rsidRPr="00CE23AE">
        <w:rPr>
          <w:rFonts w:eastAsia="Calibri" w:cs="Cambria"/>
          <w:lang w:val="en-US"/>
        </w:rPr>
        <w:t xml:space="preserve">. </w:t>
      </w:r>
      <w:r w:rsidRPr="00CE23AE">
        <w:rPr>
          <w:rFonts w:eastAsia="Calibri" w:cs="Cambria"/>
          <w:lang w:val="en-US"/>
        </w:rPr>
        <w:t xml:space="preserve">To support this argument, it provided a technical and legal analysis and proposed an </w:t>
      </w:r>
      <w:r w:rsidR="00E41391" w:rsidRPr="00CE23AE">
        <w:rPr>
          <w:rFonts w:eastAsia="Calibri" w:cs="Cambria"/>
          <w:lang w:val="en-US"/>
        </w:rPr>
        <w:t>expert witness</w:t>
      </w:r>
      <w:r w:rsidR="004E0E2F" w:rsidRPr="00CE23AE">
        <w:rPr>
          <w:rFonts w:eastAsia="Calibri" w:cs="Cambria"/>
          <w:lang w:val="en-US"/>
        </w:rPr>
        <w:t xml:space="preserve">. </w:t>
      </w:r>
      <w:r w:rsidRPr="00CE23AE">
        <w:rPr>
          <w:rFonts w:eastAsia="Calibri" w:cs="Cambria"/>
          <w:lang w:val="en-US"/>
        </w:rPr>
        <w:t>Meanwhile</w:t>
      </w:r>
      <w:r w:rsidR="004E0E2F" w:rsidRPr="00CE23AE">
        <w:rPr>
          <w:rFonts w:eastAsia="Calibri" w:cs="Cambria"/>
          <w:lang w:val="en-US"/>
        </w:rPr>
        <w:t xml:space="preserve">, </w:t>
      </w:r>
      <w:r w:rsidR="00C561DF" w:rsidRPr="00CE23AE">
        <w:rPr>
          <w:rFonts w:eastAsia="Calibri" w:cs="Cambria"/>
          <w:lang w:val="en-US"/>
        </w:rPr>
        <w:t>the representative and the Commission</w:t>
      </w:r>
      <w:r w:rsidR="004E0E2F" w:rsidRPr="00CE23AE">
        <w:rPr>
          <w:rFonts w:eastAsia="Calibri" w:cs="Cambria"/>
          <w:lang w:val="en-US"/>
        </w:rPr>
        <w:t xml:space="preserve"> </w:t>
      </w:r>
      <w:r w:rsidRPr="00CE23AE">
        <w:rPr>
          <w:rFonts w:eastAsia="Calibri" w:cs="Cambria"/>
          <w:lang w:val="en-US"/>
        </w:rPr>
        <w:t xml:space="preserve">insisted on the importance of reincorporation as a measure of full reparation and argued that the State had not </w:t>
      </w:r>
      <w:r w:rsidRPr="00CE23AE">
        <w:rPr>
          <w:rFonts w:eastAsia="Calibri" w:cs="Cambria"/>
          <w:lang w:val="en-US"/>
        </w:rPr>
        <w:lastRenderedPageBreak/>
        <w:t>proved the legal impossibility of reincorporation or the existence of a real risk associated with this. The Court will now analyze whether the State has proved the existenc</w:t>
      </w:r>
      <w:r w:rsidR="004E0E2F" w:rsidRPr="00CE23AE">
        <w:rPr>
          <w:rFonts w:eastAsia="Calibri" w:cs="Cambria"/>
          <w:lang w:val="en-US"/>
        </w:rPr>
        <w:t>e</w:t>
      </w:r>
      <w:r w:rsidRPr="00CE23AE">
        <w:rPr>
          <w:rFonts w:eastAsia="Calibri" w:cs="Cambria"/>
          <w:lang w:val="en-US"/>
        </w:rPr>
        <w:t xml:space="preserve"> of circumstances th</w:t>
      </w:r>
      <w:r w:rsidR="00A74EEA" w:rsidRPr="00CE23AE">
        <w:rPr>
          <w:rFonts w:eastAsia="Calibri" w:cs="Cambria"/>
          <w:lang w:val="en-US"/>
        </w:rPr>
        <w:t>a</w:t>
      </w:r>
      <w:r w:rsidRPr="00CE23AE">
        <w:rPr>
          <w:rFonts w:eastAsia="Calibri" w:cs="Cambria"/>
          <w:lang w:val="en-US"/>
        </w:rPr>
        <w:t xml:space="preserve">t </w:t>
      </w:r>
      <w:r w:rsidR="00981BAD" w:rsidRPr="00CE23AE">
        <w:rPr>
          <w:rFonts w:eastAsia="Calibri" w:cs="Cambria"/>
          <w:lang w:val="en-US"/>
        </w:rPr>
        <w:t xml:space="preserve">stand in the way of </w:t>
      </w:r>
      <w:r w:rsidRPr="00CE23AE">
        <w:rPr>
          <w:rFonts w:eastAsia="Calibri" w:cs="Cambria"/>
          <w:lang w:val="en-US"/>
        </w:rPr>
        <w:t xml:space="preserve">this obligation or convert it into an excessive burden for the State and that, consequently, would justify </w:t>
      </w:r>
      <w:r w:rsidR="00A74EEA" w:rsidRPr="00CE23AE">
        <w:rPr>
          <w:rFonts w:eastAsia="Calibri" w:cs="Cambria"/>
          <w:lang w:val="en-US"/>
        </w:rPr>
        <w:t>relieving the State of its obligation to rein</w:t>
      </w:r>
      <w:r w:rsidR="00981BAD" w:rsidRPr="00CE23AE">
        <w:rPr>
          <w:rFonts w:eastAsia="Calibri" w:cs="Cambria"/>
          <w:lang w:val="en-US"/>
        </w:rPr>
        <w:t>state</w:t>
      </w:r>
      <w:r w:rsidR="004E0E2F" w:rsidRPr="00CE23AE">
        <w:rPr>
          <w:rFonts w:eastAsia="Calibri" w:cs="Cambria"/>
          <w:lang w:val="en-US"/>
        </w:rPr>
        <w:t xml:space="preserve"> </w:t>
      </w:r>
      <w:r w:rsidR="008B76F3" w:rsidRPr="00CE23AE">
        <w:rPr>
          <w:rFonts w:eastAsia="Calibri" w:cs="Cambria"/>
          <w:lang w:val="en-US"/>
        </w:rPr>
        <w:t>Mr.</w:t>
      </w:r>
      <w:r w:rsidR="004E0E2F" w:rsidRPr="00CE23AE">
        <w:rPr>
          <w:rFonts w:eastAsia="Calibri" w:cs="Cambria"/>
          <w:lang w:val="en-US"/>
        </w:rPr>
        <w:t xml:space="preserve"> Flor Freire. </w:t>
      </w:r>
      <w:r w:rsidR="00A74EEA" w:rsidRPr="00CE23AE">
        <w:rPr>
          <w:rFonts w:eastAsia="Calibri" w:cs="Cambria"/>
          <w:lang w:val="en-US"/>
        </w:rPr>
        <w:t xml:space="preserve">In its analysis, the Court will bear in mind the importance accorded by the victim to his reincorporation </w:t>
      </w:r>
      <w:r w:rsidR="00A74EEA" w:rsidRPr="00CE23AE">
        <w:rPr>
          <w:spacing w:val="-2"/>
          <w:lang w:val="en-US"/>
        </w:rPr>
        <w:t xml:space="preserve">into </w:t>
      </w:r>
      <w:r w:rsidR="008B76F3" w:rsidRPr="00CE23AE">
        <w:rPr>
          <w:spacing w:val="-2"/>
          <w:lang w:val="en-US"/>
        </w:rPr>
        <w:t>the Ground Forces</w:t>
      </w:r>
      <w:r w:rsidR="004E0E2F" w:rsidRPr="00CE23AE">
        <w:rPr>
          <w:spacing w:val="-2"/>
          <w:lang w:val="en-US"/>
        </w:rPr>
        <w:t xml:space="preserve">. </w:t>
      </w:r>
      <w:r w:rsidR="004E0E2F" w:rsidRPr="00CE23AE">
        <w:rPr>
          <w:color w:val="FF0000"/>
          <w:spacing w:val="-2"/>
          <w:lang w:val="en-US"/>
        </w:rPr>
        <w:t xml:space="preserve"> </w:t>
      </w:r>
    </w:p>
    <w:p w14:paraId="21E736BA" w14:textId="77777777" w:rsidR="004E0E2F" w:rsidRPr="00CE23AE" w:rsidRDefault="004E0E2F" w:rsidP="004E0E2F">
      <w:pPr>
        <w:pStyle w:val="PrrafodeSentencia"/>
        <w:numPr>
          <w:ilvl w:val="0"/>
          <w:numId w:val="0"/>
        </w:numPr>
        <w:rPr>
          <w:b/>
          <w:spacing w:val="-2"/>
          <w:lang w:val="en-US"/>
        </w:rPr>
      </w:pPr>
    </w:p>
    <w:p w14:paraId="3E2B3731" w14:textId="44491D83" w:rsidR="004E0E2F" w:rsidRPr="00CE23AE" w:rsidRDefault="00C561DF" w:rsidP="00A74EEA">
      <w:pPr>
        <w:pStyle w:val="PrrafodeSentencia"/>
        <w:tabs>
          <w:tab w:val="clear" w:pos="12305"/>
          <w:tab w:val="num" w:pos="12589"/>
        </w:tabs>
        <w:rPr>
          <w:rFonts w:cs="ArialUnicodeMS"/>
          <w:lang w:val="en-US" w:bidi="en-US"/>
        </w:rPr>
      </w:pPr>
      <w:r w:rsidRPr="00CE23AE">
        <w:rPr>
          <w:lang w:val="en-US" w:bidi="en-US"/>
        </w:rPr>
        <w:t>The State</w:t>
      </w:r>
      <w:r w:rsidR="004E0E2F" w:rsidRPr="00CE23AE">
        <w:rPr>
          <w:lang w:val="en-US" w:bidi="en-US"/>
        </w:rPr>
        <w:t xml:space="preserve"> </w:t>
      </w:r>
      <w:r w:rsidR="00A74EEA" w:rsidRPr="00CE23AE">
        <w:rPr>
          <w:lang w:val="en-US" w:bidi="en-US"/>
        </w:rPr>
        <w:t xml:space="preserve">provided a specific analysis of the possibility of reincorporating a member </w:t>
      </w:r>
      <w:r w:rsidR="0005476C" w:rsidRPr="00CE23AE">
        <w:rPr>
          <w:rFonts w:cs="ArialUnicodeMS"/>
          <w:lang w:val="en-US" w:bidi="en-US"/>
        </w:rPr>
        <w:t xml:space="preserve">of the </w:t>
      </w:r>
      <w:r w:rsidR="009C5D46" w:rsidRPr="00CE23AE">
        <w:rPr>
          <w:rFonts w:cs="ArialUnicodeMS"/>
          <w:lang w:val="en-US" w:bidi="en-US"/>
        </w:rPr>
        <w:t>Armed Forces</w:t>
      </w:r>
      <w:r w:rsidR="004E0E2F" w:rsidRPr="00CE23AE">
        <w:rPr>
          <w:rFonts w:cs="ArialUnicodeMS"/>
          <w:lang w:val="en-US" w:bidi="en-US"/>
        </w:rPr>
        <w:t xml:space="preserve"> </w:t>
      </w:r>
      <w:r w:rsidR="00A74EEA" w:rsidRPr="00CE23AE">
        <w:rPr>
          <w:rFonts w:cs="ArialUnicodeMS"/>
          <w:lang w:val="en-US" w:bidi="en-US"/>
        </w:rPr>
        <w:t>prepared by the</w:t>
      </w:r>
      <w:r w:rsidR="004E0E2F" w:rsidRPr="00CE23AE">
        <w:rPr>
          <w:rFonts w:cs="ArialUnicodeMS"/>
          <w:lang w:val="en-US" w:bidi="en-US"/>
        </w:rPr>
        <w:t xml:space="preserve"> General </w:t>
      </w:r>
      <w:r w:rsidR="00A74EEA" w:rsidRPr="00CE23AE">
        <w:rPr>
          <w:rFonts w:cs="ArialUnicodeMS"/>
          <w:lang w:val="en-US" w:bidi="en-US"/>
        </w:rPr>
        <w:t>Coordinator of the</w:t>
      </w:r>
      <w:r w:rsidR="004E0E2F" w:rsidRPr="00CE23AE">
        <w:rPr>
          <w:rFonts w:cs="ArialUnicodeMS"/>
          <w:lang w:val="en-US" w:bidi="en-US"/>
        </w:rPr>
        <w:t xml:space="preserve"> </w:t>
      </w:r>
      <w:r w:rsidR="00A74EEA" w:rsidRPr="00CE23AE">
        <w:rPr>
          <w:rFonts w:cs="ArialUnicodeMS"/>
          <w:lang w:val="en-US" w:bidi="en-US"/>
        </w:rPr>
        <w:t>Legal Services Department</w:t>
      </w:r>
      <w:r w:rsidR="0078516C" w:rsidRPr="00CE23AE">
        <w:rPr>
          <w:rFonts w:cs="ArialUnicodeMS"/>
          <w:lang w:val="en-US" w:bidi="en-US"/>
        </w:rPr>
        <w:t xml:space="preserve"> of the Ministry of National Defense</w:t>
      </w:r>
      <w:r w:rsidR="00C40631" w:rsidRPr="00CE23AE">
        <w:rPr>
          <w:rFonts w:cs="ArialUnicodeMS"/>
          <w:lang w:val="en-US" w:bidi="en-US"/>
        </w:rPr>
        <w:t>,</w:t>
      </w:r>
      <w:r w:rsidR="00981BAD" w:rsidRPr="00CE23AE">
        <w:rPr>
          <w:rFonts w:cs="ArialUnicodeMS"/>
          <w:lang w:val="en-US" w:bidi="en-US"/>
        </w:rPr>
        <w:t xml:space="preserve"> </w:t>
      </w:r>
      <w:r w:rsidR="00A74EEA" w:rsidRPr="00CE23AE">
        <w:rPr>
          <w:rFonts w:cs="ArialUnicodeMS"/>
          <w:lang w:val="en-US" w:bidi="en-US"/>
        </w:rPr>
        <w:t xml:space="preserve">to prove that it was legally impossible to reincorporate </w:t>
      </w:r>
      <w:r w:rsidR="008B76F3" w:rsidRPr="00CE23AE">
        <w:rPr>
          <w:rFonts w:cs="ArialUnicodeMS"/>
          <w:lang w:val="en-US" w:bidi="en-US"/>
        </w:rPr>
        <w:t>Mr.</w:t>
      </w:r>
      <w:r w:rsidR="004E0E2F" w:rsidRPr="00CE23AE">
        <w:rPr>
          <w:rFonts w:cs="ArialUnicodeMS"/>
          <w:lang w:val="en-US" w:bidi="en-US"/>
        </w:rPr>
        <w:t xml:space="preserve"> Flor Freire</w:t>
      </w:r>
      <w:r w:rsidR="00A74EEA" w:rsidRPr="00CE23AE">
        <w:rPr>
          <w:rFonts w:cs="ArialUnicodeMS"/>
          <w:lang w:val="en-US" w:bidi="en-US"/>
        </w:rPr>
        <w:t>.</w:t>
      </w:r>
      <w:r w:rsidR="004E0E2F" w:rsidRPr="00CE23AE">
        <w:rPr>
          <w:rStyle w:val="Refdenotaalpie"/>
          <w:rFonts w:cs="ArialUnicodeMS"/>
          <w:lang w:val="en-US" w:bidi="en-US"/>
        </w:rPr>
        <w:footnoteReference w:id="301"/>
      </w:r>
      <w:r w:rsidR="00A74EEA" w:rsidRPr="00CE23AE">
        <w:rPr>
          <w:rFonts w:cs="ArialUnicodeMS"/>
          <w:lang w:val="en-US" w:bidi="en-US"/>
        </w:rPr>
        <w:t xml:space="preserve"> According to this analysis, reincorporation was impossible because</w:t>
      </w:r>
      <w:r w:rsidR="004E0E2F" w:rsidRPr="00CE23AE">
        <w:rPr>
          <w:rFonts w:cs="ArialUnicodeMS"/>
          <w:lang w:val="en-US" w:bidi="en-US"/>
        </w:rPr>
        <w:t xml:space="preserve">: (i) </w:t>
      </w:r>
      <w:r w:rsidRPr="00CE23AE">
        <w:rPr>
          <w:rFonts w:cs="ArialUnicodeMS"/>
          <w:lang w:val="en-US" w:bidi="en-US"/>
        </w:rPr>
        <w:t xml:space="preserve">the </w:t>
      </w:r>
      <w:r w:rsidR="000366A6" w:rsidRPr="00CE23AE">
        <w:rPr>
          <w:rFonts w:cs="ArialUnicodeMS"/>
          <w:lang w:val="en-US" w:bidi="en-US"/>
        </w:rPr>
        <w:t>Constitutional Court</w:t>
      </w:r>
      <w:r w:rsidR="004E0E2F" w:rsidRPr="00CE23AE">
        <w:rPr>
          <w:rFonts w:cs="ArialUnicodeMS"/>
          <w:lang w:val="en-US" w:bidi="en-US"/>
        </w:rPr>
        <w:t xml:space="preserve"> </w:t>
      </w:r>
      <w:r w:rsidR="00A74EEA" w:rsidRPr="00CE23AE">
        <w:rPr>
          <w:rFonts w:cs="ArialUnicodeMS"/>
          <w:lang w:val="en-US" w:bidi="en-US"/>
        </w:rPr>
        <w:t>of</w:t>
      </w:r>
      <w:r w:rsidR="004E0E2F" w:rsidRPr="00CE23AE">
        <w:rPr>
          <w:rFonts w:cs="ArialUnicodeMS"/>
          <w:lang w:val="en-US" w:bidi="en-US"/>
        </w:rPr>
        <w:t xml:space="preserve"> Ecuador</w:t>
      </w:r>
      <w:r w:rsidR="00A74EEA" w:rsidRPr="00CE23AE">
        <w:rPr>
          <w:rFonts w:cs="ArialUnicodeMS"/>
          <w:lang w:val="en-US" w:bidi="en-US"/>
        </w:rPr>
        <w:t xml:space="preserve"> had established that it was not possible to reincorporate a person </w:t>
      </w:r>
      <w:r w:rsidR="00300E7A" w:rsidRPr="00CE23AE">
        <w:rPr>
          <w:rFonts w:cs="ArialUnicodeMS"/>
          <w:lang w:val="en-US" w:bidi="en-US"/>
        </w:rPr>
        <w:t>in</w:t>
      </w:r>
      <w:r w:rsidR="00A74EEA" w:rsidRPr="00CE23AE">
        <w:rPr>
          <w:rFonts w:cs="ArialUnicodeMS"/>
          <w:lang w:val="en-US" w:bidi="en-US"/>
        </w:rPr>
        <w:t>to the Armed Forces after he ha</w:t>
      </w:r>
      <w:r w:rsidR="00300E7A" w:rsidRPr="00CE23AE">
        <w:rPr>
          <w:rFonts w:cs="ArialUnicodeMS"/>
          <w:lang w:val="en-US" w:bidi="en-US"/>
        </w:rPr>
        <w:t>d</w:t>
      </w:r>
      <w:r w:rsidR="00A74EEA" w:rsidRPr="00CE23AE">
        <w:rPr>
          <w:rFonts w:cs="ArialUnicodeMS"/>
          <w:lang w:val="en-US" w:bidi="en-US"/>
        </w:rPr>
        <w:t xml:space="preserve"> been placed on passive service because this would create “legal chaos” and “a conflict within [its] structure and functioning”; and (ii) requirements other than the passage of time had to be met for promotion and Mr. Flor Freire had not met them.</w:t>
      </w:r>
      <w:r w:rsidR="004E0E2F" w:rsidRPr="00CE23AE">
        <w:rPr>
          <w:rStyle w:val="Refdenotaalpie"/>
          <w:lang w:val="en-US"/>
        </w:rPr>
        <w:footnoteReference w:id="302"/>
      </w:r>
      <w:r w:rsidR="004E0E2F" w:rsidRPr="00CE23AE">
        <w:rPr>
          <w:rFonts w:cs="ArialUnicodeMS"/>
          <w:lang w:val="en-US" w:bidi="en-US"/>
        </w:rPr>
        <w:t xml:space="preserve"> </w:t>
      </w:r>
    </w:p>
    <w:p w14:paraId="1AF1206E" w14:textId="77777777" w:rsidR="004E0E2F" w:rsidRPr="00CE23AE" w:rsidRDefault="004E0E2F" w:rsidP="004E0E2F">
      <w:pPr>
        <w:pStyle w:val="PrrafodeSentencia"/>
        <w:numPr>
          <w:ilvl w:val="0"/>
          <w:numId w:val="0"/>
        </w:numPr>
        <w:rPr>
          <w:rFonts w:cs="ArialUnicodeMS"/>
          <w:lang w:val="en-US" w:bidi="en-US"/>
        </w:rPr>
      </w:pPr>
    </w:p>
    <w:p w14:paraId="2F75D655" w14:textId="062DCB19" w:rsidR="004E0E2F" w:rsidRPr="00CE23AE" w:rsidRDefault="00A74EEA" w:rsidP="00A74EEA">
      <w:pPr>
        <w:pStyle w:val="PrrafodeSentencia"/>
        <w:tabs>
          <w:tab w:val="clear" w:pos="12305"/>
          <w:tab w:val="num" w:pos="12589"/>
        </w:tabs>
        <w:rPr>
          <w:spacing w:val="-2"/>
          <w:u w:val="single"/>
          <w:lang w:val="en-US"/>
        </w:rPr>
      </w:pPr>
      <w:r w:rsidRPr="00CE23AE">
        <w:rPr>
          <w:lang w:val="en-US"/>
        </w:rPr>
        <w:t>In this regard, an analysis of the j</w:t>
      </w:r>
      <w:r w:rsidR="00C561DF" w:rsidRPr="00CE23AE">
        <w:rPr>
          <w:lang w:val="en-US"/>
        </w:rPr>
        <w:t>udgment of</w:t>
      </w:r>
      <w:r w:rsidR="004E0E2F" w:rsidRPr="00CE23AE">
        <w:rPr>
          <w:lang w:val="en-US"/>
        </w:rPr>
        <w:t xml:space="preserve"> </w:t>
      </w:r>
      <w:r w:rsidR="00C561DF" w:rsidRPr="00CE23AE">
        <w:rPr>
          <w:lang w:val="en-US"/>
        </w:rPr>
        <w:t xml:space="preserve">the </w:t>
      </w:r>
      <w:r w:rsidR="000366A6" w:rsidRPr="00CE23AE">
        <w:rPr>
          <w:lang w:val="en-US"/>
        </w:rPr>
        <w:t>Constitutional Court</w:t>
      </w:r>
      <w:r w:rsidR="004E0E2F" w:rsidRPr="00CE23AE">
        <w:rPr>
          <w:lang w:val="en-US"/>
        </w:rPr>
        <w:t xml:space="preserve"> </w:t>
      </w:r>
      <w:r w:rsidRPr="00CE23AE">
        <w:rPr>
          <w:lang w:val="en-US"/>
        </w:rPr>
        <w:t>to which the State had referred reveals that, although it ruled against the reincorporation of the claimants recognizing the “legal chaos” that this decision would create, the reason why that Court considered it impossible to order the return to the ranks was that the</w:t>
      </w:r>
      <w:r w:rsidR="00300E7A" w:rsidRPr="00CE23AE">
        <w:rPr>
          <w:lang w:val="en-US"/>
        </w:rPr>
        <w:t xml:space="preserve"> parties concerned</w:t>
      </w:r>
      <w:r w:rsidRPr="00CE23AE">
        <w:rPr>
          <w:lang w:val="en-US"/>
        </w:rPr>
        <w:t xml:space="preserve"> did not fit the age group established for the post and not because reincorporation was impossible in all cases.</w:t>
      </w:r>
      <w:r w:rsidR="004E0E2F" w:rsidRPr="00CE23AE">
        <w:rPr>
          <w:rStyle w:val="Refdenotaalpie"/>
          <w:rFonts w:eastAsia="MS ????"/>
          <w:lang w:val="en-US"/>
        </w:rPr>
        <w:footnoteReference w:id="303"/>
      </w:r>
      <w:r w:rsidR="004E0E2F" w:rsidRPr="00CE23AE">
        <w:rPr>
          <w:b/>
          <w:lang w:val="en-US"/>
        </w:rPr>
        <w:t xml:space="preserve"> </w:t>
      </w:r>
    </w:p>
    <w:p w14:paraId="56AC4176" w14:textId="77777777" w:rsidR="004E0E2F" w:rsidRPr="00CE23AE" w:rsidRDefault="004E0E2F" w:rsidP="004E0E2F">
      <w:pPr>
        <w:pStyle w:val="PrrafodeSentencia"/>
        <w:numPr>
          <w:ilvl w:val="0"/>
          <w:numId w:val="0"/>
        </w:numPr>
        <w:rPr>
          <w:rFonts w:cs="ArialUnicodeMS"/>
          <w:lang w:val="en-US" w:bidi="en-US"/>
        </w:rPr>
      </w:pPr>
    </w:p>
    <w:p w14:paraId="295829C1" w14:textId="37FD5BF4" w:rsidR="004E0E2F" w:rsidRPr="00CE23AE" w:rsidRDefault="00A74EEA" w:rsidP="00A74EEA">
      <w:pPr>
        <w:pStyle w:val="PrrafodeSentencia"/>
        <w:tabs>
          <w:tab w:val="clear" w:pos="12305"/>
          <w:tab w:val="num" w:pos="12589"/>
        </w:tabs>
        <w:rPr>
          <w:i/>
          <w:spacing w:val="-2"/>
          <w:u w:val="single"/>
          <w:lang w:val="en-US"/>
        </w:rPr>
      </w:pPr>
      <w:r w:rsidRPr="00CE23AE">
        <w:rPr>
          <w:spacing w:val="-2"/>
          <w:lang w:val="en-US"/>
        </w:rPr>
        <w:t>This</w:t>
      </w:r>
      <w:r w:rsidR="00000AD5" w:rsidRPr="00CE23AE">
        <w:rPr>
          <w:spacing w:val="-2"/>
          <w:lang w:val="en-US"/>
        </w:rPr>
        <w:t xml:space="preserve"> Court</w:t>
      </w:r>
      <w:r w:rsidR="004E0E2F" w:rsidRPr="00CE23AE">
        <w:rPr>
          <w:spacing w:val="-2"/>
          <w:lang w:val="en-US"/>
        </w:rPr>
        <w:t xml:space="preserve"> </w:t>
      </w:r>
      <w:r w:rsidRPr="00CE23AE">
        <w:rPr>
          <w:spacing w:val="-2"/>
          <w:lang w:val="en-US"/>
        </w:rPr>
        <w:t xml:space="preserve">also notes that, as admitted by both parties, the laws of Ecuador permit the reincorporation of members </w:t>
      </w:r>
      <w:r w:rsidR="0005476C" w:rsidRPr="00CE23AE">
        <w:rPr>
          <w:spacing w:val="-2"/>
          <w:lang w:val="en-US"/>
        </w:rPr>
        <w:t xml:space="preserve">of the </w:t>
      </w:r>
      <w:r w:rsidR="009C5D46" w:rsidRPr="00CE23AE">
        <w:rPr>
          <w:spacing w:val="-2"/>
          <w:lang w:val="en-US"/>
        </w:rPr>
        <w:t>Armed Forces</w:t>
      </w:r>
      <w:r w:rsidR="004E0E2F" w:rsidRPr="00CE23AE">
        <w:rPr>
          <w:spacing w:val="-2"/>
          <w:lang w:val="en-US"/>
        </w:rPr>
        <w:t xml:space="preserve"> </w:t>
      </w:r>
      <w:r w:rsidRPr="00CE23AE">
        <w:rPr>
          <w:spacing w:val="-2"/>
          <w:lang w:val="en-US"/>
        </w:rPr>
        <w:t>in the case of an acquittal, imprisonment of less than 90 days, and other circumstances established by law.</w:t>
      </w:r>
      <w:r w:rsidR="004E0E2F" w:rsidRPr="00CE23AE">
        <w:rPr>
          <w:rStyle w:val="Refdenotaalpie"/>
          <w:rFonts w:eastAsia="MS ????"/>
          <w:lang w:val="en-US"/>
        </w:rPr>
        <w:footnoteReference w:id="304"/>
      </w:r>
      <w:r w:rsidR="004E0E2F" w:rsidRPr="00CE23AE">
        <w:rPr>
          <w:spacing w:val="-2"/>
          <w:lang w:val="en-US"/>
        </w:rPr>
        <w:t xml:space="preserve"> </w:t>
      </w:r>
      <w:r w:rsidRPr="00CE23AE">
        <w:rPr>
          <w:spacing w:val="-2"/>
          <w:lang w:val="en-US"/>
        </w:rPr>
        <w:t>Additionally,</w:t>
      </w:r>
      <w:r w:rsidR="00C40631" w:rsidRPr="00CE23AE">
        <w:rPr>
          <w:spacing w:val="-2"/>
          <w:lang w:val="en-US"/>
        </w:rPr>
        <w:t xml:space="preserve"> </w:t>
      </w:r>
      <w:r w:rsidR="00C561DF" w:rsidRPr="00CE23AE">
        <w:rPr>
          <w:rFonts w:cs="ArialUnicodeMS"/>
          <w:lang w:val="en-US" w:bidi="en-US"/>
        </w:rPr>
        <w:t>the representative</w:t>
      </w:r>
      <w:r w:rsidR="004E0E2F" w:rsidRPr="00CE23AE">
        <w:rPr>
          <w:rFonts w:cs="ArialUnicodeMS"/>
          <w:lang w:val="en-US" w:bidi="en-US"/>
        </w:rPr>
        <w:t xml:space="preserve"> </w:t>
      </w:r>
      <w:r w:rsidRPr="00CE23AE">
        <w:rPr>
          <w:rFonts w:cs="ArialUnicodeMS"/>
          <w:lang w:val="en-US" w:bidi="en-US"/>
        </w:rPr>
        <w:t xml:space="preserve">referred to precedents of other cases where Ecuador’s domestic courts had ordered reincorporation </w:t>
      </w:r>
      <w:r w:rsidR="00300E7A" w:rsidRPr="00CE23AE">
        <w:rPr>
          <w:rFonts w:cs="ArialUnicodeMS"/>
          <w:lang w:val="en-US" w:bidi="en-US"/>
        </w:rPr>
        <w:t>in</w:t>
      </w:r>
      <w:r w:rsidRPr="00CE23AE">
        <w:rPr>
          <w:rFonts w:cs="ArialUnicodeMS"/>
          <w:lang w:val="en-US" w:bidi="en-US"/>
        </w:rPr>
        <w:t>to the Armed Forces.</w:t>
      </w:r>
      <w:r w:rsidR="004E0E2F" w:rsidRPr="00CE23AE">
        <w:rPr>
          <w:rStyle w:val="Refdenotaalpie"/>
          <w:rFonts w:eastAsia="MS ????"/>
          <w:lang w:val="en-US"/>
        </w:rPr>
        <w:footnoteReference w:id="305"/>
      </w:r>
      <w:r w:rsidRPr="00CE23AE">
        <w:rPr>
          <w:rFonts w:cs="ArialUnicodeMS"/>
          <w:lang w:val="en-US" w:bidi="en-US"/>
        </w:rPr>
        <w:t xml:space="preserve"> Nevertheless, the Court takes not</w:t>
      </w:r>
      <w:r w:rsidR="00300E7A" w:rsidRPr="00CE23AE">
        <w:rPr>
          <w:rFonts w:cs="ArialUnicodeMS"/>
          <w:lang w:val="en-US" w:bidi="en-US"/>
        </w:rPr>
        <w:t>e</w:t>
      </w:r>
      <w:r w:rsidRPr="00CE23AE">
        <w:rPr>
          <w:rFonts w:cs="ArialUnicodeMS"/>
          <w:lang w:val="en-US" w:bidi="en-US"/>
        </w:rPr>
        <w:t xml:space="preserve"> of the opinion of </w:t>
      </w:r>
      <w:r w:rsidR="00C40631" w:rsidRPr="00CE23AE">
        <w:rPr>
          <w:rFonts w:cs="ArialUnicodeMS"/>
          <w:lang w:val="en-US" w:bidi="en-US"/>
        </w:rPr>
        <w:t xml:space="preserve"> </w:t>
      </w:r>
      <w:r w:rsidR="00E41391" w:rsidRPr="00CE23AE">
        <w:rPr>
          <w:rFonts w:cs="ArialUnicodeMS"/>
          <w:lang w:val="en-US" w:bidi="en-US"/>
        </w:rPr>
        <w:t>expert witness</w:t>
      </w:r>
      <w:r w:rsidR="004E0E2F" w:rsidRPr="00CE23AE">
        <w:rPr>
          <w:rFonts w:cs="ArialUnicodeMS"/>
          <w:lang w:val="en-US" w:bidi="en-US"/>
        </w:rPr>
        <w:t xml:space="preserve"> Jaramillo </w:t>
      </w:r>
      <w:r w:rsidRPr="00CE23AE">
        <w:rPr>
          <w:rFonts w:cs="ArialUnicodeMS"/>
          <w:lang w:val="en-US" w:bidi="en-US"/>
        </w:rPr>
        <w:t xml:space="preserve">in the sense that </w:t>
      </w:r>
      <w:r w:rsidR="00300E7A" w:rsidRPr="00CE23AE">
        <w:rPr>
          <w:rFonts w:cs="ArialUnicodeMS"/>
          <w:lang w:val="en-US" w:bidi="en-US"/>
        </w:rPr>
        <w:t>this</w:t>
      </w:r>
      <w:r w:rsidRPr="00CE23AE">
        <w:rPr>
          <w:rFonts w:cs="ArialUnicodeMS"/>
          <w:lang w:val="en-US" w:bidi="en-US"/>
        </w:rPr>
        <w:t xml:space="preserve"> reincorporation only occurred in exceptional cases, following a specific analysis of the case in which it was considered, among other matters, that the person concerned had only been </w:t>
      </w:r>
      <w:r w:rsidRPr="00CE23AE">
        <w:rPr>
          <w:rFonts w:cs="ArialUnicodeMS"/>
          <w:lang w:val="en-US" w:bidi="en-US"/>
        </w:rPr>
        <w:lastRenderedPageBreak/>
        <w:t>separated from the institution for a short time and, in any case, had been reincorporated with the rank held at the time of separation from the Armed Forces.</w:t>
      </w:r>
      <w:r w:rsidR="004E0E2F" w:rsidRPr="00CE23AE">
        <w:rPr>
          <w:rStyle w:val="Refdenotaalpie"/>
          <w:lang w:val="en-US"/>
        </w:rPr>
        <w:footnoteReference w:id="306"/>
      </w:r>
      <w:r w:rsidR="004E0E2F" w:rsidRPr="00CE23AE">
        <w:rPr>
          <w:lang w:val="en-US"/>
        </w:rPr>
        <w:t xml:space="preserve"> </w:t>
      </w:r>
    </w:p>
    <w:p w14:paraId="36469B71" w14:textId="77777777" w:rsidR="004E0E2F" w:rsidRPr="00CE23AE" w:rsidRDefault="004E0E2F" w:rsidP="004E0E2F">
      <w:pPr>
        <w:pStyle w:val="Prrafodelista"/>
        <w:tabs>
          <w:tab w:val="left" w:pos="709"/>
        </w:tabs>
        <w:autoSpaceDE w:val="0"/>
        <w:autoSpaceDN w:val="0"/>
        <w:ind w:left="0"/>
        <w:rPr>
          <w:rFonts w:cs="Arial"/>
          <w:color w:val="8064A2" w:themeColor="accent4"/>
          <w:sz w:val="18"/>
          <w:szCs w:val="18"/>
          <w:lang w:val="en-US"/>
        </w:rPr>
      </w:pPr>
    </w:p>
    <w:p w14:paraId="4DC61F15" w14:textId="7FFB2F01" w:rsidR="004E0E2F" w:rsidRPr="00CE23AE" w:rsidRDefault="002A185D" w:rsidP="002261D8">
      <w:pPr>
        <w:pStyle w:val="PrrafodeSentencia"/>
        <w:tabs>
          <w:tab w:val="clear" w:pos="12305"/>
          <w:tab w:val="num" w:pos="12589"/>
        </w:tabs>
        <w:rPr>
          <w:lang w:val="en-US"/>
        </w:rPr>
      </w:pPr>
      <w:r w:rsidRPr="00CE23AE">
        <w:rPr>
          <w:lang w:val="en-US"/>
        </w:rPr>
        <w:t>Furthermore,</w:t>
      </w:r>
      <w:r w:rsidR="004E0E2F" w:rsidRPr="00CE23AE">
        <w:rPr>
          <w:lang w:val="en-US"/>
        </w:rPr>
        <w:t xml:space="preserve"> </w:t>
      </w:r>
      <w:r w:rsidR="00C561DF" w:rsidRPr="00CE23AE">
        <w:rPr>
          <w:lang w:val="en-US"/>
        </w:rPr>
        <w:t>the Court</w:t>
      </w:r>
      <w:r w:rsidR="004E0E2F" w:rsidRPr="00CE23AE">
        <w:rPr>
          <w:lang w:val="en-US"/>
        </w:rPr>
        <w:t xml:space="preserve"> observ</w:t>
      </w:r>
      <w:r w:rsidRPr="00CE23AE">
        <w:rPr>
          <w:lang w:val="en-US"/>
        </w:rPr>
        <w:t>es that</w:t>
      </w:r>
      <w:r w:rsidR="004E0E2F" w:rsidRPr="00CE23AE">
        <w:rPr>
          <w:lang w:val="en-US"/>
        </w:rPr>
        <w:t xml:space="preserve"> </w:t>
      </w:r>
      <w:r w:rsidRPr="00CE23AE">
        <w:rPr>
          <w:lang w:val="en-US"/>
        </w:rPr>
        <w:t>a</w:t>
      </w:r>
      <w:r w:rsidR="00C561DF" w:rsidRPr="00CE23AE">
        <w:rPr>
          <w:lang w:val="en-US"/>
        </w:rPr>
        <w:t>rticles</w:t>
      </w:r>
      <w:r w:rsidR="004E0E2F" w:rsidRPr="00CE23AE">
        <w:rPr>
          <w:lang w:val="en-US"/>
        </w:rPr>
        <w:t xml:space="preserve"> 117</w:t>
      </w:r>
      <w:r w:rsidR="00C561DF" w:rsidRPr="00CE23AE">
        <w:rPr>
          <w:lang w:val="en-US"/>
        </w:rPr>
        <w:t xml:space="preserve"> and </w:t>
      </w:r>
      <w:r w:rsidR="004E0E2F" w:rsidRPr="00CE23AE">
        <w:rPr>
          <w:lang w:val="en-US"/>
        </w:rPr>
        <w:t>122</w:t>
      </w:r>
      <w:r w:rsidR="008B76F3" w:rsidRPr="00CE23AE">
        <w:rPr>
          <w:lang w:val="en-US"/>
        </w:rPr>
        <w:t xml:space="preserve"> of the Law on Armed Forces Personnel</w:t>
      </w:r>
      <w:r w:rsidRPr="00CE23AE">
        <w:rPr>
          <w:lang w:val="en-US"/>
        </w:rPr>
        <w:t xml:space="preserve"> establish a series of common requirements that a soldier must meet to accede to a promotion at all levels,</w:t>
      </w:r>
      <w:r w:rsidR="004E0E2F" w:rsidRPr="00CE23AE">
        <w:rPr>
          <w:rStyle w:val="Refdenotaalpie"/>
          <w:rFonts w:eastAsia="MS ????"/>
          <w:color w:val="000000"/>
          <w:lang w:val="en-US"/>
        </w:rPr>
        <w:footnoteReference w:id="307"/>
      </w:r>
      <w:r w:rsidRPr="00CE23AE">
        <w:rPr>
          <w:color w:val="000000"/>
          <w:lang w:val="en-US"/>
        </w:rPr>
        <w:t xml:space="preserve"> as well as specific requirements based on the level</w:t>
      </w:r>
      <w:r w:rsidR="00300E7A" w:rsidRPr="00CE23AE">
        <w:rPr>
          <w:color w:val="000000"/>
          <w:lang w:val="en-US"/>
        </w:rPr>
        <w:t>.</w:t>
      </w:r>
      <w:r w:rsidR="004E0E2F" w:rsidRPr="00CE23AE">
        <w:rPr>
          <w:rStyle w:val="Refdenotaalpie"/>
          <w:rFonts w:eastAsia="MS ????"/>
          <w:color w:val="000000"/>
          <w:lang w:val="en-US"/>
        </w:rPr>
        <w:footnoteReference w:id="308"/>
      </w:r>
      <w:r w:rsidR="004E0E2F" w:rsidRPr="00CE23AE">
        <w:rPr>
          <w:color w:val="000000"/>
          <w:lang w:val="en-US"/>
        </w:rPr>
        <w:t xml:space="preserve"> </w:t>
      </w:r>
      <w:r w:rsidR="00300E7A" w:rsidRPr="00CE23AE">
        <w:rPr>
          <w:color w:val="000000"/>
          <w:lang w:val="en-US"/>
        </w:rPr>
        <w:t>T</w:t>
      </w:r>
      <w:r w:rsidRPr="00CE23AE">
        <w:rPr>
          <w:color w:val="000000"/>
          <w:lang w:val="en-US"/>
        </w:rPr>
        <w:t xml:space="preserve">hese </w:t>
      </w:r>
      <w:r w:rsidR="00300E7A" w:rsidRPr="00CE23AE">
        <w:rPr>
          <w:color w:val="000000"/>
          <w:lang w:val="en-US"/>
        </w:rPr>
        <w:t>requirements relate not</w:t>
      </w:r>
      <w:r w:rsidRPr="00CE23AE">
        <w:rPr>
          <w:color w:val="000000"/>
          <w:lang w:val="en-US"/>
        </w:rPr>
        <w:t xml:space="preserve"> only </w:t>
      </w:r>
      <w:r w:rsidR="00300E7A" w:rsidRPr="00CE23AE">
        <w:rPr>
          <w:color w:val="000000"/>
          <w:lang w:val="en-US"/>
        </w:rPr>
        <w:t>to</w:t>
      </w:r>
      <w:r w:rsidRPr="00CE23AE">
        <w:rPr>
          <w:color w:val="000000"/>
          <w:lang w:val="en-US"/>
        </w:rPr>
        <w:t xml:space="preserve"> time, but also </w:t>
      </w:r>
      <w:r w:rsidR="00300E7A" w:rsidRPr="00CE23AE">
        <w:rPr>
          <w:color w:val="000000"/>
          <w:lang w:val="en-US"/>
        </w:rPr>
        <w:t>to performance</w:t>
      </w:r>
      <w:r w:rsidR="002261D8" w:rsidRPr="00CE23AE">
        <w:rPr>
          <w:color w:val="000000"/>
          <w:lang w:val="en-US"/>
        </w:rPr>
        <w:t xml:space="preserve"> evaluations, experience in the post, studies and exams. On this point, the Court finds that, as the State has argued – and the expert witness corroborated during the public hearing in this case – it is not certain that, if </w:t>
      </w:r>
      <w:r w:rsidR="002261D8" w:rsidRPr="00CE23AE">
        <w:rPr>
          <w:lang w:val="en-US"/>
        </w:rPr>
        <w:t xml:space="preserve">Mr. Flor Freire had not been separated from the Ground Forces, he would have continued his military career and been promoted, because to continue he would have had to meet certain requirements and it </w:t>
      </w:r>
      <w:r w:rsidR="00300E7A" w:rsidRPr="00CE23AE">
        <w:rPr>
          <w:lang w:val="en-US"/>
        </w:rPr>
        <w:t>cannot be</w:t>
      </w:r>
      <w:r w:rsidR="002261D8" w:rsidRPr="00CE23AE">
        <w:rPr>
          <w:lang w:val="en-US"/>
        </w:rPr>
        <w:t xml:space="preserve"> state</w:t>
      </w:r>
      <w:r w:rsidR="00300E7A" w:rsidRPr="00CE23AE">
        <w:rPr>
          <w:lang w:val="en-US"/>
        </w:rPr>
        <w:t>d</w:t>
      </w:r>
      <w:r w:rsidR="002261D8" w:rsidRPr="00CE23AE">
        <w:rPr>
          <w:lang w:val="en-US"/>
        </w:rPr>
        <w:t xml:space="preserve"> with certainty that he would have met them.</w:t>
      </w:r>
      <w:r w:rsidR="004E0E2F" w:rsidRPr="00CE23AE">
        <w:rPr>
          <w:rStyle w:val="Refdenotaalpie"/>
          <w:rFonts w:eastAsia="MS ????"/>
          <w:lang w:val="en-US"/>
        </w:rPr>
        <w:footnoteReference w:id="309"/>
      </w:r>
      <w:r w:rsidR="004E0E2F" w:rsidRPr="00CE23AE">
        <w:rPr>
          <w:lang w:val="en-US"/>
        </w:rPr>
        <w:t xml:space="preserve"> </w:t>
      </w:r>
    </w:p>
    <w:p w14:paraId="44A34B16" w14:textId="77777777" w:rsidR="004E0E2F" w:rsidRPr="00CE23AE" w:rsidRDefault="004E0E2F" w:rsidP="004E0E2F">
      <w:pPr>
        <w:rPr>
          <w:szCs w:val="20"/>
          <w:lang w:val="en-US"/>
        </w:rPr>
      </w:pPr>
    </w:p>
    <w:p w14:paraId="0417382E" w14:textId="3ABA883B" w:rsidR="002261D8" w:rsidRPr="00CE23AE" w:rsidRDefault="002261D8" w:rsidP="00D61860">
      <w:pPr>
        <w:pStyle w:val="PrrafodeSentencia"/>
        <w:tabs>
          <w:tab w:val="clear" w:pos="12305"/>
          <w:tab w:val="num" w:pos="12589"/>
        </w:tabs>
        <w:rPr>
          <w:rFonts w:cs="ArialUnicodeMS"/>
          <w:lang w:val="en-US" w:bidi="en-US"/>
        </w:rPr>
      </w:pPr>
      <w:bookmarkStart w:id="506" w:name="_Ref460348988"/>
      <w:r w:rsidRPr="00CE23AE">
        <w:rPr>
          <w:lang w:val="en-US"/>
        </w:rPr>
        <w:t xml:space="preserve">Owing to the </w:t>
      </w:r>
      <w:r w:rsidR="00AA47AE" w:rsidRPr="00CE23AE">
        <w:rPr>
          <w:lang w:val="en-US"/>
        </w:rPr>
        <w:t>exceedingly</w:t>
      </w:r>
      <w:r w:rsidRPr="00CE23AE">
        <w:rPr>
          <w:lang w:val="en-US"/>
        </w:rPr>
        <w:t xml:space="preserve"> individual and specific nature of the evaluation required to determine the possibility of reincorporating</w:t>
      </w:r>
      <w:r w:rsidR="00000AE1" w:rsidRPr="00CE23AE">
        <w:rPr>
          <w:lang w:val="en-US"/>
        </w:rPr>
        <w:t xml:space="preserve"> Mr.</w:t>
      </w:r>
      <w:r w:rsidR="00F5102B" w:rsidRPr="00CE23AE">
        <w:rPr>
          <w:lang w:val="en-US"/>
        </w:rPr>
        <w:t xml:space="preserve"> Flor</w:t>
      </w:r>
      <w:r w:rsidR="004E0E2F" w:rsidRPr="00CE23AE">
        <w:rPr>
          <w:lang w:val="en-US"/>
        </w:rPr>
        <w:t xml:space="preserve"> Freire</w:t>
      </w:r>
      <w:r w:rsidR="00C561DF" w:rsidRPr="00CE23AE">
        <w:rPr>
          <w:lang w:val="en-US"/>
        </w:rPr>
        <w:t xml:space="preserve"> and </w:t>
      </w:r>
      <w:r w:rsidRPr="00CE23AE">
        <w:rPr>
          <w:lang w:val="en-US"/>
        </w:rPr>
        <w:t xml:space="preserve">the difficulties that this could entail more than 14 years after his discharge from the Ground Forces, the Court concludes that it is not materially possible to order his reincorporation into active service. However, the Court considers that the State should, within one year of notification of this judgment, grant Mr. Flor Freire the rank corresponding to his </w:t>
      </w:r>
      <w:r w:rsidR="00D61860" w:rsidRPr="00CE23AE">
        <w:rPr>
          <w:lang w:val="en-US"/>
        </w:rPr>
        <w:t xml:space="preserve">cohort when this measure is executed and place him in the situation of a soldier </w:t>
      </w:r>
      <w:r w:rsidR="00AA47AE" w:rsidRPr="00CE23AE">
        <w:rPr>
          <w:lang w:val="en-US"/>
        </w:rPr>
        <w:t xml:space="preserve">who </w:t>
      </w:r>
      <w:r w:rsidR="00C4399C" w:rsidRPr="00CE23AE">
        <w:rPr>
          <w:lang w:val="en-US"/>
        </w:rPr>
        <w:t xml:space="preserve">has taken voluntary retirement </w:t>
      </w:r>
      <w:r w:rsidR="00D61860" w:rsidRPr="00CE23AE">
        <w:rPr>
          <w:lang w:val="en-US"/>
        </w:rPr>
        <w:t xml:space="preserve">or </w:t>
      </w:r>
      <w:r w:rsidR="00AA47AE" w:rsidRPr="00CE23AE">
        <w:rPr>
          <w:lang w:val="en-US"/>
        </w:rPr>
        <w:t xml:space="preserve">is </w:t>
      </w:r>
      <w:r w:rsidR="00D61860" w:rsidRPr="00CE23AE">
        <w:rPr>
          <w:lang w:val="en-US"/>
        </w:rPr>
        <w:t xml:space="preserve">on passive service, as well as </w:t>
      </w:r>
      <w:r w:rsidR="00C4399C" w:rsidRPr="00CE23AE">
        <w:rPr>
          <w:lang w:val="en-US"/>
        </w:rPr>
        <w:t xml:space="preserve">granting </w:t>
      </w:r>
      <w:r w:rsidR="00D61860" w:rsidRPr="00CE23AE">
        <w:rPr>
          <w:lang w:val="en-US"/>
        </w:rPr>
        <w:t xml:space="preserve">him all the social rights and benefits that correspond to that rank. </w:t>
      </w:r>
    </w:p>
    <w:bookmarkEnd w:id="506"/>
    <w:p w14:paraId="3B3FE685" w14:textId="77777777" w:rsidR="004E0E2F" w:rsidRPr="00CE23AE" w:rsidRDefault="004E0E2F" w:rsidP="004E0E2F">
      <w:pPr>
        <w:pStyle w:val="PrrafodeSentencia"/>
        <w:numPr>
          <w:ilvl w:val="0"/>
          <w:numId w:val="0"/>
        </w:numPr>
        <w:rPr>
          <w:rFonts w:cs="ArialUnicodeMS"/>
          <w:lang w:val="en-US" w:bidi="en-US"/>
        </w:rPr>
      </w:pPr>
    </w:p>
    <w:p w14:paraId="1D7B4F44" w14:textId="5C6CF066" w:rsidR="004E0E2F" w:rsidRPr="00CE23AE" w:rsidRDefault="00D61860" w:rsidP="00D61860">
      <w:pPr>
        <w:pStyle w:val="PrrafodeSentencia"/>
        <w:tabs>
          <w:tab w:val="clear" w:pos="12305"/>
          <w:tab w:val="num" w:pos="12589"/>
        </w:tabs>
        <w:rPr>
          <w:rFonts w:cs="ArialUnicodeMS"/>
          <w:lang w:val="en-US" w:bidi="en-US"/>
        </w:rPr>
      </w:pPr>
      <w:bookmarkStart w:id="507" w:name="_Ref460349046"/>
      <w:r w:rsidRPr="00CE23AE">
        <w:rPr>
          <w:rFonts w:cs="ArialUnicodeMS"/>
          <w:lang w:val="en-US" w:bidi="en-US"/>
        </w:rPr>
        <w:t>The</w:t>
      </w:r>
      <w:r w:rsidR="00C561DF" w:rsidRPr="00CE23AE">
        <w:rPr>
          <w:rFonts w:cs="ArialUnicodeMS"/>
          <w:lang w:val="en-US" w:bidi="en-US"/>
        </w:rPr>
        <w:t xml:space="preserve"> State</w:t>
      </w:r>
      <w:r w:rsidR="004E0E2F" w:rsidRPr="00CE23AE">
        <w:rPr>
          <w:rFonts w:cs="ArialUnicodeMS"/>
          <w:lang w:val="en-US" w:bidi="en-US"/>
        </w:rPr>
        <w:t xml:space="preserve"> </w:t>
      </w:r>
      <w:r w:rsidRPr="00CE23AE">
        <w:rPr>
          <w:rFonts w:cs="ArialUnicodeMS"/>
          <w:lang w:val="en-US" w:bidi="en-US"/>
        </w:rPr>
        <w:t xml:space="preserve">must also recognize to </w:t>
      </w:r>
      <w:r w:rsidR="008B76F3" w:rsidRPr="00CE23AE">
        <w:rPr>
          <w:rFonts w:cs="ArialUnicodeMS"/>
          <w:lang w:val="en-US" w:bidi="en-US"/>
        </w:rPr>
        <w:t>Mr.</w:t>
      </w:r>
      <w:r w:rsidR="00C40631" w:rsidRPr="00CE23AE">
        <w:rPr>
          <w:rFonts w:cs="ArialUnicodeMS"/>
          <w:lang w:val="en-US" w:bidi="en-US"/>
        </w:rPr>
        <w:t xml:space="preserve"> Flor Freire</w:t>
      </w:r>
      <w:r w:rsidR="00C561DF" w:rsidRPr="00CE23AE">
        <w:rPr>
          <w:rFonts w:cs="ArialUnicodeMS"/>
          <w:lang w:val="en-US" w:bidi="en-US"/>
        </w:rPr>
        <w:t xml:space="preserve"> and </w:t>
      </w:r>
      <w:r w:rsidR="005C2C4B" w:rsidRPr="00CE23AE">
        <w:rPr>
          <w:rFonts w:cs="ArialUnicodeMS"/>
          <w:lang w:val="en-US" w:bidi="en-US"/>
        </w:rPr>
        <w:t>pa</w:t>
      </w:r>
      <w:r w:rsidRPr="00CE23AE">
        <w:rPr>
          <w:rFonts w:cs="ArialUnicodeMS"/>
          <w:lang w:val="en-US" w:bidi="en-US"/>
        </w:rPr>
        <w:t xml:space="preserve">y the amounts corresponding to </w:t>
      </w:r>
      <w:r w:rsidR="00C4399C" w:rsidRPr="00CE23AE">
        <w:rPr>
          <w:rFonts w:cs="ArialUnicodeMS"/>
          <w:lang w:val="en-US" w:bidi="en-US"/>
        </w:rPr>
        <w:t xml:space="preserve">the </w:t>
      </w:r>
      <w:r w:rsidRPr="00CE23AE">
        <w:rPr>
          <w:rFonts w:cs="ArialUnicodeMS"/>
          <w:lang w:val="en-US" w:bidi="en-US"/>
        </w:rPr>
        <w:t>social security contributions (</w:t>
      </w:r>
      <w:r w:rsidR="00F6458C" w:rsidRPr="00CE23AE">
        <w:rPr>
          <w:rFonts w:cs="ArialUnicodeMS"/>
          <w:lang w:val="en-US" w:bidi="en-US"/>
        </w:rPr>
        <w:t>for</w:t>
      </w:r>
      <w:r w:rsidRPr="00CE23AE">
        <w:rPr>
          <w:rFonts w:cs="ArialUnicodeMS"/>
          <w:lang w:val="en-US" w:bidi="en-US"/>
        </w:rPr>
        <w:t xml:space="preserve"> future</w:t>
      </w:r>
      <w:r w:rsidR="00C4399C" w:rsidRPr="00CE23AE">
        <w:rPr>
          <w:rFonts w:cs="ArialUnicodeMS"/>
          <w:lang w:val="en-US" w:bidi="en-US"/>
        </w:rPr>
        <w:t xml:space="preserve"> end of employment and</w:t>
      </w:r>
      <w:r w:rsidRPr="00CE23AE">
        <w:rPr>
          <w:rFonts w:cs="ArialUnicodeMS"/>
          <w:lang w:val="en-US" w:bidi="en-US"/>
        </w:rPr>
        <w:t xml:space="preserve"> retirement payments) to which he would have had the right if he had voluntarily </w:t>
      </w:r>
      <w:r w:rsidR="00F6458C" w:rsidRPr="00CE23AE">
        <w:rPr>
          <w:rFonts w:cs="ArialUnicodeMS"/>
          <w:lang w:val="en-US" w:bidi="en-US"/>
        </w:rPr>
        <w:t>retired</w:t>
      </w:r>
      <w:r w:rsidRPr="00CE23AE">
        <w:rPr>
          <w:rFonts w:cs="ArialUnicodeMS"/>
          <w:lang w:val="en-US" w:bidi="en-US"/>
        </w:rPr>
        <w:t xml:space="preserve"> from the institution at the time the State makes this payment, </w:t>
      </w:r>
      <w:r w:rsidR="00F6458C" w:rsidRPr="00CE23AE">
        <w:rPr>
          <w:rFonts w:cs="ArialUnicodeMS"/>
          <w:lang w:val="en-US" w:bidi="en-US"/>
        </w:rPr>
        <w:t>based on</w:t>
      </w:r>
      <w:r w:rsidRPr="00CE23AE">
        <w:rPr>
          <w:rFonts w:cs="ArialUnicodeMS"/>
          <w:lang w:val="en-US" w:bidi="en-US"/>
        </w:rPr>
        <w:t xml:space="preserve"> the rank of his cohort at the time of this payment. To this end, the State shall pay the respective sums directly to the corresponding state entities within one year of notification of this judgment</w:t>
      </w:r>
      <w:r w:rsidR="004E0E2F" w:rsidRPr="00CE23AE">
        <w:rPr>
          <w:lang w:val="en-US"/>
        </w:rPr>
        <w:t>.</w:t>
      </w:r>
      <w:bookmarkEnd w:id="507"/>
    </w:p>
    <w:p w14:paraId="1E9C9A1A" w14:textId="77777777" w:rsidR="004E0E2F" w:rsidRPr="00CE23AE" w:rsidRDefault="004E0E2F" w:rsidP="004E0E2F">
      <w:pPr>
        <w:pStyle w:val="PrrafodeSentencia"/>
        <w:numPr>
          <w:ilvl w:val="0"/>
          <w:numId w:val="0"/>
        </w:numPr>
        <w:rPr>
          <w:rFonts w:cs="ArialUnicodeMS"/>
          <w:lang w:val="en-US" w:bidi="en-US"/>
        </w:rPr>
      </w:pPr>
    </w:p>
    <w:p w14:paraId="78D0AC56" w14:textId="4D641E40" w:rsidR="004E0E2F" w:rsidRPr="00CE23AE" w:rsidRDefault="00D61860" w:rsidP="00D61860">
      <w:pPr>
        <w:pStyle w:val="PrrafodeSentencia"/>
        <w:tabs>
          <w:tab w:val="clear" w:pos="12305"/>
          <w:tab w:val="num" w:pos="12589"/>
        </w:tabs>
        <w:rPr>
          <w:lang w:val="en-US"/>
        </w:rPr>
      </w:pPr>
      <w:bookmarkStart w:id="508" w:name="_Ref460349141"/>
      <w:r w:rsidRPr="00CE23AE">
        <w:rPr>
          <w:rFonts w:cs="ArialUnicodeMS"/>
          <w:lang w:val="en-US" w:bidi="en-US"/>
        </w:rPr>
        <w:t xml:space="preserve">Furthermore, the State must adopt all necessary legal measures to ensure that no administrative act or decision taken in the disciplinary procedure, which this Court has declared violated the rights recognized in </w:t>
      </w:r>
      <w:r w:rsidRPr="00CE23AE">
        <w:rPr>
          <w:lang w:val="en-US"/>
        </w:rPr>
        <w:t xml:space="preserve">the American Convention, has any legal effect on the social rights and/or benefits that would have corresponded to Mr. Flor Freire if he had retired voluntarily from the Ecuadorian Armed Forces. Lastly, the State must eliminate the reference to this procedure from his military record. The State must comply with these measures </w:t>
      </w:r>
      <w:r w:rsidRPr="00CE23AE">
        <w:rPr>
          <w:rFonts w:cs="ArialUnicodeMS"/>
          <w:lang w:val="en-US" w:bidi="en-US"/>
        </w:rPr>
        <w:t>within one year of notification of this judgment</w:t>
      </w:r>
      <w:r w:rsidR="004E0E2F" w:rsidRPr="00CE23AE">
        <w:rPr>
          <w:lang w:val="en-US"/>
        </w:rPr>
        <w:t>.</w:t>
      </w:r>
      <w:bookmarkEnd w:id="508"/>
    </w:p>
    <w:p w14:paraId="787057B9" w14:textId="77777777" w:rsidR="004E0E2F" w:rsidRPr="00CE23AE" w:rsidRDefault="004E0E2F" w:rsidP="004E0E2F">
      <w:pPr>
        <w:pStyle w:val="PrrafodeSentencia"/>
        <w:numPr>
          <w:ilvl w:val="0"/>
          <w:numId w:val="0"/>
        </w:numPr>
        <w:rPr>
          <w:lang w:val="en-US"/>
        </w:rPr>
      </w:pPr>
    </w:p>
    <w:p w14:paraId="08E25769" w14:textId="5FBDFC30" w:rsidR="004E0E2F" w:rsidRPr="00CE23AE" w:rsidRDefault="004E0E2F" w:rsidP="004E0E2F">
      <w:pPr>
        <w:pStyle w:val="Ttulo3"/>
        <w:rPr>
          <w:lang w:val="en-US"/>
        </w:rPr>
      </w:pPr>
      <w:bookmarkStart w:id="509" w:name="_Toc454891523"/>
      <w:bookmarkStart w:id="510" w:name="_Toc457840630"/>
      <w:bookmarkStart w:id="511" w:name="_Toc460398557"/>
      <w:bookmarkStart w:id="512" w:name="_Toc460398739"/>
      <w:bookmarkStart w:id="513" w:name="_Toc464475023"/>
      <w:bookmarkStart w:id="514" w:name="_Toc46388410"/>
      <w:r w:rsidRPr="00CE23AE">
        <w:rPr>
          <w:lang w:val="en-US"/>
        </w:rPr>
        <w:t xml:space="preserve">B.2 </w:t>
      </w:r>
      <w:bookmarkEnd w:id="493"/>
      <w:bookmarkEnd w:id="494"/>
      <w:bookmarkEnd w:id="509"/>
      <w:bookmarkEnd w:id="510"/>
      <w:r w:rsidR="00970AA1" w:rsidRPr="00CE23AE">
        <w:rPr>
          <w:lang w:val="en-US"/>
        </w:rPr>
        <w:t>Measures of satisfaction: publication of the judgment</w:t>
      </w:r>
      <w:bookmarkEnd w:id="511"/>
      <w:bookmarkEnd w:id="512"/>
      <w:bookmarkEnd w:id="513"/>
      <w:bookmarkEnd w:id="514"/>
    </w:p>
    <w:p w14:paraId="6E400CB7" w14:textId="77777777" w:rsidR="004E0E2F" w:rsidRPr="00CE23AE" w:rsidRDefault="004E0E2F" w:rsidP="004E0E2F">
      <w:pPr>
        <w:rPr>
          <w:rFonts w:eastAsia="Batang"/>
          <w:lang w:val="en-US"/>
        </w:rPr>
      </w:pPr>
    </w:p>
    <w:p w14:paraId="2A34C3D0" w14:textId="46FC47EA" w:rsidR="004E0E2F" w:rsidRPr="00CE23AE" w:rsidRDefault="00C561DF" w:rsidP="004E0E2F">
      <w:pPr>
        <w:pStyle w:val="PrrafodeSentencia"/>
        <w:tabs>
          <w:tab w:val="clear" w:pos="12305"/>
          <w:tab w:val="num" w:pos="12589"/>
        </w:tabs>
        <w:rPr>
          <w:lang w:val="en-US"/>
        </w:rPr>
      </w:pPr>
      <w:r w:rsidRPr="00CE23AE">
        <w:rPr>
          <w:lang w:val="en-US"/>
        </w:rPr>
        <w:lastRenderedPageBreak/>
        <w:t xml:space="preserve">The </w:t>
      </w:r>
      <w:r w:rsidRPr="00CE23AE">
        <w:rPr>
          <w:b/>
          <w:bCs/>
          <w:i/>
          <w:iCs/>
          <w:lang w:val="en-US"/>
        </w:rPr>
        <w:t>representative</w:t>
      </w:r>
      <w:r w:rsidR="004E0E2F" w:rsidRPr="00CE23AE">
        <w:rPr>
          <w:lang w:val="en-US"/>
        </w:rPr>
        <w:t xml:space="preserve"> </w:t>
      </w:r>
      <w:r w:rsidR="00D61860" w:rsidRPr="00CE23AE">
        <w:rPr>
          <w:lang w:val="en-US"/>
        </w:rPr>
        <w:t>asked the Court to order</w:t>
      </w:r>
      <w:r w:rsidR="004E0E2F" w:rsidRPr="00CE23AE">
        <w:rPr>
          <w:lang w:val="en-US"/>
        </w:rPr>
        <w:t xml:space="preserve"> “</w:t>
      </w:r>
      <w:r w:rsidR="00D61860" w:rsidRPr="00CE23AE">
        <w:rPr>
          <w:lang w:val="en-US"/>
        </w:rPr>
        <w:t xml:space="preserve">publication of the judgment </w:t>
      </w:r>
      <w:r w:rsidR="004E0E2F" w:rsidRPr="00CE23AE">
        <w:rPr>
          <w:lang w:val="en-US"/>
        </w:rPr>
        <w:t xml:space="preserve">[…] </w:t>
      </w:r>
      <w:r w:rsidR="00D61860" w:rsidRPr="00CE23AE">
        <w:rPr>
          <w:lang w:val="en-US"/>
        </w:rPr>
        <w:t xml:space="preserve">in a private </w:t>
      </w:r>
      <w:r w:rsidR="00C4399C" w:rsidRPr="00CE23AE">
        <w:rPr>
          <w:lang w:val="en-US"/>
        </w:rPr>
        <w:t>national</w:t>
      </w:r>
      <w:r w:rsidR="00D61860" w:rsidRPr="00CE23AE">
        <w:rPr>
          <w:lang w:val="en-US"/>
        </w:rPr>
        <w:t xml:space="preserve"> newspaper with widespread circulation in Ecuador, </w:t>
      </w:r>
      <w:r w:rsidR="00C4399C" w:rsidRPr="00CE23AE">
        <w:rPr>
          <w:lang w:val="en-US"/>
        </w:rPr>
        <w:t>and</w:t>
      </w:r>
      <w:r w:rsidR="00D61860" w:rsidRPr="00CE23AE">
        <w:rPr>
          <w:lang w:val="en-US"/>
        </w:rPr>
        <w:t xml:space="preserve"> in the Official Record of </w:t>
      </w:r>
      <w:r w:rsidR="004E0E2F" w:rsidRPr="00CE23AE">
        <w:rPr>
          <w:lang w:val="en-US"/>
        </w:rPr>
        <w:t>Ecuador</w:t>
      </w:r>
      <w:r w:rsidR="00D61860" w:rsidRPr="00CE23AE">
        <w:rPr>
          <w:lang w:val="en-US"/>
        </w:rPr>
        <w:t>.</w:t>
      </w:r>
      <w:r w:rsidR="004E0E2F" w:rsidRPr="00CE23AE">
        <w:rPr>
          <w:lang w:val="en-US"/>
        </w:rPr>
        <w:t xml:space="preserve">” </w:t>
      </w:r>
      <w:r w:rsidRPr="00CE23AE">
        <w:rPr>
          <w:lang w:val="en-US"/>
        </w:rPr>
        <w:t xml:space="preserve">The </w:t>
      </w:r>
      <w:r w:rsidRPr="00CE23AE">
        <w:rPr>
          <w:b/>
          <w:bCs/>
          <w:i/>
          <w:iCs/>
          <w:lang w:val="en-US"/>
        </w:rPr>
        <w:t>State</w:t>
      </w:r>
      <w:r w:rsidR="00D61860" w:rsidRPr="00CE23AE">
        <w:rPr>
          <w:lang w:val="en-US"/>
        </w:rPr>
        <w:t xml:space="preserve"> did not refer to this request by</w:t>
      </w:r>
      <w:r w:rsidR="004E0E2F" w:rsidRPr="00CE23AE">
        <w:rPr>
          <w:lang w:val="en-US"/>
        </w:rPr>
        <w:t xml:space="preserve"> </w:t>
      </w:r>
      <w:r w:rsidRPr="00CE23AE">
        <w:rPr>
          <w:lang w:val="en-US"/>
        </w:rPr>
        <w:t xml:space="preserve">the representative and the </w:t>
      </w:r>
      <w:r w:rsidRPr="00CE23AE">
        <w:rPr>
          <w:b/>
          <w:bCs/>
          <w:i/>
          <w:iCs/>
          <w:lang w:val="en-US"/>
        </w:rPr>
        <w:t>Commission</w:t>
      </w:r>
      <w:r w:rsidR="004E0E2F" w:rsidRPr="00CE23AE">
        <w:rPr>
          <w:lang w:val="en-US"/>
        </w:rPr>
        <w:t xml:space="preserve"> </w:t>
      </w:r>
      <w:r w:rsidR="00D61860" w:rsidRPr="00CE23AE">
        <w:rPr>
          <w:lang w:val="en-US"/>
        </w:rPr>
        <w:t>did not explicitly request publication of the judgment.</w:t>
      </w:r>
      <w:bookmarkStart w:id="515" w:name="_Ref419393952"/>
    </w:p>
    <w:p w14:paraId="4548DBA7" w14:textId="77777777" w:rsidR="004E0E2F" w:rsidRPr="00CE23AE" w:rsidRDefault="004E0E2F" w:rsidP="004E0E2F">
      <w:pPr>
        <w:rPr>
          <w:rFonts w:eastAsia="Batang"/>
          <w:lang w:val="en-US"/>
        </w:rPr>
      </w:pPr>
    </w:p>
    <w:p w14:paraId="63092238" w14:textId="5795C03B" w:rsidR="001A22B6" w:rsidRPr="00CE23AE" w:rsidRDefault="001A22B6" w:rsidP="004E0E2F">
      <w:pPr>
        <w:pStyle w:val="PrrafodeSentencia"/>
        <w:tabs>
          <w:tab w:val="clear" w:pos="12305"/>
          <w:tab w:val="num" w:pos="12589"/>
        </w:tabs>
        <w:rPr>
          <w:lang w:val="en-US"/>
        </w:rPr>
      </w:pPr>
      <w:bookmarkStart w:id="516" w:name="_Ref455680341"/>
      <w:r w:rsidRPr="00CE23AE">
        <w:rPr>
          <w:lang w:val="en-US"/>
        </w:rPr>
        <w:t>The Court orders, as it has in other cases,</w:t>
      </w:r>
      <w:r w:rsidR="004E0E2F" w:rsidRPr="00CE23AE">
        <w:rPr>
          <w:vertAlign w:val="superscript"/>
          <w:lang w:val="en-US"/>
        </w:rPr>
        <w:footnoteReference w:id="310"/>
      </w:r>
      <w:r w:rsidRPr="00CE23AE">
        <w:rPr>
          <w:lang w:val="en-US"/>
        </w:rPr>
        <w:t xml:space="preserve"> that the State must publish, within six months of notification of this judgment</w:t>
      </w:r>
      <w:r w:rsidR="004E0E2F" w:rsidRPr="00CE23AE">
        <w:rPr>
          <w:lang w:val="en-US"/>
        </w:rPr>
        <w:t xml:space="preserve">: </w:t>
      </w:r>
      <w:r w:rsidRPr="00CE23AE">
        <w:rPr>
          <w:lang w:val="en-US"/>
        </w:rPr>
        <w:t>(</w:t>
      </w:r>
      <w:r w:rsidR="004E0E2F" w:rsidRPr="00CE23AE">
        <w:rPr>
          <w:lang w:val="en-US"/>
        </w:rPr>
        <w:t xml:space="preserve">a) </w:t>
      </w:r>
      <w:r w:rsidRPr="00CE23AE">
        <w:rPr>
          <w:lang w:val="en-US"/>
        </w:rPr>
        <w:t>the official summary of the judgment prepared by the Court, once, in the official gazette; (b) the official summary of the judgment prepared by the Court, once, in a national newspaper with widespread circulation, and (c) the judgment in its entirety, available for one year, on an official website.</w:t>
      </w:r>
    </w:p>
    <w:bookmarkEnd w:id="515"/>
    <w:p w14:paraId="2BDA81D7" w14:textId="77777777" w:rsidR="004E0E2F" w:rsidRPr="00CE23AE" w:rsidRDefault="004E0E2F" w:rsidP="004E0E2F">
      <w:pPr>
        <w:pStyle w:val="PrrafodeSentencia"/>
        <w:numPr>
          <w:ilvl w:val="0"/>
          <w:numId w:val="0"/>
        </w:numPr>
        <w:rPr>
          <w:lang w:val="en-US"/>
        </w:rPr>
      </w:pPr>
    </w:p>
    <w:p w14:paraId="78B3DF95" w14:textId="7ACC1056" w:rsidR="004E0E2F" w:rsidRPr="00CE23AE" w:rsidRDefault="00C561DF" w:rsidP="004E0E2F">
      <w:pPr>
        <w:pStyle w:val="PrrafodeSentencia"/>
        <w:tabs>
          <w:tab w:val="clear" w:pos="12305"/>
          <w:tab w:val="num" w:pos="12589"/>
        </w:tabs>
        <w:rPr>
          <w:lang w:val="en-US"/>
        </w:rPr>
      </w:pPr>
      <w:bookmarkStart w:id="517" w:name="_Ref464742453"/>
      <w:r w:rsidRPr="00CE23AE">
        <w:rPr>
          <w:lang w:val="en-US"/>
        </w:rPr>
        <w:t>The State</w:t>
      </w:r>
      <w:r w:rsidR="004E0E2F" w:rsidRPr="00CE23AE">
        <w:rPr>
          <w:lang w:val="en-US"/>
        </w:rPr>
        <w:t xml:space="preserve"> </w:t>
      </w:r>
      <w:r w:rsidR="001A22B6" w:rsidRPr="00CE23AE">
        <w:rPr>
          <w:lang w:val="en-US"/>
        </w:rPr>
        <w:t>must inform this Court immediately when it has made each of the said publications, regardless of the one-year time frame to present its first report established in the sixteenth operative paragraph of this judgment</w:t>
      </w:r>
      <w:r w:rsidR="004E0E2F" w:rsidRPr="00CE23AE">
        <w:rPr>
          <w:lang w:val="en-US"/>
        </w:rPr>
        <w:t>.</w:t>
      </w:r>
      <w:bookmarkEnd w:id="517"/>
    </w:p>
    <w:bookmarkEnd w:id="516"/>
    <w:p w14:paraId="27954619" w14:textId="77777777" w:rsidR="004E0E2F" w:rsidRPr="00CE23AE" w:rsidRDefault="004E0E2F" w:rsidP="004E0E2F">
      <w:pPr>
        <w:rPr>
          <w:rFonts w:eastAsia="Batang"/>
          <w:lang w:val="en-US"/>
        </w:rPr>
      </w:pPr>
    </w:p>
    <w:p w14:paraId="24AF075F" w14:textId="1901A9C0" w:rsidR="004E0E2F" w:rsidRPr="00CE23AE" w:rsidRDefault="004E0E2F" w:rsidP="004E0E2F">
      <w:pPr>
        <w:pStyle w:val="Ttulo3"/>
        <w:rPr>
          <w:lang w:val="en-US"/>
        </w:rPr>
      </w:pPr>
      <w:bookmarkStart w:id="518" w:name="_Toc426108485"/>
      <w:bookmarkStart w:id="519" w:name="_Toc430339035"/>
      <w:bookmarkStart w:id="520" w:name="_Toc454891524"/>
      <w:bookmarkStart w:id="521" w:name="_Toc457840632"/>
      <w:bookmarkStart w:id="522" w:name="_Toc460398558"/>
      <w:bookmarkStart w:id="523" w:name="_Toc460398740"/>
      <w:bookmarkStart w:id="524" w:name="_Toc464475024"/>
      <w:bookmarkStart w:id="525" w:name="_Toc46388411"/>
      <w:r w:rsidRPr="00CE23AE">
        <w:rPr>
          <w:lang w:val="en-US"/>
        </w:rPr>
        <w:t xml:space="preserve">B.3 </w:t>
      </w:r>
      <w:r w:rsidR="00936CD5" w:rsidRPr="00CE23AE">
        <w:rPr>
          <w:lang w:val="en-US"/>
        </w:rPr>
        <w:t>Guarantees of non-repetition</w:t>
      </w:r>
      <w:bookmarkStart w:id="526" w:name="_Toc430339036"/>
      <w:bookmarkStart w:id="527" w:name="_Toc457840633"/>
      <w:bookmarkEnd w:id="518"/>
      <w:bookmarkEnd w:id="519"/>
      <w:bookmarkEnd w:id="520"/>
      <w:bookmarkEnd w:id="521"/>
      <w:r w:rsidRPr="00CE23AE">
        <w:rPr>
          <w:lang w:val="en-US"/>
        </w:rPr>
        <w:t xml:space="preserve">: </w:t>
      </w:r>
      <w:bookmarkEnd w:id="526"/>
      <w:r w:rsidR="00970AA1" w:rsidRPr="00CE23AE">
        <w:rPr>
          <w:lang w:val="en-US"/>
        </w:rPr>
        <w:t xml:space="preserve">training activities for </w:t>
      </w:r>
      <w:r w:rsidR="00C4399C" w:rsidRPr="00CE23AE">
        <w:rPr>
          <w:lang w:val="en-US"/>
        </w:rPr>
        <w:t>state authorities on the prohibition of</w:t>
      </w:r>
      <w:r w:rsidR="00970AA1" w:rsidRPr="00CE23AE">
        <w:rPr>
          <w:lang w:val="en-US"/>
        </w:rPr>
        <w:t xml:space="preserve"> discrimination owing to sexual orientation</w:t>
      </w:r>
      <w:bookmarkEnd w:id="522"/>
      <w:bookmarkEnd w:id="523"/>
      <w:bookmarkEnd w:id="524"/>
      <w:bookmarkEnd w:id="525"/>
      <w:bookmarkEnd w:id="527"/>
    </w:p>
    <w:p w14:paraId="69BA9CA1" w14:textId="77777777" w:rsidR="004E0E2F" w:rsidRPr="00CE23AE" w:rsidRDefault="004E0E2F" w:rsidP="004E0E2F">
      <w:pPr>
        <w:rPr>
          <w:rFonts w:eastAsia="Batang"/>
          <w:lang w:val="en-US"/>
        </w:rPr>
      </w:pPr>
    </w:p>
    <w:p w14:paraId="3717B384" w14:textId="1BB72F6D" w:rsidR="004E0E2F" w:rsidRPr="00CE23AE" w:rsidRDefault="00C561DF" w:rsidP="00B40A4C">
      <w:pPr>
        <w:pStyle w:val="PrrafodeSentencia"/>
        <w:tabs>
          <w:tab w:val="clear" w:pos="12305"/>
          <w:tab w:val="num" w:pos="12589"/>
        </w:tabs>
        <w:rPr>
          <w:lang w:val="en-US"/>
        </w:rPr>
      </w:pPr>
      <w:r w:rsidRPr="00CE23AE">
        <w:rPr>
          <w:lang w:val="en-US"/>
        </w:rPr>
        <w:t xml:space="preserve">The </w:t>
      </w:r>
      <w:r w:rsidRPr="00CE23AE">
        <w:rPr>
          <w:b/>
          <w:bCs/>
          <w:i/>
          <w:iCs/>
          <w:lang w:val="en-US"/>
        </w:rPr>
        <w:t>Commission</w:t>
      </w:r>
      <w:r w:rsidR="004E0E2F" w:rsidRPr="00CE23AE">
        <w:rPr>
          <w:b/>
          <w:i/>
          <w:lang w:val="en-US"/>
        </w:rPr>
        <w:t xml:space="preserve"> </w:t>
      </w:r>
      <w:r w:rsidR="009F1FCF" w:rsidRPr="00CE23AE">
        <w:rPr>
          <w:lang w:val="en-US"/>
        </w:rPr>
        <w:t>asked</w:t>
      </w:r>
      <w:r w:rsidR="004E0E2F" w:rsidRPr="00CE23AE">
        <w:rPr>
          <w:lang w:val="en-US"/>
        </w:rPr>
        <w:t xml:space="preserve"> </w:t>
      </w:r>
      <w:r w:rsidRPr="00CE23AE">
        <w:rPr>
          <w:lang w:val="en-US"/>
        </w:rPr>
        <w:t>the Court</w:t>
      </w:r>
      <w:r w:rsidR="00B40A4C" w:rsidRPr="00CE23AE">
        <w:rPr>
          <w:lang w:val="en-US"/>
        </w:rPr>
        <w:t xml:space="preserve"> to order m</w:t>
      </w:r>
      <w:r w:rsidR="00C4399C" w:rsidRPr="00CE23AE">
        <w:rPr>
          <w:lang w:val="en-US"/>
        </w:rPr>
        <w:t>easures</w:t>
      </w:r>
      <w:r w:rsidR="00B40A4C" w:rsidRPr="00CE23AE">
        <w:rPr>
          <w:lang w:val="en-US"/>
        </w:rPr>
        <w:t xml:space="preserve"> of non-repetition that included the adoption of “the state measures necessary for the personnel of the Ecuadorian Ground Forces or any branch of the Ecuadorian Army, as well as the courts of law in the military jurisdiction to be apprised of the inter-American standards, and those of Ecuador’s domestic law, regarding non-discrimination based on actual or perceived sexual orientation.</w:t>
      </w:r>
      <w:r w:rsidR="004E0E2F" w:rsidRPr="00CE23AE">
        <w:rPr>
          <w:lang w:val="en-US"/>
        </w:rPr>
        <w:t xml:space="preserve">” </w:t>
      </w:r>
    </w:p>
    <w:p w14:paraId="234E9F6E" w14:textId="77777777" w:rsidR="004E0E2F" w:rsidRPr="00CE23AE" w:rsidRDefault="004E0E2F" w:rsidP="004E0E2F">
      <w:pPr>
        <w:pStyle w:val="PrrafodeSentencia"/>
        <w:numPr>
          <w:ilvl w:val="0"/>
          <w:numId w:val="0"/>
        </w:numPr>
        <w:rPr>
          <w:lang w:val="en-US"/>
        </w:rPr>
      </w:pPr>
    </w:p>
    <w:p w14:paraId="1A46F596" w14:textId="0692EBE7" w:rsidR="004E0E2F" w:rsidRPr="00CE23AE" w:rsidRDefault="00C561DF" w:rsidP="004E0E2F">
      <w:pPr>
        <w:pStyle w:val="PrrafodeSentencia"/>
        <w:tabs>
          <w:tab w:val="clear" w:pos="12305"/>
          <w:tab w:val="num" w:pos="12589"/>
        </w:tabs>
        <w:rPr>
          <w:lang w:val="en-US"/>
        </w:rPr>
      </w:pPr>
      <w:r w:rsidRPr="00CE23AE">
        <w:rPr>
          <w:lang w:val="en-US"/>
        </w:rPr>
        <w:t xml:space="preserve">The </w:t>
      </w:r>
      <w:r w:rsidRPr="00CE23AE">
        <w:rPr>
          <w:b/>
          <w:bCs/>
          <w:i/>
          <w:iCs/>
          <w:lang w:val="en-US"/>
        </w:rPr>
        <w:t>representative</w:t>
      </w:r>
      <w:r w:rsidR="004E0E2F" w:rsidRPr="00CE23AE">
        <w:rPr>
          <w:lang w:val="en-US"/>
        </w:rPr>
        <w:t xml:space="preserve"> </w:t>
      </w:r>
      <w:r w:rsidR="00B40A4C" w:rsidRPr="00CE23AE">
        <w:rPr>
          <w:lang w:val="en-US"/>
        </w:rPr>
        <w:t>asked</w:t>
      </w:r>
      <w:r w:rsidR="004E0E2F" w:rsidRPr="00CE23AE">
        <w:rPr>
          <w:lang w:val="en-US"/>
        </w:rPr>
        <w:t xml:space="preserve"> </w:t>
      </w:r>
      <w:r w:rsidRPr="00CE23AE">
        <w:rPr>
          <w:lang w:val="en-US"/>
        </w:rPr>
        <w:t>the Court</w:t>
      </w:r>
      <w:r w:rsidR="004E0E2F" w:rsidRPr="00CE23AE">
        <w:rPr>
          <w:lang w:val="en-US"/>
        </w:rPr>
        <w:t xml:space="preserve"> </w:t>
      </w:r>
      <w:r w:rsidR="00B40A4C" w:rsidRPr="00CE23AE">
        <w:rPr>
          <w:lang w:val="en-US"/>
        </w:rPr>
        <w:t>to order the</w:t>
      </w:r>
      <w:r w:rsidR="004E0E2F" w:rsidRPr="00CE23AE">
        <w:rPr>
          <w:lang w:val="en-US"/>
        </w:rPr>
        <w:t xml:space="preserve"> </w:t>
      </w:r>
      <w:r w:rsidR="00C4399C" w:rsidRPr="00CE23AE">
        <w:rPr>
          <w:lang w:val="en-US"/>
        </w:rPr>
        <w:t>“</w:t>
      </w:r>
      <w:r w:rsidR="004E0E2F" w:rsidRPr="00CE23AE">
        <w:rPr>
          <w:lang w:val="en-US"/>
        </w:rPr>
        <w:t>adop</w:t>
      </w:r>
      <w:r w:rsidR="00B40A4C" w:rsidRPr="00CE23AE">
        <w:rPr>
          <w:lang w:val="en-US"/>
        </w:rPr>
        <w:t xml:space="preserve">tion of affirmative action measures within </w:t>
      </w:r>
      <w:r w:rsidR="0005476C" w:rsidRPr="00CE23AE">
        <w:rPr>
          <w:lang w:val="en-US"/>
        </w:rPr>
        <w:t xml:space="preserve">the </w:t>
      </w:r>
      <w:r w:rsidR="009C5D46" w:rsidRPr="00CE23AE">
        <w:rPr>
          <w:lang w:val="en-US"/>
        </w:rPr>
        <w:t>Armed Forces</w:t>
      </w:r>
      <w:r w:rsidR="004E0E2F" w:rsidRPr="00CE23AE">
        <w:rPr>
          <w:lang w:val="en-US"/>
        </w:rPr>
        <w:t xml:space="preserve"> </w:t>
      </w:r>
      <w:r w:rsidR="00B40A4C" w:rsidRPr="00CE23AE">
        <w:rPr>
          <w:lang w:val="en-US"/>
        </w:rPr>
        <w:t>of</w:t>
      </w:r>
      <w:r w:rsidR="004E0E2F" w:rsidRPr="00CE23AE">
        <w:rPr>
          <w:lang w:val="en-US"/>
        </w:rPr>
        <w:t xml:space="preserve"> Ecuador </w:t>
      </w:r>
      <w:r w:rsidR="00B40A4C" w:rsidRPr="00CE23AE">
        <w:rPr>
          <w:lang w:val="en-US"/>
        </w:rPr>
        <w:t>in order to protect the right of all LGBTI persons.”</w:t>
      </w:r>
    </w:p>
    <w:p w14:paraId="2F483EEE" w14:textId="77777777" w:rsidR="004E0E2F" w:rsidRPr="00CE23AE" w:rsidRDefault="004E0E2F" w:rsidP="004E0E2F">
      <w:pPr>
        <w:rPr>
          <w:rFonts w:eastAsia="Batang"/>
          <w:lang w:val="en-US"/>
        </w:rPr>
      </w:pPr>
    </w:p>
    <w:p w14:paraId="01A2F639" w14:textId="16028A01" w:rsidR="004E0E2F" w:rsidRPr="00CE23AE" w:rsidRDefault="00C561DF" w:rsidP="00186A9E">
      <w:pPr>
        <w:pStyle w:val="PrrafodeSentencia"/>
        <w:tabs>
          <w:tab w:val="clear" w:pos="12305"/>
          <w:tab w:val="num" w:pos="12589"/>
        </w:tabs>
        <w:rPr>
          <w:lang w:val="en-US"/>
        </w:rPr>
      </w:pPr>
      <w:r w:rsidRPr="00CE23AE">
        <w:rPr>
          <w:lang w:val="en-US"/>
        </w:rPr>
        <w:t xml:space="preserve">The </w:t>
      </w:r>
      <w:r w:rsidRPr="00CE23AE">
        <w:rPr>
          <w:b/>
          <w:bCs/>
          <w:i/>
          <w:iCs/>
          <w:lang w:val="en-US"/>
        </w:rPr>
        <w:t>State</w:t>
      </w:r>
      <w:r w:rsidR="004E0E2F" w:rsidRPr="00CE23AE">
        <w:rPr>
          <w:b/>
          <w:i/>
          <w:lang w:val="en-US"/>
        </w:rPr>
        <w:t xml:space="preserve"> </w:t>
      </w:r>
      <w:r w:rsidR="00B40A4C" w:rsidRPr="00CE23AE">
        <w:rPr>
          <w:lang w:val="en-US"/>
        </w:rPr>
        <w:t>indicated that</w:t>
      </w:r>
      <w:r w:rsidR="004E0E2F" w:rsidRPr="00CE23AE">
        <w:rPr>
          <w:lang w:val="en-US"/>
        </w:rPr>
        <w:t xml:space="preserve"> </w:t>
      </w:r>
      <w:r w:rsidR="00970AA1" w:rsidRPr="00CE23AE">
        <w:rPr>
          <w:lang w:val="en-US"/>
        </w:rPr>
        <w:t>the Ministry of Defense</w:t>
      </w:r>
      <w:r w:rsidR="00B40A4C" w:rsidRPr="00CE23AE">
        <w:rPr>
          <w:lang w:val="en-US"/>
        </w:rPr>
        <w:t xml:space="preserve"> </w:t>
      </w:r>
      <w:r w:rsidR="004E0E2F" w:rsidRPr="00CE23AE">
        <w:rPr>
          <w:lang w:val="en-US"/>
        </w:rPr>
        <w:t>“ha</w:t>
      </w:r>
      <w:r w:rsidR="00B40A4C" w:rsidRPr="00CE23AE">
        <w:rPr>
          <w:lang w:val="en-US"/>
        </w:rPr>
        <w:t>d</w:t>
      </w:r>
      <w:r w:rsidR="004E0E2F" w:rsidRPr="00CE23AE">
        <w:rPr>
          <w:lang w:val="en-US"/>
        </w:rPr>
        <w:t xml:space="preserve"> implement</w:t>
      </w:r>
      <w:r w:rsidR="00B40A4C" w:rsidRPr="00CE23AE">
        <w:rPr>
          <w:lang w:val="en-US"/>
        </w:rPr>
        <w:t xml:space="preserve">ed gender policies,” and that, since 2010, “instruments had been created with human rights as their key element: the Defense Department’s political agenda (2014-2017) which has as a cross-cutting element: human rights, with an equality approach emphasizing gender and interculturality, and international humanitarian law.” It also stressed that, “in 2013, </w:t>
      </w:r>
      <w:r w:rsidR="00970AA1" w:rsidRPr="00CE23AE">
        <w:rPr>
          <w:lang w:val="en-US"/>
        </w:rPr>
        <w:t>the Ministry of Defense</w:t>
      </w:r>
      <w:r w:rsidR="00B40A4C" w:rsidRPr="00CE23AE">
        <w:rPr>
          <w:lang w:val="en-US"/>
        </w:rPr>
        <w:t xml:space="preserve"> published a document entitled</w:t>
      </w:r>
      <w:r w:rsidR="004E0E2F" w:rsidRPr="00CE23AE">
        <w:rPr>
          <w:lang w:val="en-US"/>
        </w:rPr>
        <w:t>: ‘</w:t>
      </w:r>
      <w:r w:rsidR="00B40A4C" w:rsidRPr="00CE23AE">
        <w:rPr>
          <w:lang w:val="en-US"/>
        </w:rPr>
        <w:t>Gender Policy</w:t>
      </w:r>
      <w:r w:rsidR="0005476C" w:rsidRPr="00CE23AE">
        <w:rPr>
          <w:lang w:val="en-US"/>
        </w:rPr>
        <w:t xml:space="preserve"> of the </w:t>
      </w:r>
      <w:r w:rsidR="009C5D46" w:rsidRPr="00CE23AE">
        <w:rPr>
          <w:lang w:val="en-US"/>
        </w:rPr>
        <w:t>Armed Forces</w:t>
      </w:r>
      <w:r w:rsidR="004E0E2F" w:rsidRPr="00CE23AE">
        <w:rPr>
          <w:lang w:val="en-US"/>
        </w:rPr>
        <w:t xml:space="preserve"> </w:t>
      </w:r>
      <w:r w:rsidR="00B40A4C" w:rsidRPr="00CE23AE">
        <w:rPr>
          <w:lang w:val="en-US"/>
        </w:rPr>
        <w:t>of</w:t>
      </w:r>
      <w:r w:rsidR="004E0E2F" w:rsidRPr="00CE23AE">
        <w:rPr>
          <w:lang w:val="en-US"/>
        </w:rPr>
        <w:t xml:space="preserve"> Ecuador’</w:t>
      </w:r>
      <w:r w:rsidR="00B40A4C" w:rsidRPr="00CE23AE">
        <w:rPr>
          <w:lang w:val="en-US"/>
        </w:rPr>
        <w:t>; this instrument promoted the inclusion of women in the military and</w:t>
      </w:r>
      <w:r w:rsidR="00186A9E" w:rsidRPr="00CE23AE">
        <w:rPr>
          <w:lang w:val="en-US"/>
        </w:rPr>
        <w:t xml:space="preserve"> outlined the transformation of the military institution, guaranteeing the decorous, respectful, equal and professional coexistence of men and women in the military.</w:t>
      </w:r>
      <w:r w:rsidR="004E0E2F" w:rsidRPr="00CE23AE">
        <w:rPr>
          <w:lang w:val="en-US"/>
        </w:rPr>
        <w:t>”</w:t>
      </w:r>
      <w:r w:rsidR="004E0E2F" w:rsidRPr="00CE23AE">
        <w:rPr>
          <w:vertAlign w:val="superscript"/>
          <w:lang w:val="en-US"/>
        </w:rPr>
        <w:footnoteReference w:id="311"/>
      </w:r>
      <w:r w:rsidR="004E0E2F" w:rsidRPr="00CE23AE">
        <w:rPr>
          <w:lang w:val="en-US"/>
        </w:rPr>
        <w:t xml:space="preserve"> </w:t>
      </w:r>
      <w:r w:rsidR="000D7E73" w:rsidRPr="00CE23AE">
        <w:rPr>
          <w:lang w:val="en-US"/>
        </w:rPr>
        <w:t xml:space="preserve"> </w:t>
      </w:r>
    </w:p>
    <w:p w14:paraId="63CCA04D" w14:textId="77777777" w:rsidR="004E0E2F" w:rsidRPr="00CE23AE" w:rsidRDefault="004E0E2F" w:rsidP="004E0E2F">
      <w:pPr>
        <w:rPr>
          <w:rFonts w:eastAsia="Batang"/>
          <w:lang w:val="en-US"/>
        </w:rPr>
      </w:pPr>
    </w:p>
    <w:p w14:paraId="3C2EA1A3" w14:textId="414A5E91" w:rsidR="004E0E2F" w:rsidRPr="00CE23AE" w:rsidRDefault="00186A9E" w:rsidP="00186A9E">
      <w:pPr>
        <w:pStyle w:val="PrrafodeSentencia"/>
        <w:tabs>
          <w:tab w:val="clear" w:pos="12305"/>
          <w:tab w:val="num" w:pos="12589"/>
        </w:tabs>
        <w:rPr>
          <w:lang w:val="en-US"/>
        </w:rPr>
      </w:pPr>
      <w:r w:rsidRPr="00CE23AE">
        <w:rPr>
          <w:lang w:val="en-US"/>
        </w:rPr>
        <w:t>The</w:t>
      </w:r>
      <w:r w:rsidR="00C561DF" w:rsidRPr="00CE23AE">
        <w:rPr>
          <w:lang w:val="en-US"/>
        </w:rPr>
        <w:t xml:space="preserve"> State</w:t>
      </w:r>
      <w:r w:rsidR="004E0E2F" w:rsidRPr="00CE23AE">
        <w:rPr>
          <w:lang w:val="en-US"/>
        </w:rPr>
        <w:t xml:space="preserve"> </w:t>
      </w:r>
      <w:r w:rsidRPr="00CE23AE">
        <w:rPr>
          <w:lang w:val="en-US"/>
        </w:rPr>
        <w:t xml:space="preserve">also argued that “the organic structure </w:t>
      </w:r>
      <w:r w:rsidR="0005476C" w:rsidRPr="00CE23AE">
        <w:rPr>
          <w:lang w:val="en-US"/>
        </w:rPr>
        <w:t xml:space="preserve">of the </w:t>
      </w:r>
      <w:r w:rsidR="009C5D46" w:rsidRPr="00CE23AE">
        <w:rPr>
          <w:lang w:val="en-US"/>
        </w:rPr>
        <w:t>Armed Forces</w:t>
      </w:r>
      <w:r w:rsidR="004E0E2F" w:rsidRPr="00CE23AE">
        <w:rPr>
          <w:lang w:val="en-US"/>
        </w:rPr>
        <w:t xml:space="preserve"> </w:t>
      </w:r>
      <w:r w:rsidRPr="00CE23AE">
        <w:rPr>
          <w:lang w:val="en-US"/>
        </w:rPr>
        <w:t>has been modified</w:t>
      </w:r>
      <w:r w:rsidR="004E0E2F" w:rsidRPr="00CE23AE">
        <w:rPr>
          <w:lang w:val="en-US"/>
        </w:rPr>
        <w:t xml:space="preserve"> [</w:t>
      </w:r>
      <w:r w:rsidRPr="00CE23AE">
        <w:rPr>
          <w:lang w:val="en-US"/>
        </w:rPr>
        <w:t xml:space="preserve">and] currently </w:t>
      </w:r>
      <w:r w:rsidR="00970AA1" w:rsidRPr="00CE23AE">
        <w:rPr>
          <w:lang w:val="en-US"/>
        </w:rPr>
        <w:t>the Ministry of Defense</w:t>
      </w:r>
      <w:r w:rsidRPr="00CE23AE">
        <w:rPr>
          <w:lang w:val="en-US"/>
        </w:rPr>
        <w:t xml:space="preserve"> has a Human Rights and International Humanitarian Law Directorate whose mandate is: ‘To manage the implementation of the human rights policy in order to instill in the members of the Armed Forces an awareness of the need to protect and respect human rights.’” It added that “this department is responsible for supervising and evaluating the effective management of human rights in the Armed Forces.” It also described the scope of existing training programs</w:t>
      </w:r>
      <w:r w:rsidR="004E0E2F" w:rsidRPr="00CE23AE">
        <w:rPr>
          <w:vertAlign w:val="superscript"/>
          <w:lang w:val="en-US"/>
        </w:rPr>
        <w:footnoteReference w:id="312"/>
      </w:r>
      <w:r w:rsidR="004E0E2F" w:rsidRPr="00CE23AE">
        <w:rPr>
          <w:lang w:val="en-US"/>
        </w:rPr>
        <w:t xml:space="preserve"> </w:t>
      </w:r>
      <w:r w:rsidRPr="00CE23AE">
        <w:rPr>
          <w:lang w:val="en-US"/>
        </w:rPr>
        <w:t xml:space="preserve">and provided information on future projects. Therefore, it considered that it already had </w:t>
      </w:r>
      <w:r w:rsidRPr="00CE23AE">
        <w:rPr>
          <w:lang w:val="en-US"/>
        </w:rPr>
        <w:lastRenderedPageBreak/>
        <w:t xml:space="preserve">a body of law that contributed to compliance with legal guarantees and “also, it was providing training </w:t>
      </w:r>
      <w:r w:rsidR="00240DB3" w:rsidRPr="00CE23AE">
        <w:rPr>
          <w:lang w:val="en-US"/>
        </w:rPr>
        <w:t>to</w:t>
      </w:r>
      <w:r w:rsidRPr="00CE23AE">
        <w:rPr>
          <w:lang w:val="en-US"/>
        </w:rPr>
        <w:t xml:space="preserve"> Armed Forces personnel </w:t>
      </w:r>
      <w:r w:rsidR="00240DB3" w:rsidRPr="00CE23AE">
        <w:rPr>
          <w:lang w:val="en-US"/>
        </w:rPr>
        <w:t>on issues directly related to human rights.”</w:t>
      </w:r>
    </w:p>
    <w:p w14:paraId="473A48A3" w14:textId="77777777" w:rsidR="004E0E2F" w:rsidRPr="00CE23AE" w:rsidRDefault="004E0E2F" w:rsidP="004E0E2F">
      <w:pPr>
        <w:rPr>
          <w:rFonts w:eastAsia="Batang"/>
          <w:lang w:val="en-US"/>
        </w:rPr>
      </w:pPr>
    </w:p>
    <w:p w14:paraId="22015F65" w14:textId="05250C52" w:rsidR="004E0E2F" w:rsidRPr="00CE23AE" w:rsidRDefault="00C561DF" w:rsidP="00240DB3">
      <w:pPr>
        <w:pStyle w:val="PrrafodeSentencia"/>
        <w:tabs>
          <w:tab w:val="clear" w:pos="12305"/>
          <w:tab w:val="num" w:pos="12589"/>
        </w:tabs>
        <w:rPr>
          <w:lang w:val="en-US"/>
        </w:rPr>
      </w:pPr>
      <w:r w:rsidRPr="00CE23AE">
        <w:rPr>
          <w:lang w:val="en-US"/>
        </w:rPr>
        <w:t>The Court</w:t>
      </w:r>
      <w:r w:rsidR="004E0E2F" w:rsidRPr="00CE23AE">
        <w:rPr>
          <w:lang w:val="en-US"/>
        </w:rPr>
        <w:t xml:space="preserve"> not</w:t>
      </w:r>
      <w:r w:rsidR="00240DB3" w:rsidRPr="00CE23AE">
        <w:rPr>
          <w:lang w:val="en-US"/>
        </w:rPr>
        <w:t xml:space="preserve">es that the State has </w:t>
      </w:r>
      <w:r w:rsidR="000D7E73" w:rsidRPr="00CE23AE">
        <w:rPr>
          <w:lang w:val="en-US"/>
        </w:rPr>
        <w:t>implemented</w:t>
      </w:r>
      <w:r w:rsidR="00240DB3" w:rsidRPr="00CE23AE">
        <w:rPr>
          <w:lang w:val="en-US"/>
        </w:rPr>
        <w:t xml:space="preserve"> some training programs that include issues </w:t>
      </w:r>
      <w:r w:rsidR="000D7E73" w:rsidRPr="00CE23AE">
        <w:rPr>
          <w:lang w:val="en-US"/>
        </w:rPr>
        <w:t>such as the</w:t>
      </w:r>
      <w:r w:rsidR="00240DB3" w:rsidRPr="00CE23AE">
        <w:rPr>
          <w:lang w:val="en-US"/>
        </w:rPr>
        <w:t xml:space="preserve"> prohibition </w:t>
      </w:r>
      <w:r w:rsidR="00970AA1" w:rsidRPr="00CE23AE">
        <w:rPr>
          <w:lang w:val="en-US"/>
        </w:rPr>
        <w:t>of discrimination based on sexual orientation</w:t>
      </w:r>
      <w:r w:rsidR="004E0E2F" w:rsidRPr="00CE23AE">
        <w:rPr>
          <w:lang w:val="en-US"/>
        </w:rPr>
        <w:t xml:space="preserve">. </w:t>
      </w:r>
      <w:r w:rsidR="00240DB3" w:rsidRPr="00CE23AE">
        <w:rPr>
          <w:lang w:val="en-US"/>
        </w:rPr>
        <w:t xml:space="preserve">Although the Court appreciates the State’s efforts in this regard, it notes that these programs have only reached a limited number of officials and that the case file does not reveal whether they are permanent and compulsory. It also notes that the policies described by the State refer to the general protection of human rights emphasizing the areas of gender and interculturality, on the one hand, and international humanitarian law, on the other. However, these policies do not have the primary purpose of protection against </w:t>
      </w:r>
      <w:r w:rsidR="00FA0123" w:rsidRPr="00CE23AE">
        <w:rPr>
          <w:lang w:val="en-US"/>
        </w:rPr>
        <w:t>discrimination</w:t>
      </w:r>
      <w:r w:rsidR="004E0E2F" w:rsidRPr="00CE23AE">
        <w:rPr>
          <w:lang w:val="en-US"/>
        </w:rPr>
        <w:t xml:space="preserve"> </w:t>
      </w:r>
      <w:r w:rsidR="00240DB3" w:rsidRPr="00CE23AE">
        <w:rPr>
          <w:lang w:val="en-US"/>
        </w:rPr>
        <w:t>based on</w:t>
      </w:r>
      <w:r w:rsidR="00D5223B" w:rsidRPr="00CE23AE">
        <w:rPr>
          <w:lang w:val="en-US"/>
        </w:rPr>
        <w:t xml:space="preserve"> sexual orientation</w:t>
      </w:r>
      <w:r w:rsidR="004E0E2F" w:rsidRPr="00CE23AE">
        <w:rPr>
          <w:lang w:val="en-US"/>
        </w:rPr>
        <w:t xml:space="preserve"> </w:t>
      </w:r>
      <w:r w:rsidR="00240DB3" w:rsidRPr="00CE23AE">
        <w:rPr>
          <w:lang w:val="en-US"/>
        </w:rPr>
        <w:t>in the military.</w:t>
      </w:r>
      <w:r w:rsidR="004E0E2F" w:rsidRPr="00CE23AE">
        <w:rPr>
          <w:lang w:val="en-US"/>
        </w:rPr>
        <w:t xml:space="preserve"> </w:t>
      </w:r>
    </w:p>
    <w:p w14:paraId="29B578CA" w14:textId="77777777" w:rsidR="004E0E2F" w:rsidRPr="00CE23AE" w:rsidRDefault="004E0E2F" w:rsidP="004E0E2F">
      <w:pPr>
        <w:rPr>
          <w:rFonts w:eastAsia="Batang"/>
          <w:lang w:val="en-US"/>
        </w:rPr>
      </w:pPr>
    </w:p>
    <w:p w14:paraId="31E7A1B8" w14:textId="51E09090" w:rsidR="004E0E2F" w:rsidRPr="00CE23AE" w:rsidRDefault="00240DB3" w:rsidP="00BE776A">
      <w:pPr>
        <w:pStyle w:val="PrrafodeSentencia"/>
        <w:tabs>
          <w:tab w:val="clear" w:pos="12305"/>
          <w:tab w:val="num" w:pos="12589"/>
        </w:tabs>
        <w:rPr>
          <w:lang w:val="en-US"/>
        </w:rPr>
      </w:pPr>
      <w:bookmarkStart w:id="528" w:name="_Ref455680415"/>
      <w:r w:rsidRPr="00CE23AE">
        <w:rPr>
          <w:lang w:val="en-US"/>
        </w:rPr>
        <w:t>Based on the proven facts and the violations declared in this case, the Court finds it essential</w:t>
      </w:r>
      <w:r w:rsidR="00BE776A" w:rsidRPr="00CE23AE">
        <w:rPr>
          <w:lang w:val="en-US"/>
        </w:rPr>
        <w:t xml:space="preserve"> that members of the Armed Forces and agents responsible for military disciplinary procedures receive training on the prohibition of discrimination based on sexual orientation to avoid a repetition of facts such as those that occurred in this case. To this end, the Court finds it necessary that the State put in practice, within a reasonable time, continuing and permanent training programs for members </w:t>
      </w:r>
      <w:r w:rsidR="0005476C" w:rsidRPr="00CE23AE">
        <w:rPr>
          <w:lang w:val="en-US"/>
        </w:rPr>
        <w:t xml:space="preserve">of the </w:t>
      </w:r>
      <w:r w:rsidR="009C5D46" w:rsidRPr="00CE23AE">
        <w:rPr>
          <w:lang w:val="en-US"/>
        </w:rPr>
        <w:t>Armed Forces</w:t>
      </w:r>
      <w:r w:rsidR="004E0E2F" w:rsidRPr="00CE23AE">
        <w:rPr>
          <w:lang w:val="en-US"/>
        </w:rPr>
        <w:t xml:space="preserve"> </w:t>
      </w:r>
      <w:r w:rsidR="00BE776A" w:rsidRPr="00CE23AE">
        <w:rPr>
          <w:lang w:val="en-US"/>
        </w:rPr>
        <w:t>on</w:t>
      </w:r>
      <w:r w:rsidR="004E0E2F" w:rsidRPr="00CE23AE">
        <w:rPr>
          <w:lang w:val="en-US"/>
        </w:rPr>
        <w:t xml:space="preserve"> </w:t>
      </w:r>
      <w:r w:rsidR="000D7E73" w:rsidRPr="00CE23AE">
        <w:rPr>
          <w:lang w:val="en-US"/>
        </w:rPr>
        <w:t xml:space="preserve">the </w:t>
      </w:r>
      <w:r w:rsidR="00970AA1" w:rsidRPr="00CE23AE">
        <w:rPr>
          <w:lang w:val="en-US"/>
        </w:rPr>
        <w:t>prohibition of discrimination based on sexual orientation</w:t>
      </w:r>
      <w:r w:rsidR="00BE776A" w:rsidRPr="00CE23AE">
        <w:rPr>
          <w:lang w:val="en-US"/>
        </w:rPr>
        <w:t xml:space="preserve"> to ensure that actual or perceive </w:t>
      </w:r>
      <w:r w:rsidR="00D5223B" w:rsidRPr="00CE23AE">
        <w:rPr>
          <w:lang w:val="en-US"/>
        </w:rPr>
        <w:t>sexual orientation</w:t>
      </w:r>
      <w:r w:rsidR="00BE776A" w:rsidRPr="00CE23AE">
        <w:rPr>
          <w:lang w:val="en-US"/>
        </w:rPr>
        <w:t xml:space="preserve"> </w:t>
      </w:r>
      <w:r w:rsidR="000D7E73" w:rsidRPr="00CE23AE">
        <w:rPr>
          <w:lang w:val="en-US"/>
        </w:rPr>
        <w:t>never</w:t>
      </w:r>
      <w:r w:rsidR="00BE776A" w:rsidRPr="00CE23AE">
        <w:rPr>
          <w:lang w:val="en-US"/>
        </w:rPr>
        <w:t xml:space="preserve"> constitute</w:t>
      </w:r>
      <w:r w:rsidR="000D7E73" w:rsidRPr="00CE23AE">
        <w:rPr>
          <w:lang w:val="en-US"/>
        </w:rPr>
        <w:t>s</w:t>
      </w:r>
      <w:r w:rsidR="00BE776A" w:rsidRPr="00CE23AE">
        <w:rPr>
          <w:lang w:val="en-US"/>
        </w:rPr>
        <w:t xml:space="preserve"> a reason to justify discriminatory treatment. These programs must form part of the training received by military offic</w:t>
      </w:r>
      <w:r w:rsidR="000D7E73" w:rsidRPr="00CE23AE">
        <w:rPr>
          <w:lang w:val="en-US"/>
        </w:rPr>
        <w:t>er</w:t>
      </w:r>
      <w:r w:rsidR="00BE776A" w:rsidRPr="00CE23AE">
        <w:rPr>
          <w:lang w:val="en-US"/>
        </w:rPr>
        <w:t>s.</w:t>
      </w:r>
      <w:bookmarkEnd w:id="528"/>
    </w:p>
    <w:p w14:paraId="1E33DC7F" w14:textId="199615FD" w:rsidR="004E0E2F" w:rsidRPr="00CE23AE" w:rsidRDefault="00BE776A" w:rsidP="004E0E2F">
      <w:pPr>
        <w:rPr>
          <w:rFonts w:eastAsia="Batang"/>
          <w:lang w:val="en-US"/>
        </w:rPr>
      </w:pPr>
      <w:r w:rsidRPr="00CE23AE">
        <w:rPr>
          <w:rFonts w:eastAsia="Batang"/>
          <w:lang w:val="en-US"/>
        </w:rPr>
        <w:t xml:space="preserve"> </w:t>
      </w:r>
    </w:p>
    <w:p w14:paraId="469EC702" w14:textId="2F16B2FD" w:rsidR="004E0E2F" w:rsidRPr="00CE23AE" w:rsidRDefault="00BE776A" w:rsidP="004E0E2F">
      <w:pPr>
        <w:pStyle w:val="PrrafodeSentencia"/>
        <w:tabs>
          <w:tab w:val="clear" w:pos="12305"/>
          <w:tab w:val="num" w:pos="12589"/>
        </w:tabs>
        <w:rPr>
          <w:lang w:val="en-US"/>
        </w:rPr>
      </w:pPr>
      <w:bookmarkStart w:id="529" w:name="_Ref455680418"/>
      <w:r w:rsidRPr="00CE23AE">
        <w:rPr>
          <w:lang w:val="en-US"/>
        </w:rPr>
        <w:t xml:space="preserve">The said training programs and courses must make special mention of this judgment and the different precedents in the human rights </w:t>
      </w:r>
      <w:r w:rsidR="004E0E2F" w:rsidRPr="00CE23AE">
        <w:rPr>
          <w:i/>
          <w:iCs/>
          <w:lang w:val="en-US"/>
        </w:rPr>
        <w:t xml:space="preserve">corpus iuris </w:t>
      </w:r>
      <w:r w:rsidRPr="00CE23AE">
        <w:rPr>
          <w:lang w:val="en-US"/>
        </w:rPr>
        <w:t>on the</w:t>
      </w:r>
      <w:r w:rsidR="004E0E2F" w:rsidRPr="00CE23AE">
        <w:rPr>
          <w:lang w:val="en-US"/>
        </w:rPr>
        <w:t xml:space="preserve"> </w:t>
      </w:r>
      <w:r w:rsidR="00970AA1" w:rsidRPr="00CE23AE">
        <w:rPr>
          <w:lang w:val="en-US"/>
        </w:rPr>
        <w:t>prohibition of discrimination based on sexual orientation</w:t>
      </w:r>
      <w:r w:rsidR="00C561DF" w:rsidRPr="00CE23AE">
        <w:rPr>
          <w:lang w:val="en-US"/>
        </w:rPr>
        <w:t xml:space="preserve"> and </w:t>
      </w:r>
      <w:r w:rsidRPr="00CE23AE">
        <w:rPr>
          <w:lang w:val="en-US"/>
        </w:rPr>
        <w:t>of the obligation of all authorities and officials to ensure that individual</w:t>
      </w:r>
      <w:r w:rsidR="000D7E73" w:rsidRPr="00CE23AE">
        <w:rPr>
          <w:lang w:val="en-US"/>
        </w:rPr>
        <w:t>s</w:t>
      </w:r>
      <w:r w:rsidRPr="00CE23AE">
        <w:rPr>
          <w:lang w:val="en-US"/>
        </w:rPr>
        <w:t xml:space="preserve"> may enjoy each and every one of the rights established in </w:t>
      </w:r>
      <w:r w:rsidR="00C561DF" w:rsidRPr="00CE23AE">
        <w:rPr>
          <w:lang w:val="en-US"/>
        </w:rPr>
        <w:t>the Convention</w:t>
      </w:r>
      <w:r w:rsidRPr="00CE23AE">
        <w:rPr>
          <w:lang w:val="en-US"/>
        </w:rPr>
        <w:t>.</w:t>
      </w:r>
      <w:r w:rsidR="004E0E2F" w:rsidRPr="00CE23AE">
        <w:rPr>
          <w:vertAlign w:val="superscript"/>
          <w:lang w:val="en-US"/>
        </w:rPr>
        <w:footnoteReference w:id="313"/>
      </w:r>
      <w:bookmarkEnd w:id="529"/>
      <w:r w:rsidR="004E0E2F" w:rsidRPr="00CE23AE">
        <w:rPr>
          <w:lang w:val="en-US"/>
        </w:rPr>
        <w:t xml:space="preserve"> </w:t>
      </w:r>
    </w:p>
    <w:p w14:paraId="54456D85" w14:textId="77777777" w:rsidR="004E0E2F" w:rsidRPr="00CE23AE" w:rsidRDefault="004E0E2F" w:rsidP="004E0E2F">
      <w:pPr>
        <w:rPr>
          <w:rFonts w:eastAsia="Batang"/>
          <w:lang w:val="en-US"/>
        </w:rPr>
      </w:pPr>
    </w:p>
    <w:p w14:paraId="06876056" w14:textId="30E8668E" w:rsidR="004E0E2F" w:rsidRPr="00CE23AE" w:rsidRDefault="00970AA1" w:rsidP="004E0E2F">
      <w:pPr>
        <w:pStyle w:val="Ttulo2"/>
        <w:numPr>
          <w:ilvl w:val="0"/>
          <w:numId w:val="27"/>
        </w:numPr>
        <w:ind w:left="1134"/>
        <w:rPr>
          <w:lang w:val="en-US"/>
        </w:rPr>
      </w:pPr>
      <w:bookmarkStart w:id="530" w:name="_Toc46388412"/>
      <w:r w:rsidRPr="00CE23AE">
        <w:rPr>
          <w:lang w:val="en-US"/>
        </w:rPr>
        <w:t>Other measures requested</w:t>
      </w:r>
      <w:bookmarkEnd w:id="530"/>
    </w:p>
    <w:p w14:paraId="12876EA1" w14:textId="77777777" w:rsidR="004E0E2F" w:rsidRPr="00CE23AE" w:rsidRDefault="004E0E2F" w:rsidP="004E0E2F">
      <w:pPr>
        <w:rPr>
          <w:rFonts w:eastAsia="Batang"/>
          <w:lang w:val="en-US"/>
        </w:rPr>
      </w:pPr>
    </w:p>
    <w:p w14:paraId="70ABD07B" w14:textId="5D29E38E" w:rsidR="004E0E2F" w:rsidRPr="00CE23AE" w:rsidRDefault="00B44594" w:rsidP="005A4AAB">
      <w:pPr>
        <w:pStyle w:val="PrrafodeSentencia"/>
        <w:tabs>
          <w:tab w:val="clear" w:pos="12305"/>
          <w:tab w:val="num" w:pos="12589"/>
        </w:tabs>
        <w:rPr>
          <w:lang w:val="en-US"/>
        </w:rPr>
      </w:pPr>
      <w:r w:rsidRPr="00CE23AE">
        <w:rPr>
          <w:lang w:val="en-US"/>
        </w:rPr>
        <w:t>In addition to the above-mentioned measures</w:t>
      </w:r>
      <w:r w:rsidR="004E0E2F" w:rsidRPr="00CE23AE">
        <w:rPr>
          <w:lang w:val="en-US"/>
        </w:rPr>
        <w:t xml:space="preserve">, </w:t>
      </w:r>
      <w:r w:rsidR="00C561DF" w:rsidRPr="00CE23AE">
        <w:rPr>
          <w:lang w:val="en-US"/>
        </w:rPr>
        <w:t xml:space="preserve">the </w:t>
      </w:r>
      <w:r w:rsidR="00C561DF" w:rsidRPr="00CE23AE">
        <w:rPr>
          <w:b/>
          <w:bCs/>
          <w:lang w:val="en-US"/>
        </w:rPr>
        <w:t>representative</w:t>
      </w:r>
      <w:r w:rsidR="004E0E2F" w:rsidRPr="00CE23AE">
        <w:rPr>
          <w:b/>
          <w:lang w:val="en-US"/>
        </w:rPr>
        <w:t xml:space="preserve"> </w:t>
      </w:r>
      <w:r w:rsidRPr="00CE23AE">
        <w:rPr>
          <w:lang w:val="en-US"/>
        </w:rPr>
        <w:t>asked</w:t>
      </w:r>
      <w:r w:rsidR="004E0E2F" w:rsidRPr="00CE23AE">
        <w:rPr>
          <w:lang w:val="en-US"/>
        </w:rPr>
        <w:t>: (i)</w:t>
      </w:r>
      <w:r w:rsidR="004E0E2F" w:rsidRPr="00CE23AE">
        <w:rPr>
          <w:b/>
          <w:lang w:val="en-US"/>
        </w:rPr>
        <w:t xml:space="preserve"> </w:t>
      </w:r>
      <w:r w:rsidR="005A4AAB" w:rsidRPr="00CE23AE">
        <w:rPr>
          <w:bCs/>
          <w:lang w:val="en-US"/>
        </w:rPr>
        <w:t>that the</w:t>
      </w:r>
      <w:r w:rsidR="005A4AAB" w:rsidRPr="00CE23AE">
        <w:rPr>
          <w:b/>
          <w:lang w:val="en-US"/>
        </w:rPr>
        <w:t xml:space="preserve"> </w:t>
      </w:r>
      <w:r w:rsidR="005A4AAB" w:rsidRPr="00CE23AE">
        <w:rPr>
          <w:lang w:val="en-US"/>
        </w:rPr>
        <w:t xml:space="preserve">Court order the “investigation and punishment of those responsible,” insisting that this should include “civil, criminal and administrative aspects”; (ii) that the State offer a public apology “by a publication in the media, the Official Record, and a Ministerial Order (Ministry of National Defense)” and keep “a permanent institutional acknowledgement on the premises of the Army’s General Command, by a plaque placed there, and (iii) that the State “adapt its domestic law to the provisions of the American Convention [and that] it include norms and policies aimed at eliminating all forms of </w:t>
      </w:r>
      <w:r w:rsidR="00FA0123" w:rsidRPr="00CE23AE">
        <w:rPr>
          <w:lang w:val="en-US"/>
        </w:rPr>
        <w:t>discrimination</w:t>
      </w:r>
      <w:r w:rsidR="004E0E2F" w:rsidRPr="00CE23AE">
        <w:rPr>
          <w:lang w:val="en-US"/>
        </w:rPr>
        <w:t xml:space="preserve"> </w:t>
      </w:r>
      <w:r w:rsidR="005A4AAB" w:rsidRPr="00CE23AE">
        <w:rPr>
          <w:lang w:val="en-US"/>
        </w:rPr>
        <w:t>based on</w:t>
      </w:r>
      <w:r w:rsidR="00D5223B" w:rsidRPr="00CE23AE">
        <w:rPr>
          <w:lang w:val="en-US"/>
        </w:rPr>
        <w:t xml:space="preserve"> sexual orientation</w:t>
      </w:r>
      <w:r w:rsidR="004E0E2F" w:rsidRPr="00CE23AE">
        <w:rPr>
          <w:lang w:val="en-US"/>
        </w:rPr>
        <w:t xml:space="preserve">, </w:t>
      </w:r>
      <w:r w:rsidR="005A4AAB" w:rsidRPr="00CE23AE">
        <w:rPr>
          <w:lang w:val="en-US"/>
        </w:rPr>
        <w:t>whether</w:t>
      </w:r>
      <w:r w:rsidR="004E0E2F" w:rsidRPr="00CE23AE">
        <w:rPr>
          <w:lang w:val="en-US"/>
        </w:rPr>
        <w:t xml:space="preserve"> </w:t>
      </w:r>
      <w:r w:rsidR="004570C1" w:rsidRPr="00CE23AE">
        <w:rPr>
          <w:lang w:val="en-US"/>
        </w:rPr>
        <w:t>actual or perceived</w:t>
      </w:r>
      <w:r w:rsidR="004E0E2F" w:rsidRPr="00CE23AE">
        <w:rPr>
          <w:lang w:val="en-US"/>
        </w:rPr>
        <w:t>,</w:t>
      </w:r>
      <w:r w:rsidR="005A4AAB" w:rsidRPr="00CE23AE">
        <w:rPr>
          <w:lang w:val="en-US"/>
        </w:rPr>
        <w:t xml:space="preserve"> by political and legislative affirmative action mechanisms.” He also asked for (iv) the elimination from Ecuador’s laws of the norms, detailed in his brief, that contravene the provisions of the Convention,” and (v) that “the State adapt its laws to ensure that infractions of a disciplinary nature within the Armed Forces are examined and decided by independent and impartial judges.</w:t>
      </w:r>
      <w:r w:rsidR="004E0E2F" w:rsidRPr="00CE23AE">
        <w:rPr>
          <w:lang w:val="en-US"/>
        </w:rPr>
        <w:t xml:space="preserve">” </w:t>
      </w:r>
    </w:p>
    <w:p w14:paraId="0A69EF28" w14:textId="77777777" w:rsidR="004E0E2F" w:rsidRPr="00CE23AE" w:rsidRDefault="004E0E2F" w:rsidP="004E0E2F">
      <w:pPr>
        <w:pStyle w:val="PrrafodeSentencia"/>
        <w:numPr>
          <w:ilvl w:val="0"/>
          <w:numId w:val="0"/>
        </w:numPr>
        <w:rPr>
          <w:lang w:val="en-US"/>
        </w:rPr>
      </w:pPr>
    </w:p>
    <w:p w14:paraId="2A19D31D" w14:textId="38317CBC" w:rsidR="008A5D00" w:rsidRPr="00CE23AE" w:rsidRDefault="00C561DF" w:rsidP="00F9612C">
      <w:pPr>
        <w:pStyle w:val="PrrafodeSentencia"/>
        <w:rPr>
          <w:lang w:val="en-US"/>
        </w:rPr>
      </w:pPr>
      <w:r w:rsidRPr="00CE23AE">
        <w:rPr>
          <w:lang w:val="en-US"/>
        </w:rPr>
        <w:t xml:space="preserve">The </w:t>
      </w:r>
      <w:r w:rsidRPr="00CE23AE">
        <w:rPr>
          <w:b/>
          <w:bCs/>
          <w:i/>
          <w:iCs/>
          <w:lang w:val="en-US"/>
        </w:rPr>
        <w:t>State</w:t>
      </w:r>
      <w:r w:rsidR="004E0E2F" w:rsidRPr="00CE23AE">
        <w:rPr>
          <w:b/>
          <w:lang w:val="en-US"/>
        </w:rPr>
        <w:t xml:space="preserve"> </w:t>
      </w:r>
      <w:r w:rsidR="00F9612C" w:rsidRPr="00CE23AE">
        <w:rPr>
          <w:lang w:val="en-US"/>
        </w:rPr>
        <w:t>indicate</w:t>
      </w:r>
      <w:r w:rsidR="005A4AAB" w:rsidRPr="00CE23AE">
        <w:rPr>
          <w:lang w:val="en-US"/>
        </w:rPr>
        <w:t xml:space="preserve">d that the request to investigate and punish those responsible was unsubstantiated and that “in this case, a grave or systematic violation of human rights had not been verified” that would justify the obligation to investigate. It also emphasized that “inter-American case law ha[d] established that the delivery of a judgment and its publication were, </w:t>
      </w:r>
      <w:r w:rsidR="005A4AAB" w:rsidRPr="00CE23AE">
        <w:rPr>
          <w:i/>
          <w:lang w:val="en-US"/>
        </w:rPr>
        <w:t>per se</w:t>
      </w:r>
      <w:r w:rsidR="005A4AAB" w:rsidRPr="00CE23AE">
        <w:rPr>
          <w:lang w:val="en-US"/>
        </w:rPr>
        <w:t xml:space="preserve">, a sufficient measure of reparation, so that it would be unnecessary to order additional measures.” </w:t>
      </w:r>
      <w:r w:rsidR="006A51C9" w:rsidRPr="00CE23AE">
        <w:rPr>
          <w:lang w:val="en-US"/>
        </w:rPr>
        <w:t>Furthermore, it</w:t>
      </w:r>
      <w:r w:rsidR="005A4AAB" w:rsidRPr="00CE23AE">
        <w:rPr>
          <w:lang w:val="en-US"/>
        </w:rPr>
        <w:t xml:space="preserve"> indicated that it had complied with “providing a public apology by unveiling a plaque placed in the Ministry of National Defense in the presence of Mr. Flor and senior authorities of the Ecuadorian </w:t>
      </w:r>
      <w:r w:rsidR="005A4AAB" w:rsidRPr="00CE23AE">
        <w:rPr>
          <w:lang w:val="en-US"/>
        </w:rPr>
        <w:lastRenderedPageBreak/>
        <w:t>State</w:t>
      </w:r>
      <w:r w:rsidR="008A5D00" w:rsidRPr="00CE23AE">
        <w:rPr>
          <w:lang w:val="en-US"/>
        </w:rPr>
        <w:t>,</w:t>
      </w:r>
      <w:r w:rsidR="004E0E2F" w:rsidRPr="00CE23AE">
        <w:rPr>
          <w:lang w:val="en-US"/>
        </w:rPr>
        <w:t>”</w:t>
      </w:r>
      <w:r w:rsidR="004E0E2F" w:rsidRPr="00CE23AE">
        <w:rPr>
          <w:vertAlign w:val="superscript"/>
          <w:lang w:val="en-US"/>
        </w:rPr>
        <w:footnoteReference w:id="314"/>
      </w:r>
      <w:r w:rsidR="008A5D00" w:rsidRPr="00CE23AE">
        <w:rPr>
          <w:lang w:val="en-US"/>
        </w:rPr>
        <w:t xml:space="preserve"> and affirmed that this act had been disseminated “on the website </w:t>
      </w:r>
      <w:r w:rsidR="0078516C" w:rsidRPr="00CE23AE">
        <w:rPr>
          <w:lang w:val="en-US"/>
        </w:rPr>
        <w:t>of the Ministry of National Defense</w:t>
      </w:r>
      <w:r w:rsidR="008A5D00" w:rsidRPr="00CE23AE">
        <w:rPr>
          <w:lang w:val="en-US"/>
        </w:rPr>
        <w:t>.</w:t>
      </w:r>
      <w:r w:rsidR="004E0E2F" w:rsidRPr="00CE23AE">
        <w:rPr>
          <w:lang w:val="en-US"/>
        </w:rPr>
        <w:t xml:space="preserve">” </w:t>
      </w:r>
      <w:r w:rsidR="008A5D00" w:rsidRPr="00CE23AE">
        <w:rPr>
          <w:lang w:val="en-US"/>
        </w:rPr>
        <w:t xml:space="preserve">Regarding the requests to take domestic legal measures, the State argued that </w:t>
      </w:r>
      <w:r w:rsidR="004E0E2F" w:rsidRPr="00CE23AE">
        <w:rPr>
          <w:lang w:val="en-US"/>
        </w:rPr>
        <w:t>Ecuador “</w:t>
      </w:r>
      <w:r w:rsidR="008A5D00" w:rsidRPr="00CE23AE">
        <w:rPr>
          <w:lang w:val="en-US"/>
        </w:rPr>
        <w:t xml:space="preserve">has a policy of the defense and guarantee of the human rights of everyone, [and] consequently, this includes the Armed Forces personnel.” In particular, it pointed to actions taken on June 4, 2012, when “the ‘Protocols for processing and monitoring the </w:t>
      </w:r>
      <w:r w:rsidR="006A51C9" w:rsidRPr="00CE23AE">
        <w:rPr>
          <w:lang w:val="en-US"/>
        </w:rPr>
        <w:t>files</w:t>
      </w:r>
      <w:r w:rsidR="008A5D00" w:rsidRPr="00CE23AE">
        <w:rPr>
          <w:lang w:val="en-US"/>
        </w:rPr>
        <w:t xml:space="preserve"> of human rights and gender-related cases in the Armed Forces of Ecuador’ were published,</w:t>
      </w:r>
      <w:r w:rsidR="006A51C9" w:rsidRPr="00CE23AE">
        <w:rPr>
          <w:lang w:val="en-US"/>
        </w:rPr>
        <w:t>”</w:t>
      </w:r>
      <w:r w:rsidR="008A5D00" w:rsidRPr="00CE23AE">
        <w:rPr>
          <w:lang w:val="en-US"/>
        </w:rPr>
        <w:t xml:space="preserve"> the purpose of which was to process the complaints filed by both civilian and active personnel on possible human rights violations, which contributed to the possibility of preventive and corrective measures</w:t>
      </w:r>
      <w:r w:rsidR="006A51C9" w:rsidRPr="00CE23AE">
        <w:rPr>
          <w:lang w:val="en-US"/>
        </w:rPr>
        <w:t xml:space="preserve"> being taken</w:t>
      </w:r>
      <w:r w:rsidR="008A5D00" w:rsidRPr="00CE23AE">
        <w:rPr>
          <w:lang w:val="en-US"/>
        </w:rPr>
        <w:t xml:space="preserve"> </w:t>
      </w:r>
      <w:r w:rsidR="00EA6479" w:rsidRPr="00CE23AE">
        <w:rPr>
          <w:lang w:val="en-US"/>
        </w:rPr>
        <w:t>to address conducts contrary to human rights.”</w:t>
      </w:r>
    </w:p>
    <w:p w14:paraId="68D846EF" w14:textId="77777777" w:rsidR="004E0E2F" w:rsidRPr="00CE23AE" w:rsidRDefault="004E0E2F" w:rsidP="004E0E2F">
      <w:pPr>
        <w:rPr>
          <w:rFonts w:eastAsia="Batang"/>
          <w:lang w:val="en-US"/>
        </w:rPr>
      </w:pPr>
    </w:p>
    <w:p w14:paraId="31C5E011" w14:textId="0C2E8978" w:rsidR="00EA6479" w:rsidRPr="00CE23AE" w:rsidRDefault="004E0E2F" w:rsidP="004E0E2F">
      <w:pPr>
        <w:pStyle w:val="PrrafodeSentencia"/>
        <w:tabs>
          <w:tab w:val="clear" w:pos="12305"/>
          <w:tab w:val="num" w:pos="12589"/>
        </w:tabs>
        <w:rPr>
          <w:lang w:val="en-US"/>
        </w:rPr>
      </w:pPr>
      <w:r w:rsidRPr="00CE23AE">
        <w:rPr>
          <w:lang w:val="en-US"/>
        </w:rPr>
        <w:t>Re</w:t>
      </w:r>
      <w:r w:rsidR="00EA6479" w:rsidRPr="00CE23AE">
        <w:rPr>
          <w:lang w:val="en-US"/>
        </w:rPr>
        <w:t xml:space="preserve">garding the requests to adapt domestic law, the Court recalls that article </w:t>
      </w:r>
      <w:r w:rsidRPr="00CE23AE">
        <w:rPr>
          <w:lang w:val="en-US"/>
        </w:rPr>
        <w:t>117</w:t>
      </w:r>
      <w:r w:rsidR="00C561DF" w:rsidRPr="00CE23AE">
        <w:rPr>
          <w:lang w:val="en-US"/>
        </w:rPr>
        <w:t xml:space="preserve"> of the </w:t>
      </w:r>
      <w:r w:rsidR="00EA6479" w:rsidRPr="00CE23AE">
        <w:rPr>
          <w:lang w:val="en-US"/>
        </w:rPr>
        <w:t xml:space="preserve">1988 </w:t>
      </w:r>
      <w:r w:rsidR="009C5D46" w:rsidRPr="00CE23AE">
        <w:rPr>
          <w:lang w:val="en-US"/>
        </w:rPr>
        <w:t>Military Discipline Regulations</w:t>
      </w:r>
      <w:r w:rsidR="00EA6479" w:rsidRPr="00CE23AE">
        <w:rPr>
          <w:lang w:val="en-US"/>
        </w:rPr>
        <w:t>, which this Court considered violated</w:t>
      </w:r>
      <w:r w:rsidR="00C561DF" w:rsidRPr="00CE23AE">
        <w:rPr>
          <w:lang w:val="en-US"/>
        </w:rPr>
        <w:t xml:space="preserve"> the American Convention</w:t>
      </w:r>
      <w:r w:rsidR="00EA6479" w:rsidRPr="00CE23AE">
        <w:rPr>
          <w:lang w:val="en-US"/>
        </w:rPr>
        <w:t xml:space="preserve">, was amended in </w:t>
      </w:r>
      <w:r w:rsidRPr="00CE23AE">
        <w:rPr>
          <w:lang w:val="en-US"/>
        </w:rPr>
        <w:t>2008 (</w:t>
      </w:r>
      <w:r w:rsidRPr="00CE23AE">
        <w:rPr>
          <w:i/>
          <w:lang w:val="en-US"/>
        </w:rPr>
        <w:t>supra</w:t>
      </w:r>
      <w:r w:rsidRPr="00CE23AE">
        <w:rPr>
          <w:lang w:val="en-US"/>
        </w:rPr>
        <w:t xml:space="preserve"> </w:t>
      </w:r>
      <w:r w:rsidR="005C743F" w:rsidRPr="00CE23AE">
        <w:rPr>
          <w:lang w:val="en-US"/>
        </w:rPr>
        <w:t>para.</w:t>
      </w:r>
      <w:r w:rsidRPr="00CE23AE">
        <w:rPr>
          <w:lang w:val="en-US"/>
        </w:rPr>
        <w:t xml:space="preserve"> </w:t>
      </w:r>
      <w:r w:rsidRPr="00CE23AE">
        <w:rPr>
          <w:lang w:val="en-US"/>
        </w:rPr>
        <w:fldChar w:fldCharType="begin"/>
      </w:r>
      <w:r w:rsidRPr="00CE23AE">
        <w:rPr>
          <w:lang w:val="en-US"/>
        </w:rPr>
        <w:instrText xml:space="preserve"> REF _Ref453707282 \r \h </w:instrText>
      </w:r>
      <w:r w:rsidR="00CE23AE">
        <w:rPr>
          <w:lang w:val="en-US"/>
        </w:rPr>
        <w:instrText xml:space="preserve"> \* MERGEFORMAT </w:instrText>
      </w:r>
      <w:r w:rsidRPr="00CE23AE">
        <w:rPr>
          <w:lang w:val="en-US"/>
        </w:rPr>
      </w:r>
      <w:r w:rsidRPr="00CE23AE">
        <w:rPr>
          <w:lang w:val="en-US"/>
        </w:rPr>
        <w:fldChar w:fldCharType="separate"/>
      </w:r>
      <w:r w:rsidR="00BC2953" w:rsidRPr="00CE23AE">
        <w:rPr>
          <w:lang w:val="en-US"/>
        </w:rPr>
        <w:t>139</w:t>
      </w:r>
      <w:r w:rsidRPr="00CE23AE">
        <w:rPr>
          <w:lang w:val="en-US"/>
        </w:rPr>
        <w:fldChar w:fldCharType="end"/>
      </w:r>
      <w:r w:rsidRPr="00CE23AE">
        <w:rPr>
          <w:lang w:val="en-US"/>
        </w:rPr>
        <w:t>)</w:t>
      </w:r>
      <w:r w:rsidR="00EA6479" w:rsidRPr="00CE23AE">
        <w:rPr>
          <w:lang w:val="en-US"/>
        </w:rPr>
        <w:t>; thus, a</w:t>
      </w:r>
      <w:r w:rsidR="00C561DF" w:rsidRPr="00CE23AE">
        <w:rPr>
          <w:lang w:val="en-US"/>
        </w:rPr>
        <w:t>rticle</w:t>
      </w:r>
      <w:r w:rsidRPr="00CE23AE">
        <w:rPr>
          <w:lang w:val="en-US"/>
        </w:rPr>
        <w:t xml:space="preserve"> 117 </w:t>
      </w:r>
      <w:r w:rsidR="00EA6479" w:rsidRPr="00CE23AE">
        <w:rPr>
          <w:lang w:val="en-US"/>
        </w:rPr>
        <w:t xml:space="preserve">under which </w:t>
      </w:r>
      <w:r w:rsidR="00F5102B" w:rsidRPr="00CE23AE">
        <w:rPr>
          <w:lang w:val="en-US"/>
        </w:rPr>
        <w:t>Mr. Flor</w:t>
      </w:r>
      <w:r w:rsidRPr="00CE23AE">
        <w:rPr>
          <w:lang w:val="en-US"/>
        </w:rPr>
        <w:t xml:space="preserve"> Freire</w:t>
      </w:r>
      <w:r w:rsidR="00EA6479" w:rsidRPr="00CE23AE">
        <w:rPr>
          <w:lang w:val="en-US"/>
        </w:rPr>
        <w:t xml:space="preserve"> was sanctioned was annulled.</w:t>
      </w:r>
      <w:r w:rsidRPr="00CE23AE">
        <w:rPr>
          <w:vertAlign w:val="superscript"/>
          <w:lang w:val="en-US"/>
        </w:rPr>
        <w:footnoteReference w:id="315"/>
      </w:r>
      <w:r w:rsidRPr="00CE23AE">
        <w:rPr>
          <w:lang w:val="en-US"/>
        </w:rPr>
        <w:t xml:space="preserve"> </w:t>
      </w:r>
      <w:r w:rsidR="00000AD5" w:rsidRPr="00CE23AE">
        <w:rPr>
          <w:lang w:val="en-US"/>
        </w:rPr>
        <w:t>Th</w:t>
      </w:r>
      <w:r w:rsidR="00EA6479" w:rsidRPr="00CE23AE">
        <w:rPr>
          <w:lang w:val="en-US"/>
        </w:rPr>
        <w:t>e</w:t>
      </w:r>
      <w:r w:rsidR="00000AD5" w:rsidRPr="00CE23AE">
        <w:rPr>
          <w:lang w:val="en-US"/>
        </w:rPr>
        <w:t xml:space="preserve"> Court</w:t>
      </w:r>
      <w:r w:rsidRPr="00CE23AE">
        <w:rPr>
          <w:lang w:val="en-US"/>
        </w:rPr>
        <w:t xml:space="preserve"> </w:t>
      </w:r>
      <w:r w:rsidR="00EA6479" w:rsidRPr="00CE23AE">
        <w:rPr>
          <w:lang w:val="en-US"/>
        </w:rPr>
        <w:t>appreciates the measures taken by the State to ensure that individuals serving in the Ecuadorian Armed Forces are not subject to discriminatory differences based on their actual or perceived sexual orientation, as in this case. Therefore, it finds that, in the circumstances of this case, it is not appropriate to order the adoption, amendment or adaptation of other norms of Ecuador’s domestic law.</w:t>
      </w:r>
    </w:p>
    <w:p w14:paraId="6FA65FBC" w14:textId="77777777" w:rsidR="004E0E2F" w:rsidRPr="00CE23AE" w:rsidRDefault="004E0E2F" w:rsidP="004E0E2F">
      <w:pPr>
        <w:pStyle w:val="PrrafodeSentencia"/>
        <w:numPr>
          <w:ilvl w:val="0"/>
          <w:numId w:val="0"/>
        </w:numPr>
        <w:rPr>
          <w:lang w:val="en-US"/>
        </w:rPr>
      </w:pPr>
    </w:p>
    <w:p w14:paraId="5CB3962C" w14:textId="180B064D" w:rsidR="004E0E2F" w:rsidRPr="00CE23AE" w:rsidRDefault="004E0E2F" w:rsidP="004E0E2F">
      <w:pPr>
        <w:pStyle w:val="PrrafodeSentencia"/>
        <w:tabs>
          <w:tab w:val="clear" w:pos="12305"/>
          <w:tab w:val="num" w:pos="12589"/>
        </w:tabs>
        <w:rPr>
          <w:lang w:val="en-US"/>
        </w:rPr>
      </w:pPr>
      <w:r w:rsidRPr="00CE23AE">
        <w:rPr>
          <w:lang w:val="en-US"/>
        </w:rPr>
        <w:t>Re</w:t>
      </w:r>
      <w:r w:rsidR="00EA6479" w:rsidRPr="00CE23AE">
        <w:rPr>
          <w:lang w:val="en-US"/>
        </w:rPr>
        <w:t xml:space="preserve">garding the other measures requested by </w:t>
      </w:r>
      <w:r w:rsidR="00C561DF" w:rsidRPr="00CE23AE">
        <w:rPr>
          <w:lang w:val="en-US"/>
        </w:rPr>
        <w:t>the representative</w:t>
      </w:r>
      <w:r w:rsidRPr="00CE23AE">
        <w:rPr>
          <w:lang w:val="en-US"/>
        </w:rPr>
        <w:t xml:space="preserve">, </w:t>
      </w:r>
      <w:r w:rsidR="00C561DF" w:rsidRPr="00CE23AE">
        <w:rPr>
          <w:lang w:val="en-US"/>
        </w:rPr>
        <w:t>the Court</w:t>
      </w:r>
      <w:r w:rsidRPr="00CE23AE">
        <w:rPr>
          <w:lang w:val="en-US"/>
        </w:rPr>
        <w:t xml:space="preserve"> consider</w:t>
      </w:r>
      <w:r w:rsidR="00EA6479" w:rsidRPr="00CE23AE">
        <w:rPr>
          <w:lang w:val="en-US"/>
        </w:rPr>
        <w:t xml:space="preserve">s that the delivery of </w:t>
      </w:r>
      <w:r w:rsidR="001A22B6" w:rsidRPr="00CE23AE">
        <w:rPr>
          <w:lang w:val="en-US"/>
        </w:rPr>
        <w:t>this judgment</w:t>
      </w:r>
      <w:r w:rsidR="00C561DF" w:rsidRPr="00CE23AE">
        <w:rPr>
          <w:lang w:val="en-US"/>
        </w:rPr>
        <w:t xml:space="preserve"> and </w:t>
      </w:r>
      <w:r w:rsidR="00EA6479" w:rsidRPr="00CE23AE">
        <w:rPr>
          <w:lang w:val="en-US"/>
        </w:rPr>
        <w:t>the reparations already ordered are sufficient and adequate to redress the violations suffered. Consequently, the Court does not find it appropriate to order additional measures.</w:t>
      </w:r>
    </w:p>
    <w:p w14:paraId="7094FEF5" w14:textId="77777777" w:rsidR="004E0E2F" w:rsidRPr="00CE23AE" w:rsidRDefault="004E0E2F" w:rsidP="00F22AD0">
      <w:pPr>
        <w:spacing w:before="120"/>
        <w:rPr>
          <w:rFonts w:eastAsia="Batang"/>
          <w:lang w:val="en-US"/>
        </w:rPr>
      </w:pPr>
    </w:p>
    <w:p w14:paraId="1F05E934" w14:textId="26814844" w:rsidR="004E0E2F" w:rsidRPr="00CE23AE" w:rsidRDefault="00970AA1" w:rsidP="004E0E2F">
      <w:pPr>
        <w:pStyle w:val="Ttulo2"/>
        <w:numPr>
          <w:ilvl w:val="0"/>
          <w:numId w:val="27"/>
        </w:numPr>
        <w:ind w:left="1134"/>
        <w:rPr>
          <w:lang w:val="en-US"/>
        </w:rPr>
      </w:pPr>
      <w:bookmarkStart w:id="531" w:name="_Toc46388413"/>
      <w:r w:rsidRPr="00CE23AE">
        <w:rPr>
          <w:lang w:val="en-US"/>
        </w:rPr>
        <w:t>Compensation</w:t>
      </w:r>
      <w:bookmarkEnd w:id="531"/>
    </w:p>
    <w:p w14:paraId="40D02E75" w14:textId="77777777" w:rsidR="004E0E2F" w:rsidRPr="00CE23AE" w:rsidRDefault="004E0E2F" w:rsidP="004E0E2F">
      <w:pPr>
        <w:rPr>
          <w:lang w:val="en-US" w:eastAsia="es-MX"/>
        </w:rPr>
      </w:pPr>
    </w:p>
    <w:p w14:paraId="0D930BAF" w14:textId="76D80A26" w:rsidR="004E0E2F" w:rsidRPr="00CE23AE" w:rsidRDefault="00C561DF" w:rsidP="004E0E2F">
      <w:pPr>
        <w:pStyle w:val="PrrafodeSentencia"/>
        <w:tabs>
          <w:tab w:val="clear" w:pos="12305"/>
          <w:tab w:val="num" w:pos="12589"/>
        </w:tabs>
        <w:rPr>
          <w:lang w:val="en-US"/>
        </w:rPr>
      </w:pPr>
      <w:r w:rsidRPr="00CE23AE">
        <w:rPr>
          <w:lang w:val="en-US"/>
        </w:rPr>
        <w:t>The</w:t>
      </w:r>
      <w:r w:rsidRPr="00CE23AE">
        <w:rPr>
          <w:b/>
          <w:bCs/>
          <w:i/>
          <w:iCs/>
          <w:lang w:val="en-US"/>
        </w:rPr>
        <w:t xml:space="preserve"> Commission</w:t>
      </w:r>
      <w:r w:rsidR="004E0E2F" w:rsidRPr="00CE23AE">
        <w:rPr>
          <w:b/>
          <w:i/>
          <w:lang w:val="en-US"/>
        </w:rPr>
        <w:t xml:space="preserve"> </w:t>
      </w:r>
      <w:r w:rsidR="00EA6479" w:rsidRPr="00CE23AE">
        <w:rPr>
          <w:lang w:val="en-US"/>
        </w:rPr>
        <w:t>asked</w:t>
      </w:r>
      <w:r w:rsidR="004E0E2F" w:rsidRPr="00CE23AE">
        <w:rPr>
          <w:lang w:val="en-US"/>
        </w:rPr>
        <w:t xml:space="preserve"> </w:t>
      </w:r>
      <w:r w:rsidRPr="00CE23AE">
        <w:rPr>
          <w:lang w:val="en-US"/>
        </w:rPr>
        <w:t>the Court</w:t>
      </w:r>
      <w:r w:rsidR="004E0E2F" w:rsidRPr="00CE23AE">
        <w:rPr>
          <w:lang w:val="en-US"/>
        </w:rPr>
        <w:t xml:space="preserve"> </w:t>
      </w:r>
      <w:r w:rsidR="00EA6479" w:rsidRPr="00CE23AE">
        <w:rPr>
          <w:lang w:val="en-US"/>
        </w:rPr>
        <w:t>to order</w:t>
      </w:r>
      <w:r w:rsidR="004E0E2F" w:rsidRPr="00CE23AE">
        <w:rPr>
          <w:lang w:val="en-US"/>
        </w:rPr>
        <w:t xml:space="preserve"> “[</w:t>
      </w:r>
      <w:r w:rsidR="00BA7C67" w:rsidRPr="00CE23AE">
        <w:rPr>
          <w:lang w:val="en-US"/>
        </w:rPr>
        <w:t>f</w:t>
      </w:r>
      <w:r w:rsidR="004E0E2F" w:rsidRPr="00CE23AE">
        <w:rPr>
          <w:lang w:val="en-US"/>
        </w:rPr>
        <w:t>]</w:t>
      </w:r>
      <w:r w:rsidR="00BA7C67" w:rsidRPr="00CE23AE">
        <w:rPr>
          <w:lang w:val="en-US"/>
        </w:rPr>
        <w:t xml:space="preserve">ull reparation to </w:t>
      </w:r>
      <w:r w:rsidR="008B76F3" w:rsidRPr="00CE23AE">
        <w:rPr>
          <w:lang w:val="en-US"/>
        </w:rPr>
        <w:t>Homero</w:t>
      </w:r>
      <w:r w:rsidR="004E0E2F" w:rsidRPr="00CE23AE">
        <w:rPr>
          <w:lang w:val="en-US"/>
        </w:rPr>
        <w:t xml:space="preserve"> Flor Freire</w:t>
      </w:r>
      <w:r w:rsidR="00BA7C67" w:rsidRPr="00CE23AE">
        <w:rPr>
          <w:lang w:val="en-US"/>
        </w:rPr>
        <w:t xml:space="preserve"> in the terms indicated in the report [on merits], both pecuniary and non-pecuniary, including measures of satisfaction for the harm caused.</w:t>
      </w:r>
      <w:r w:rsidR="004E0E2F" w:rsidRPr="00CE23AE">
        <w:rPr>
          <w:lang w:val="en-US"/>
        </w:rPr>
        <w:t xml:space="preserve">” </w:t>
      </w:r>
    </w:p>
    <w:p w14:paraId="5D33EF7F" w14:textId="77777777" w:rsidR="004E0E2F" w:rsidRPr="00CE23AE" w:rsidRDefault="004E0E2F" w:rsidP="00BA7C67">
      <w:pPr>
        <w:spacing w:line="240" w:lineRule="auto"/>
        <w:rPr>
          <w:rFonts w:eastAsia="Batang"/>
          <w:lang w:val="en-US"/>
        </w:rPr>
      </w:pPr>
    </w:p>
    <w:p w14:paraId="2C77BA72" w14:textId="55AA52BD" w:rsidR="004E0E2F" w:rsidRPr="00CE23AE" w:rsidRDefault="004E0E2F" w:rsidP="004E0E2F">
      <w:pPr>
        <w:pStyle w:val="Ttulo3"/>
        <w:contextualSpacing w:val="0"/>
        <w:rPr>
          <w:lang w:val="en-US"/>
        </w:rPr>
      </w:pPr>
      <w:bookmarkStart w:id="532" w:name="_Toc454891527"/>
      <w:bookmarkStart w:id="533" w:name="_Toc457840636"/>
      <w:bookmarkStart w:id="534" w:name="_Toc460398559"/>
      <w:bookmarkStart w:id="535" w:name="_Toc460398743"/>
      <w:bookmarkStart w:id="536" w:name="_Toc464475027"/>
      <w:bookmarkStart w:id="537" w:name="_Toc46388414"/>
      <w:r w:rsidRPr="00CE23AE">
        <w:rPr>
          <w:lang w:val="en-US"/>
        </w:rPr>
        <w:t xml:space="preserve">D.1 </w:t>
      </w:r>
      <w:r w:rsidR="00970AA1" w:rsidRPr="00CE23AE">
        <w:rPr>
          <w:lang w:val="en-US"/>
        </w:rPr>
        <w:t>Pecuniary damage</w:t>
      </w:r>
      <w:bookmarkEnd w:id="532"/>
      <w:bookmarkEnd w:id="533"/>
      <w:bookmarkEnd w:id="534"/>
      <w:bookmarkEnd w:id="535"/>
      <w:bookmarkEnd w:id="536"/>
      <w:bookmarkEnd w:id="537"/>
    </w:p>
    <w:p w14:paraId="0838830E" w14:textId="77777777" w:rsidR="004E0E2F" w:rsidRPr="00CE23AE" w:rsidRDefault="004E0E2F" w:rsidP="004E0E2F">
      <w:pPr>
        <w:spacing w:line="240" w:lineRule="auto"/>
        <w:rPr>
          <w:rFonts w:eastAsia="Batang"/>
          <w:lang w:val="en-US"/>
        </w:rPr>
      </w:pPr>
    </w:p>
    <w:p w14:paraId="7B08692E" w14:textId="19776B19" w:rsidR="004E0E2F" w:rsidRPr="00CE23AE" w:rsidRDefault="004E0E2F" w:rsidP="004E0E2F">
      <w:pPr>
        <w:pStyle w:val="Ttulo4"/>
        <w:rPr>
          <w:lang w:val="en-US"/>
        </w:rPr>
      </w:pPr>
      <w:bookmarkStart w:id="538" w:name="_Toc457840637"/>
      <w:bookmarkStart w:id="539" w:name="_Toc460398560"/>
      <w:bookmarkStart w:id="540" w:name="_Toc460398744"/>
      <w:bookmarkStart w:id="541" w:name="_Toc464475028"/>
      <w:bookmarkStart w:id="542" w:name="_Toc46388415"/>
      <w:r w:rsidRPr="00CE23AE">
        <w:rPr>
          <w:lang w:val="en-US"/>
        </w:rPr>
        <w:t>D.1.</w:t>
      </w:r>
      <w:r w:rsidR="000E5624" w:rsidRPr="00CE23AE">
        <w:rPr>
          <w:lang w:val="en-US"/>
        </w:rPr>
        <w:t>a</w:t>
      </w:r>
      <w:r w:rsidRPr="00CE23AE">
        <w:rPr>
          <w:lang w:val="en-US"/>
        </w:rPr>
        <w:t xml:space="preserve"> </w:t>
      </w:r>
      <w:r w:rsidR="005F350B" w:rsidRPr="00CE23AE">
        <w:rPr>
          <w:lang w:val="en-US"/>
        </w:rPr>
        <w:t>Arguments</w:t>
      </w:r>
      <w:r w:rsidRPr="00CE23AE">
        <w:rPr>
          <w:lang w:val="en-US"/>
        </w:rPr>
        <w:t xml:space="preserve"> </w:t>
      </w:r>
      <w:r w:rsidR="005024E2" w:rsidRPr="00CE23AE">
        <w:rPr>
          <w:lang w:val="en-US"/>
        </w:rPr>
        <w:t>of the parties</w:t>
      </w:r>
      <w:bookmarkEnd w:id="538"/>
      <w:bookmarkEnd w:id="539"/>
      <w:bookmarkEnd w:id="540"/>
      <w:bookmarkEnd w:id="541"/>
      <w:bookmarkEnd w:id="542"/>
      <w:r w:rsidRPr="00CE23AE">
        <w:rPr>
          <w:lang w:val="en-US"/>
        </w:rPr>
        <w:t xml:space="preserve"> </w:t>
      </w:r>
    </w:p>
    <w:p w14:paraId="0CB7F34A" w14:textId="77777777" w:rsidR="004E0E2F" w:rsidRPr="00CE23AE" w:rsidRDefault="004E0E2F" w:rsidP="004E0E2F">
      <w:pPr>
        <w:spacing w:line="240" w:lineRule="auto"/>
        <w:rPr>
          <w:rFonts w:eastAsia="Batang"/>
          <w:lang w:val="en-US"/>
        </w:rPr>
      </w:pPr>
    </w:p>
    <w:p w14:paraId="46643632" w14:textId="738D97A9" w:rsidR="00BA7C67" w:rsidRPr="00CE23AE" w:rsidRDefault="00C561DF" w:rsidP="004E0E2F">
      <w:pPr>
        <w:pStyle w:val="PrrafodeSentencia"/>
        <w:tabs>
          <w:tab w:val="clear" w:pos="12305"/>
          <w:tab w:val="num" w:pos="12589"/>
        </w:tabs>
        <w:rPr>
          <w:lang w:val="en-US"/>
        </w:rPr>
      </w:pPr>
      <w:r w:rsidRPr="00CE23AE">
        <w:rPr>
          <w:lang w:val="en-US"/>
        </w:rPr>
        <w:t xml:space="preserve">The </w:t>
      </w:r>
      <w:r w:rsidRPr="00CE23AE">
        <w:rPr>
          <w:b/>
          <w:bCs/>
          <w:i/>
          <w:iCs/>
          <w:lang w:val="en-US"/>
        </w:rPr>
        <w:t>representative</w:t>
      </w:r>
      <w:r w:rsidR="004E0E2F" w:rsidRPr="00CE23AE">
        <w:rPr>
          <w:lang w:val="en-US"/>
        </w:rPr>
        <w:t xml:space="preserve"> indi</w:t>
      </w:r>
      <w:r w:rsidR="00BA7C67" w:rsidRPr="00CE23AE">
        <w:rPr>
          <w:lang w:val="en-US"/>
        </w:rPr>
        <w:t>cated that</w:t>
      </w:r>
      <w:r w:rsidR="004E0E2F" w:rsidRPr="00CE23AE">
        <w:rPr>
          <w:lang w:val="en-US"/>
        </w:rPr>
        <w:t xml:space="preserve"> “[</w:t>
      </w:r>
      <w:r w:rsidR="00BA7C67" w:rsidRPr="00CE23AE">
        <w:rPr>
          <w:lang w:val="en-US"/>
        </w:rPr>
        <w:t>a</w:t>
      </w:r>
      <w:r w:rsidR="004E0E2F" w:rsidRPr="00CE23AE">
        <w:rPr>
          <w:lang w:val="en-US"/>
        </w:rPr>
        <w:t>]</w:t>
      </w:r>
      <w:r w:rsidR="00BA7C67" w:rsidRPr="00CE23AE">
        <w:rPr>
          <w:lang w:val="en-US"/>
        </w:rPr>
        <w:t>lthough the State has not denied the existence of the violations, it has resisted offering full reparation.” Regarding the pecuniary damage, he asked that the State pay “all the remunerations and other benefits that would have corresponded, by law, to [Mr. Flor Freire] from the date of his separation from the Ground Forces and up until the date of his reincorporation into active service.”</w:t>
      </w:r>
    </w:p>
    <w:p w14:paraId="122E0C7E" w14:textId="77777777" w:rsidR="004E0E2F" w:rsidRPr="00CE23AE" w:rsidRDefault="004E0E2F" w:rsidP="004E0E2F">
      <w:pPr>
        <w:pStyle w:val="PrrafodeSentencia"/>
        <w:numPr>
          <w:ilvl w:val="0"/>
          <w:numId w:val="0"/>
        </w:numPr>
        <w:rPr>
          <w:lang w:val="en-US"/>
        </w:rPr>
      </w:pPr>
    </w:p>
    <w:p w14:paraId="137A43F8" w14:textId="08C7FD91" w:rsidR="00F9612C" w:rsidRPr="00CE23AE" w:rsidRDefault="00BA7C67" w:rsidP="009659F9">
      <w:pPr>
        <w:pStyle w:val="PrrafodeSentencia"/>
        <w:tabs>
          <w:tab w:val="clear" w:pos="12305"/>
          <w:tab w:val="num" w:pos="12589"/>
        </w:tabs>
        <w:rPr>
          <w:lang w:val="en-US"/>
        </w:rPr>
      </w:pPr>
      <w:r w:rsidRPr="00CE23AE">
        <w:rPr>
          <w:lang w:val="en-US"/>
        </w:rPr>
        <w:t>Regarding the calculation of the amounts, he indicated that this calculation should be made based on the time of service at each military rank that the presumed victim should have h</w:t>
      </w:r>
      <w:r w:rsidR="006A396C" w:rsidRPr="00CE23AE">
        <w:rPr>
          <w:lang w:val="en-US"/>
        </w:rPr>
        <w:t>el</w:t>
      </w:r>
      <w:r w:rsidRPr="00CE23AE">
        <w:rPr>
          <w:lang w:val="en-US"/>
        </w:rPr>
        <w:t xml:space="preserve">d. He recalled that, in July 2014, during the procedure on compliance with the recommendations before the Commission, the parties had agreed on pecuniary compensation of </w:t>
      </w:r>
      <w:r w:rsidR="004E0E2F" w:rsidRPr="00CE23AE">
        <w:rPr>
          <w:lang w:val="en-US"/>
        </w:rPr>
        <w:t>US$330</w:t>
      </w:r>
      <w:r w:rsidR="00970AA1" w:rsidRPr="00CE23AE">
        <w:rPr>
          <w:lang w:val="en-US"/>
        </w:rPr>
        <w:t>,</w:t>
      </w:r>
      <w:r w:rsidR="004E0E2F" w:rsidRPr="00CE23AE">
        <w:rPr>
          <w:lang w:val="en-US"/>
        </w:rPr>
        <w:t>169</w:t>
      </w:r>
      <w:r w:rsidR="00970AA1" w:rsidRPr="00CE23AE">
        <w:rPr>
          <w:lang w:val="en-US"/>
        </w:rPr>
        <w:t>.</w:t>
      </w:r>
      <w:r w:rsidR="004E0E2F" w:rsidRPr="00CE23AE">
        <w:rPr>
          <w:lang w:val="en-US"/>
        </w:rPr>
        <w:t xml:space="preserve">25. </w:t>
      </w:r>
      <w:r w:rsidRPr="00CE23AE">
        <w:rPr>
          <w:lang w:val="en-US"/>
        </w:rPr>
        <w:t xml:space="preserve">He added that to this should be added the difference up until the date the payment was made effective and </w:t>
      </w:r>
      <w:r w:rsidRPr="00CE23AE">
        <w:rPr>
          <w:lang w:val="en-US"/>
        </w:rPr>
        <w:lastRenderedPageBreak/>
        <w:t>asked for “the payment of the interest on the abovementioned concepts, which should also be considered from the date on which each payment should have been made until the date on which it was paid.”</w:t>
      </w:r>
    </w:p>
    <w:p w14:paraId="5CCF303C" w14:textId="77777777" w:rsidR="00F9612C" w:rsidRPr="00CE23AE" w:rsidRDefault="00F9612C" w:rsidP="00F9612C">
      <w:pPr>
        <w:pStyle w:val="PrrafodeSentencia"/>
        <w:numPr>
          <w:ilvl w:val="0"/>
          <w:numId w:val="0"/>
        </w:numPr>
        <w:rPr>
          <w:lang w:val="en-US"/>
        </w:rPr>
      </w:pPr>
    </w:p>
    <w:p w14:paraId="100EE444" w14:textId="3C8E9F2E" w:rsidR="004E0E2F" w:rsidRPr="00CE23AE" w:rsidRDefault="00BA7C67" w:rsidP="00022700">
      <w:pPr>
        <w:pStyle w:val="PrrafodeSentencia"/>
        <w:tabs>
          <w:tab w:val="clear" w:pos="12305"/>
          <w:tab w:val="num" w:pos="12589"/>
        </w:tabs>
        <w:rPr>
          <w:lang w:val="en-US"/>
        </w:rPr>
      </w:pPr>
      <w:r w:rsidRPr="00CE23AE">
        <w:rPr>
          <w:lang w:val="en-US"/>
        </w:rPr>
        <w:t>The</w:t>
      </w:r>
      <w:r w:rsidR="00C561DF" w:rsidRPr="00CE23AE">
        <w:rPr>
          <w:lang w:val="en-US"/>
        </w:rPr>
        <w:t xml:space="preserve"> representative</w:t>
      </w:r>
      <w:r w:rsidR="004E0E2F" w:rsidRPr="00CE23AE">
        <w:rPr>
          <w:lang w:val="en-US"/>
        </w:rPr>
        <w:t xml:space="preserve"> </w:t>
      </w:r>
      <w:r w:rsidRPr="00CE23AE">
        <w:rPr>
          <w:lang w:val="en-US"/>
        </w:rPr>
        <w:t>also asked that</w:t>
      </w:r>
      <w:r w:rsidR="004E0E2F" w:rsidRPr="00CE23AE">
        <w:rPr>
          <w:lang w:val="en-US"/>
        </w:rPr>
        <w:t xml:space="preserve"> </w:t>
      </w:r>
      <w:r w:rsidR="00C561DF" w:rsidRPr="00CE23AE">
        <w:rPr>
          <w:lang w:val="en-US"/>
        </w:rPr>
        <w:t>the State</w:t>
      </w:r>
      <w:r w:rsidR="004E0E2F" w:rsidRPr="00CE23AE">
        <w:rPr>
          <w:lang w:val="en-US"/>
        </w:rPr>
        <w:t xml:space="preserve"> pa</w:t>
      </w:r>
      <w:r w:rsidRPr="00CE23AE">
        <w:rPr>
          <w:lang w:val="en-US"/>
        </w:rPr>
        <w:t>y:</w:t>
      </w:r>
      <w:r w:rsidR="004E0E2F" w:rsidRPr="00CE23AE">
        <w:rPr>
          <w:lang w:val="en-US"/>
        </w:rPr>
        <w:t xml:space="preserve"> (i) “</w:t>
      </w:r>
      <w:r w:rsidRPr="00CE23AE">
        <w:rPr>
          <w:lang w:val="en-US"/>
        </w:rPr>
        <w:t xml:space="preserve">the bonuses that were </w:t>
      </w:r>
      <w:r w:rsidR="00022700" w:rsidRPr="00CE23AE">
        <w:rPr>
          <w:lang w:val="en-US"/>
        </w:rPr>
        <w:t>paid</w:t>
      </w:r>
      <w:r w:rsidRPr="00CE23AE">
        <w:rPr>
          <w:lang w:val="en-US"/>
        </w:rPr>
        <w:t xml:space="preserve"> in the Armed Forces up until</w:t>
      </w:r>
      <w:r w:rsidR="00022700" w:rsidRPr="00CE23AE">
        <w:rPr>
          <w:lang w:val="en-US"/>
        </w:rPr>
        <w:t xml:space="preserve"> 2010</w:t>
      </w:r>
      <w:r w:rsidRPr="00CE23AE">
        <w:rPr>
          <w:lang w:val="en-US"/>
        </w:rPr>
        <w:t xml:space="preserve"> </w:t>
      </w:r>
      <w:r w:rsidR="00022700" w:rsidRPr="00CE23AE">
        <w:rPr>
          <w:lang w:val="en-US"/>
        </w:rPr>
        <w:t xml:space="preserve">for promotions and length of service”; (ii) compensations corresponding to 2011 and 2012, based on the military rank that Mr. Flor Freire would have had at that time – that is, Major in the Armed Cavalry,” and (iii) the salary </w:t>
      </w:r>
      <w:r w:rsidR="00F9612C" w:rsidRPr="00CE23AE">
        <w:rPr>
          <w:lang w:val="en-US"/>
        </w:rPr>
        <w:t>equalizations</w:t>
      </w:r>
      <w:r w:rsidR="00022700" w:rsidRPr="00CE23AE">
        <w:rPr>
          <w:lang w:val="en-US"/>
        </w:rPr>
        <w:t xml:space="preserve"> that were granted with the entry into force of the Organic Law of Public Service, based on the military rank that Mr. Flor Freire would have had at that time: that is, the sum of </w:t>
      </w:r>
      <w:r w:rsidR="004E0E2F" w:rsidRPr="00CE23AE">
        <w:rPr>
          <w:lang w:val="en-US"/>
        </w:rPr>
        <w:t>US$18</w:t>
      </w:r>
      <w:r w:rsidR="00970AA1" w:rsidRPr="00CE23AE">
        <w:rPr>
          <w:lang w:val="en-US"/>
        </w:rPr>
        <w:t>,</w:t>
      </w:r>
      <w:r w:rsidR="004E0E2F" w:rsidRPr="00CE23AE">
        <w:rPr>
          <w:lang w:val="en-US"/>
        </w:rPr>
        <w:t>003</w:t>
      </w:r>
      <w:r w:rsidR="00970AA1" w:rsidRPr="00CE23AE">
        <w:rPr>
          <w:lang w:val="en-US"/>
        </w:rPr>
        <w:t>.</w:t>
      </w:r>
      <w:r w:rsidR="004E0E2F" w:rsidRPr="00CE23AE">
        <w:rPr>
          <w:lang w:val="en-US"/>
        </w:rPr>
        <w:t>00” (</w:t>
      </w:r>
      <w:r w:rsidR="00970AA1" w:rsidRPr="00CE23AE">
        <w:rPr>
          <w:lang w:val="en-US"/>
        </w:rPr>
        <w:t>eighteen thousand and three dollars</w:t>
      </w:r>
      <w:r w:rsidR="004E0E2F" w:rsidRPr="00CE23AE">
        <w:rPr>
          <w:lang w:val="en-US"/>
        </w:rPr>
        <w:t xml:space="preserve">). </w:t>
      </w:r>
    </w:p>
    <w:p w14:paraId="2657B45C" w14:textId="77777777" w:rsidR="004E0E2F" w:rsidRPr="00CE23AE" w:rsidRDefault="004E0E2F" w:rsidP="004E0E2F">
      <w:pPr>
        <w:rPr>
          <w:lang w:val="en-US"/>
        </w:rPr>
      </w:pPr>
    </w:p>
    <w:p w14:paraId="14DACBAF" w14:textId="7D9BA8E3" w:rsidR="00022700" w:rsidRPr="00CE23AE" w:rsidRDefault="00C561DF" w:rsidP="004E0E2F">
      <w:pPr>
        <w:pStyle w:val="PrrafodeSentencia"/>
        <w:tabs>
          <w:tab w:val="clear" w:pos="12305"/>
        </w:tabs>
        <w:rPr>
          <w:lang w:val="en-US"/>
        </w:rPr>
      </w:pPr>
      <w:r w:rsidRPr="00CE23AE">
        <w:rPr>
          <w:lang w:val="en-US"/>
        </w:rPr>
        <w:t xml:space="preserve">The </w:t>
      </w:r>
      <w:r w:rsidRPr="00CE23AE">
        <w:rPr>
          <w:b/>
          <w:bCs/>
          <w:i/>
          <w:iCs/>
          <w:lang w:val="en-US"/>
        </w:rPr>
        <w:t>State</w:t>
      </w:r>
      <w:r w:rsidR="004E0E2F" w:rsidRPr="00CE23AE">
        <w:rPr>
          <w:b/>
          <w:lang w:val="en-US"/>
        </w:rPr>
        <w:t xml:space="preserve"> </w:t>
      </w:r>
      <w:r w:rsidR="00022700" w:rsidRPr="00CE23AE">
        <w:rPr>
          <w:lang w:val="en-US"/>
        </w:rPr>
        <w:t>argued that</w:t>
      </w:r>
      <w:r w:rsidR="004E0E2F" w:rsidRPr="00CE23AE">
        <w:rPr>
          <w:lang w:val="en-US"/>
        </w:rPr>
        <w:t xml:space="preserve"> “Homero Flor </w:t>
      </w:r>
      <w:r w:rsidR="00022700" w:rsidRPr="00CE23AE">
        <w:rPr>
          <w:lang w:val="en-US"/>
        </w:rPr>
        <w:t>has not provided any type of voucher re</w:t>
      </w:r>
      <w:r w:rsidR="00F9612C" w:rsidRPr="00CE23AE">
        <w:rPr>
          <w:lang w:val="en-US"/>
        </w:rPr>
        <w:t>lating</w:t>
      </w:r>
      <w:r w:rsidR="00022700" w:rsidRPr="00CE23AE">
        <w:rPr>
          <w:lang w:val="en-US"/>
        </w:rPr>
        <w:t xml:space="preserve"> to loss of earning</w:t>
      </w:r>
      <w:r w:rsidR="00F9612C" w:rsidRPr="00CE23AE">
        <w:rPr>
          <w:lang w:val="en-US"/>
        </w:rPr>
        <w:t>s</w:t>
      </w:r>
      <w:r w:rsidR="00022700" w:rsidRPr="00CE23AE">
        <w:rPr>
          <w:lang w:val="en-US"/>
        </w:rPr>
        <w:t xml:space="preserve"> or detriment related to the facts of the case.” It recalled that the nature and amount of the reparations depended on the harm caused and should not entail either the enrichment or the impoverishment of the victim.</w:t>
      </w:r>
    </w:p>
    <w:p w14:paraId="0BF90692" w14:textId="77777777" w:rsidR="004E0E2F" w:rsidRPr="00CE23AE" w:rsidRDefault="004E0E2F" w:rsidP="004E0E2F">
      <w:pPr>
        <w:pStyle w:val="PrrafodeSentencia"/>
        <w:numPr>
          <w:ilvl w:val="0"/>
          <w:numId w:val="0"/>
        </w:numPr>
        <w:rPr>
          <w:lang w:val="en-US"/>
        </w:rPr>
      </w:pPr>
    </w:p>
    <w:p w14:paraId="6B7DCA28" w14:textId="6FF74B31" w:rsidR="004E0E2F" w:rsidRPr="00CE23AE" w:rsidRDefault="00022700" w:rsidP="00C02BCA">
      <w:pPr>
        <w:pStyle w:val="PrrafodeSentencia"/>
        <w:tabs>
          <w:tab w:val="clear" w:pos="12305"/>
          <w:tab w:val="num" w:pos="12589"/>
        </w:tabs>
        <w:rPr>
          <w:lang w:val="en-US"/>
        </w:rPr>
      </w:pPr>
      <w:r w:rsidRPr="00CE23AE">
        <w:rPr>
          <w:lang w:val="en-US"/>
        </w:rPr>
        <w:t>In particular, it indicated that the records of the Ecuadorian Social Security Institute (IESS) reveal</w:t>
      </w:r>
      <w:r w:rsidR="00F9612C" w:rsidRPr="00CE23AE">
        <w:rPr>
          <w:lang w:val="en-US"/>
        </w:rPr>
        <w:t>ed</w:t>
      </w:r>
      <w:r w:rsidRPr="00CE23AE">
        <w:rPr>
          <w:lang w:val="en-US"/>
        </w:rPr>
        <w:t xml:space="preserve"> that Mr. Flor Freire</w:t>
      </w:r>
      <w:r w:rsidR="00F9612C" w:rsidRPr="00CE23AE">
        <w:rPr>
          <w:lang w:val="en-US"/>
        </w:rPr>
        <w:t xml:space="preserve"> had</w:t>
      </w:r>
      <w:r w:rsidRPr="00CE23AE">
        <w:rPr>
          <w:lang w:val="en-US"/>
        </w:rPr>
        <w:t xml:space="preserve"> received a monthly salary of US$758.00 the year in which he was discharged and, currently, for his work as a private employee he receives </w:t>
      </w:r>
      <w:r w:rsidR="00F9612C" w:rsidRPr="00CE23AE">
        <w:rPr>
          <w:lang w:val="en-US"/>
        </w:rPr>
        <w:t xml:space="preserve">a remuneration </w:t>
      </w:r>
      <w:r w:rsidRPr="00CE23AE">
        <w:rPr>
          <w:lang w:val="en-US"/>
        </w:rPr>
        <w:t xml:space="preserve">of US$1,000.00 and has access to employment benefits and the social security system. The State also argued that, from the information provided by the tax authorities (SRI), in 2012, Mr. Flor Freire declared an income from professional services amounting to </w:t>
      </w:r>
      <w:r w:rsidR="004E0E2F" w:rsidRPr="00CE23AE">
        <w:rPr>
          <w:lang w:val="en-US"/>
        </w:rPr>
        <w:t>US$6</w:t>
      </w:r>
      <w:r w:rsidR="00970AA1" w:rsidRPr="00CE23AE">
        <w:rPr>
          <w:lang w:val="en-US"/>
        </w:rPr>
        <w:t>,</w:t>
      </w:r>
      <w:r w:rsidR="004E0E2F" w:rsidRPr="00CE23AE">
        <w:rPr>
          <w:lang w:val="en-US"/>
        </w:rPr>
        <w:t>000</w:t>
      </w:r>
      <w:r w:rsidR="00970AA1" w:rsidRPr="00CE23AE">
        <w:rPr>
          <w:lang w:val="en-US"/>
        </w:rPr>
        <w:t>.</w:t>
      </w:r>
      <w:r w:rsidR="004E0E2F" w:rsidRPr="00CE23AE">
        <w:rPr>
          <w:lang w:val="en-US"/>
        </w:rPr>
        <w:t>00</w:t>
      </w:r>
      <w:r w:rsidR="00C561DF" w:rsidRPr="00CE23AE">
        <w:rPr>
          <w:lang w:val="en-US"/>
        </w:rPr>
        <w:t xml:space="preserve"> and</w:t>
      </w:r>
      <w:r w:rsidRPr="00CE23AE">
        <w:rPr>
          <w:lang w:val="en-US"/>
        </w:rPr>
        <w:t xml:space="preserve">, in 2013, his declaration reflected </w:t>
      </w:r>
      <w:r w:rsidR="004E0E2F" w:rsidRPr="00CE23AE">
        <w:rPr>
          <w:lang w:val="en-US"/>
        </w:rPr>
        <w:t>US$8</w:t>
      </w:r>
      <w:r w:rsidR="00970AA1" w:rsidRPr="00CE23AE">
        <w:rPr>
          <w:lang w:val="en-US"/>
        </w:rPr>
        <w:t>,</w:t>
      </w:r>
      <w:r w:rsidR="004E0E2F" w:rsidRPr="00CE23AE">
        <w:rPr>
          <w:lang w:val="en-US"/>
        </w:rPr>
        <w:t>446</w:t>
      </w:r>
      <w:r w:rsidR="00970AA1" w:rsidRPr="00CE23AE">
        <w:rPr>
          <w:lang w:val="en-US"/>
        </w:rPr>
        <w:t>.</w:t>
      </w:r>
      <w:r w:rsidR="004E0E2F" w:rsidRPr="00CE23AE">
        <w:rPr>
          <w:lang w:val="en-US"/>
        </w:rPr>
        <w:t>00.</w:t>
      </w:r>
      <w:r w:rsidRPr="00CE23AE">
        <w:rPr>
          <w:lang w:val="en-US"/>
        </w:rPr>
        <w:t xml:space="preserve"> Similarly, the State argued that “the information provided by both the </w:t>
      </w:r>
      <w:r w:rsidR="004E0E2F" w:rsidRPr="00CE23AE">
        <w:rPr>
          <w:lang w:val="en-US"/>
        </w:rPr>
        <w:t xml:space="preserve">IESS </w:t>
      </w:r>
      <w:r w:rsidR="00C02BCA" w:rsidRPr="00CE23AE">
        <w:rPr>
          <w:lang w:val="en-US"/>
        </w:rPr>
        <w:t>and the</w:t>
      </w:r>
      <w:r w:rsidR="004E0E2F" w:rsidRPr="00CE23AE">
        <w:rPr>
          <w:lang w:val="en-US"/>
        </w:rPr>
        <w:t xml:space="preserve"> SRI</w:t>
      </w:r>
      <w:r w:rsidR="00C02BCA" w:rsidRPr="00CE23AE">
        <w:rPr>
          <w:lang w:val="en-US"/>
        </w:rPr>
        <w:t xml:space="preserve"> reveals that, during the time he has been a soldier on passive service, Mr. […] Flor Freire has received, to date, the sum of US$65,018.86 […]; an amount that, in the eventuality that the judgment is unfavorable to the State, should be deducted from the amount that the Court establishes as reparation in favor </w:t>
      </w:r>
      <w:r w:rsidR="00000AE1" w:rsidRPr="00CE23AE">
        <w:rPr>
          <w:lang w:val="en-US"/>
        </w:rPr>
        <w:t>of Mr.</w:t>
      </w:r>
      <w:r w:rsidR="00F5102B" w:rsidRPr="00CE23AE">
        <w:rPr>
          <w:lang w:val="en-US"/>
        </w:rPr>
        <w:t xml:space="preserve"> Flor</w:t>
      </w:r>
      <w:r w:rsidR="00C02BCA" w:rsidRPr="00CE23AE">
        <w:rPr>
          <w:lang w:val="en-US"/>
        </w:rPr>
        <w:t>.</w:t>
      </w:r>
      <w:r w:rsidR="004E0E2F" w:rsidRPr="00CE23AE">
        <w:rPr>
          <w:lang w:val="en-US"/>
        </w:rPr>
        <w:t xml:space="preserve">” </w:t>
      </w:r>
    </w:p>
    <w:p w14:paraId="53C1466F" w14:textId="77777777" w:rsidR="004E0E2F" w:rsidRPr="00CE23AE" w:rsidRDefault="004E0E2F" w:rsidP="004E0E2F">
      <w:pPr>
        <w:rPr>
          <w:lang w:val="en-US"/>
        </w:rPr>
      </w:pPr>
    </w:p>
    <w:p w14:paraId="38B7EB5D" w14:textId="4EA5A957" w:rsidR="004E0E2F" w:rsidRPr="00CE23AE" w:rsidRDefault="004E0E2F" w:rsidP="00C02BCA">
      <w:pPr>
        <w:pStyle w:val="PrrafodeSentencia"/>
        <w:tabs>
          <w:tab w:val="clear" w:pos="12305"/>
          <w:tab w:val="num" w:pos="12589"/>
        </w:tabs>
        <w:rPr>
          <w:lang w:val="en-US"/>
        </w:rPr>
      </w:pPr>
      <w:r w:rsidRPr="00CE23AE">
        <w:rPr>
          <w:lang w:val="en-US"/>
        </w:rPr>
        <w:t>Re</w:t>
      </w:r>
      <w:r w:rsidR="00C02BCA" w:rsidRPr="00CE23AE">
        <w:rPr>
          <w:lang w:val="en-US"/>
        </w:rPr>
        <w:t xml:space="preserve">garding the additional items requested by </w:t>
      </w:r>
      <w:r w:rsidR="00C561DF" w:rsidRPr="00CE23AE">
        <w:rPr>
          <w:lang w:val="en-US"/>
        </w:rPr>
        <w:t>the representative</w:t>
      </w:r>
      <w:r w:rsidRPr="00CE23AE">
        <w:rPr>
          <w:lang w:val="en-US"/>
        </w:rPr>
        <w:t xml:space="preserve">, </w:t>
      </w:r>
      <w:r w:rsidR="00C561DF" w:rsidRPr="00CE23AE">
        <w:rPr>
          <w:lang w:val="en-US"/>
        </w:rPr>
        <w:t>the State</w:t>
      </w:r>
      <w:r w:rsidRPr="00CE23AE">
        <w:rPr>
          <w:lang w:val="en-US"/>
        </w:rPr>
        <w:t xml:space="preserve"> </w:t>
      </w:r>
      <w:r w:rsidR="00C02BCA" w:rsidRPr="00CE23AE">
        <w:rPr>
          <w:lang w:val="en-US"/>
        </w:rPr>
        <w:t>argued that these related to “numerous unsubstantiated claims.” It considered that the “items relating to bonuses, promotions [and] compensations” could not be assessed objectively because the State could not verify whether the presumed victim would have been promoted or if he would have merited the alleged bonuses. Therefore, it argued that this t</w:t>
      </w:r>
      <w:r w:rsidR="003E159A" w:rsidRPr="00CE23AE">
        <w:rPr>
          <w:lang w:val="en-US"/>
        </w:rPr>
        <w:t>ype</w:t>
      </w:r>
      <w:r w:rsidR="00C02BCA" w:rsidRPr="00CE23AE">
        <w:rPr>
          <w:lang w:val="en-US"/>
        </w:rPr>
        <w:t xml:space="preserve"> of item could not be considered in the evaluation of the pecuniary damage and concluded that it was “for the Court to assess the lack of substantiation when considering a possible reparation, [but] the rank of lieutenant held by Homero Flor could never be exceeded as a basis for making the calculation.</w:t>
      </w:r>
      <w:r w:rsidRPr="00CE23AE">
        <w:rPr>
          <w:lang w:val="en-US"/>
        </w:rPr>
        <w:t xml:space="preserve">” </w:t>
      </w:r>
    </w:p>
    <w:p w14:paraId="02CD1CDD" w14:textId="77777777" w:rsidR="004E0E2F" w:rsidRPr="00CE23AE" w:rsidRDefault="004E0E2F" w:rsidP="004E0E2F">
      <w:pPr>
        <w:rPr>
          <w:lang w:val="en-US"/>
        </w:rPr>
      </w:pPr>
      <w:bookmarkStart w:id="543" w:name="_Toc457840638"/>
    </w:p>
    <w:p w14:paraId="11D9081B" w14:textId="2ACFD827" w:rsidR="004E0E2F" w:rsidRPr="00CE23AE" w:rsidRDefault="004E0E2F" w:rsidP="004E0E2F">
      <w:pPr>
        <w:pStyle w:val="Ttulo4"/>
        <w:rPr>
          <w:lang w:val="en-US"/>
        </w:rPr>
      </w:pPr>
      <w:bookmarkStart w:id="544" w:name="_Toc460398561"/>
      <w:bookmarkStart w:id="545" w:name="_Toc460398745"/>
      <w:bookmarkStart w:id="546" w:name="_Toc464475029"/>
      <w:bookmarkStart w:id="547" w:name="_Toc46388416"/>
      <w:r w:rsidRPr="00CE23AE">
        <w:rPr>
          <w:lang w:val="en-US"/>
        </w:rPr>
        <w:t>D.1.</w:t>
      </w:r>
      <w:r w:rsidR="000E5624" w:rsidRPr="00CE23AE">
        <w:rPr>
          <w:lang w:val="en-US"/>
        </w:rPr>
        <w:t>b</w:t>
      </w:r>
      <w:r w:rsidRPr="00CE23AE">
        <w:rPr>
          <w:lang w:val="en-US"/>
        </w:rPr>
        <w:t xml:space="preserve"> </w:t>
      </w:r>
      <w:r w:rsidR="005024E2" w:rsidRPr="00CE23AE">
        <w:rPr>
          <w:lang w:val="en-US"/>
        </w:rPr>
        <w:t>Considerations</w:t>
      </w:r>
      <w:r w:rsidR="00C561DF" w:rsidRPr="00CE23AE">
        <w:rPr>
          <w:lang w:val="en-US"/>
        </w:rPr>
        <w:t xml:space="preserve"> of the Court</w:t>
      </w:r>
      <w:bookmarkEnd w:id="543"/>
      <w:bookmarkEnd w:id="544"/>
      <w:bookmarkEnd w:id="545"/>
      <w:bookmarkEnd w:id="546"/>
      <w:bookmarkEnd w:id="547"/>
    </w:p>
    <w:p w14:paraId="4E18A1AB" w14:textId="77777777" w:rsidR="004E0E2F" w:rsidRPr="00CE23AE" w:rsidRDefault="004E0E2F" w:rsidP="004E0E2F">
      <w:pPr>
        <w:rPr>
          <w:rFonts w:eastAsia="Batang"/>
          <w:lang w:val="en-US"/>
        </w:rPr>
      </w:pPr>
    </w:p>
    <w:p w14:paraId="21FEEDE5" w14:textId="6BD39E4D" w:rsidR="004E0E2F" w:rsidRPr="00CE23AE" w:rsidRDefault="00000AD5" w:rsidP="00F04753">
      <w:pPr>
        <w:pStyle w:val="PrrafodeSentencia"/>
        <w:tabs>
          <w:tab w:val="clear" w:pos="12305"/>
          <w:tab w:val="num" w:pos="12589"/>
        </w:tabs>
        <w:rPr>
          <w:lang w:val="en-US"/>
        </w:rPr>
      </w:pPr>
      <w:r w:rsidRPr="00CE23AE">
        <w:rPr>
          <w:lang w:val="en-US"/>
        </w:rPr>
        <w:t>This Court</w:t>
      </w:r>
      <w:r w:rsidR="004E0E2F" w:rsidRPr="00CE23AE">
        <w:rPr>
          <w:lang w:val="en-US"/>
        </w:rPr>
        <w:t xml:space="preserve"> ha</w:t>
      </w:r>
      <w:r w:rsidR="00C02BCA" w:rsidRPr="00CE23AE">
        <w:rPr>
          <w:lang w:val="en-US"/>
        </w:rPr>
        <w:t>s established that the concept</w:t>
      </w:r>
      <w:r w:rsidR="004E0E2F" w:rsidRPr="00CE23AE">
        <w:rPr>
          <w:lang w:val="en-US"/>
        </w:rPr>
        <w:t xml:space="preserve"> </w:t>
      </w:r>
      <w:r w:rsidR="00C02BCA" w:rsidRPr="00CE23AE">
        <w:rPr>
          <w:lang w:val="en-US"/>
        </w:rPr>
        <w:t>of</w:t>
      </w:r>
      <w:r w:rsidR="004E0E2F" w:rsidRPr="00CE23AE">
        <w:rPr>
          <w:lang w:val="en-US"/>
        </w:rPr>
        <w:t xml:space="preserve"> </w:t>
      </w:r>
      <w:r w:rsidR="00970AA1" w:rsidRPr="00CE23AE">
        <w:rPr>
          <w:lang w:val="en-US"/>
        </w:rPr>
        <w:t>pecuniary damage</w:t>
      </w:r>
      <w:r w:rsidR="004E0E2F" w:rsidRPr="00CE23AE">
        <w:rPr>
          <w:lang w:val="en-US"/>
        </w:rPr>
        <w:t xml:space="preserve"> </w:t>
      </w:r>
      <w:r w:rsidR="00C02BCA" w:rsidRPr="00CE23AE">
        <w:rPr>
          <w:lang w:val="en-US"/>
        </w:rPr>
        <w:t>encompasses the loss of or detriment to the income of the victims, the expenses incurred owing to the facts, and the consequences of a pecuniary nature that have a</w:t>
      </w:r>
      <w:r w:rsidR="00A721E0" w:rsidRPr="00CE23AE">
        <w:rPr>
          <w:lang w:val="en-US"/>
        </w:rPr>
        <w:t xml:space="preserve"> </w:t>
      </w:r>
      <w:r w:rsidR="00C02BCA" w:rsidRPr="00CE23AE">
        <w:rPr>
          <w:lang w:val="en-US"/>
        </w:rPr>
        <w:t xml:space="preserve">causal nexus with the acts of the case </w:t>
      </w:r>
      <w:r w:rsidR="00C02BCA" w:rsidRPr="00CE23AE">
        <w:rPr>
          <w:i/>
          <w:lang w:val="en-US"/>
        </w:rPr>
        <w:t>sub judice.</w:t>
      </w:r>
      <w:r w:rsidR="00C02BCA" w:rsidRPr="00CE23AE">
        <w:rPr>
          <w:vertAlign w:val="superscript"/>
          <w:lang w:val="en-US"/>
        </w:rPr>
        <w:footnoteReference w:id="316"/>
      </w:r>
      <w:r w:rsidR="00C02BCA" w:rsidRPr="00CE23AE">
        <w:rPr>
          <w:i/>
          <w:lang w:val="en-US"/>
        </w:rPr>
        <w:t xml:space="preserve"> </w:t>
      </w:r>
      <w:r w:rsidR="00C02BCA" w:rsidRPr="00CE23AE">
        <w:rPr>
          <w:iCs/>
          <w:lang w:val="en-US"/>
        </w:rPr>
        <w:t xml:space="preserve">In cases in which the wrongful acts committed by the State result in </w:t>
      </w:r>
      <w:r w:rsidR="00A721E0" w:rsidRPr="00CE23AE">
        <w:rPr>
          <w:iCs/>
          <w:lang w:val="en-US"/>
        </w:rPr>
        <w:t>dismissal</w:t>
      </w:r>
      <w:r w:rsidR="00C02BCA" w:rsidRPr="00CE23AE">
        <w:rPr>
          <w:iCs/>
          <w:lang w:val="en-US"/>
        </w:rPr>
        <w:t xml:space="preserve"> and the consequent loss of the victim’s employment</w:t>
      </w:r>
      <w:r w:rsidR="00F04753" w:rsidRPr="00CE23AE">
        <w:rPr>
          <w:iCs/>
          <w:lang w:val="en-US"/>
        </w:rPr>
        <w:t>, in the context of pecuniary damage, it is necessary to recognize the salaries and social benefits that the victim failed to receive from the time of his arbitrary removal until the date of the delivery of the judgment, including pertinent interest and other related concepts.</w:t>
      </w:r>
      <w:r w:rsidR="004E0E2F" w:rsidRPr="00CE23AE">
        <w:rPr>
          <w:vertAlign w:val="superscript"/>
          <w:lang w:val="en-US"/>
        </w:rPr>
        <w:footnoteReference w:id="317"/>
      </w:r>
    </w:p>
    <w:p w14:paraId="4BF93CB0" w14:textId="77777777" w:rsidR="004E0E2F" w:rsidRPr="00CE23AE" w:rsidRDefault="004E0E2F" w:rsidP="004E0E2F">
      <w:pPr>
        <w:pStyle w:val="PrrafodeSentencia"/>
        <w:numPr>
          <w:ilvl w:val="0"/>
          <w:numId w:val="0"/>
        </w:numPr>
        <w:rPr>
          <w:lang w:val="en-US"/>
        </w:rPr>
      </w:pPr>
    </w:p>
    <w:p w14:paraId="339A0541" w14:textId="294D40A4" w:rsidR="004E0E2F" w:rsidRPr="00CE23AE" w:rsidRDefault="00C561DF" w:rsidP="004E0E2F">
      <w:pPr>
        <w:pStyle w:val="PrrafodeSentencia"/>
        <w:tabs>
          <w:tab w:val="clear" w:pos="12305"/>
          <w:tab w:val="num" w:pos="12589"/>
        </w:tabs>
        <w:rPr>
          <w:lang w:val="en-US"/>
        </w:rPr>
      </w:pPr>
      <w:bookmarkStart w:id="548" w:name="_Ref455680879"/>
      <w:r w:rsidRPr="00CE23AE">
        <w:rPr>
          <w:lang w:val="en-US"/>
        </w:rPr>
        <w:lastRenderedPageBreak/>
        <w:t>The Court</w:t>
      </w:r>
      <w:r w:rsidR="004E0E2F" w:rsidRPr="00CE23AE">
        <w:rPr>
          <w:lang w:val="en-US"/>
        </w:rPr>
        <w:t xml:space="preserve"> consider</w:t>
      </w:r>
      <w:r w:rsidR="00F04753" w:rsidRPr="00CE23AE">
        <w:rPr>
          <w:lang w:val="en-US"/>
        </w:rPr>
        <w:t xml:space="preserve">s that the reparation for </w:t>
      </w:r>
      <w:r w:rsidR="00970AA1" w:rsidRPr="00CE23AE">
        <w:rPr>
          <w:lang w:val="en-US"/>
        </w:rPr>
        <w:t>pecuniary damage</w:t>
      </w:r>
      <w:r w:rsidR="004E0E2F" w:rsidRPr="00CE23AE">
        <w:rPr>
          <w:lang w:val="en-US"/>
        </w:rPr>
        <w:t xml:space="preserve">, </w:t>
      </w:r>
      <w:r w:rsidR="00F04753" w:rsidRPr="00CE23AE">
        <w:rPr>
          <w:lang w:val="en-US"/>
        </w:rPr>
        <w:t>in the context of the circumstances of this case, requires the payment of the salaries Mr. Flor Freire failed to receive from the time he was discharged on January 18, 2002, taking into account that, while he was on paid leave, he retained his rank and salary.</w:t>
      </w:r>
      <w:r w:rsidR="004E0E2F" w:rsidRPr="00CE23AE">
        <w:rPr>
          <w:vertAlign w:val="superscript"/>
          <w:lang w:val="en-US"/>
        </w:rPr>
        <w:footnoteReference w:id="318"/>
      </w:r>
      <w:r w:rsidR="00F04753" w:rsidRPr="00CE23AE">
        <w:rPr>
          <w:lang w:val="en-US"/>
        </w:rPr>
        <w:t xml:space="preserve"> Considering the decision taken with regard to the victim’s reincorporation</w:t>
      </w:r>
      <w:r w:rsidR="004E0E2F" w:rsidRPr="00CE23AE">
        <w:rPr>
          <w:lang w:val="en-US"/>
        </w:rPr>
        <w:t xml:space="preserve"> </w:t>
      </w:r>
      <w:r w:rsidR="00495CD3" w:rsidRPr="00CE23AE">
        <w:rPr>
          <w:lang w:val="en-US"/>
        </w:rPr>
        <w:t>into</w:t>
      </w:r>
      <w:r w:rsidR="004E0E2F" w:rsidRPr="00CE23AE">
        <w:rPr>
          <w:lang w:val="en-US"/>
        </w:rPr>
        <w:t xml:space="preserve"> </w:t>
      </w:r>
      <w:r w:rsidR="009C5D46" w:rsidRPr="00CE23AE">
        <w:rPr>
          <w:lang w:val="en-US"/>
        </w:rPr>
        <w:t>the Armed Forces</w:t>
      </w:r>
      <w:r w:rsidR="004E0E2F" w:rsidRPr="00CE23AE">
        <w:rPr>
          <w:lang w:val="en-US"/>
        </w:rPr>
        <w:t xml:space="preserve"> (</w:t>
      </w:r>
      <w:r w:rsidR="004E0E2F" w:rsidRPr="00CE23AE">
        <w:rPr>
          <w:i/>
          <w:lang w:val="en-US"/>
        </w:rPr>
        <w:t xml:space="preserve">supra </w:t>
      </w:r>
      <w:r w:rsidR="005C743F" w:rsidRPr="00CE23AE">
        <w:rPr>
          <w:lang w:val="en-US"/>
        </w:rPr>
        <w:t>paras.</w:t>
      </w:r>
      <w:r w:rsidR="004E0E2F" w:rsidRPr="00CE23AE">
        <w:rPr>
          <w:lang w:val="en-US"/>
        </w:rPr>
        <w:t xml:space="preserve"> </w:t>
      </w:r>
      <w:r w:rsidR="004E0E2F" w:rsidRPr="00CE23AE">
        <w:rPr>
          <w:lang w:val="en-US"/>
        </w:rPr>
        <w:fldChar w:fldCharType="begin"/>
      </w:r>
      <w:r w:rsidR="004E0E2F" w:rsidRPr="00CE23AE">
        <w:rPr>
          <w:lang w:val="en-US"/>
        </w:rPr>
        <w:instrText xml:space="preserve"> REF _Ref455672306 \r \h </w:instrText>
      </w:r>
      <w:r w:rsidR="00CE23AE">
        <w:rPr>
          <w:lang w:val="en-US"/>
        </w:rPr>
        <w:instrText xml:space="preserve"> \* MERGEFORMAT </w:instrText>
      </w:r>
      <w:r w:rsidR="004E0E2F" w:rsidRPr="00CE23AE">
        <w:rPr>
          <w:lang w:val="en-US"/>
        </w:rPr>
      </w:r>
      <w:r w:rsidR="004E0E2F" w:rsidRPr="00CE23AE">
        <w:rPr>
          <w:lang w:val="en-US"/>
        </w:rPr>
        <w:fldChar w:fldCharType="separate"/>
      </w:r>
      <w:r w:rsidR="00BC2953" w:rsidRPr="00CE23AE">
        <w:rPr>
          <w:lang w:val="en-US"/>
        </w:rPr>
        <w:t>221</w:t>
      </w:r>
      <w:r w:rsidR="004E0E2F" w:rsidRPr="00CE23AE">
        <w:rPr>
          <w:lang w:val="en-US"/>
        </w:rPr>
        <w:fldChar w:fldCharType="end"/>
      </w:r>
      <w:r w:rsidR="004E0E2F" w:rsidRPr="00CE23AE">
        <w:rPr>
          <w:lang w:val="en-US"/>
        </w:rPr>
        <w:t xml:space="preserve"> </w:t>
      </w:r>
      <w:r w:rsidR="00F04753" w:rsidRPr="00CE23AE">
        <w:rPr>
          <w:lang w:val="en-US"/>
        </w:rPr>
        <w:t>to</w:t>
      </w:r>
      <w:r w:rsidR="004E0E2F" w:rsidRPr="00CE23AE">
        <w:rPr>
          <w:lang w:val="en-US"/>
        </w:rPr>
        <w:t xml:space="preserve"> </w:t>
      </w:r>
      <w:r w:rsidR="004E0E2F" w:rsidRPr="00CE23AE">
        <w:rPr>
          <w:lang w:val="en-US"/>
        </w:rPr>
        <w:fldChar w:fldCharType="begin"/>
      </w:r>
      <w:r w:rsidR="004E0E2F" w:rsidRPr="00CE23AE">
        <w:rPr>
          <w:lang w:val="en-US"/>
        </w:rPr>
        <w:instrText xml:space="preserve"> REF _Ref460349141 \r \h </w:instrText>
      </w:r>
      <w:r w:rsidR="00CE23AE">
        <w:rPr>
          <w:lang w:val="en-US"/>
        </w:rPr>
        <w:instrText xml:space="preserve"> \* MERGEFORMAT </w:instrText>
      </w:r>
      <w:r w:rsidR="004E0E2F" w:rsidRPr="00CE23AE">
        <w:rPr>
          <w:lang w:val="en-US"/>
        </w:rPr>
      </w:r>
      <w:r w:rsidR="004E0E2F" w:rsidRPr="00CE23AE">
        <w:rPr>
          <w:lang w:val="en-US"/>
        </w:rPr>
        <w:fldChar w:fldCharType="separate"/>
      </w:r>
      <w:r w:rsidR="00BC2953" w:rsidRPr="00CE23AE">
        <w:rPr>
          <w:lang w:val="en-US"/>
        </w:rPr>
        <w:t>229</w:t>
      </w:r>
      <w:r w:rsidR="004E0E2F" w:rsidRPr="00CE23AE">
        <w:rPr>
          <w:lang w:val="en-US"/>
        </w:rPr>
        <w:fldChar w:fldCharType="end"/>
      </w:r>
      <w:r w:rsidR="004E0E2F" w:rsidRPr="00CE23AE">
        <w:rPr>
          <w:lang w:val="en-US"/>
        </w:rPr>
        <w:t xml:space="preserve">), </w:t>
      </w:r>
      <w:r w:rsidRPr="00CE23AE">
        <w:rPr>
          <w:lang w:val="en-US"/>
        </w:rPr>
        <w:t>the Court</w:t>
      </w:r>
      <w:r w:rsidR="004E0E2F" w:rsidRPr="00CE23AE">
        <w:rPr>
          <w:lang w:val="en-US"/>
        </w:rPr>
        <w:t xml:space="preserve"> </w:t>
      </w:r>
      <w:r w:rsidR="00F04753" w:rsidRPr="00CE23AE">
        <w:rPr>
          <w:lang w:val="en-US"/>
        </w:rPr>
        <w:t xml:space="preserve">establishes that the State must pay </w:t>
      </w:r>
      <w:r w:rsidR="008B76F3" w:rsidRPr="00CE23AE">
        <w:rPr>
          <w:lang w:val="en-US"/>
        </w:rPr>
        <w:t>Homero</w:t>
      </w:r>
      <w:r w:rsidR="004E0E2F" w:rsidRPr="00CE23AE">
        <w:rPr>
          <w:lang w:val="en-US"/>
        </w:rPr>
        <w:t xml:space="preserve"> Flor Freire</w:t>
      </w:r>
      <w:r w:rsidR="00F04753" w:rsidRPr="00CE23AE">
        <w:rPr>
          <w:lang w:val="en-US"/>
        </w:rPr>
        <w:t>, in equity, the sum of</w:t>
      </w:r>
      <w:r w:rsidR="004E0E2F" w:rsidRPr="00CE23AE">
        <w:rPr>
          <w:lang w:val="en-US"/>
        </w:rPr>
        <w:t xml:space="preserve"> US$385</w:t>
      </w:r>
      <w:r w:rsidR="00970AA1" w:rsidRPr="00CE23AE">
        <w:rPr>
          <w:lang w:val="en-US"/>
        </w:rPr>
        <w:t>,</w:t>
      </w:r>
      <w:r w:rsidR="004E0E2F" w:rsidRPr="00CE23AE">
        <w:rPr>
          <w:lang w:val="en-US"/>
        </w:rPr>
        <w:t>000</w:t>
      </w:r>
      <w:r w:rsidR="00970AA1" w:rsidRPr="00CE23AE">
        <w:rPr>
          <w:lang w:val="en-US"/>
        </w:rPr>
        <w:t>.</w:t>
      </w:r>
      <w:r w:rsidR="004E0E2F" w:rsidRPr="00CE23AE">
        <w:rPr>
          <w:lang w:val="en-US"/>
        </w:rPr>
        <w:t>00 (t</w:t>
      </w:r>
      <w:r w:rsidR="00F04753" w:rsidRPr="00CE23AE">
        <w:rPr>
          <w:lang w:val="en-US"/>
        </w:rPr>
        <w:t xml:space="preserve">hree hundred and eighty-five </w:t>
      </w:r>
      <w:r w:rsidR="00970AA1" w:rsidRPr="00CE23AE">
        <w:rPr>
          <w:lang w:val="en-US"/>
        </w:rPr>
        <w:t>thousand United States dollars</w:t>
      </w:r>
      <w:r w:rsidR="004E0E2F" w:rsidRPr="00CE23AE">
        <w:rPr>
          <w:lang w:val="en-US"/>
        </w:rPr>
        <w:t>).</w:t>
      </w:r>
      <w:bookmarkEnd w:id="548"/>
      <w:r w:rsidR="004E0E2F" w:rsidRPr="00CE23AE">
        <w:rPr>
          <w:lang w:val="en-US"/>
        </w:rPr>
        <w:t xml:space="preserve"> </w:t>
      </w:r>
    </w:p>
    <w:p w14:paraId="36C855DF" w14:textId="17661698" w:rsidR="004E0E2F" w:rsidRPr="00CE23AE" w:rsidRDefault="004E0E2F" w:rsidP="004E0E2F">
      <w:pPr>
        <w:pStyle w:val="PrrafodeSentencia"/>
        <w:numPr>
          <w:ilvl w:val="0"/>
          <w:numId w:val="0"/>
        </w:numPr>
        <w:rPr>
          <w:lang w:val="en-US"/>
        </w:rPr>
      </w:pPr>
    </w:p>
    <w:p w14:paraId="6CA0D566" w14:textId="774802F8" w:rsidR="00F22AD0" w:rsidRPr="00CE23AE" w:rsidRDefault="00F04753" w:rsidP="00F04753">
      <w:pPr>
        <w:pStyle w:val="PrrafodeSentencia"/>
        <w:tabs>
          <w:tab w:val="clear" w:pos="12305"/>
          <w:tab w:val="num" w:pos="12589"/>
        </w:tabs>
        <w:rPr>
          <w:lang w:val="en-US"/>
        </w:rPr>
      </w:pPr>
      <w:r w:rsidRPr="00CE23AE">
        <w:rPr>
          <w:lang w:val="en-US"/>
        </w:rPr>
        <w:t xml:space="preserve">Lastly, contrary to the State’s arguments, the Court considers that it is not appropriate to deduct from this sum the remuneration that the victim may have received as a result of his private work-related activities during the time in which he has remained in passive service. This income does not form part of or substitute </w:t>
      </w:r>
      <w:r w:rsidR="00A721E0" w:rsidRPr="00CE23AE">
        <w:rPr>
          <w:lang w:val="en-US"/>
        </w:rPr>
        <w:t xml:space="preserve">for </w:t>
      </w:r>
      <w:r w:rsidRPr="00CE23AE">
        <w:rPr>
          <w:lang w:val="en-US"/>
        </w:rPr>
        <w:t xml:space="preserve">Mr. Flor Freire’s loss of earnings as a result of his arbitrary separation from the </w:t>
      </w:r>
      <w:r w:rsidR="009C5D46" w:rsidRPr="00CE23AE">
        <w:rPr>
          <w:lang w:val="en-US"/>
        </w:rPr>
        <w:t>Armed Forces</w:t>
      </w:r>
      <w:r w:rsidR="004E0E2F" w:rsidRPr="00CE23AE">
        <w:rPr>
          <w:lang w:val="en-US"/>
        </w:rPr>
        <w:t>.</w:t>
      </w:r>
      <w:r w:rsidR="006C04DA" w:rsidRPr="00CE23AE">
        <w:rPr>
          <w:lang w:val="en-US"/>
        </w:rPr>
        <w:t xml:space="preserve"> </w:t>
      </w:r>
      <w:bookmarkStart w:id="549" w:name="_Toc454891528"/>
      <w:bookmarkStart w:id="550" w:name="_Toc457840639"/>
    </w:p>
    <w:p w14:paraId="40AD99B0" w14:textId="77777777" w:rsidR="00970AA1" w:rsidRPr="00CE23AE" w:rsidRDefault="00970AA1" w:rsidP="00970AA1">
      <w:pPr>
        <w:pStyle w:val="PrrafodeSentencia"/>
        <w:numPr>
          <w:ilvl w:val="0"/>
          <w:numId w:val="0"/>
        </w:numPr>
        <w:rPr>
          <w:lang w:val="en-US"/>
        </w:rPr>
      </w:pPr>
    </w:p>
    <w:p w14:paraId="4F603394" w14:textId="622057C3" w:rsidR="004E0E2F" w:rsidRPr="00CE23AE" w:rsidRDefault="004E0E2F" w:rsidP="004E0E2F">
      <w:pPr>
        <w:pStyle w:val="Ttulo3"/>
        <w:rPr>
          <w:lang w:val="en-US"/>
        </w:rPr>
      </w:pPr>
      <w:bookmarkStart w:id="551" w:name="_Toc460398562"/>
      <w:bookmarkStart w:id="552" w:name="_Toc460398746"/>
      <w:bookmarkStart w:id="553" w:name="_Toc464475030"/>
      <w:bookmarkStart w:id="554" w:name="_Toc46388417"/>
      <w:r w:rsidRPr="00CE23AE">
        <w:rPr>
          <w:lang w:val="en-US"/>
        </w:rPr>
        <w:t xml:space="preserve">D.2 </w:t>
      </w:r>
      <w:r w:rsidR="00970AA1" w:rsidRPr="00CE23AE">
        <w:rPr>
          <w:lang w:val="en-US"/>
        </w:rPr>
        <w:t>Non-pecuniary damage</w:t>
      </w:r>
      <w:bookmarkEnd w:id="549"/>
      <w:bookmarkEnd w:id="550"/>
      <w:bookmarkEnd w:id="551"/>
      <w:bookmarkEnd w:id="552"/>
      <w:bookmarkEnd w:id="553"/>
      <w:bookmarkEnd w:id="554"/>
    </w:p>
    <w:p w14:paraId="38A79DE4" w14:textId="77777777" w:rsidR="004E0E2F" w:rsidRPr="00CE23AE" w:rsidRDefault="004E0E2F" w:rsidP="004E0E2F">
      <w:pPr>
        <w:rPr>
          <w:rFonts w:eastAsia="Batang"/>
          <w:lang w:val="en-US"/>
        </w:rPr>
      </w:pPr>
    </w:p>
    <w:p w14:paraId="1161079A" w14:textId="1AF8559E" w:rsidR="004E0E2F" w:rsidRPr="00CE23AE" w:rsidRDefault="004E0E2F" w:rsidP="004E0E2F">
      <w:pPr>
        <w:pStyle w:val="Ttulo4"/>
        <w:rPr>
          <w:lang w:val="en-US"/>
        </w:rPr>
      </w:pPr>
      <w:bookmarkStart w:id="555" w:name="_Toc457840640"/>
      <w:bookmarkStart w:id="556" w:name="_Toc460398563"/>
      <w:bookmarkStart w:id="557" w:name="_Toc460398747"/>
      <w:bookmarkStart w:id="558" w:name="_Toc464475031"/>
      <w:bookmarkStart w:id="559" w:name="_Toc46388418"/>
      <w:r w:rsidRPr="00CE23AE">
        <w:rPr>
          <w:lang w:val="en-US"/>
        </w:rPr>
        <w:t>D.2.</w:t>
      </w:r>
      <w:r w:rsidR="000E5624" w:rsidRPr="00CE23AE">
        <w:rPr>
          <w:lang w:val="en-US"/>
        </w:rPr>
        <w:t>a</w:t>
      </w:r>
      <w:r w:rsidRPr="00CE23AE">
        <w:rPr>
          <w:lang w:val="en-US"/>
        </w:rPr>
        <w:t xml:space="preserve"> </w:t>
      </w:r>
      <w:r w:rsidR="005F350B" w:rsidRPr="00CE23AE">
        <w:rPr>
          <w:lang w:val="en-US"/>
        </w:rPr>
        <w:t>Arguments</w:t>
      </w:r>
      <w:r w:rsidRPr="00CE23AE">
        <w:rPr>
          <w:lang w:val="en-US"/>
        </w:rPr>
        <w:t xml:space="preserve"> </w:t>
      </w:r>
      <w:r w:rsidR="005024E2" w:rsidRPr="00CE23AE">
        <w:rPr>
          <w:lang w:val="en-US"/>
        </w:rPr>
        <w:t>of the parties</w:t>
      </w:r>
      <w:bookmarkEnd w:id="555"/>
      <w:bookmarkEnd w:id="556"/>
      <w:bookmarkEnd w:id="557"/>
      <w:bookmarkEnd w:id="558"/>
      <w:bookmarkEnd w:id="559"/>
      <w:r w:rsidRPr="00CE23AE">
        <w:rPr>
          <w:lang w:val="en-US"/>
        </w:rPr>
        <w:t xml:space="preserve"> </w:t>
      </w:r>
    </w:p>
    <w:p w14:paraId="526D5544" w14:textId="77777777" w:rsidR="004E0E2F" w:rsidRPr="00CE23AE" w:rsidRDefault="004E0E2F" w:rsidP="004E0E2F">
      <w:pPr>
        <w:rPr>
          <w:rFonts w:eastAsia="Batang"/>
          <w:lang w:val="en-US"/>
        </w:rPr>
      </w:pPr>
    </w:p>
    <w:p w14:paraId="476D05FE" w14:textId="2F4ED125" w:rsidR="004E0E2F" w:rsidRPr="00CE23AE" w:rsidRDefault="00C561DF" w:rsidP="008A716A">
      <w:pPr>
        <w:pStyle w:val="PrrafodeSentencia"/>
        <w:tabs>
          <w:tab w:val="clear" w:pos="12305"/>
          <w:tab w:val="num" w:pos="12589"/>
        </w:tabs>
        <w:rPr>
          <w:lang w:val="en-US"/>
        </w:rPr>
      </w:pPr>
      <w:r w:rsidRPr="00CE23AE">
        <w:rPr>
          <w:lang w:val="en-US"/>
        </w:rPr>
        <w:t xml:space="preserve">The </w:t>
      </w:r>
      <w:r w:rsidRPr="00CE23AE">
        <w:rPr>
          <w:b/>
          <w:bCs/>
          <w:i/>
          <w:iCs/>
          <w:lang w:val="en-US"/>
        </w:rPr>
        <w:t>representative</w:t>
      </w:r>
      <w:r w:rsidR="004E0E2F" w:rsidRPr="00CE23AE">
        <w:rPr>
          <w:lang w:val="en-US"/>
        </w:rPr>
        <w:t xml:space="preserve"> </w:t>
      </w:r>
      <w:r w:rsidR="00D10326" w:rsidRPr="00CE23AE">
        <w:rPr>
          <w:lang w:val="en-US"/>
        </w:rPr>
        <w:t>argued that</w:t>
      </w:r>
      <w:r w:rsidR="004E0E2F" w:rsidRPr="00CE23AE">
        <w:rPr>
          <w:lang w:val="en-US"/>
        </w:rPr>
        <w:t xml:space="preserve"> “[</w:t>
      </w:r>
      <w:r w:rsidR="008A716A" w:rsidRPr="00CE23AE">
        <w:rPr>
          <w:lang w:val="en-US"/>
        </w:rPr>
        <w:t>t</w:t>
      </w:r>
      <w:r w:rsidR="004E0E2F" w:rsidRPr="00CE23AE">
        <w:rPr>
          <w:lang w:val="en-US"/>
        </w:rPr>
        <w:t>]</w:t>
      </w:r>
      <w:r w:rsidR="008A716A" w:rsidRPr="00CE23AE">
        <w:rPr>
          <w:lang w:val="en-US"/>
        </w:rPr>
        <w:t xml:space="preserve">he lack of protection provided by the State and the false accusation made against the petitioner have entailed failure to respect Mr. Flor Freire’s right to honor. Also, the false accusation and the State’s unlawful interference has had far-reaching </w:t>
      </w:r>
      <w:r w:rsidR="00A721E0" w:rsidRPr="00CE23AE">
        <w:rPr>
          <w:lang w:val="en-US"/>
        </w:rPr>
        <w:t>effects</w:t>
      </w:r>
      <w:r w:rsidR="008A716A" w:rsidRPr="00CE23AE">
        <w:rPr>
          <w:lang w:val="en-US"/>
        </w:rPr>
        <w:t xml:space="preserve"> on the petitioner’s family life because these led to his divorce and to a rupture in his relationship with his daughter.” He therefore requested reparation for non-pecuniary damage indicating that “the sum that the parties had agreed on […] amounted to US$329,221.20.” In addition, the representative argued damage to Mr. Flor Freire’s life project owing to the interruption of his military career. In this regard, he requested payment of compensation of at least US$521,600.20. He added that if, “for any reason, he is not reincorporated into active service, the amount corresponding to damage to the life project should be calculated based on Mr. Flor Freire’s life expectancy, which is currently 72 years, which would result in a total of </w:t>
      </w:r>
      <w:r w:rsidR="004E0E2F" w:rsidRPr="00CE23AE">
        <w:rPr>
          <w:lang w:val="en-US"/>
        </w:rPr>
        <w:t>US$</w:t>
      </w:r>
      <w:r w:rsidR="00970AA1" w:rsidRPr="00CE23AE">
        <w:rPr>
          <w:lang w:val="en-US"/>
        </w:rPr>
        <w:t>1,</w:t>
      </w:r>
      <w:r w:rsidR="004E0E2F" w:rsidRPr="00CE23AE">
        <w:rPr>
          <w:lang w:val="en-US"/>
        </w:rPr>
        <w:t>075</w:t>
      </w:r>
      <w:r w:rsidR="00970AA1" w:rsidRPr="00CE23AE">
        <w:rPr>
          <w:lang w:val="en-US"/>
        </w:rPr>
        <w:t>,</w:t>
      </w:r>
      <w:r w:rsidR="004E0E2F" w:rsidRPr="00CE23AE">
        <w:rPr>
          <w:lang w:val="en-US"/>
        </w:rPr>
        <w:t>200</w:t>
      </w:r>
      <w:r w:rsidR="00970AA1" w:rsidRPr="00CE23AE">
        <w:rPr>
          <w:lang w:val="en-US"/>
        </w:rPr>
        <w:t>.</w:t>
      </w:r>
      <w:r w:rsidR="00A721E0" w:rsidRPr="00CE23AE">
        <w:rPr>
          <w:lang w:val="en-US"/>
        </w:rPr>
        <w:t>00</w:t>
      </w:r>
      <w:r w:rsidR="004E0E2F" w:rsidRPr="00CE23AE">
        <w:rPr>
          <w:lang w:val="en-US"/>
        </w:rPr>
        <w:t xml:space="preserve">” </w:t>
      </w:r>
    </w:p>
    <w:p w14:paraId="3C8BB784" w14:textId="77777777" w:rsidR="004E0E2F" w:rsidRPr="00CE23AE" w:rsidRDefault="004E0E2F" w:rsidP="004E0E2F">
      <w:pPr>
        <w:rPr>
          <w:lang w:val="en-US"/>
        </w:rPr>
      </w:pPr>
    </w:p>
    <w:p w14:paraId="570C1F6A" w14:textId="274754A1" w:rsidR="004E0E2F" w:rsidRPr="00CE23AE" w:rsidRDefault="00C561DF" w:rsidP="004E0E2F">
      <w:pPr>
        <w:pStyle w:val="PrrafodeSentencia"/>
        <w:tabs>
          <w:tab w:val="clear" w:pos="12305"/>
          <w:tab w:val="num" w:pos="12589"/>
        </w:tabs>
        <w:rPr>
          <w:lang w:val="en-US"/>
        </w:rPr>
      </w:pPr>
      <w:r w:rsidRPr="00CE23AE">
        <w:rPr>
          <w:lang w:val="en-US"/>
        </w:rPr>
        <w:t xml:space="preserve">The </w:t>
      </w:r>
      <w:r w:rsidRPr="00CE23AE">
        <w:rPr>
          <w:b/>
          <w:bCs/>
          <w:i/>
          <w:iCs/>
          <w:lang w:val="en-US"/>
        </w:rPr>
        <w:t>State</w:t>
      </w:r>
      <w:r w:rsidR="004E0E2F" w:rsidRPr="00CE23AE">
        <w:rPr>
          <w:lang w:val="en-US"/>
        </w:rPr>
        <w:t xml:space="preserve"> a</w:t>
      </w:r>
      <w:r w:rsidR="008A716A" w:rsidRPr="00CE23AE">
        <w:rPr>
          <w:lang w:val="en-US"/>
        </w:rPr>
        <w:t xml:space="preserve">rgued that the amounts requested by </w:t>
      </w:r>
      <w:r w:rsidR="00F5102B" w:rsidRPr="00CE23AE">
        <w:rPr>
          <w:lang w:val="en-US"/>
        </w:rPr>
        <w:t>Mr. Flor</w:t>
      </w:r>
      <w:r w:rsidR="004E0E2F" w:rsidRPr="00CE23AE">
        <w:rPr>
          <w:lang w:val="en-US"/>
        </w:rPr>
        <w:t xml:space="preserve"> Freire “</w:t>
      </w:r>
      <w:r w:rsidR="008A716A" w:rsidRPr="00CE23AE">
        <w:rPr>
          <w:lang w:val="en-US"/>
        </w:rPr>
        <w:t>distort the purpose that the [Inter-American] Court has developed for reparations.</w:t>
      </w:r>
      <w:r w:rsidR="004E0E2F" w:rsidRPr="00CE23AE">
        <w:rPr>
          <w:lang w:val="en-US"/>
        </w:rPr>
        <w:t>”</w:t>
      </w:r>
      <w:r w:rsidR="008A716A" w:rsidRPr="00CE23AE">
        <w:rPr>
          <w:lang w:val="en-US"/>
        </w:rPr>
        <w:t xml:space="preserve"> It also indicated that “the concept of ‘life project’ has not been determined clearly in inter-American case law. It argued that the sum agreed before </w:t>
      </w:r>
      <w:r w:rsidRPr="00CE23AE">
        <w:rPr>
          <w:lang w:val="en-US"/>
        </w:rPr>
        <w:t>the Inter-American Commission</w:t>
      </w:r>
      <w:r w:rsidR="00E66458" w:rsidRPr="00CE23AE">
        <w:rPr>
          <w:lang w:val="en-US"/>
        </w:rPr>
        <w:t xml:space="preserve"> formed part of “the actions addressed at complying with</w:t>
      </w:r>
      <w:r w:rsidR="004E0E2F" w:rsidRPr="00CE23AE">
        <w:rPr>
          <w:lang w:val="en-US"/>
        </w:rPr>
        <w:t xml:space="preserve"> </w:t>
      </w:r>
      <w:r w:rsidRPr="00CE23AE">
        <w:rPr>
          <w:lang w:val="en-US"/>
        </w:rPr>
        <w:t>Merits Report</w:t>
      </w:r>
      <w:r w:rsidR="004E0E2F" w:rsidRPr="00CE23AE">
        <w:rPr>
          <w:lang w:val="en-US"/>
        </w:rPr>
        <w:t xml:space="preserve"> No. 81/13 </w:t>
      </w:r>
      <w:r w:rsidR="00E66458" w:rsidRPr="00CE23AE">
        <w:rPr>
          <w:lang w:val="en-US"/>
        </w:rPr>
        <w:t>issued by the [Commission, and] were not part of the instant case,” so that “they could not be considered by the Court.” Consequently, it asked the Court to rule, in equity, on the</w:t>
      </w:r>
      <w:r w:rsidR="004E0E2F" w:rsidRPr="00CE23AE">
        <w:rPr>
          <w:lang w:val="en-US"/>
        </w:rPr>
        <w:t xml:space="preserve"> </w:t>
      </w:r>
      <w:r w:rsidR="00970AA1" w:rsidRPr="00CE23AE">
        <w:rPr>
          <w:lang w:val="en-US"/>
        </w:rPr>
        <w:t>non-pecuniary damage</w:t>
      </w:r>
      <w:r w:rsidR="004E0E2F" w:rsidRPr="00CE23AE">
        <w:rPr>
          <w:lang w:val="en-US"/>
        </w:rPr>
        <w:t xml:space="preserve">. </w:t>
      </w:r>
    </w:p>
    <w:p w14:paraId="071E04E5" w14:textId="77777777" w:rsidR="004E0E2F" w:rsidRPr="00CE23AE" w:rsidRDefault="004E0E2F" w:rsidP="004E0E2F">
      <w:pPr>
        <w:rPr>
          <w:lang w:val="en-US"/>
        </w:rPr>
      </w:pPr>
    </w:p>
    <w:p w14:paraId="25AE8170" w14:textId="727A4422" w:rsidR="004E0E2F" w:rsidRPr="00CE23AE" w:rsidRDefault="004E0E2F" w:rsidP="004E0E2F">
      <w:pPr>
        <w:pStyle w:val="Ttulo4"/>
        <w:rPr>
          <w:lang w:val="en-US"/>
        </w:rPr>
      </w:pPr>
      <w:bookmarkStart w:id="560" w:name="_Toc457840641"/>
      <w:bookmarkStart w:id="561" w:name="_Toc460398564"/>
      <w:bookmarkStart w:id="562" w:name="_Toc460398748"/>
      <w:bookmarkStart w:id="563" w:name="_Toc464475032"/>
      <w:bookmarkStart w:id="564" w:name="_Toc46388419"/>
      <w:r w:rsidRPr="00CE23AE">
        <w:rPr>
          <w:lang w:val="en-US"/>
        </w:rPr>
        <w:t>D.2.</w:t>
      </w:r>
      <w:r w:rsidR="000E5624" w:rsidRPr="00CE23AE">
        <w:rPr>
          <w:lang w:val="en-US"/>
        </w:rPr>
        <w:t>b</w:t>
      </w:r>
      <w:r w:rsidRPr="00CE23AE">
        <w:rPr>
          <w:lang w:val="en-US"/>
        </w:rPr>
        <w:t xml:space="preserve"> </w:t>
      </w:r>
      <w:r w:rsidR="005024E2" w:rsidRPr="00CE23AE">
        <w:rPr>
          <w:lang w:val="en-US"/>
        </w:rPr>
        <w:t>Considerations</w:t>
      </w:r>
      <w:r w:rsidR="00C561DF" w:rsidRPr="00CE23AE">
        <w:rPr>
          <w:lang w:val="en-US"/>
        </w:rPr>
        <w:t xml:space="preserve"> of the Court</w:t>
      </w:r>
      <w:bookmarkEnd w:id="560"/>
      <w:bookmarkEnd w:id="561"/>
      <w:bookmarkEnd w:id="562"/>
      <w:bookmarkEnd w:id="563"/>
      <w:bookmarkEnd w:id="564"/>
    </w:p>
    <w:p w14:paraId="32A85AAA" w14:textId="77777777" w:rsidR="004E0E2F" w:rsidRPr="00CE23AE" w:rsidRDefault="004E0E2F" w:rsidP="004E0E2F">
      <w:pPr>
        <w:rPr>
          <w:lang w:val="en-US"/>
        </w:rPr>
      </w:pPr>
    </w:p>
    <w:p w14:paraId="7FAAEF57" w14:textId="2DC64FFF" w:rsidR="004E0E2F" w:rsidRPr="00CE23AE" w:rsidRDefault="00C561DF" w:rsidP="004E0E2F">
      <w:pPr>
        <w:pStyle w:val="PrrafodeSentencia"/>
        <w:tabs>
          <w:tab w:val="clear" w:pos="12305"/>
          <w:tab w:val="num" w:pos="12589"/>
        </w:tabs>
        <w:rPr>
          <w:lang w:val="en-US"/>
        </w:rPr>
      </w:pPr>
      <w:r w:rsidRPr="00CE23AE">
        <w:rPr>
          <w:lang w:val="en-US"/>
        </w:rPr>
        <w:t>The Court</w:t>
      </w:r>
      <w:r w:rsidR="004E0E2F" w:rsidRPr="00CE23AE">
        <w:rPr>
          <w:lang w:val="en-US"/>
        </w:rPr>
        <w:t xml:space="preserve"> ha</w:t>
      </w:r>
      <w:r w:rsidR="00E66458" w:rsidRPr="00CE23AE">
        <w:rPr>
          <w:lang w:val="en-US"/>
        </w:rPr>
        <w:t xml:space="preserve">s established that the concept of </w:t>
      </w:r>
      <w:r w:rsidR="00970AA1" w:rsidRPr="00CE23AE">
        <w:rPr>
          <w:lang w:val="en-US"/>
        </w:rPr>
        <w:t>non-pecuniary damage</w:t>
      </w:r>
      <w:r w:rsidR="004E0E2F" w:rsidRPr="00CE23AE">
        <w:rPr>
          <w:lang w:val="en-US"/>
        </w:rPr>
        <w:t xml:space="preserve"> </w:t>
      </w:r>
      <w:r w:rsidR="00E66458" w:rsidRPr="00CE23AE">
        <w:rPr>
          <w:lang w:val="en-US"/>
        </w:rPr>
        <w:t>may include both the suffering and affliction caused to the direct victim and his family, the impairment of values of great significance for the individual, and the changes of a non-pecuniary nature in the living conditions of the victim or his family.</w:t>
      </w:r>
      <w:r w:rsidR="004E0E2F" w:rsidRPr="00CE23AE">
        <w:rPr>
          <w:vertAlign w:val="superscript"/>
          <w:lang w:val="en-US"/>
        </w:rPr>
        <w:footnoteReference w:id="319"/>
      </w:r>
      <w:bookmarkStart w:id="565" w:name="_Ref431215355"/>
      <w:bookmarkStart w:id="566" w:name="_Ref419394005"/>
    </w:p>
    <w:p w14:paraId="5BACD6AA" w14:textId="77777777" w:rsidR="004E0E2F" w:rsidRPr="00CE23AE" w:rsidRDefault="004E0E2F" w:rsidP="004E0E2F">
      <w:pPr>
        <w:rPr>
          <w:lang w:val="en-US"/>
        </w:rPr>
      </w:pPr>
    </w:p>
    <w:p w14:paraId="10B40D8E" w14:textId="27EB6F4C" w:rsidR="004E0E2F" w:rsidRPr="00CE23AE" w:rsidRDefault="00E66458" w:rsidP="00E66458">
      <w:pPr>
        <w:pStyle w:val="PrrafodeSentencia"/>
        <w:tabs>
          <w:tab w:val="clear" w:pos="12305"/>
          <w:tab w:val="num" w:pos="12589"/>
        </w:tabs>
        <w:rPr>
          <w:lang w:val="en-US"/>
        </w:rPr>
      </w:pPr>
      <w:r w:rsidRPr="00CE23AE">
        <w:rPr>
          <w:lang w:val="en-US"/>
        </w:rPr>
        <w:t>According to the representatives, at the working meeting of July 30,</w:t>
      </w:r>
      <w:r w:rsidR="004E0E2F" w:rsidRPr="00CE23AE">
        <w:rPr>
          <w:lang w:val="en-US"/>
        </w:rPr>
        <w:t xml:space="preserve"> 2014, </w:t>
      </w:r>
      <w:r w:rsidRPr="00CE23AE">
        <w:rPr>
          <w:lang w:val="en-US"/>
        </w:rPr>
        <w:t xml:space="preserve">the parties reached consensus on the sum of </w:t>
      </w:r>
      <w:r w:rsidR="004E0E2F" w:rsidRPr="00CE23AE">
        <w:rPr>
          <w:lang w:val="en-US"/>
        </w:rPr>
        <w:t>US$329</w:t>
      </w:r>
      <w:r w:rsidR="00970AA1" w:rsidRPr="00CE23AE">
        <w:rPr>
          <w:lang w:val="en-US"/>
        </w:rPr>
        <w:t>,</w:t>
      </w:r>
      <w:r w:rsidR="004E0E2F" w:rsidRPr="00CE23AE">
        <w:rPr>
          <w:lang w:val="en-US"/>
        </w:rPr>
        <w:t>221</w:t>
      </w:r>
      <w:r w:rsidR="00970AA1" w:rsidRPr="00CE23AE">
        <w:rPr>
          <w:lang w:val="en-US"/>
        </w:rPr>
        <w:t>.</w:t>
      </w:r>
      <w:r w:rsidR="004E0E2F" w:rsidRPr="00CE23AE">
        <w:rPr>
          <w:lang w:val="en-US"/>
        </w:rPr>
        <w:t xml:space="preserve">20 </w:t>
      </w:r>
      <w:r w:rsidR="002025E4" w:rsidRPr="00CE23AE">
        <w:rPr>
          <w:lang w:val="en-US"/>
        </w:rPr>
        <w:t>(t</w:t>
      </w:r>
      <w:r w:rsidR="00970AA1" w:rsidRPr="00CE23AE">
        <w:rPr>
          <w:lang w:val="en-US"/>
        </w:rPr>
        <w:t>hree hundr</w:t>
      </w:r>
      <w:r w:rsidRPr="00CE23AE">
        <w:rPr>
          <w:lang w:val="en-US"/>
        </w:rPr>
        <w:t>e</w:t>
      </w:r>
      <w:r w:rsidR="00970AA1" w:rsidRPr="00CE23AE">
        <w:rPr>
          <w:lang w:val="en-US"/>
        </w:rPr>
        <w:t>d and twenty-nine thousand two hundred and twenty-one United States dollars</w:t>
      </w:r>
      <w:r w:rsidR="004E0E2F" w:rsidRPr="00CE23AE">
        <w:rPr>
          <w:lang w:val="en-US"/>
        </w:rPr>
        <w:t xml:space="preserve"> </w:t>
      </w:r>
      <w:r w:rsidR="00970AA1" w:rsidRPr="00CE23AE">
        <w:rPr>
          <w:lang w:val="en-US"/>
        </w:rPr>
        <w:t>and twenty cents</w:t>
      </w:r>
      <w:r w:rsidR="004E0E2F" w:rsidRPr="00CE23AE">
        <w:rPr>
          <w:lang w:val="en-US"/>
        </w:rPr>
        <w:t xml:space="preserve">) </w:t>
      </w:r>
      <w:r w:rsidRPr="00CE23AE">
        <w:rPr>
          <w:lang w:val="en-US"/>
        </w:rPr>
        <w:t>for</w:t>
      </w:r>
      <w:r w:rsidR="004E0E2F" w:rsidRPr="00CE23AE">
        <w:rPr>
          <w:lang w:val="en-US"/>
        </w:rPr>
        <w:t xml:space="preserve"> </w:t>
      </w:r>
      <w:r w:rsidR="00970AA1" w:rsidRPr="00CE23AE">
        <w:rPr>
          <w:lang w:val="en-US"/>
        </w:rPr>
        <w:t>non-pecuniary damage</w:t>
      </w:r>
      <w:r w:rsidR="004E0E2F" w:rsidRPr="00CE23AE">
        <w:rPr>
          <w:lang w:val="en-US"/>
        </w:rPr>
        <w:t xml:space="preserve">. </w:t>
      </w:r>
      <w:r w:rsidRPr="00CE23AE">
        <w:rPr>
          <w:lang w:val="en-US"/>
        </w:rPr>
        <w:t>However, an examination of the document provided by the State on the supposed</w:t>
      </w:r>
      <w:r w:rsidR="004E0E2F" w:rsidRPr="00CE23AE">
        <w:rPr>
          <w:lang w:val="en-US"/>
        </w:rPr>
        <w:t xml:space="preserve"> </w:t>
      </w:r>
      <w:r w:rsidR="00970AA1" w:rsidRPr="00CE23AE">
        <w:rPr>
          <w:lang w:val="en-US"/>
        </w:rPr>
        <w:t>non-pecuniary damage</w:t>
      </w:r>
      <w:r w:rsidR="004E0E2F" w:rsidRPr="00CE23AE">
        <w:rPr>
          <w:lang w:val="en-US"/>
        </w:rPr>
        <w:t xml:space="preserve"> </w:t>
      </w:r>
      <w:r w:rsidRPr="00CE23AE">
        <w:rPr>
          <w:lang w:val="en-US"/>
        </w:rPr>
        <w:t xml:space="preserve">reveals that the sum of </w:t>
      </w:r>
      <w:r w:rsidR="004578A4" w:rsidRPr="00CE23AE">
        <w:rPr>
          <w:lang w:val="en-US"/>
        </w:rPr>
        <w:t>US$</w:t>
      </w:r>
      <w:r w:rsidR="004E0E2F" w:rsidRPr="00CE23AE">
        <w:rPr>
          <w:lang w:val="en-US"/>
        </w:rPr>
        <w:t>329</w:t>
      </w:r>
      <w:r w:rsidR="00970AA1" w:rsidRPr="00CE23AE">
        <w:rPr>
          <w:lang w:val="en-US"/>
        </w:rPr>
        <w:t>,</w:t>
      </w:r>
      <w:r w:rsidR="004E0E2F" w:rsidRPr="00CE23AE">
        <w:rPr>
          <w:lang w:val="en-US"/>
        </w:rPr>
        <w:t>221</w:t>
      </w:r>
      <w:r w:rsidR="00970AA1" w:rsidRPr="00CE23AE">
        <w:rPr>
          <w:lang w:val="en-US"/>
        </w:rPr>
        <w:t>.</w:t>
      </w:r>
      <w:r w:rsidR="004E0E2F" w:rsidRPr="00CE23AE">
        <w:rPr>
          <w:lang w:val="en-US"/>
        </w:rPr>
        <w:t xml:space="preserve">20 </w:t>
      </w:r>
      <w:r w:rsidRPr="00CE23AE">
        <w:rPr>
          <w:lang w:val="en-US"/>
        </w:rPr>
        <w:t xml:space="preserve">does not constitute the amount corresponding to </w:t>
      </w:r>
      <w:r w:rsidR="00970AA1" w:rsidRPr="00CE23AE">
        <w:rPr>
          <w:lang w:val="en-US"/>
        </w:rPr>
        <w:t>non-pecuniary damage</w:t>
      </w:r>
      <w:r w:rsidR="004E0E2F" w:rsidRPr="00CE23AE">
        <w:rPr>
          <w:lang w:val="en-US"/>
        </w:rPr>
        <w:t xml:space="preserve">, </w:t>
      </w:r>
      <w:r w:rsidRPr="00CE23AE">
        <w:rPr>
          <w:lang w:val="en-US"/>
        </w:rPr>
        <w:t xml:space="preserve">but rather corresponds to the “liquidation of remunerations based on the respective payments made to [Mr. Flor Freire’s] cohort for the period August 2001 to June 2014, considering his promotion to Captain and Major with contributions.” Therefore, the Court will not take into account the sum mentioned by the representative when calculating </w:t>
      </w:r>
      <w:r w:rsidR="00970AA1" w:rsidRPr="00CE23AE">
        <w:rPr>
          <w:lang w:val="en-US"/>
        </w:rPr>
        <w:t>non-pecuniary damage</w:t>
      </w:r>
      <w:r w:rsidR="004E0E2F" w:rsidRPr="00CE23AE">
        <w:rPr>
          <w:lang w:val="en-US"/>
        </w:rPr>
        <w:t xml:space="preserve">. </w:t>
      </w:r>
    </w:p>
    <w:p w14:paraId="6678B33C" w14:textId="7EF685ED" w:rsidR="004E0E2F" w:rsidRPr="00CE23AE" w:rsidRDefault="004E0E2F" w:rsidP="004E0E2F">
      <w:pPr>
        <w:rPr>
          <w:lang w:val="en-US"/>
        </w:rPr>
      </w:pPr>
    </w:p>
    <w:p w14:paraId="3F80FCE8" w14:textId="5AA6DA79" w:rsidR="004E0E2F" w:rsidRPr="00CE23AE" w:rsidRDefault="00E66458" w:rsidP="009B78E5">
      <w:pPr>
        <w:pStyle w:val="PrrafodeSentencia"/>
        <w:tabs>
          <w:tab w:val="clear" w:pos="12305"/>
          <w:tab w:val="num" w:pos="12589"/>
        </w:tabs>
        <w:rPr>
          <w:lang w:val="en-US"/>
        </w:rPr>
      </w:pPr>
      <w:bookmarkStart w:id="567" w:name="_Ref455680881"/>
      <w:r w:rsidRPr="00CE23AE">
        <w:rPr>
          <w:lang w:val="en-US"/>
        </w:rPr>
        <w:t xml:space="preserve">Nevertheless, the Court finds that the partiality in the disciplinary procedure and the discriminatory discharge resulted in substantial changes to the victim’s private and professional life, and affected his honor and reputation. In particular, in this case the discrimination based on perceived sexual orientation and the other consequences of a non-pecuniary nature have caused moral harm to the victim. Consequently, </w:t>
      </w:r>
      <w:r w:rsidR="009B78E5" w:rsidRPr="00CE23AE">
        <w:rPr>
          <w:lang w:val="en-US"/>
        </w:rPr>
        <w:t xml:space="preserve">the Court finds it pertinent to establish, in equity, the sum of </w:t>
      </w:r>
      <w:r w:rsidR="004E0E2F" w:rsidRPr="00CE23AE">
        <w:rPr>
          <w:bCs/>
          <w:lang w:val="en-US"/>
        </w:rPr>
        <w:t>US</w:t>
      </w:r>
      <w:r w:rsidR="004E0E2F" w:rsidRPr="00CE23AE">
        <w:rPr>
          <w:lang w:val="en-US"/>
        </w:rPr>
        <w:t>$10</w:t>
      </w:r>
      <w:r w:rsidR="00970AA1" w:rsidRPr="00CE23AE">
        <w:rPr>
          <w:lang w:val="en-US"/>
        </w:rPr>
        <w:t>,</w:t>
      </w:r>
      <w:r w:rsidR="004E0E2F" w:rsidRPr="00CE23AE">
        <w:rPr>
          <w:lang w:val="en-US"/>
        </w:rPr>
        <w:t>000</w:t>
      </w:r>
      <w:r w:rsidR="00970AA1" w:rsidRPr="00CE23AE">
        <w:rPr>
          <w:lang w:val="en-US"/>
        </w:rPr>
        <w:t>.</w:t>
      </w:r>
      <w:r w:rsidR="004E0E2F" w:rsidRPr="00CE23AE">
        <w:rPr>
          <w:lang w:val="en-US"/>
        </w:rPr>
        <w:t>00 (</w:t>
      </w:r>
      <w:r w:rsidR="00970AA1" w:rsidRPr="00CE23AE">
        <w:rPr>
          <w:lang w:val="en-US"/>
        </w:rPr>
        <w:t>ten</w:t>
      </w:r>
      <w:r w:rsidR="004E0E2F" w:rsidRPr="00CE23AE">
        <w:rPr>
          <w:lang w:val="en-US"/>
        </w:rPr>
        <w:t xml:space="preserve"> </w:t>
      </w:r>
      <w:r w:rsidR="00970AA1" w:rsidRPr="00CE23AE">
        <w:rPr>
          <w:lang w:val="en-US"/>
        </w:rPr>
        <w:t>thousand United States dollars</w:t>
      </w:r>
      <w:r w:rsidR="004E0E2F" w:rsidRPr="00CE23AE">
        <w:rPr>
          <w:lang w:val="en-US"/>
        </w:rPr>
        <w:t xml:space="preserve">) </w:t>
      </w:r>
      <w:r w:rsidR="009B78E5" w:rsidRPr="00CE23AE">
        <w:rPr>
          <w:lang w:val="en-US"/>
        </w:rPr>
        <w:t>for</w:t>
      </w:r>
      <w:r w:rsidR="00000AE1" w:rsidRPr="00CE23AE">
        <w:rPr>
          <w:lang w:val="en-US"/>
        </w:rPr>
        <w:t xml:space="preserve"> Mr.</w:t>
      </w:r>
      <w:r w:rsidR="00F5102B" w:rsidRPr="00CE23AE">
        <w:rPr>
          <w:lang w:val="en-US"/>
        </w:rPr>
        <w:t xml:space="preserve"> Flor</w:t>
      </w:r>
      <w:r w:rsidR="004E0E2F" w:rsidRPr="00CE23AE">
        <w:rPr>
          <w:lang w:val="en-US"/>
        </w:rPr>
        <w:t xml:space="preserve"> Freire </w:t>
      </w:r>
      <w:r w:rsidR="009B78E5" w:rsidRPr="00CE23AE">
        <w:rPr>
          <w:lang w:val="en-US"/>
        </w:rPr>
        <w:t>for</w:t>
      </w:r>
      <w:r w:rsidR="004E0E2F" w:rsidRPr="00CE23AE">
        <w:rPr>
          <w:lang w:val="en-US"/>
        </w:rPr>
        <w:t xml:space="preserve"> </w:t>
      </w:r>
      <w:r w:rsidR="00970AA1" w:rsidRPr="00CE23AE">
        <w:rPr>
          <w:lang w:val="en-US"/>
        </w:rPr>
        <w:t>non-pecuniary damage</w:t>
      </w:r>
      <w:r w:rsidR="004E0E2F" w:rsidRPr="00CE23AE">
        <w:rPr>
          <w:lang w:val="en-US"/>
        </w:rPr>
        <w:t>.</w:t>
      </w:r>
      <w:bookmarkEnd w:id="565"/>
      <w:bookmarkEnd w:id="566"/>
      <w:bookmarkEnd w:id="567"/>
    </w:p>
    <w:p w14:paraId="527330A3" w14:textId="77777777" w:rsidR="004E0E2F" w:rsidRPr="00CE23AE" w:rsidRDefault="004E0E2F" w:rsidP="004E0E2F">
      <w:pPr>
        <w:rPr>
          <w:rFonts w:eastAsia="Batang"/>
          <w:lang w:val="en-US"/>
        </w:rPr>
      </w:pPr>
      <w:bookmarkStart w:id="568" w:name="_Toc426108488"/>
      <w:bookmarkStart w:id="569" w:name="_Toc430339041"/>
    </w:p>
    <w:p w14:paraId="281DCDAF" w14:textId="379A4243" w:rsidR="004E0E2F" w:rsidRPr="00CE23AE" w:rsidRDefault="004E0E2F" w:rsidP="004E0E2F">
      <w:pPr>
        <w:pStyle w:val="Ttulo2"/>
        <w:numPr>
          <w:ilvl w:val="0"/>
          <w:numId w:val="27"/>
        </w:numPr>
        <w:ind w:left="1134"/>
        <w:rPr>
          <w:lang w:val="en-US"/>
        </w:rPr>
      </w:pPr>
      <w:bookmarkStart w:id="570" w:name="_Toc454891529"/>
      <w:r w:rsidRPr="00CE23AE">
        <w:rPr>
          <w:lang w:val="en-US"/>
        </w:rPr>
        <w:t xml:space="preserve"> </w:t>
      </w:r>
      <w:bookmarkStart w:id="571" w:name="_Toc46388420"/>
      <w:r w:rsidR="009B78E5" w:rsidRPr="00CE23AE">
        <w:rPr>
          <w:lang w:val="en-US"/>
        </w:rPr>
        <w:t>Costs and expenses</w:t>
      </w:r>
      <w:bookmarkEnd w:id="568"/>
      <w:bookmarkEnd w:id="569"/>
      <w:bookmarkEnd w:id="570"/>
      <w:bookmarkEnd w:id="571"/>
    </w:p>
    <w:p w14:paraId="1A687EB4" w14:textId="77777777" w:rsidR="004E0E2F" w:rsidRPr="00CE23AE" w:rsidRDefault="004E0E2F" w:rsidP="004E0E2F">
      <w:pPr>
        <w:rPr>
          <w:lang w:val="en-US" w:eastAsia="es-MX"/>
        </w:rPr>
      </w:pPr>
    </w:p>
    <w:p w14:paraId="35D187D9" w14:textId="21EF925F" w:rsidR="004E0E2F" w:rsidRPr="00CE23AE" w:rsidRDefault="00C561DF" w:rsidP="00AB648D">
      <w:pPr>
        <w:pStyle w:val="PrrafodeSentencia"/>
        <w:tabs>
          <w:tab w:val="clear" w:pos="12305"/>
          <w:tab w:val="num" w:pos="12589"/>
        </w:tabs>
        <w:rPr>
          <w:lang w:val="en-US"/>
        </w:rPr>
      </w:pPr>
      <w:r w:rsidRPr="00CE23AE">
        <w:rPr>
          <w:lang w:val="en-US"/>
        </w:rPr>
        <w:t xml:space="preserve">The </w:t>
      </w:r>
      <w:r w:rsidRPr="00CE23AE">
        <w:rPr>
          <w:b/>
          <w:bCs/>
          <w:i/>
          <w:iCs/>
          <w:lang w:val="en-US"/>
        </w:rPr>
        <w:t>representative</w:t>
      </w:r>
      <w:r w:rsidR="004E0E2F" w:rsidRPr="00CE23AE">
        <w:rPr>
          <w:b/>
          <w:i/>
          <w:lang w:val="en-US"/>
        </w:rPr>
        <w:t xml:space="preserve"> </w:t>
      </w:r>
      <w:r w:rsidR="004E0E2F" w:rsidRPr="00CE23AE">
        <w:rPr>
          <w:lang w:val="en-US"/>
        </w:rPr>
        <w:t>a</w:t>
      </w:r>
      <w:r w:rsidR="00AB648D" w:rsidRPr="00CE23AE">
        <w:rPr>
          <w:lang w:val="en-US"/>
        </w:rPr>
        <w:t>rgued that</w:t>
      </w:r>
      <w:r w:rsidR="004E0E2F" w:rsidRPr="00CE23AE">
        <w:rPr>
          <w:lang w:val="en-US"/>
        </w:rPr>
        <w:t xml:space="preserve"> </w:t>
      </w:r>
      <w:r w:rsidRPr="00CE23AE">
        <w:rPr>
          <w:lang w:val="en-US"/>
        </w:rPr>
        <w:t>the presumed victim</w:t>
      </w:r>
      <w:r w:rsidR="004E0E2F" w:rsidRPr="00CE23AE">
        <w:rPr>
          <w:lang w:val="en-US"/>
        </w:rPr>
        <w:t xml:space="preserve"> ha</w:t>
      </w:r>
      <w:r w:rsidR="00AB648D" w:rsidRPr="00CE23AE">
        <w:rPr>
          <w:lang w:val="en-US"/>
        </w:rPr>
        <w:t>d incurred numerous expenses owing to the steps taken at the domestic level and during the proceedings before the inter-American system. Regarding the calculation of the expenses corresponding to the payment of professional fees, he asked the Court to consider “the agreement made between the defense counsel [Alejandro Ponce Villacís] and Mr. Flor Freire, an agreement that has been submitted to substantiate the fee based on the table established by the Law o</w:t>
      </w:r>
      <w:r w:rsidR="00A721E0" w:rsidRPr="00CE23AE">
        <w:rPr>
          <w:lang w:val="en-US"/>
        </w:rPr>
        <w:t>f</w:t>
      </w:r>
      <w:r w:rsidR="00AB648D" w:rsidRPr="00CE23AE">
        <w:rPr>
          <w:lang w:val="en-US"/>
        </w:rPr>
        <w:t xml:space="preserve"> the</w:t>
      </w:r>
      <w:r w:rsidR="00A721E0" w:rsidRPr="00CE23AE">
        <w:rPr>
          <w:lang w:val="en-US"/>
        </w:rPr>
        <w:t xml:space="preserve"> Ecuadorian</w:t>
      </w:r>
      <w:r w:rsidR="00AB648D" w:rsidRPr="00CE23AE">
        <w:rPr>
          <w:lang w:val="en-US"/>
        </w:rPr>
        <w:t xml:space="preserve"> Lawyers Federation. Regarding the costs and expenses incurred in the domestic proceedings exclusively, since there was no evidence, </w:t>
      </w:r>
      <w:r w:rsidR="004E0E2F" w:rsidRPr="00CE23AE">
        <w:rPr>
          <w:lang w:val="en-US"/>
        </w:rPr>
        <w:t>[</w:t>
      </w:r>
      <w:r w:rsidRPr="00CE23AE">
        <w:rPr>
          <w:lang w:val="en-US"/>
        </w:rPr>
        <w:t>the representative</w:t>
      </w:r>
      <w:r w:rsidR="004E0E2F" w:rsidRPr="00CE23AE">
        <w:rPr>
          <w:lang w:val="en-US"/>
        </w:rPr>
        <w:t xml:space="preserve"> </w:t>
      </w:r>
      <w:r w:rsidR="00AB648D" w:rsidRPr="00CE23AE">
        <w:rPr>
          <w:lang w:val="en-US"/>
        </w:rPr>
        <w:t>asked]</w:t>
      </w:r>
      <w:r w:rsidR="004E0E2F" w:rsidRPr="00CE23AE">
        <w:rPr>
          <w:lang w:val="en-US"/>
        </w:rPr>
        <w:t xml:space="preserve"> </w:t>
      </w:r>
      <w:r w:rsidR="00AB648D" w:rsidRPr="00CE23AE">
        <w:rPr>
          <w:lang w:val="en-US"/>
        </w:rPr>
        <w:t>that these should be established, in equity.</w:t>
      </w:r>
      <w:r w:rsidR="004E0E2F" w:rsidRPr="00CE23AE">
        <w:rPr>
          <w:lang w:val="en-US"/>
        </w:rPr>
        <w:t xml:space="preserve">” </w:t>
      </w:r>
    </w:p>
    <w:p w14:paraId="42555C1C" w14:textId="77777777" w:rsidR="004E0E2F" w:rsidRPr="00CE23AE" w:rsidRDefault="004E0E2F" w:rsidP="004E0E2F">
      <w:pPr>
        <w:rPr>
          <w:rFonts w:eastAsia="Batang"/>
          <w:lang w:val="en-US"/>
        </w:rPr>
      </w:pPr>
    </w:p>
    <w:p w14:paraId="5FBB7490" w14:textId="077E43B1" w:rsidR="004E0E2F" w:rsidRPr="00CE23AE" w:rsidRDefault="00C561DF" w:rsidP="00AB648D">
      <w:pPr>
        <w:pStyle w:val="PrrafodeSentencia"/>
        <w:tabs>
          <w:tab w:val="clear" w:pos="12305"/>
          <w:tab w:val="num" w:pos="12589"/>
        </w:tabs>
        <w:rPr>
          <w:lang w:val="en-US"/>
        </w:rPr>
      </w:pPr>
      <w:r w:rsidRPr="00CE23AE">
        <w:rPr>
          <w:lang w:val="en-US"/>
        </w:rPr>
        <w:t xml:space="preserve">The </w:t>
      </w:r>
      <w:r w:rsidRPr="00CE23AE">
        <w:rPr>
          <w:b/>
          <w:bCs/>
          <w:i/>
          <w:iCs/>
          <w:lang w:val="en-US"/>
        </w:rPr>
        <w:t>State</w:t>
      </w:r>
      <w:r w:rsidR="004E0E2F" w:rsidRPr="00CE23AE">
        <w:rPr>
          <w:b/>
          <w:i/>
          <w:lang w:val="en-US"/>
        </w:rPr>
        <w:t xml:space="preserve"> </w:t>
      </w:r>
      <w:r w:rsidR="00AB648D" w:rsidRPr="00CE23AE">
        <w:rPr>
          <w:lang w:val="en-US"/>
        </w:rPr>
        <w:t>argued that</w:t>
      </w:r>
      <w:r w:rsidR="004E0E2F" w:rsidRPr="00CE23AE">
        <w:rPr>
          <w:lang w:val="en-US"/>
        </w:rPr>
        <w:t xml:space="preserve"> “</w:t>
      </w:r>
      <w:r w:rsidR="00AB648D" w:rsidRPr="00CE23AE">
        <w:rPr>
          <w:lang w:val="en-US"/>
        </w:rPr>
        <w:t xml:space="preserve">the contract between </w:t>
      </w:r>
      <w:r w:rsidR="004E0E2F" w:rsidRPr="00CE23AE">
        <w:rPr>
          <w:lang w:val="en-US"/>
        </w:rPr>
        <w:t>Homero Flor</w:t>
      </w:r>
      <w:r w:rsidRPr="00CE23AE">
        <w:rPr>
          <w:lang w:val="en-US"/>
        </w:rPr>
        <w:t xml:space="preserve"> and </w:t>
      </w:r>
      <w:r w:rsidR="004E0E2F" w:rsidRPr="00CE23AE">
        <w:rPr>
          <w:lang w:val="en-US"/>
        </w:rPr>
        <w:t>Alejandro Ponce Villacís</w:t>
      </w:r>
      <w:r w:rsidR="00AB648D" w:rsidRPr="00CE23AE">
        <w:rPr>
          <w:lang w:val="en-US"/>
        </w:rPr>
        <w:t xml:space="preserve"> is a private instrument that has legal effect for its parties; therefore, the Ecuadorian State cannot cover any type of item for this concept.” It indicated that “since there is no supporting documentation for the costs incurred in the litigation, this item should be established in equity, and the maximum parameter </w:t>
      </w:r>
      <w:r w:rsidR="00F14D99" w:rsidRPr="00CE23AE">
        <w:rPr>
          <w:lang w:val="en-US"/>
        </w:rPr>
        <w:t>c</w:t>
      </w:r>
      <w:r w:rsidR="00AB648D" w:rsidRPr="00CE23AE">
        <w:rPr>
          <w:lang w:val="en-US"/>
        </w:rPr>
        <w:t xml:space="preserve">ould not exceed </w:t>
      </w:r>
      <w:r w:rsidR="004E0E2F" w:rsidRPr="00CE23AE">
        <w:rPr>
          <w:lang w:val="en-US"/>
        </w:rPr>
        <w:t>US</w:t>
      </w:r>
      <w:r w:rsidR="00970AA1" w:rsidRPr="00CE23AE">
        <w:rPr>
          <w:lang w:val="en-US"/>
        </w:rPr>
        <w:t>$</w:t>
      </w:r>
      <w:r w:rsidR="004E0E2F" w:rsidRPr="00CE23AE">
        <w:rPr>
          <w:lang w:val="en-US"/>
        </w:rPr>
        <w:t>5</w:t>
      </w:r>
      <w:r w:rsidR="00970AA1" w:rsidRPr="00CE23AE">
        <w:rPr>
          <w:lang w:val="en-US"/>
        </w:rPr>
        <w:t>,</w:t>
      </w:r>
      <w:r w:rsidR="004E0E2F" w:rsidRPr="00CE23AE">
        <w:rPr>
          <w:lang w:val="en-US"/>
        </w:rPr>
        <w:t>000.00</w:t>
      </w:r>
      <w:r w:rsidR="00AB648D" w:rsidRPr="00CE23AE">
        <w:rPr>
          <w:lang w:val="en-US"/>
        </w:rPr>
        <w:t>.</w:t>
      </w:r>
      <w:r w:rsidR="004E0E2F" w:rsidRPr="00CE23AE">
        <w:rPr>
          <w:lang w:val="en-US"/>
        </w:rPr>
        <w:t xml:space="preserve">” </w:t>
      </w:r>
    </w:p>
    <w:p w14:paraId="3573A2B6" w14:textId="77777777" w:rsidR="004E0E2F" w:rsidRPr="00CE23AE" w:rsidRDefault="004E0E2F" w:rsidP="004E0E2F">
      <w:pPr>
        <w:rPr>
          <w:rFonts w:eastAsia="Batang"/>
          <w:lang w:val="en-US"/>
        </w:rPr>
      </w:pPr>
    </w:p>
    <w:p w14:paraId="3035F743" w14:textId="4DD5E792" w:rsidR="004E0E2F" w:rsidRPr="00CE23AE" w:rsidRDefault="00C561DF" w:rsidP="004E0E2F">
      <w:pPr>
        <w:pStyle w:val="PrrafodeSentencia"/>
        <w:tabs>
          <w:tab w:val="clear" w:pos="12305"/>
          <w:tab w:val="num" w:pos="12589"/>
        </w:tabs>
        <w:rPr>
          <w:lang w:val="en-US"/>
        </w:rPr>
      </w:pPr>
      <w:r w:rsidRPr="00CE23AE">
        <w:rPr>
          <w:lang w:val="en-US"/>
        </w:rPr>
        <w:t>The Court</w:t>
      </w:r>
      <w:r w:rsidR="004E0E2F" w:rsidRPr="00CE23AE">
        <w:rPr>
          <w:lang w:val="en-US"/>
        </w:rPr>
        <w:t xml:space="preserve"> reitera</w:t>
      </w:r>
      <w:r w:rsidR="00AB648D" w:rsidRPr="00CE23AE">
        <w:rPr>
          <w:lang w:val="en-US"/>
        </w:rPr>
        <w:t>tes that, pursuant to its case law,</w:t>
      </w:r>
      <w:r w:rsidR="004E0E2F" w:rsidRPr="00CE23AE">
        <w:rPr>
          <w:vertAlign w:val="superscript"/>
          <w:lang w:val="en-US"/>
        </w:rPr>
        <w:footnoteReference w:id="320"/>
      </w:r>
      <w:r w:rsidR="00AB648D" w:rsidRPr="00CE23AE">
        <w:rPr>
          <w:lang w:val="en-US"/>
        </w:rPr>
        <w:t xml:space="preserve"> </w:t>
      </w:r>
      <w:r w:rsidR="004E0E2F" w:rsidRPr="00CE23AE">
        <w:rPr>
          <w:lang w:val="en-US"/>
        </w:rPr>
        <w:t>cost</w:t>
      </w:r>
      <w:r w:rsidR="00AB648D" w:rsidRPr="00CE23AE">
        <w:rPr>
          <w:lang w:val="en-US"/>
        </w:rPr>
        <w:t>s and expenses form part of the concept of reparation, because the activity deployed by the victims in order to obtain justice at both the national and international l</w:t>
      </w:r>
      <w:r w:rsidR="00F14D99" w:rsidRPr="00CE23AE">
        <w:rPr>
          <w:lang w:val="en-US"/>
        </w:rPr>
        <w:t>evel</w:t>
      </w:r>
      <w:r w:rsidR="00AB648D" w:rsidRPr="00CE23AE">
        <w:rPr>
          <w:lang w:val="en-US"/>
        </w:rPr>
        <w:t xml:space="preserve"> entails expenditure that must be compensated when the </w:t>
      </w:r>
      <w:r w:rsidR="00000AE1" w:rsidRPr="00CE23AE">
        <w:rPr>
          <w:lang w:val="en-US"/>
        </w:rPr>
        <w:t>international responsibility</w:t>
      </w:r>
      <w:r w:rsidRPr="00CE23AE">
        <w:rPr>
          <w:lang w:val="en-US"/>
        </w:rPr>
        <w:t xml:space="preserve"> of the State</w:t>
      </w:r>
      <w:r w:rsidR="004E0E2F" w:rsidRPr="00CE23AE">
        <w:rPr>
          <w:lang w:val="en-US"/>
        </w:rPr>
        <w:t xml:space="preserve"> </w:t>
      </w:r>
      <w:r w:rsidR="008F35BB" w:rsidRPr="00CE23AE">
        <w:rPr>
          <w:lang w:val="en-US"/>
        </w:rPr>
        <w:t xml:space="preserve">has been declared in a judgment. Also, the eventual reimbursement of </w:t>
      </w:r>
      <w:r w:rsidR="009B78E5" w:rsidRPr="00CE23AE">
        <w:rPr>
          <w:lang w:val="en-US"/>
        </w:rPr>
        <w:t>costs and expenses</w:t>
      </w:r>
      <w:r w:rsidR="004E0E2F" w:rsidRPr="00CE23AE">
        <w:rPr>
          <w:lang w:val="en-US"/>
        </w:rPr>
        <w:t xml:space="preserve"> </w:t>
      </w:r>
      <w:r w:rsidR="008F35BB" w:rsidRPr="00CE23AE">
        <w:rPr>
          <w:lang w:val="en-US"/>
        </w:rPr>
        <w:t xml:space="preserve">is made based on expenditure that has been duly proved before </w:t>
      </w:r>
      <w:r w:rsidR="00000AD5" w:rsidRPr="00CE23AE">
        <w:rPr>
          <w:lang w:val="en-US"/>
        </w:rPr>
        <w:t>this Court</w:t>
      </w:r>
      <w:r w:rsidR="004E0E2F" w:rsidRPr="00CE23AE">
        <w:rPr>
          <w:lang w:val="en-US"/>
        </w:rPr>
        <w:t>.</w:t>
      </w:r>
    </w:p>
    <w:p w14:paraId="215B8255" w14:textId="77777777" w:rsidR="004E0E2F" w:rsidRPr="00CE23AE" w:rsidRDefault="004E0E2F" w:rsidP="004E0E2F">
      <w:pPr>
        <w:rPr>
          <w:rFonts w:eastAsia="Batang"/>
          <w:lang w:val="en-US"/>
        </w:rPr>
      </w:pPr>
    </w:p>
    <w:p w14:paraId="4EA3CB2C" w14:textId="0371D18C" w:rsidR="004E0E2F" w:rsidRPr="00CE23AE" w:rsidRDefault="00C561DF" w:rsidP="004E0E2F">
      <w:pPr>
        <w:pStyle w:val="PrrafodeSentencia"/>
        <w:tabs>
          <w:tab w:val="clear" w:pos="12305"/>
          <w:tab w:val="num" w:pos="12589"/>
        </w:tabs>
        <w:rPr>
          <w:lang w:val="en-US"/>
        </w:rPr>
      </w:pPr>
      <w:r w:rsidRPr="00CE23AE">
        <w:rPr>
          <w:lang w:val="en-US"/>
        </w:rPr>
        <w:t>The Court</w:t>
      </w:r>
      <w:r w:rsidR="002025E4" w:rsidRPr="00CE23AE">
        <w:rPr>
          <w:lang w:val="en-US"/>
        </w:rPr>
        <w:t xml:space="preserve"> rec</w:t>
      </w:r>
      <w:r w:rsidR="008F35BB" w:rsidRPr="00CE23AE">
        <w:rPr>
          <w:lang w:val="en-US"/>
        </w:rPr>
        <w:t>alls that it must prudently assess the</w:t>
      </w:r>
      <w:r w:rsidR="00F14D99" w:rsidRPr="00CE23AE">
        <w:rPr>
          <w:lang w:val="en-US"/>
        </w:rPr>
        <w:t>ir</w:t>
      </w:r>
      <w:r w:rsidR="008F35BB" w:rsidRPr="00CE23AE">
        <w:rPr>
          <w:lang w:val="en-US"/>
        </w:rPr>
        <w:t xml:space="preserve"> scope, which includes the expenses incurred before the authorities of the domestic jurisdiction, as well as those arising during the proceedings before the inter-American system, taking into account the circumstances of the  specific case and the nature of the international jurisdiction for the protection of human rights</w:t>
      </w:r>
      <w:r w:rsidR="004E0E2F" w:rsidRPr="00CE23AE">
        <w:rPr>
          <w:lang w:val="en-US"/>
        </w:rPr>
        <w:t xml:space="preserve">. </w:t>
      </w:r>
      <w:r w:rsidR="008F35BB" w:rsidRPr="00CE23AE">
        <w:rPr>
          <w:lang w:val="en-US"/>
        </w:rPr>
        <w:t>This assessment may be made based on the principle of equity and taking into account the expenses indicated by the parties, provided the</w:t>
      </w:r>
      <w:r w:rsidR="008F35BB" w:rsidRPr="00CE23AE">
        <w:rPr>
          <w:i/>
          <w:iCs/>
          <w:lang w:val="en-US"/>
        </w:rPr>
        <w:t xml:space="preserve"> quantum</w:t>
      </w:r>
      <w:r w:rsidR="008F35BB" w:rsidRPr="00CE23AE">
        <w:rPr>
          <w:lang w:val="en-US"/>
        </w:rPr>
        <w:t xml:space="preserve"> is reasonable.</w:t>
      </w:r>
      <w:r w:rsidR="004E0E2F" w:rsidRPr="00CE23AE">
        <w:rPr>
          <w:vertAlign w:val="superscript"/>
          <w:lang w:val="en-US"/>
        </w:rPr>
        <w:footnoteReference w:id="321"/>
      </w:r>
    </w:p>
    <w:p w14:paraId="7CB63E15" w14:textId="77777777" w:rsidR="004E0E2F" w:rsidRPr="00CE23AE" w:rsidRDefault="004E0E2F" w:rsidP="004E0E2F">
      <w:pPr>
        <w:rPr>
          <w:rFonts w:eastAsia="Batang"/>
          <w:lang w:val="en-US"/>
        </w:rPr>
      </w:pPr>
    </w:p>
    <w:p w14:paraId="073698A1" w14:textId="7057C3CA" w:rsidR="008F35BB" w:rsidRPr="00CE23AE" w:rsidRDefault="008F35BB" w:rsidP="004E0E2F">
      <w:pPr>
        <w:pStyle w:val="PrrafodeSentencia"/>
        <w:tabs>
          <w:tab w:val="clear" w:pos="12305"/>
          <w:tab w:val="num" w:pos="12589"/>
        </w:tabs>
        <w:rPr>
          <w:lang w:val="en-US"/>
        </w:rPr>
      </w:pPr>
      <w:r w:rsidRPr="00CE23AE">
        <w:rPr>
          <w:lang w:val="en-US"/>
        </w:rPr>
        <w:t xml:space="preserve">In the instant case, the Court notes that </w:t>
      </w:r>
      <w:r w:rsidR="00C561DF" w:rsidRPr="00CE23AE">
        <w:rPr>
          <w:lang w:val="en-US"/>
        </w:rPr>
        <w:t>the representative</w:t>
      </w:r>
      <w:r w:rsidR="004E0E2F" w:rsidRPr="00CE23AE">
        <w:rPr>
          <w:lang w:val="en-US"/>
        </w:rPr>
        <w:t xml:space="preserve"> </w:t>
      </w:r>
      <w:r w:rsidRPr="00CE23AE">
        <w:rPr>
          <w:lang w:val="en-US"/>
        </w:rPr>
        <w:t>did not submit vouchers authenticating the expenditure incurred by the victim during the processing of the case at the domestic level or procedural expense. However, the Court finds that it is reasonable to suppose that during the years that this case was processed before the domestic jurisdiction the victim incurred financial expenditure. The Court also considers it reasonable to suppose that Mr. Flor Freire and his representative have incurred different expenses relating to fees, collection of evidence, transportation and communications, among others, in the international processing of this case.</w:t>
      </w:r>
    </w:p>
    <w:p w14:paraId="0E08E044" w14:textId="77777777" w:rsidR="004E0E2F" w:rsidRPr="00CE23AE" w:rsidRDefault="004E0E2F" w:rsidP="004E0E2F">
      <w:pPr>
        <w:rPr>
          <w:rFonts w:eastAsia="Batang"/>
          <w:lang w:val="en-US"/>
        </w:rPr>
      </w:pPr>
    </w:p>
    <w:p w14:paraId="05905B8F" w14:textId="1FCA1B76" w:rsidR="004E0E2F" w:rsidRPr="00CE23AE" w:rsidRDefault="008F35BB" w:rsidP="008428CC">
      <w:pPr>
        <w:pStyle w:val="PrrafodeSentencia"/>
        <w:tabs>
          <w:tab w:val="clear" w:pos="12305"/>
          <w:tab w:val="num" w:pos="12589"/>
        </w:tabs>
        <w:rPr>
          <w:lang w:val="en-US"/>
        </w:rPr>
      </w:pPr>
      <w:bookmarkStart w:id="572" w:name="_Ref455680884"/>
      <w:r w:rsidRPr="00CE23AE">
        <w:rPr>
          <w:lang w:val="en-US"/>
        </w:rPr>
        <w:t>Consequently,</w:t>
      </w:r>
      <w:r w:rsidR="004E0E2F" w:rsidRPr="00CE23AE">
        <w:rPr>
          <w:lang w:val="en-US"/>
        </w:rPr>
        <w:t xml:space="preserve"> </w:t>
      </w:r>
      <w:r w:rsidR="00C561DF" w:rsidRPr="00CE23AE">
        <w:rPr>
          <w:lang w:val="en-US"/>
        </w:rPr>
        <w:t>the Court</w:t>
      </w:r>
      <w:r w:rsidR="004E0E2F" w:rsidRPr="00CE23AE">
        <w:rPr>
          <w:lang w:val="en-US"/>
        </w:rPr>
        <w:t xml:space="preserve"> </w:t>
      </w:r>
      <w:r w:rsidRPr="00CE23AE">
        <w:rPr>
          <w:lang w:val="en-US"/>
        </w:rPr>
        <w:t>orders the State to reimburse</w:t>
      </w:r>
      <w:r w:rsidR="004E0E2F" w:rsidRPr="00CE23AE">
        <w:rPr>
          <w:lang w:val="en-US"/>
        </w:rPr>
        <w:t xml:space="preserve"> </w:t>
      </w:r>
      <w:r w:rsidR="008B76F3" w:rsidRPr="00CE23AE">
        <w:rPr>
          <w:lang w:val="en-US"/>
        </w:rPr>
        <w:t>Mr.</w:t>
      </w:r>
      <w:r w:rsidR="004B3F90" w:rsidRPr="00CE23AE">
        <w:rPr>
          <w:lang w:val="en-US"/>
        </w:rPr>
        <w:t xml:space="preserve"> Flor Freire </w:t>
      </w:r>
      <w:r w:rsidRPr="00CE23AE">
        <w:rPr>
          <w:lang w:val="en-US"/>
        </w:rPr>
        <w:t>the sum of</w:t>
      </w:r>
      <w:r w:rsidR="004B3F90" w:rsidRPr="00CE23AE">
        <w:rPr>
          <w:lang w:val="en-US"/>
        </w:rPr>
        <w:t xml:space="preserve"> </w:t>
      </w:r>
      <w:r w:rsidR="004E0E2F" w:rsidRPr="00CE23AE">
        <w:rPr>
          <w:lang w:val="en-US"/>
        </w:rPr>
        <w:t>US$5</w:t>
      </w:r>
      <w:r w:rsidR="00970AA1" w:rsidRPr="00CE23AE">
        <w:rPr>
          <w:lang w:val="en-US"/>
        </w:rPr>
        <w:t>,</w:t>
      </w:r>
      <w:r w:rsidR="004E0E2F" w:rsidRPr="00CE23AE">
        <w:rPr>
          <w:lang w:val="en-US"/>
        </w:rPr>
        <w:t>000</w:t>
      </w:r>
      <w:r w:rsidR="00970AA1" w:rsidRPr="00CE23AE">
        <w:rPr>
          <w:lang w:val="en-US"/>
        </w:rPr>
        <w:t>.</w:t>
      </w:r>
      <w:r w:rsidR="004E0E2F" w:rsidRPr="00CE23AE">
        <w:rPr>
          <w:lang w:val="en-US"/>
        </w:rPr>
        <w:t>00 (</w:t>
      </w:r>
      <w:r w:rsidR="00970AA1" w:rsidRPr="00CE23AE">
        <w:rPr>
          <w:lang w:val="en-US"/>
        </w:rPr>
        <w:t>five</w:t>
      </w:r>
      <w:r w:rsidR="004E0E2F" w:rsidRPr="00CE23AE">
        <w:rPr>
          <w:lang w:val="en-US"/>
        </w:rPr>
        <w:t xml:space="preserve"> </w:t>
      </w:r>
      <w:r w:rsidR="00970AA1" w:rsidRPr="00CE23AE">
        <w:rPr>
          <w:lang w:val="en-US"/>
        </w:rPr>
        <w:t>thousand United States dollars</w:t>
      </w:r>
      <w:r w:rsidR="004E0E2F" w:rsidRPr="00CE23AE">
        <w:rPr>
          <w:lang w:val="en-US"/>
        </w:rPr>
        <w:t xml:space="preserve">) </w:t>
      </w:r>
      <w:r w:rsidRPr="00CE23AE">
        <w:rPr>
          <w:lang w:val="en-US"/>
        </w:rPr>
        <w:t>for</w:t>
      </w:r>
      <w:r w:rsidR="004E0E2F" w:rsidRPr="00CE23AE">
        <w:rPr>
          <w:lang w:val="en-US"/>
        </w:rPr>
        <w:t xml:space="preserve"> </w:t>
      </w:r>
      <w:r w:rsidR="009B78E5" w:rsidRPr="00CE23AE">
        <w:rPr>
          <w:lang w:val="en-US"/>
        </w:rPr>
        <w:t>costs and expenses</w:t>
      </w:r>
      <w:r w:rsidR="004E0E2F" w:rsidRPr="00CE23AE">
        <w:rPr>
          <w:lang w:val="en-US"/>
        </w:rPr>
        <w:t xml:space="preserve"> </w:t>
      </w:r>
      <w:r w:rsidRPr="00CE23AE">
        <w:rPr>
          <w:lang w:val="en-US"/>
        </w:rPr>
        <w:t xml:space="preserve">incurred at the domestic level. If he deems it pertinent, </w:t>
      </w:r>
      <w:r w:rsidR="00F5102B" w:rsidRPr="00CE23AE">
        <w:rPr>
          <w:lang w:val="en-US"/>
        </w:rPr>
        <w:t>Mr. Flor</w:t>
      </w:r>
      <w:r w:rsidR="004B3F90" w:rsidRPr="00CE23AE">
        <w:rPr>
          <w:lang w:val="en-US"/>
        </w:rPr>
        <w:t xml:space="preserve"> Freire</w:t>
      </w:r>
      <w:r w:rsidRPr="00CE23AE">
        <w:rPr>
          <w:lang w:val="en-US"/>
        </w:rPr>
        <w:t xml:space="preserve"> shall deliver the sum he considers appropriate to those who represented him in the domestic jurisdiction. The Court also orders the State to reimburse the representative</w:t>
      </w:r>
      <w:r w:rsidR="008428CC" w:rsidRPr="00CE23AE">
        <w:rPr>
          <w:lang w:val="en-US"/>
        </w:rPr>
        <w:t xml:space="preserve"> the sum of US$10,000.00 (ten thousand United States dollars) for costs and expenses incurred in the procedure before the inter-American system. These amounts shall be paid </w:t>
      </w:r>
      <w:r w:rsidR="00936F40" w:rsidRPr="00CE23AE">
        <w:rPr>
          <w:lang w:val="en-US"/>
        </w:rPr>
        <w:t>within one year of notification</w:t>
      </w:r>
      <w:r w:rsidR="004E0E2F" w:rsidRPr="00CE23AE">
        <w:rPr>
          <w:lang w:val="en-US"/>
        </w:rPr>
        <w:t xml:space="preserve"> </w:t>
      </w:r>
      <w:r w:rsidR="001A22B6" w:rsidRPr="00CE23AE">
        <w:rPr>
          <w:lang w:val="en-US"/>
        </w:rPr>
        <w:t>of this judgment</w:t>
      </w:r>
      <w:r w:rsidR="004E0E2F" w:rsidRPr="00CE23AE">
        <w:rPr>
          <w:lang w:val="en-US"/>
        </w:rPr>
        <w:t xml:space="preserve">. </w:t>
      </w:r>
      <w:r w:rsidR="008428CC" w:rsidRPr="00CE23AE">
        <w:rPr>
          <w:lang w:val="en-US"/>
        </w:rPr>
        <w:t xml:space="preserve">During the procedure on monitoring compliance with </w:t>
      </w:r>
      <w:r w:rsidR="001A22B6" w:rsidRPr="00CE23AE">
        <w:rPr>
          <w:lang w:val="en-US"/>
        </w:rPr>
        <w:t>this judgment</w:t>
      </w:r>
      <w:r w:rsidR="004E0E2F" w:rsidRPr="00CE23AE">
        <w:rPr>
          <w:lang w:val="en-US"/>
        </w:rPr>
        <w:t xml:space="preserve">, </w:t>
      </w:r>
      <w:r w:rsidR="00C561DF" w:rsidRPr="00CE23AE">
        <w:rPr>
          <w:lang w:val="en-US"/>
        </w:rPr>
        <w:t>the Court</w:t>
      </w:r>
      <w:r w:rsidR="004E0E2F" w:rsidRPr="00CE23AE">
        <w:rPr>
          <w:lang w:val="en-US"/>
        </w:rPr>
        <w:t xml:space="preserve"> </w:t>
      </w:r>
      <w:r w:rsidR="008428CC" w:rsidRPr="00CE23AE">
        <w:rPr>
          <w:lang w:val="en-US"/>
        </w:rPr>
        <w:t>may order the State to reimburse the victim or his representatives any reasonable and duly authenticated expenses at that procedural stage</w:t>
      </w:r>
      <w:r w:rsidR="004E0E2F" w:rsidRPr="00CE23AE">
        <w:rPr>
          <w:lang w:val="en-US"/>
        </w:rPr>
        <w:t>.</w:t>
      </w:r>
      <w:bookmarkEnd w:id="572"/>
      <w:r w:rsidR="004E0E2F" w:rsidRPr="00CE23AE">
        <w:rPr>
          <w:lang w:val="en-US"/>
        </w:rPr>
        <w:t xml:space="preserve"> </w:t>
      </w:r>
    </w:p>
    <w:p w14:paraId="0E154209" w14:textId="77777777" w:rsidR="004E0E2F" w:rsidRPr="00CE23AE" w:rsidRDefault="004E0E2F" w:rsidP="004E0E2F">
      <w:pPr>
        <w:rPr>
          <w:rFonts w:eastAsia="Batang"/>
          <w:lang w:val="en-US"/>
        </w:rPr>
      </w:pPr>
    </w:p>
    <w:p w14:paraId="609318E0" w14:textId="5DB60539" w:rsidR="004E0E2F" w:rsidRPr="00CE23AE" w:rsidRDefault="00970AA1" w:rsidP="004E0E2F">
      <w:pPr>
        <w:pStyle w:val="Ttulo2"/>
        <w:numPr>
          <w:ilvl w:val="0"/>
          <w:numId w:val="27"/>
        </w:numPr>
        <w:ind w:left="1134"/>
        <w:rPr>
          <w:lang w:val="en-US"/>
        </w:rPr>
      </w:pPr>
      <w:bookmarkStart w:id="573" w:name="_Toc46388421"/>
      <w:r w:rsidRPr="00CE23AE">
        <w:rPr>
          <w:lang w:val="en-US"/>
        </w:rPr>
        <w:t>Reimbursement of expenses to the Victims’ Legal Assistance Fund</w:t>
      </w:r>
      <w:bookmarkEnd w:id="573"/>
    </w:p>
    <w:p w14:paraId="062E3FC4" w14:textId="77777777" w:rsidR="004E0E2F" w:rsidRPr="00CE23AE" w:rsidRDefault="004E0E2F" w:rsidP="004E0E2F">
      <w:pPr>
        <w:rPr>
          <w:lang w:val="en-US" w:eastAsia="es-MX"/>
        </w:rPr>
      </w:pPr>
    </w:p>
    <w:p w14:paraId="21134112" w14:textId="77777777" w:rsidR="00F14D99" w:rsidRPr="00CE23AE" w:rsidRDefault="00C561DF" w:rsidP="004E0E2F">
      <w:pPr>
        <w:pStyle w:val="PrrafodeSentencia"/>
        <w:tabs>
          <w:tab w:val="clear" w:pos="12305"/>
          <w:tab w:val="num" w:pos="12589"/>
        </w:tabs>
        <w:rPr>
          <w:lang w:val="en-US"/>
        </w:rPr>
      </w:pPr>
      <w:r w:rsidRPr="00CE23AE">
        <w:rPr>
          <w:lang w:val="en-US"/>
        </w:rPr>
        <w:t>The representative</w:t>
      </w:r>
      <w:r w:rsidR="004E0E2F" w:rsidRPr="00CE23AE">
        <w:rPr>
          <w:lang w:val="en-US"/>
        </w:rPr>
        <w:t xml:space="preserve"> </w:t>
      </w:r>
      <w:r w:rsidR="008428CC" w:rsidRPr="00CE23AE">
        <w:rPr>
          <w:lang w:val="en-US"/>
        </w:rPr>
        <w:t>had requested access to the Victims’</w:t>
      </w:r>
      <w:r w:rsidR="004E0E2F" w:rsidRPr="00CE23AE">
        <w:rPr>
          <w:lang w:val="en-US"/>
        </w:rPr>
        <w:t xml:space="preserve"> </w:t>
      </w:r>
      <w:r w:rsidR="005C743F" w:rsidRPr="00CE23AE">
        <w:rPr>
          <w:lang w:val="en-US"/>
        </w:rPr>
        <w:t>Legal Assistance Fund</w:t>
      </w:r>
      <w:r w:rsidR="004E0E2F" w:rsidRPr="00CE23AE">
        <w:rPr>
          <w:lang w:val="en-US"/>
        </w:rPr>
        <w:t xml:space="preserve"> </w:t>
      </w:r>
      <w:r w:rsidRPr="00CE23AE">
        <w:rPr>
          <w:lang w:val="en-US"/>
        </w:rPr>
        <w:t>of the Court</w:t>
      </w:r>
      <w:r w:rsidR="004E0E2F" w:rsidRPr="00CE23AE">
        <w:rPr>
          <w:lang w:val="en-US"/>
        </w:rPr>
        <w:t xml:space="preserve"> </w:t>
      </w:r>
      <w:r w:rsidR="008428CC" w:rsidRPr="00CE23AE">
        <w:rPr>
          <w:lang w:val="en-US"/>
        </w:rPr>
        <w:t xml:space="preserve">to cover costs related to the litigation before the Court. In an order </w:t>
      </w:r>
      <w:r w:rsidRPr="00CE23AE">
        <w:rPr>
          <w:lang w:val="en-US"/>
        </w:rPr>
        <w:t xml:space="preserve">of the </w:t>
      </w:r>
      <w:r w:rsidR="004002FB" w:rsidRPr="00CE23AE">
        <w:rPr>
          <w:lang w:val="en-US"/>
        </w:rPr>
        <w:t>President of</w:t>
      </w:r>
      <w:r w:rsidR="004E0E2F" w:rsidRPr="00CE23AE">
        <w:rPr>
          <w:lang w:val="en-US"/>
        </w:rPr>
        <w:t xml:space="preserve"> </w:t>
      </w:r>
      <w:r w:rsidR="008428CC" w:rsidRPr="00CE23AE">
        <w:rPr>
          <w:lang w:val="en-US"/>
        </w:rPr>
        <w:t>July 3,</w:t>
      </w:r>
      <w:r w:rsidR="004E0E2F" w:rsidRPr="00CE23AE">
        <w:rPr>
          <w:lang w:val="en-US"/>
        </w:rPr>
        <w:t xml:space="preserve"> 2015, </w:t>
      </w:r>
      <w:r w:rsidR="008428CC" w:rsidRPr="00CE23AE">
        <w:rPr>
          <w:lang w:val="en-US"/>
        </w:rPr>
        <w:t xml:space="preserve">this request was admitted and authorization was given to grant the necessary financial assistance for the presentation of the statements </w:t>
      </w:r>
      <w:r w:rsidR="00000AE1" w:rsidRPr="00CE23AE">
        <w:rPr>
          <w:lang w:val="en-US"/>
        </w:rPr>
        <w:t>of Mr.</w:t>
      </w:r>
      <w:r w:rsidR="00F5102B" w:rsidRPr="00CE23AE">
        <w:rPr>
          <w:lang w:val="en-US"/>
        </w:rPr>
        <w:t xml:space="preserve"> Flor</w:t>
      </w:r>
      <w:r w:rsidR="004E0E2F" w:rsidRPr="00CE23AE">
        <w:rPr>
          <w:lang w:val="en-US"/>
        </w:rPr>
        <w:t xml:space="preserve"> Freire</w:t>
      </w:r>
      <w:r w:rsidRPr="00CE23AE">
        <w:rPr>
          <w:lang w:val="en-US"/>
        </w:rPr>
        <w:t xml:space="preserve"> and </w:t>
      </w:r>
      <w:r w:rsidR="008428CC" w:rsidRPr="00CE23AE">
        <w:rPr>
          <w:lang w:val="en-US"/>
        </w:rPr>
        <w:t>of an</w:t>
      </w:r>
      <w:r w:rsidR="004E0E2F" w:rsidRPr="00CE23AE">
        <w:rPr>
          <w:lang w:val="en-US"/>
        </w:rPr>
        <w:t xml:space="preserve"> </w:t>
      </w:r>
      <w:r w:rsidR="00E41391" w:rsidRPr="00CE23AE">
        <w:rPr>
          <w:lang w:val="en-US"/>
        </w:rPr>
        <w:t>expert witness</w:t>
      </w:r>
      <w:r w:rsidR="008428CC" w:rsidRPr="00CE23AE">
        <w:rPr>
          <w:lang w:val="en-US"/>
        </w:rPr>
        <w:t xml:space="preserve">, and also for the presence </w:t>
      </w:r>
      <w:r w:rsidRPr="00CE23AE">
        <w:rPr>
          <w:lang w:val="en-US"/>
        </w:rPr>
        <w:t xml:space="preserve">of the representative and </w:t>
      </w:r>
      <w:r w:rsidR="008428CC" w:rsidRPr="00CE23AE">
        <w:rPr>
          <w:lang w:val="en-US"/>
        </w:rPr>
        <w:t>of the victim at the</w:t>
      </w:r>
      <w:r w:rsidR="004E0E2F" w:rsidRPr="00CE23AE">
        <w:rPr>
          <w:lang w:val="en-US"/>
        </w:rPr>
        <w:t xml:space="preserve"> </w:t>
      </w:r>
      <w:r w:rsidR="005C743F" w:rsidRPr="00CE23AE">
        <w:rPr>
          <w:lang w:val="en-US"/>
        </w:rPr>
        <w:t>public hearing</w:t>
      </w:r>
      <w:r w:rsidR="004E0E2F" w:rsidRPr="00CE23AE">
        <w:rPr>
          <w:lang w:val="en-US"/>
        </w:rPr>
        <w:t>.</w:t>
      </w:r>
    </w:p>
    <w:p w14:paraId="37E26667" w14:textId="7AB41AFD" w:rsidR="004E0E2F" w:rsidRPr="00CE23AE" w:rsidRDefault="004E0E2F" w:rsidP="00F14D99">
      <w:pPr>
        <w:pStyle w:val="PrrafodeSentencia"/>
        <w:numPr>
          <w:ilvl w:val="0"/>
          <w:numId w:val="0"/>
        </w:numPr>
        <w:rPr>
          <w:lang w:val="en-US"/>
        </w:rPr>
      </w:pPr>
      <w:r w:rsidRPr="00CE23AE">
        <w:rPr>
          <w:lang w:val="en-US"/>
        </w:rPr>
        <w:tab/>
      </w:r>
      <w:r w:rsidRPr="00CE23AE">
        <w:rPr>
          <w:lang w:val="en-US"/>
        </w:rPr>
        <w:tab/>
      </w:r>
    </w:p>
    <w:p w14:paraId="037F40EF" w14:textId="570B7A50" w:rsidR="004E0E2F" w:rsidRPr="00CE23AE" w:rsidRDefault="008428CC" w:rsidP="004E0E2F">
      <w:pPr>
        <w:pStyle w:val="PrrafodeSentencia"/>
        <w:tabs>
          <w:tab w:val="clear" w:pos="12305"/>
          <w:tab w:val="num" w:pos="12589"/>
        </w:tabs>
        <w:rPr>
          <w:lang w:val="en-US"/>
        </w:rPr>
      </w:pPr>
      <w:r w:rsidRPr="00CE23AE">
        <w:rPr>
          <w:lang w:val="en-US"/>
        </w:rPr>
        <w:t>On April 8,</w:t>
      </w:r>
      <w:r w:rsidR="004E0E2F" w:rsidRPr="00CE23AE">
        <w:rPr>
          <w:lang w:val="en-US"/>
        </w:rPr>
        <w:t xml:space="preserve"> 2016</w:t>
      </w:r>
      <w:r w:rsidRPr="00CE23AE">
        <w:rPr>
          <w:lang w:val="en-US"/>
        </w:rPr>
        <w:t>, a report on the disbursements was forward</w:t>
      </w:r>
      <w:r w:rsidR="0088727F" w:rsidRPr="00CE23AE">
        <w:rPr>
          <w:lang w:val="en-US"/>
        </w:rPr>
        <w:t>ed</w:t>
      </w:r>
      <w:r w:rsidRPr="00CE23AE">
        <w:rPr>
          <w:lang w:val="en-US"/>
        </w:rPr>
        <w:t xml:space="preserve"> to the State as established in </w:t>
      </w:r>
      <w:r w:rsidR="00C561DF" w:rsidRPr="00CE23AE">
        <w:rPr>
          <w:lang w:val="en-US"/>
        </w:rPr>
        <w:t>Article</w:t>
      </w:r>
      <w:r w:rsidR="004E0E2F" w:rsidRPr="00CE23AE">
        <w:rPr>
          <w:lang w:val="en-US"/>
        </w:rPr>
        <w:t xml:space="preserve"> 5</w:t>
      </w:r>
      <w:r w:rsidR="00C561DF" w:rsidRPr="00CE23AE">
        <w:rPr>
          <w:lang w:val="en-US"/>
        </w:rPr>
        <w:t xml:space="preserve"> of the Rules </w:t>
      </w:r>
      <w:r w:rsidRPr="00CE23AE">
        <w:rPr>
          <w:lang w:val="en-US"/>
        </w:rPr>
        <w:t xml:space="preserve">for the Operation of the Fund. Thus, the State had the opportunity to present its </w:t>
      </w:r>
      <w:r w:rsidR="005C743F" w:rsidRPr="00CE23AE">
        <w:rPr>
          <w:lang w:val="en-US"/>
        </w:rPr>
        <w:t>observations</w:t>
      </w:r>
      <w:r w:rsidR="004E0E2F" w:rsidRPr="00CE23AE">
        <w:rPr>
          <w:lang w:val="en-US"/>
        </w:rPr>
        <w:t xml:space="preserve"> </w:t>
      </w:r>
      <w:r w:rsidRPr="00CE23AE">
        <w:rPr>
          <w:lang w:val="en-US"/>
        </w:rPr>
        <w:t xml:space="preserve">on the disbursements made in this case, which amounted to </w:t>
      </w:r>
      <w:r w:rsidR="004E0E2F" w:rsidRPr="00CE23AE">
        <w:rPr>
          <w:lang w:val="en-US"/>
        </w:rPr>
        <w:t>US$4,788.25 (</w:t>
      </w:r>
      <w:r w:rsidRPr="00CE23AE">
        <w:rPr>
          <w:lang w:val="en-US"/>
        </w:rPr>
        <w:t>four thousand seven hundred and eighty-eight United States dollars and twenty-five cents).</w:t>
      </w:r>
    </w:p>
    <w:p w14:paraId="43EAB730" w14:textId="77777777" w:rsidR="004E0E2F" w:rsidRPr="00CE23AE" w:rsidRDefault="004E0E2F" w:rsidP="004E0E2F">
      <w:pPr>
        <w:rPr>
          <w:rFonts w:eastAsia="Batang"/>
          <w:lang w:val="en-US"/>
        </w:rPr>
      </w:pPr>
    </w:p>
    <w:p w14:paraId="1E828647" w14:textId="5FBB2E20" w:rsidR="004E0E2F" w:rsidRPr="00CE23AE" w:rsidRDefault="008428CC" w:rsidP="008428CC">
      <w:pPr>
        <w:pStyle w:val="PrrafodeSentencia"/>
        <w:tabs>
          <w:tab w:val="clear" w:pos="12305"/>
          <w:tab w:val="num" w:pos="12589"/>
        </w:tabs>
        <w:rPr>
          <w:lang w:val="en-US"/>
        </w:rPr>
      </w:pPr>
      <w:bookmarkStart w:id="574" w:name="_Ref455680938"/>
      <w:r w:rsidRPr="00CE23AE">
        <w:rPr>
          <w:lang w:val="en-US"/>
        </w:rPr>
        <w:t xml:space="preserve">Based on the violations declared in this judgment, the Court orders the State to reimburse the sum of US$4,788.25 (four thousand seven hundred and eighty-eight United States dollars and twenty-five cents) to the Fund for the expenses incurred. This amount must be paid to </w:t>
      </w:r>
      <w:r w:rsidR="00C561DF" w:rsidRPr="00CE23AE">
        <w:rPr>
          <w:lang w:val="en-US"/>
        </w:rPr>
        <w:t>the Inter-American Court</w:t>
      </w:r>
      <w:r w:rsidR="004E0E2F" w:rsidRPr="00CE23AE">
        <w:rPr>
          <w:lang w:val="en-US"/>
        </w:rPr>
        <w:t xml:space="preserve"> </w:t>
      </w:r>
      <w:r w:rsidRPr="00CE23AE">
        <w:rPr>
          <w:lang w:val="en-US"/>
        </w:rPr>
        <w:t xml:space="preserve">within ninety days of notification </w:t>
      </w:r>
      <w:r w:rsidR="001A22B6" w:rsidRPr="00CE23AE">
        <w:rPr>
          <w:lang w:val="en-US"/>
        </w:rPr>
        <w:t>of this judgment</w:t>
      </w:r>
      <w:r w:rsidR="004E0E2F" w:rsidRPr="00CE23AE">
        <w:rPr>
          <w:lang w:val="en-US"/>
        </w:rPr>
        <w:t>.</w:t>
      </w:r>
      <w:bookmarkEnd w:id="574"/>
    </w:p>
    <w:p w14:paraId="10662378" w14:textId="77777777" w:rsidR="004E0E2F" w:rsidRPr="00CE23AE" w:rsidRDefault="004E0E2F" w:rsidP="004E0E2F">
      <w:pPr>
        <w:spacing w:line="240" w:lineRule="auto"/>
        <w:rPr>
          <w:rFonts w:eastAsia="Batang"/>
          <w:lang w:val="en-US"/>
        </w:rPr>
      </w:pPr>
    </w:p>
    <w:p w14:paraId="396B659F" w14:textId="5D6EA252" w:rsidR="004E0E2F" w:rsidRPr="00CE23AE" w:rsidRDefault="00936F40" w:rsidP="004E0E2F">
      <w:pPr>
        <w:pStyle w:val="Ttulo2"/>
        <w:numPr>
          <w:ilvl w:val="0"/>
          <w:numId w:val="27"/>
        </w:numPr>
        <w:spacing w:line="240" w:lineRule="auto"/>
        <w:ind w:left="1134"/>
        <w:contextualSpacing w:val="0"/>
        <w:rPr>
          <w:lang w:val="en-US"/>
        </w:rPr>
      </w:pPr>
      <w:bookmarkStart w:id="575" w:name="_Toc46388422"/>
      <w:r w:rsidRPr="00CE23AE">
        <w:rPr>
          <w:lang w:val="en-US"/>
        </w:rPr>
        <w:t>Method of complying with the payments ordered</w:t>
      </w:r>
      <w:bookmarkEnd w:id="575"/>
      <w:r w:rsidR="004E0E2F" w:rsidRPr="00CE23AE">
        <w:rPr>
          <w:lang w:val="en-US"/>
        </w:rPr>
        <w:t xml:space="preserve"> </w:t>
      </w:r>
    </w:p>
    <w:p w14:paraId="682652FC" w14:textId="77777777" w:rsidR="004E0E2F" w:rsidRPr="00CE23AE" w:rsidRDefault="004E0E2F" w:rsidP="004E0E2F">
      <w:pPr>
        <w:spacing w:line="240" w:lineRule="auto"/>
        <w:rPr>
          <w:lang w:val="en-US" w:eastAsia="es-MX"/>
        </w:rPr>
      </w:pPr>
    </w:p>
    <w:p w14:paraId="5D8948F3" w14:textId="4BFA1288" w:rsidR="00936F40" w:rsidRPr="00CE23AE" w:rsidRDefault="004E0E2F" w:rsidP="004E0E2F">
      <w:pPr>
        <w:pStyle w:val="PrrafodeSentencia"/>
        <w:tabs>
          <w:tab w:val="clear" w:pos="12305"/>
          <w:tab w:val="num" w:pos="12589"/>
        </w:tabs>
        <w:rPr>
          <w:lang w:val="en-US"/>
        </w:rPr>
      </w:pPr>
      <w:r w:rsidRPr="00CE23AE">
        <w:rPr>
          <w:lang w:val="en-US"/>
        </w:rPr>
        <w:t xml:space="preserve">  </w:t>
      </w:r>
      <w:bookmarkStart w:id="576" w:name="_Ref464742067"/>
      <w:r w:rsidR="00936F40" w:rsidRPr="00CE23AE">
        <w:rPr>
          <w:lang w:val="en-US"/>
        </w:rPr>
        <w:t>The State shall make the payments of the compensation for pecuniary and non-pecuniary damage and to reimburse costs and expenses established in this judgment directly to the persons indicated herein, within one year of notification of this judgment, without prejudice to making the complete payment before that date.</w:t>
      </w:r>
    </w:p>
    <w:bookmarkEnd w:id="576"/>
    <w:p w14:paraId="421068BC" w14:textId="77777777" w:rsidR="004E0E2F" w:rsidRPr="00CE23AE" w:rsidRDefault="004E0E2F" w:rsidP="004E0E2F">
      <w:pPr>
        <w:rPr>
          <w:rFonts w:eastAsia="Batang"/>
          <w:lang w:val="en-US"/>
        </w:rPr>
      </w:pPr>
    </w:p>
    <w:p w14:paraId="0A8ED52F" w14:textId="57ED2AC9" w:rsidR="004E0E2F" w:rsidRPr="00CE23AE" w:rsidRDefault="00936F40" w:rsidP="004E0E2F">
      <w:pPr>
        <w:pStyle w:val="PrrafodeSentencia"/>
        <w:tabs>
          <w:tab w:val="clear" w:pos="12305"/>
          <w:tab w:val="num" w:pos="12589"/>
        </w:tabs>
        <w:rPr>
          <w:lang w:val="en-US"/>
        </w:rPr>
      </w:pPr>
      <w:r w:rsidRPr="00CE23AE">
        <w:rPr>
          <w:lang w:val="en-US"/>
        </w:rPr>
        <w:t>If the beneficiary is deceased or dies before he receives the respective sum, this shall be delivered directly to his heirs, pursuant to the applicable domestic law.</w:t>
      </w:r>
    </w:p>
    <w:p w14:paraId="24951A3B" w14:textId="77777777" w:rsidR="004E0E2F" w:rsidRPr="00CE23AE" w:rsidRDefault="004E0E2F" w:rsidP="004E0E2F">
      <w:pPr>
        <w:rPr>
          <w:rFonts w:eastAsia="Batang"/>
          <w:lang w:val="en-US"/>
        </w:rPr>
      </w:pPr>
    </w:p>
    <w:p w14:paraId="071C1F15" w14:textId="760584BC" w:rsidR="004E0E2F" w:rsidRPr="00CE23AE" w:rsidRDefault="00936F40" w:rsidP="004E0E2F">
      <w:pPr>
        <w:pStyle w:val="PrrafodeSentencia"/>
        <w:tabs>
          <w:tab w:val="clear" w:pos="12305"/>
          <w:tab w:val="num" w:pos="12589"/>
        </w:tabs>
        <w:rPr>
          <w:lang w:val="en-US"/>
        </w:rPr>
      </w:pPr>
      <w:r w:rsidRPr="00CE23AE">
        <w:rPr>
          <w:lang w:val="en-US"/>
        </w:rPr>
        <w:t xml:space="preserve">The State shall comply with the monetary obligations by payment in </w:t>
      </w:r>
      <w:r w:rsidR="00970AA1" w:rsidRPr="00CE23AE">
        <w:rPr>
          <w:lang w:val="en-US"/>
        </w:rPr>
        <w:t>United States dollars</w:t>
      </w:r>
      <w:r w:rsidR="004E0E2F" w:rsidRPr="00CE23AE">
        <w:rPr>
          <w:lang w:val="en-US"/>
        </w:rPr>
        <w:t>.</w:t>
      </w:r>
    </w:p>
    <w:p w14:paraId="5CE10D58" w14:textId="77777777" w:rsidR="004E0E2F" w:rsidRPr="00CE23AE" w:rsidRDefault="004E0E2F" w:rsidP="004E0E2F">
      <w:pPr>
        <w:rPr>
          <w:rFonts w:eastAsia="Batang"/>
          <w:lang w:val="en-US"/>
        </w:rPr>
      </w:pPr>
    </w:p>
    <w:p w14:paraId="3F39F4E8" w14:textId="185000CA" w:rsidR="00936F40" w:rsidRPr="00CE23AE" w:rsidRDefault="00936F40" w:rsidP="004E0E2F">
      <w:pPr>
        <w:pStyle w:val="PrrafodeSentencia"/>
        <w:tabs>
          <w:tab w:val="clear" w:pos="12305"/>
          <w:tab w:val="num" w:pos="12589"/>
        </w:tabs>
        <w:rPr>
          <w:lang w:val="en-US"/>
        </w:rPr>
      </w:pPr>
      <w:r w:rsidRPr="00CE23AE">
        <w:rPr>
          <w:lang w:val="en-US"/>
        </w:rPr>
        <w:t xml:space="preserve">If, for reasons that can be attributed to the beneficiary of the compensation or his heirs, it is not possible to pay the amounts established within the time frame indicated, the State shall deposit the said amounts in his favor in a deposit account or certificate in a solvent Ecuadorian financial institution, in United States dollars, and in the most favorable financial conditions permitted by the </w:t>
      </w:r>
      <w:r w:rsidRPr="00CE23AE">
        <w:rPr>
          <w:lang w:val="en-US"/>
        </w:rPr>
        <w:lastRenderedPageBreak/>
        <w:t>State’s banking laws and practice. If the corresponding compensation is not claimed within ten years, the sums shall be returned to the State with the interest accrued.</w:t>
      </w:r>
    </w:p>
    <w:p w14:paraId="1749109D" w14:textId="77777777" w:rsidR="004E0E2F" w:rsidRPr="00CE23AE" w:rsidRDefault="004E0E2F" w:rsidP="004E0E2F">
      <w:pPr>
        <w:rPr>
          <w:rFonts w:eastAsia="Batang"/>
          <w:lang w:val="en-US"/>
        </w:rPr>
      </w:pPr>
    </w:p>
    <w:p w14:paraId="56C77036" w14:textId="2377C3B9" w:rsidR="00936F40" w:rsidRPr="00CE23AE" w:rsidRDefault="00936F40" w:rsidP="004E0E2F">
      <w:pPr>
        <w:pStyle w:val="PrrafodeSentencia"/>
        <w:tabs>
          <w:tab w:val="clear" w:pos="12305"/>
          <w:tab w:val="num" w:pos="12589"/>
        </w:tabs>
        <w:rPr>
          <w:lang w:val="en-US"/>
        </w:rPr>
      </w:pPr>
      <w:r w:rsidRPr="00CE23AE">
        <w:rPr>
          <w:lang w:val="en-US"/>
        </w:rPr>
        <w:t>The amounts allocated in this judgment as compensation for pecuniary and non-pecuniary damage and to reimburse costs and expenses shall be delivered to the persons indicated integrally, as established in this judgment, without any deductions arising from possible taxes or charges.</w:t>
      </w:r>
    </w:p>
    <w:p w14:paraId="0585620D" w14:textId="77777777" w:rsidR="004E0E2F" w:rsidRPr="00CE23AE" w:rsidRDefault="004E0E2F" w:rsidP="004E0E2F">
      <w:pPr>
        <w:rPr>
          <w:rFonts w:eastAsia="Batang"/>
          <w:lang w:val="en-US"/>
        </w:rPr>
      </w:pPr>
    </w:p>
    <w:p w14:paraId="4DA39A82" w14:textId="114BF3F8" w:rsidR="00582D8D" w:rsidRPr="00CE23AE" w:rsidRDefault="0088727F" w:rsidP="004E0E2F">
      <w:pPr>
        <w:pStyle w:val="PrrafodeSentencia"/>
        <w:tabs>
          <w:tab w:val="clear" w:pos="12305"/>
          <w:tab w:val="num" w:pos="12589"/>
        </w:tabs>
        <w:rPr>
          <w:lang w:val="en-US"/>
        </w:rPr>
      </w:pPr>
      <w:bookmarkStart w:id="577" w:name="_Ref464742077"/>
      <w:r w:rsidRPr="00CE23AE">
        <w:rPr>
          <w:lang w:val="en-US"/>
        </w:rPr>
        <w:t>In</w:t>
      </w:r>
      <w:r w:rsidR="00936F40" w:rsidRPr="00CE23AE">
        <w:rPr>
          <w:lang w:val="en-US"/>
        </w:rPr>
        <w:t xml:space="preserve"> case</w:t>
      </w:r>
      <w:r w:rsidRPr="00CE23AE">
        <w:rPr>
          <w:lang w:val="en-US"/>
        </w:rPr>
        <w:t xml:space="preserve"> the State</w:t>
      </w:r>
      <w:r w:rsidR="00936F40" w:rsidRPr="00CE23AE">
        <w:rPr>
          <w:lang w:val="en-US"/>
        </w:rPr>
        <w:t xml:space="preserve"> should fall into arrears, including with the reimbursement of expenses to the Victims’ L</w:t>
      </w:r>
      <w:r w:rsidR="005C743F" w:rsidRPr="00CE23AE">
        <w:rPr>
          <w:lang w:val="en-US"/>
        </w:rPr>
        <w:t>egal Assistance Fund</w:t>
      </w:r>
      <w:r w:rsidR="00936F40" w:rsidRPr="00CE23AE">
        <w:rPr>
          <w:lang w:val="en-US"/>
        </w:rPr>
        <w:t>, it shall pay interest on the amount owed corresponding to banking interest on arrears in</w:t>
      </w:r>
      <w:r w:rsidR="004E0E2F" w:rsidRPr="00CE23AE">
        <w:rPr>
          <w:lang w:val="en-US"/>
        </w:rPr>
        <w:t xml:space="preserve"> </w:t>
      </w:r>
      <w:r w:rsidR="00C561DF" w:rsidRPr="00CE23AE">
        <w:rPr>
          <w:lang w:val="en-US"/>
        </w:rPr>
        <w:t>the Republic of</w:t>
      </w:r>
      <w:r w:rsidR="004E0E2F" w:rsidRPr="00CE23AE">
        <w:rPr>
          <w:lang w:val="en-US"/>
        </w:rPr>
        <w:t xml:space="preserve"> Ecuador.</w:t>
      </w:r>
      <w:bookmarkEnd w:id="577"/>
    </w:p>
    <w:p w14:paraId="186B3948" w14:textId="1A1FE11B" w:rsidR="00B42448" w:rsidRPr="00CE23AE" w:rsidRDefault="00B42448" w:rsidP="00F22AD0">
      <w:pPr>
        <w:spacing w:before="40"/>
        <w:rPr>
          <w:lang w:val="en-US"/>
        </w:rPr>
      </w:pPr>
      <w:bookmarkStart w:id="578" w:name="_Toc430339044"/>
      <w:bookmarkStart w:id="579" w:name="_Toc451267380"/>
    </w:p>
    <w:p w14:paraId="648140A4" w14:textId="717CD589" w:rsidR="008E3B8F" w:rsidRPr="00CE23AE" w:rsidRDefault="00EA7656" w:rsidP="00F22AD0">
      <w:pPr>
        <w:pStyle w:val="Estilo2"/>
        <w:spacing w:before="40"/>
        <w:rPr>
          <w:lang w:val="en-US"/>
        </w:rPr>
      </w:pPr>
      <w:bookmarkStart w:id="580" w:name="_Toc457840645"/>
      <w:bookmarkStart w:id="581" w:name="_Toc464475036"/>
      <w:bookmarkStart w:id="582" w:name="_Toc46388423"/>
      <w:r w:rsidRPr="00CE23AE">
        <w:rPr>
          <w:lang w:val="en-US"/>
        </w:rPr>
        <w:t>X</w:t>
      </w:r>
      <w:r w:rsidR="008E3B8F" w:rsidRPr="00CE23AE">
        <w:rPr>
          <w:lang w:val="en-US"/>
        </w:rPr>
        <w:br/>
      </w:r>
      <w:r w:rsidR="00AC18A9" w:rsidRPr="00CE23AE">
        <w:rPr>
          <w:lang w:val="en-US"/>
        </w:rPr>
        <w:t>OPERATIVE PARAGRAPHS</w:t>
      </w:r>
      <w:bookmarkEnd w:id="578"/>
      <w:bookmarkEnd w:id="579"/>
      <w:bookmarkEnd w:id="580"/>
      <w:bookmarkEnd w:id="581"/>
      <w:bookmarkEnd w:id="582"/>
    </w:p>
    <w:p w14:paraId="4D99CA57" w14:textId="77777777" w:rsidR="008E3B8F" w:rsidRPr="00CE23AE" w:rsidRDefault="008E3B8F" w:rsidP="00F22AD0">
      <w:pPr>
        <w:spacing w:before="40"/>
        <w:rPr>
          <w:lang w:val="en-US"/>
        </w:rPr>
      </w:pPr>
    </w:p>
    <w:p w14:paraId="1FF441A0" w14:textId="59BFB5E8" w:rsidR="008E3B8F" w:rsidRPr="00CE23AE" w:rsidRDefault="00936F40" w:rsidP="00F22AD0">
      <w:pPr>
        <w:pStyle w:val="Default"/>
        <w:spacing w:before="40"/>
        <w:jc w:val="both"/>
        <w:rPr>
          <w:spacing w:val="-2"/>
          <w:sz w:val="20"/>
          <w:szCs w:val="20"/>
          <w:lang w:val="en-US"/>
        </w:rPr>
      </w:pPr>
      <w:r w:rsidRPr="00CE23AE">
        <w:rPr>
          <w:spacing w:val="-2"/>
          <w:sz w:val="20"/>
          <w:szCs w:val="20"/>
          <w:lang w:val="en-US"/>
        </w:rPr>
        <w:t>Therefore,</w:t>
      </w:r>
      <w:r w:rsidR="008E3B8F" w:rsidRPr="00CE23AE">
        <w:rPr>
          <w:spacing w:val="-2"/>
          <w:sz w:val="20"/>
          <w:szCs w:val="20"/>
          <w:lang w:val="en-US"/>
        </w:rPr>
        <w:t xml:space="preserve"> </w:t>
      </w:r>
    </w:p>
    <w:p w14:paraId="78865EAE" w14:textId="77777777" w:rsidR="008E3B8F" w:rsidRPr="00CE23AE" w:rsidRDefault="008E3B8F" w:rsidP="00F22AD0">
      <w:pPr>
        <w:pStyle w:val="Default"/>
        <w:spacing w:before="40"/>
        <w:jc w:val="both"/>
        <w:rPr>
          <w:spacing w:val="-2"/>
          <w:sz w:val="16"/>
          <w:szCs w:val="20"/>
          <w:lang w:val="en-US"/>
        </w:rPr>
      </w:pPr>
    </w:p>
    <w:p w14:paraId="55EB24F5" w14:textId="46E808F5" w:rsidR="008E3B8F" w:rsidRPr="00CE23AE" w:rsidRDefault="00C561DF" w:rsidP="00F22AD0">
      <w:pPr>
        <w:pStyle w:val="Default"/>
        <w:spacing w:before="40"/>
        <w:jc w:val="both"/>
        <w:rPr>
          <w:spacing w:val="-2"/>
          <w:sz w:val="20"/>
          <w:szCs w:val="20"/>
          <w:lang w:val="en-US"/>
        </w:rPr>
      </w:pPr>
      <w:r w:rsidRPr="00CE23AE">
        <w:rPr>
          <w:b/>
          <w:bCs/>
          <w:spacing w:val="-2"/>
          <w:sz w:val="20"/>
          <w:szCs w:val="20"/>
          <w:lang w:val="en-US"/>
        </w:rPr>
        <w:t>THE COURT</w:t>
      </w:r>
      <w:r w:rsidR="008E3B8F" w:rsidRPr="00CE23AE">
        <w:rPr>
          <w:b/>
          <w:bCs/>
          <w:spacing w:val="-2"/>
          <w:sz w:val="20"/>
          <w:szCs w:val="20"/>
          <w:lang w:val="en-US"/>
        </w:rPr>
        <w:t xml:space="preserve"> </w:t>
      </w:r>
    </w:p>
    <w:p w14:paraId="38F5ACA3" w14:textId="77777777" w:rsidR="008E3B8F" w:rsidRPr="00CE23AE" w:rsidRDefault="008E3B8F" w:rsidP="00F22AD0">
      <w:pPr>
        <w:pStyle w:val="Default"/>
        <w:spacing w:before="40"/>
        <w:jc w:val="both"/>
        <w:rPr>
          <w:b/>
          <w:bCs/>
          <w:spacing w:val="-2"/>
          <w:sz w:val="16"/>
          <w:szCs w:val="20"/>
          <w:lang w:val="en-US"/>
        </w:rPr>
      </w:pPr>
    </w:p>
    <w:p w14:paraId="43ECB6B1" w14:textId="4DE5F02D" w:rsidR="008E3B8F" w:rsidRPr="00CE23AE" w:rsidRDefault="008E3B8F" w:rsidP="00F22AD0">
      <w:pPr>
        <w:pStyle w:val="Default"/>
        <w:spacing w:before="40"/>
        <w:jc w:val="both"/>
        <w:rPr>
          <w:spacing w:val="-2"/>
          <w:sz w:val="20"/>
          <w:szCs w:val="20"/>
          <w:lang w:val="en-US"/>
        </w:rPr>
      </w:pPr>
      <w:r w:rsidRPr="00CE23AE">
        <w:rPr>
          <w:b/>
          <w:bCs/>
          <w:spacing w:val="-2"/>
          <w:sz w:val="20"/>
          <w:szCs w:val="20"/>
          <w:lang w:val="en-US"/>
        </w:rPr>
        <w:t>DECIDE</w:t>
      </w:r>
      <w:r w:rsidR="00936F40" w:rsidRPr="00CE23AE">
        <w:rPr>
          <w:b/>
          <w:bCs/>
          <w:spacing w:val="-2"/>
          <w:sz w:val="20"/>
          <w:szCs w:val="20"/>
          <w:lang w:val="en-US"/>
        </w:rPr>
        <w:t>S</w:t>
      </w:r>
      <w:r w:rsidRPr="00CE23AE">
        <w:rPr>
          <w:b/>
          <w:bCs/>
          <w:spacing w:val="-2"/>
          <w:sz w:val="20"/>
          <w:szCs w:val="20"/>
          <w:lang w:val="en-US"/>
        </w:rPr>
        <w:t xml:space="preserve">, </w:t>
      </w:r>
    </w:p>
    <w:p w14:paraId="30CAC8E8" w14:textId="77777777" w:rsidR="00B42448" w:rsidRPr="00CE23AE" w:rsidRDefault="00B42448" w:rsidP="00F22AD0">
      <w:pPr>
        <w:pStyle w:val="Default"/>
        <w:spacing w:before="40"/>
        <w:jc w:val="both"/>
        <w:rPr>
          <w:spacing w:val="-2"/>
          <w:sz w:val="16"/>
          <w:szCs w:val="20"/>
          <w:lang w:val="en-US"/>
        </w:rPr>
      </w:pPr>
    </w:p>
    <w:p w14:paraId="6E8A496A" w14:textId="42181296" w:rsidR="008E3B8F" w:rsidRPr="00CE23AE" w:rsidRDefault="00936F40" w:rsidP="00F22AD0">
      <w:pPr>
        <w:pStyle w:val="Default"/>
        <w:spacing w:before="40"/>
        <w:jc w:val="both"/>
        <w:rPr>
          <w:spacing w:val="-2"/>
          <w:sz w:val="20"/>
          <w:szCs w:val="20"/>
          <w:lang w:val="en-US"/>
        </w:rPr>
      </w:pPr>
      <w:r w:rsidRPr="00CE23AE">
        <w:rPr>
          <w:spacing w:val="-2"/>
          <w:sz w:val="20"/>
          <w:szCs w:val="20"/>
          <w:lang w:val="en-US"/>
        </w:rPr>
        <w:t>unanimously:</w:t>
      </w:r>
    </w:p>
    <w:p w14:paraId="4A2F5F3E" w14:textId="77777777" w:rsidR="008E3B8F" w:rsidRPr="00CE23AE" w:rsidRDefault="008E3B8F" w:rsidP="00F22AD0">
      <w:pPr>
        <w:pStyle w:val="Default"/>
        <w:spacing w:before="40"/>
        <w:jc w:val="both"/>
        <w:rPr>
          <w:spacing w:val="-2"/>
          <w:sz w:val="20"/>
          <w:szCs w:val="20"/>
          <w:lang w:val="en-US"/>
        </w:rPr>
      </w:pPr>
    </w:p>
    <w:p w14:paraId="1665B18E" w14:textId="36B76E00" w:rsidR="008E3B8F" w:rsidRPr="00CE23AE" w:rsidRDefault="00936F40" w:rsidP="00F22AD0">
      <w:pPr>
        <w:pStyle w:val="Default"/>
        <w:numPr>
          <w:ilvl w:val="0"/>
          <w:numId w:val="29"/>
        </w:numPr>
        <w:tabs>
          <w:tab w:val="left" w:pos="567"/>
        </w:tabs>
        <w:spacing w:before="40"/>
        <w:ind w:left="0" w:firstLine="0"/>
        <w:jc w:val="both"/>
        <w:rPr>
          <w:spacing w:val="-2"/>
          <w:sz w:val="20"/>
          <w:szCs w:val="20"/>
          <w:lang w:val="en-US"/>
        </w:rPr>
      </w:pPr>
      <w:r w:rsidRPr="00CE23AE">
        <w:rPr>
          <w:spacing w:val="-2"/>
          <w:sz w:val="20"/>
          <w:szCs w:val="20"/>
          <w:lang w:val="en-US"/>
        </w:rPr>
        <w:t>To reject the</w:t>
      </w:r>
      <w:r w:rsidR="008E3B8F" w:rsidRPr="00CE23AE">
        <w:rPr>
          <w:spacing w:val="-2"/>
          <w:sz w:val="20"/>
          <w:szCs w:val="20"/>
          <w:lang w:val="en-US"/>
        </w:rPr>
        <w:t xml:space="preserve"> </w:t>
      </w:r>
      <w:r w:rsidR="005C743F" w:rsidRPr="00CE23AE">
        <w:rPr>
          <w:spacing w:val="-2"/>
          <w:sz w:val="20"/>
          <w:szCs w:val="20"/>
          <w:lang w:val="en-US"/>
        </w:rPr>
        <w:t>preliminary objection</w:t>
      </w:r>
      <w:r w:rsidR="008E3B8F" w:rsidRPr="00CE23AE">
        <w:rPr>
          <w:spacing w:val="-2"/>
          <w:sz w:val="20"/>
          <w:szCs w:val="20"/>
          <w:lang w:val="en-US"/>
        </w:rPr>
        <w:t xml:space="preserve"> </w:t>
      </w:r>
      <w:r w:rsidRPr="00CE23AE">
        <w:rPr>
          <w:spacing w:val="-2"/>
          <w:sz w:val="20"/>
          <w:szCs w:val="20"/>
          <w:lang w:val="en-US"/>
        </w:rPr>
        <w:t>of failure to exhaust domestic remedies filed by</w:t>
      </w:r>
      <w:r w:rsidR="008E3B8F" w:rsidRPr="00CE23AE">
        <w:rPr>
          <w:spacing w:val="-2"/>
          <w:sz w:val="20"/>
          <w:szCs w:val="20"/>
          <w:lang w:val="en-US"/>
        </w:rPr>
        <w:t xml:space="preserve"> </w:t>
      </w:r>
      <w:r w:rsidR="00C561DF" w:rsidRPr="00CE23AE">
        <w:rPr>
          <w:spacing w:val="-2"/>
          <w:sz w:val="20"/>
          <w:szCs w:val="20"/>
          <w:lang w:val="en-US"/>
        </w:rPr>
        <w:t>the State</w:t>
      </w:r>
      <w:r w:rsidR="008E3B8F" w:rsidRPr="00CE23AE">
        <w:rPr>
          <w:spacing w:val="-2"/>
          <w:sz w:val="20"/>
          <w:szCs w:val="20"/>
          <w:lang w:val="en-US"/>
        </w:rPr>
        <w:t xml:space="preserve">, </w:t>
      </w:r>
      <w:r w:rsidRPr="00CE23AE">
        <w:rPr>
          <w:spacing w:val="-2"/>
          <w:sz w:val="20"/>
          <w:szCs w:val="20"/>
          <w:lang w:val="en-US"/>
        </w:rPr>
        <w:t>pursuant to</w:t>
      </w:r>
      <w:r w:rsidR="008E3B8F" w:rsidRPr="00CE23AE">
        <w:rPr>
          <w:spacing w:val="-2"/>
          <w:sz w:val="20"/>
          <w:szCs w:val="20"/>
          <w:lang w:val="en-US"/>
        </w:rPr>
        <w:t xml:space="preserve"> </w:t>
      </w:r>
      <w:r w:rsidRPr="00CE23AE">
        <w:rPr>
          <w:spacing w:val="-2"/>
          <w:sz w:val="20"/>
          <w:szCs w:val="20"/>
          <w:lang w:val="en-US"/>
        </w:rPr>
        <w:t>paragraphs</w:t>
      </w:r>
      <w:r w:rsidR="008E3B8F" w:rsidRPr="00CE23AE">
        <w:rPr>
          <w:spacing w:val="-2"/>
          <w:sz w:val="20"/>
          <w:szCs w:val="20"/>
          <w:lang w:val="en-US"/>
        </w:rPr>
        <w:t xml:space="preserve"> </w:t>
      </w:r>
      <w:r w:rsidR="00AF20DA" w:rsidRPr="00CE23AE">
        <w:rPr>
          <w:spacing w:val="-2"/>
          <w:sz w:val="20"/>
          <w:szCs w:val="20"/>
          <w:lang w:val="en-US"/>
        </w:rPr>
        <w:fldChar w:fldCharType="begin"/>
      </w:r>
      <w:r w:rsidR="00AF20DA" w:rsidRPr="00CE23AE">
        <w:rPr>
          <w:spacing w:val="-2"/>
          <w:sz w:val="20"/>
          <w:szCs w:val="20"/>
          <w:lang w:val="en-US"/>
        </w:rPr>
        <w:instrText xml:space="preserve"> REF _Ref455670863 \r \h </w:instrText>
      </w:r>
      <w:r w:rsidR="00CE23AE">
        <w:rPr>
          <w:spacing w:val="-2"/>
          <w:sz w:val="20"/>
          <w:szCs w:val="20"/>
          <w:lang w:val="en-US"/>
        </w:rPr>
        <w:instrText xml:space="preserve"> \* MERGEFORMAT </w:instrText>
      </w:r>
      <w:r w:rsidR="00AF20DA" w:rsidRPr="00CE23AE">
        <w:rPr>
          <w:spacing w:val="-2"/>
          <w:sz w:val="20"/>
          <w:szCs w:val="20"/>
          <w:lang w:val="en-US"/>
        </w:rPr>
      </w:r>
      <w:r w:rsidR="00AF20DA" w:rsidRPr="00CE23AE">
        <w:rPr>
          <w:spacing w:val="-2"/>
          <w:sz w:val="20"/>
          <w:szCs w:val="20"/>
          <w:lang w:val="en-US"/>
        </w:rPr>
        <w:fldChar w:fldCharType="separate"/>
      </w:r>
      <w:r w:rsidR="00BC2953" w:rsidRPr="00CE23AE">
        <w:rPr>
          <w:spacing w:val="-2"/>
          <w:sz w:val="20"/>
          <w:szCs w:val="20"/>
          <w:lang w:val="en-US"/>
        </w:rPr>
        <w:t>23</w:t>
      </w:r>
      <w:r w:rsidR="00AF20DA" w:rsidRPr="00CE23AE">
        <w:rPr>
          <w:spacing w:val="-2"/>
          <w:sz w:val="20"/>
          <w:szCs w:val="20"/>
          <w:lang w:val="en-US"/>
        </w:rPr>
        <w:fldChar w:fldCharType="end"/>
      </w:r>
      <w:r w:rsidR="00AF20DA" w:rsidRPr="00CE23AE">
        <w:rPr>
          <w:spacing w:val="-2"/>
          <w:sz w:val="20"/>
          <w:szCs w:val="20"/>
          <w:lang w:val="en-US"/>
        </w:rPr>
        <w:t xml:space="preserve"> </w:t>
      </w:r>
      <w:r w:rsidRPr="00CE23AE">
        <w:rPr>
          <w:spacing w:val="-2"/>
          <w:sz w:val="20"/>
          <w:szCs w:val="20"/>
          <w:lang w:val="en-US"/>
        </w:rPr>
        <w:t xml:space="preserve">to </w:t>
      </w:r>
      <w:r w:rsidR="00AF20DA" w:rsidRPr="00CE23AE">
        <w:rPr>
          <w:spacing w:val="-2"/>
          <w:sz w:val="20"/>
          <w:szCs w:val="20"/>
          <w:lang w:val="en-US"/>
        </w:rPr>
        <w:fldChar w:fldCharType="begin"/>
      </w:r>
      <w:r w:rsidR="00AF20DA" w:rsidRPr="00CE23AE">
        <w:rPr>
          <w:spacing w:val="-2"/>
          <w:sz w:val="20"/>
          <w:szCs w:val="20"/>
          <w:lang w:val="en-US"/>
        </w:rPr>
        <w:instrText xml:space="preserve"> REF _Ref455670865 \r \h </w:instrText>
      </w:r>
      <w:r w:rsidR="00CE23AE">
        <w:rPr>
          <w:spacing w:val="-2"/>
          <w:sz w:val="20"/>
          <w:szCs w:val="20"/>
          <w:lang w:val="en-US"/>
        </w:rPr>
        <w:instrText xml:space="preserve"> \* MERGEFORMAT </w:instrText>
      </w:r>
      <w:r w:rsidR="00AF20DA" w:rsidRPr="00CE23AE">
        <w:rPr>
          <w:spacing w:val="-2"/>
          <w:sz w:val="20"/>
          <w:szCs w:val="20"/>
          <w:lang w:val="en-US"/>
        </w:rPr>
      </w:r>
      <w:r w:rsidR="00AF20DA" w:rsidRPr="00CE23AE">
        <w:rPr>
          <w:spacing w:val="-2"/>
          <w:sz w:val="20"/>
          <w:szCs w:val="20"/>
          <w:lang w:val="en-US"/>
        </w:rPr>
        <w:fldChar w:fldCharType="separate"/>
      </w:r>
      <w:r w:rsidR="00BC2953" w:rsidRPr="00CE23AE">
        <w:rPr>
          <w:spacing w:val="-2"/>
          <w:sz w:val="20"/>
          <w:szCs w:val="20"/>
          <w:lang w:val="en-US"/>
        </w:rPr>
        <w:t>26</w:t>
      </w:r>
      <w:r w:rsidR="00AF20DA" w:rsidRPr="00CE23AE">
        <w:rPr>
          <w:spacing w:val="-2"/>
          <w:sz w:val="20"/>
          <w:szCs w:val="20"/>
          <w:lang w:val="en-US"/>
        </w:rPr>
        <w:fldChar w:fldCharType="end"/>
      </w:r>
      <w:r w:rsidR="007F4C11" w:rsidRPr="00CE23AE">
        <w:rPr>
          <w:spacing w:val="-2"/>
          <w:sz w:val="20"/>
          <w:szCs w:val="20"/>
          <w:lang w:val="en-US"/>
        </w:rPr>
        <w:t xml:space="preserve"> </w:t>
      </w:r>
      <w:r w:rsidRPr="00CE23AE">
        <w:rPr>
          <w:spacing w:val="-2"/>
          <w:sz w:val="20"/>
          <w:szCs w:val="20"/>
          <w:lang w:val="en-US"/>
        </w:rPr>
        <w:t>of this judgment</w:t>
      </w:r>
      <w:r w:rsidR="008E3B8F" w:rsidRPr="00CE23AE">
        <w:rPr>
          <w:spacing w:val="-2"/>
          <w:sz w:val="20"/>
          <w:szCs w:val="20"/>
          <w:lang w:val="en-US"/>
        </w:rPr>
        <w:t xml:space="preserve">. </w:t>
      </w:r>
    </w:p>
    <w:p w14:paraId="56595ADE" w14:textId="77777777" w:rsidR="008E3B8F" w:rsidRPr="00CE23AE" w:rsidRDefault="008E3B8F" w:rsidP="00F22AD0">
      <w:pPr>
        <w:tabs>
          <w:tab w:val="left" w:pos="567"/>
          <w:tab w:val="num" w:pos="630"/>
          <w:tab w:val="left" w:pos="720"/>
        </w:tabs>
        <w:spacing w:before="40"/>
        <w:rPr>
          <w:rFonts w:cs="Verdana"/>
          <w:b/>
          <w:color w:val="000000"/>
          <w:spacing w:val="-2"/>
          <w:szCs w:val="20"/>
          <w:lang w:val="en-US"/>
        </w:rPr>
      </w:pPr>
    </w:p>
    <w:p w14:paraId="3CFFDF06" w14:textId="1410A56B" w:rsidR="008E3B8F" w:rsidRPr="00CE23AE" w:rsidRDefault="008E3B8F" w:rsidP="00F22AD0">
      <w:pPr>
        <w:tabs>
          <w:tab w:val="left" w:pos="567"/>
          <w:tab w:val="num" w:pos="630"/>
          <w:tab w:val="left" w:pos="720"/>
        </w:tabs>
        <w:spacing w:before="40"/>
        <w:rPr>
          <w:rFonts w:cs="Verdana"/>
          <w:b/>
          <w:color w:val="000000"/>
          <w:spacing w:val="-2"/>
          <w:szCs w:val="20"/>
          <w:lang w:val="en-US"/>
        </w:rPr>
      </w:pPr>
      <w:r w:rsidRPr="00CE23AE">
        <w:rPr>
          <w:rFonts w:cs="Verdana"/>
          <w:b/>
          <w:color w:val="000000"/>
          <w:spacing w:val="-2"/>
          <w:szCs w:val="20"/>
          <w:lang w:val="en-US"/>
        </w:rPr>
        <w:t>DECLAR</w:t>
      </w:r>
      <w:r w:rsidR="00936F40" w:rsidRPr="00CE23AE">
        <w:rPr>
          <w:rFonts w:cs="Verdana"/>
          <w:b/>
          <w:color w:val="000000"/>
          <w:spacing w:val="-2"/>
          <w:szCs w:val="20"/>
          <w:lang w:val="en-US"/>
        </w:rPr>
        <w:t>ES</w:t>
      </w:r>
      <w:r w:rsidRPr="00CE23AE">
        <w:rPr>
          <w:rFonts w:cs="Verdana"/>
          <w:b/>
          <w:color w:val="000000"/>
          <w:spacing w:val="-2"/>
          <w:szCs w:val="20"/>
          <w:lang w:val="en-US"/>
        </w:rPr>
        <w:t>,</w:t>
      </w:r>
    </w:p>
    <w:p w14:paraId="3F1BC3FE" w14:textId="77777777" w:rsidR="008E3B8F" w:rsidRPr="00CE23AE" w:rsidRDefault="008E3B8F" w:rsidP="00F22AD0">
      <w:pPr>
        <w:tabs>
          <w:tab w:val="left" w:pos="567"/>
          <w:tab w:val="num" w:pos="630"/>
          <w:tab w:val="left" w:pos="720"/>
        </w:tabs>
        <w:spacing w:before="40"/>
        <w:rPr>
          <w:rFonts w:cs="Verdana"/>
          <w:b/>
          <w:color w:val="000000"/>
          <w:spacing w:val="-2"/>
          <w:sz w:val="16"/>
          <w:szCs w:val="20"/>
          <w:lang w:val="en-US"/>
        </w:rPr>
      </w:pPr>
    </w:p>
    <w:p w14:paraId="14E9BD62" w14:textId="3B80362E" w:rsidR="008E3B8F" w:rsidRPr="00CE23AE" w:rsidRDefault="00936F40" w:rsidP="00F22AD0">
      <w:pPr>
        <w:pStyle w:val="Default"/>
        <w:tabs>
          <w:tab w:val="left" w:pos="567"/>
        </w:tabs>
        <w:spacing w:before="40"/>
        <w:jc w:val="both"/>
        <w:rPr>
          <w:spacing w:val="-2"/>
          <w:sz w:val="20"/>
          <w:szCs w:val="20"/>
          <w:lang w:val="en-US"/>
        </w:rPr>
      </w:pPr>
      <w:r w:rsidRPr="00CE23AE">
        <w:rPr>
          <w:spacing w:val="-2"/>
          <w:sz w:val="20"/>
          <w:szCs w:val="20"/>
          <w:lang w:val="en-US"/>
        </w:rPr>
        <w:t>unanimously, that:</w:t>
      </w:r>
    </w:p>
    <w:p w14:paraId="40AB6398" w14:textId="77777777" w:rsidR="00936F40" w:rsidRPr="00CE23AE" w:rsidRDefault="00936F40" w:rsidP="00F22AD0">
      <w:pPr>
        <w:pStyle w:val="Default"/>
        <w:tabs>
          <w:tab w:val="left" w:pos="567"/>
        </w:tabs>
        <w:spacing w:before="40"/>
        <w:jc w:val="both"/>
        <w:rPr>
          <w:rFonts w:eastAsia="Batang" w:cs="Times"/>
          <w:spacing w:val="-2"/>
          <w:sz w:val="20"/>
          <w:szCs w:val="20"/>
          <w:lang w:val="en-US"/>
        </w:rPr>
      </w:pPr>
    </w:p>
    <w:p w14:paraId="66130555" w14:textId="48A89B0A" w:rsidR="00293E96" w:rsidRPr="00CE23AE" w:rsidRDefault="00C561DF" w:rsidP="00F22AD0">
      <w:pPr>
        <w:pStyle w:val="Prrafodelista"/>
        <w:numPr>
          <w:ilvl w:val="0"/>
          <w:numId w:val="29"/>
        </w:numPr>
        <w:tabs>
          <w:tab w:val="left" w:pos="567"/>
        </w:tabs>
        <w:spacing w:before="40"/>
        <w:ind w:left="0" w:firstLine="0"/>
        <w:rPr>
          <w:szCs w:val="20"/>
          <w:lang w:val="en-US"/>
        </w:rPr>
      </w:pPr>
      <w:r w:rsidRPr="00CE23AE">
        <w:rPr>
          <w:szCs w:val="20"/>
          <w:lang w:val="en-US"/>
        </w:rPr>
        <w:t>The State</w:t>
      </w:r>
      <w:r w:rsidR="00414E16" w:rsidRPr="00CE23AE">
        <w:rPr>
          <w:szCs w:val="20"/>
          <w:lang w:val="en-US"/>
        </w:rPr>
        <w:t xml:space="preserve"> </w:t>
      </w:r>
      <w:r w:rsidR="00936F40" w:rsidRPr="00CE23AE">
        <w:rPr>
          <w:szCs w:val="20"/>
          <w:lang w:val="en-US"/>
        </w:rPr>
        <w:t>is responsible for</w:t>
      </w:r>
      <w:r w:rsidR="00414E16" w:rsidRPr="00CE23AE">
        <w:rPr>
          <w:szCs w:val="20"/>
          <w:lang w:val="en-US"/>
        </w:rPr>
        <w:t xml:space="preserve"> </w:t>
      </w:r>
      <w:r w:rsidR="00936F40" w:rsidRPr="00CE23AE">
        <w:rPr>
          <w:szCs w:val="20"/>
          <w:lang w:val="en-US"/>
        </w:rPr>
        <w:t>the violation</w:t>
      </w:r>
      <w:r w:rsidR="00414E16" w:rsidRPr="00CE23AE">
        <w:rPr>
          <w:szCs w:val="20"/>
          <w:lang w:val="en-US"/>
        </w:rPr>
        <w:t xml:space="preserve"> </w:t>
      </w:r>
      <w:r w:rsidR="00936F40" w:rsidRPr="00CE23AE">
        <w:rPr>
          <w:szCs w:val="20"/>
          <w:lang w:val="en-US"/>
        </w:rPr>
        <w:t xml:space="preserve">of the right to equality before the law and the prohibition of </w:t>
      </w:r>
      <w:r w:rsidR="00FA0123" w:rsidRPr="00CE23AE">
        <w:rPr>
          <w:szCs w:val="20"/>
          <w:lang w:val="en-US"/>
        </w:rPr>
        <w:t>discrimination</w:t>
      </w:r>
      <w:r w:rsidR="00E94B97" w:rsidRPr="00CE23AE">
        <w:rPr>
          <w:szCs w:val="20"/>
          <w:lang w:val="en-US"/>
        </w:rPr>
        <w:t xml:space="preserve"> </w:t>
      </w:r>
      <w:r w:rsidR="00936F40" w:rsidRPr="00CE23AE">
        <w:rPr>
          <w:szCs w:val="20"/>
          <w:lang w:val="en-US"/>
        </w:rPr>
        <w:t>recognized in</w:t>
      </w:r>
      <w:r w:rsidR="00414E16" w:rsidRPr="00CE23AE">
        <w:rPr>
          <w:szCs w:val="20"/>
          <w:lang w:val="en-US"/>
        </w:rPr>
        <w:t xml:space="preserve"> </w:t>
      </w:r>
      <w:r w:rsidRPr="00CE23AE">
        <w:rPr>
          <w:szCs w:val="20"/>
          <w:lang w:val="en-US"/>
        </w:rPr>
        <w:t>Article</w:t>
      </w:r>
      <w:r w:rsidR="00414E16" w:rsidRPr="00CE23AE">
        <w:rPr>
          <w:szCs w:val="20"/>
          <w:lang w:val="en-US"/>
        </w:rPr>
        <w:t xml:space="preserve"> 24</w:t>
      </w:r>
      <w:r w:rsidRPr="00CE23AE">
        <w:rPr>
          <w:szCs w:val="20"/>
          <w:lang w:val="en-US"/>
        </w:rPr>
        <w:t xml:space="preserve"> of the Convention</w:t>
      </w:r>
      <w:r w:rsidR="00414E16" w:rsidRPr="00CE23AE">
        <w:rPr>
          <w:szCs w:val="20"/>
          <w:lang w:val="en-US"/>
        </w:rPr>
        <w:t xml:space="preserve">, </w:t>
      </w:r>
      <w:r w:rsidR="00936F40" w:rsidRPr="00CE23AE">
        <w:rPr>
          <w:szCs w:val="20"/>
          <w:lang w:val="en-US"/>
        </w:rPr>
        <w:t>in relation to</w:t>
      </w:r>
      <w:r w:rsidR="00414E16" w:rsidRPr="00CE23AE">
        <w:rPr>
          <w:szCs w:val="20"/>
          <w:lang w:val="en-US"/>
        </w:rPr>
        <w:t xml:space="preserve"> </w:t>
      </w:r>
      <w:r w:rsidRPr="00CE23AE">
        <w:rPr>
          <w:szCs w:val="20"/>
          <w:lang w:val="en-US"/>
        </w:rPr>
        <w:t xml:space="preserve">Articles 1(1) and </w:t>
      </w:r>
      <w:r w:rsidR="00414E16" w:rsidRPr="00CE23AE">
        <w:rPr>
          <w:szCs w:val="20"/>
          <w:lang w:val="en-US"/>
        </w:rPr>
        <w:t xml:space="preserve">2 </w:t>
      </w:r>
      <w:r w:rsidRPr="00CE23AE">
        <w:rPr>
          <w:szCs w:val="20"/>
          <w:lang w:val="en-US"/>
        </w:rPr>
        <w:t>of this instrument</w:t>
      </w:r>
      <w:r w:rsidR="00414E16" w:rsidRPr="00CE23AE">
        <w:rPr>
          <w:szCs w:val="20"/>
          <w:lang w:val="en-US"/>
        </w:rPr>
        <w:t>,</w:t>
      </w:r>
      <w:r w:rsidR="00293E96" w:rsidRPr="00CE23AE">
        <w:rPr>
          <w:szCs w:val="20"/>
          <w:lang w:val="en-US"/>
        </w:rPr>
        <w:t xml:space="preserve"> </w:t>
      </w:r>
      <w:r w:rsidR="00936F40" w:rsidRPr="00CE23AE">
        <w:rPr>
          <w:szCs w:val="20"/>
          <w:lang w:val="en-US"/>
        </w:rPr>
        <w:t>pursuant to</w:t>
      </w:r>
      <w:r w:rsidR="00293E96" w:rsidRPr="00CE23AE">
        <w:rPr>
          <w:szCs w:val="20"/>
          <w:lang w:val="en-US"/>
        </w:rPr>
        <w:t xml:space="preserve"> </w:t>
      </w:r>
      <w:r w:rsidR="00936F40" w:rsidRPr="00CE23AE">
        <w:rPr>
          <w:szCs w:val="20"/>
          <w:lang w:val="en-US"/>
        </w:rPr>
        <w:t>paragraphs</w:t>
      </w:r>
      <w:r w:rsidR="00293E96" w:rsidRPr="00CE23AE">
        <w:rPr>
          <w:szCs w:val="20"/>
          <w:lang w:val="en-US"/>
        </w:rPr>
        <w:t xml:space="preserve"> </w:t>
      </w:r>
      <w:r w:rsidR="00293E96" w:rsidRPr="00CE23AE">
        <w:rPr>
          <w:szCs w:val="20"/>
          <w:lang w:val="en-US"/>
        </w:rPr>
        <w:fldChar w:fldCharType="begin"/>
      </w:r>
      <w:r w:rsidR="00293E96" w:rsidRPr="00CE23AE">
        <w:rPr>
          <w:szCs w:val="20"/>
          <w:lang w:val="en-US"/>
        </w:rPr>
        <w:instrText xml:space="preserve"> REF _Ref455671574 \r \h </w:instrText>
      </w:r>
      <w:r w:rsidR="00CE23AE">
        <w:rPr>
          <w:szCs w:val="20"/>
          <w:lang w:val="en-US"/>
        </w:rPr>
        <w:instrText xml:space="preserve"> \* MERGEFORMAT </w:instrText>
      </w:r>
      <w:r w:rsidR="00293E96" w:rsidRPr="00CE23AE">
        <w:rPr>
          <w:szCs w:val="20"/>
          <w:lang w:val="en-US"/>
        </w:rPr>
      </w:r>
      <w:r w:rsidR="00293E96" w:rsidRPr="00CE23AE">
        <w:rPr>
          <w:szCs w:val="20"/>
          <w:lang w:val="en-US"/>
        </w:rPr>
        <w:fldChar w:fldCharType="separate"/>
      </w:r>
      <w:r w:rsidR="00BC2953" w:rsidRPr="00CE23AE">
        <w:rPr>
          <w:szCs w:val="20"/>
          <w:lang w:val="en-US"/>
        </w:rPr>
        <w:t>109</w:t>
      </w:r>
      <w:r w:rsidR="00293E96" w:rsidRPr="00CE23AE">
        <w:rPr>
          <w:szCs w:val="20"/>
          <w:lang w:val="en-US"/>
        </w:rPr>
        <w:fldChar w:fldCharType="end"/>
      </w:r>
      <w:r w:rsidR="00293E96" w:rsidRPr="00CE23AE">
        <w:rPr>
          <w:szCs w:val="20"/>
          <w:lang w:val="en-US"/>
        </w:rPr>
        <w:t xml:space="preserve"> </w:t>
      </w:r>
      <w:r w:rsidR="00936F40" w:rsidRPr="00CE23AE">
        <w:rPr>
          <w:szCs w:val="20"/>
          <w:lang w:val="en-US"/>
        </w:rPr>
        <w:t>to</w:t>
      </w:r>
      <w:r w:rsidR="00293E96" w:rsidRPr="00CE23AE">
        <w:rPr>
          <w:szCs w:val="20"/>
          <w:lang w:val="en-US"/>
        </w:rPr>
        <w:t xml:space="preserve"> </w:t>
      </w:r>
      <w:r w:rsidR="00293E96" w:rsidRPr="00CE23AE">
        <w:rPr>
          <w:szCs w:val="20"/>
          <w:lang w:val="en-US"/>
        </w:rPr>
        <w:fldChar w:fldCharType="begin"/>
      </w:r>
      <w:r w:rsidR="00293E96" w:rsidRPr="00CE23AE">
        <w:rPr>
          <w:szCs w:val="20"/>
          <w:lang w:val="en-US"/>
        </w:rPr>
        <w:instrText xml:space="preserve"> REF _Ref453868596 \r \h </w:instrText>
      </w:r>
      <w:r w:rsidR="00CE23AE">
        <w:rPr>
          <w:szCs w:val="20"/>
          <w:lang w:val="en-US"/>
        </w:rPr>
        <w:instrText xml:space="preserve"> \* MERGEFORMAT </w:instrText>
      </w:r>
      <w:r w:rsidR="00293E96" w:rsidRPr="00CE23AE">
        <w:rPr>
          <w:szCs w:val="20"/>
          <w:lang w:val="en-US"/>
        </w:rPr>
      </w:r>
      <w:r w:rsidR="00293E96" w:rsidRPr="00CE23AE">
        <w:rPr>
          <w:szCs w:val="20"/>
          <w:lang w:val="en-US"/>
        </w:rPr>
        <w:fldChar w:fldCharType="separate"/>
      </w:r>
      <w:r w:rsidR="00BC2953" w:rsidRPr="00CE23AE">
        <w:rPr>
          <w:szCs w:val="20"/>
          <w:lang w:val="en-US"/>
        </w:rPr>
        <w:t>140</w:t>
      </w:r>
      <w:r w:rsidR="00293E96" w:rsidRPr="00CE23AE">
        <w:rPr>
          <w:szCs w:val="20"/>
          <w:lang w:val="en-US"/>
        </w:rPr>
        <w:fldChar w:fldCharType="end"/>
      </w:r>
      <w:r w:rsidR="00293E96" w:rsidRPr="00CE23AE">
        <w:rPr>
          <w:szCs w:val="20"/>
          <w:lang w:val="en-US"/>
        </w:rPr>
        <w:t xml:space="preserve"> </w:t>
      </w:r>
      <w:r w:rsidR="00936F40" w:rsidRPr="00CE23AE">
        <w:rPr>
          <w:szCs w:val="20"/>
          <w:lang w:val="en-US"/>
        </w:rPr>
        <w:t>of this judgment</w:t>
      </w:r>
      <w:r w:rsidR="00293E96" w:rsidRPr="00CE23AE">
        <w:rPr>
          <w:szCs w:val="20"/>
          <w:lang w:val="en-US"/>
        </w:rPr>
        <w:t>.</w:t>
      </w:r>
    </w:p>
    <w:p w14:paraId="02C07895" w14:textId="77777777" w:rsidR="00293E96" w:rsidRPr="00CE23AE" w:rsidRDefault="00293E96" w:rsidP="00F22AD0">
      <w:pPr>
        <w:pStyle w:val="Prrafodelista"/>
        <w:tabs>
          <w:tab w:val="left" w:pos="567"/>
        </w:tabs>
        <w:spacing w:before="40"/>
        <w:ind w:left="0"/>
        <w:rPr>
          <w:szCs w:val="20"/>
          <w:lang w:val="en-US"/>
        </w:rPr>
      </w:pPr>
    </w:p>
    <w:p w14:paraId="11AD570A" w14:textId="0750AD45" w:rsidR="00085557" w:rsidRPr="00CE23AE" w:rsidRDefault="00C561DF" w:rsidP="00F22AD0">
      <w:pPr>
        <w:pStyle w:val="Default"/>
        <w:numPr>
          <w:ilvl w:val="0"/>
          <w:numId w:val="29"/>
        </w:numPr>
        <w:tabs>
          <w:tab w:val="left" w:pos="567"/>
        </w:tabs>
        <w:spacing w:before="40"/>
        <w:ind w:left="0" w:firstLine="0"/>
        <w:jc w:val="both"/>
        <w:rPr>
          <w:sz w:val="20"/>
          <w:szCs w:val="20"/>
          <w:lang w:val="en-US"/>
        </w:rPr>
      </w:pPr>
      <w:r w:rsidRPr="00CE23AE">
        <w:rPr>
          <w:sz w:val="20"/>
          <w:szCs w:val="20"/>
          <w:lang w:val="en-US"/>
        </w:rPr>
        <w:t>The State</w:t>
      </w:r>
      <w:r w:rsidR="00085557" w:rsidRPr="00CE23AE">
        <w:rPr>
          <w:sz w:val="20"/>
          <w:szCs w:val="20"/>
          <w:lang w:val="en-US"/>
        </w:rPr>
        <w:t xml:space="preserve"> </w:t>
      </w:r>
      <w:r w:rsidR="00936F40" w:rsidRPr="00CE23AE">
        <w:rPr>
          <w:sz w:val="20"/>
          <w:szCs w:val="20"/>
          <w:lang w:val="en-US"/>
        </w:rPr>
        <w:t>is responsible for</w:t>
      </w:r>
      <w:r w:rsidR="00085557" w:rsidRPr="00CE23AE">
        <w:rPr>
          <w:sz w:val="20"/>
          <w:szCs w:val="20"/>
          <w:lang w:val="en-US"/>
        </w:rPr>
        <w:t xml:space="preserve"> </w:t>
      </w:r>
      <w:r w:rsidR="00936F40" w:rsidRPr="00CE23AE">
        <w:rPr>
          <w:sz w:val="20"/>
          <w:szCs w:val="20"/>
          <w:lang w:val="en-US"/>
        </w:rPr>
        <w:t>the violation</w:t>
      </w:r>
      <w:r w:rsidR="00085557" w:rsidRPr="00CE23AE">
        <w:rPr>
          <w:sz w:val="20"/>
          <w:szCs w:val="20"/>
          <w:lang w:val="en-US"/>
        </w:rPr>
        <w:t xml:space="preserve"> </w:t>
      </w:r>
      <w:r w:rsidR="00936F40" w:rsidRPr="00CE23AE">
        <w:rPr>
          <w:sz w:val="20"/>
          <w:szCs w:val="20"/>
          <w:lang w:val="en-US"/>
        </w:rPr>
        <w:t>of the</w:t>
      </w:r>
      <w:r w:rsidR="00085557" w:rsidRPr="00CE23AE">
        <w:rPr>
          <w:sz w:val="20"/>
          <w:szCs w:val="20"/>
          <w:lang w:val="en-US"/>
        </w:rPr>
        <w:t xml:space="preserve"> </w:t>
      </w:r>
      <w:r w:rsidR="00D020FF" w:rsidRPr="00CE23AE">
        <w:rPr>
          <w:sz w:val="20"/>
          <w:szCs w:val="20"/>
          <w:lang w:val="en-US"/>
        </w:rPr>
        <w:t>right to honor and dignity</w:t>
      </w:r>
      <w:r w:rsidR="00085557" w:rsidRPr="00CE23AE">
        <w:rPr>
          <w:sz w:val="20"/>
          <w:szCs w:val="20"/>
          <w:lang w:val="en-US"/>
        </w:rPr>
        <w:t xml:space="preserve">, </w:t>
      </w:r>
      <w:r w:rsidR="00936F40" w:rsidRPr="00CE23AE">
        <w:rPr>
          <w:sz w:val="20"/>
          <w:szCs w:val="20"/>
          <w:lang w:val="en-US"/>
        </w:rPr>
        <w:t>recognized in</w:t>
      </w:r>
      <w:r w:rsidR="00085557" w:rsidRPr="00CE23AE">
        <w:rPr>
          <w:sz w:val="20"/>
          <w:szCs w:val="20"/>
          <w:lang w:val="en-US"/>
        </w:rPr>
        <w:t xml:space="preserve"> </w:t>
      </w:r>
      <w:r w:rsidRPr="00CE23AE">
        <w:rPr>
          <w:sz w:val="20"/>
          <w:szCs w:val="20"/>
          <w:lang w:val="en-US"/>
        </w:rPr>
        <w:t>Article</w:t>
      </w:r>
      <w:r w:rsidR="00085557" w:rsidRPr="00CE23AE">
        <w:rPr>
          <w:sz w:val="20"/>
          <w:szCs w:val="20"/>
          <w:lang w:val="en-US"/>
        </w:rPr>
        <w:t xml:space="preserve"> 11</w:t>
      </w:r>
      <w:r w:rsidR="00936F40" w:rsidRPr="00CE23AE">
        <w:rPr>
          <w:sz w:val="20"/>
          <w:szCs w:val="20"/>
          <w:lang w:val="en-US"/>
        </w:rPr>
        <w:t>(</w:t>
      </w:r>
      <w:r w:rsidR="00085557" w:rsidRPr="00CE23AE">
        <w:rPr>
          <w:sz w:val="20"/>
          <w:szCs w:val="20"/>
          <w:lang w:val="en-US"/>
        </w:rPr>
        <w:t>1</w:t>
      </w:r>
      <w:r w:rsidR="00936F40" w:rsidRPr="00CE23AE">
        <w:rPr>
          <w:sz w:val="20"/>
          <w:szCs w:val="20"/>
          <w:lang w:val="en-US"/>
        </w:rPr>
        <w:t>)</w:t>
      </w:r>
      <w:r w:rsidRPr="00CE23AE">
        <w:rPr>
          <w:sz w:val="20"/>
          <w:szCs w:val="20"/>
          <w:lang w:val="en-US"/>
        </w:rPr>
        <w:t xml:space="preserve"> of the Convention</w:t>
      </w:r>
      <w:r w:rsidR="00085557" w:rsidRPr="00CE23AE">
        <w:rPr>
          <w:sz w:val="20"/>
          <w:szCs w:val="20"/>
          <w:lang w:val="en-US"/>
        </w:rPr>
        <w:t xml:space="preserve">, </w:t>
      </w:r>
      <w:r w:rsidR="00936F40" w:rsidRPr="00CE23AE">
        <w:rPr>
          <w:sz w:val="20"/>
          <w:szCs w:val="20"/>
          <w:lang w:val="en-US"/>
        </w:rPr>
        <w:t>in relation to</w:t>
      </w:r>
      <w:r w:rsidR="00085557" w:rsidRPr="00CE23AE">
        <w:rPr>
          <w:sz w:val="20"/>
          <w:szCs w:val="20"/>
          <w:lang w:val="en-US"/>
        </w:rPr>
        <w:t xml:space="preserve"> </w:t>
      </w:r>
      <w:r w:rsidRPr="00CE23AE">
        <w:rPr>
          <w:sz w:val="20"/>
          <w:szCs w:val="20"/>
          <w:lang w:val="en-US"/>
        </w:rPr>
        <w:t>Article 1(1)</w:t>
      </w:r>
      <w:r w:rsidR="00085557" w:rsidRPr="00CE23AE">
        <w:rPr>
          <w:sz w:val="20"/>
          <w:szCs w:val="20"/>
          <w:lang w:val="en-US"/>
        </w:rPr>
        <w:t xml:space="preserve"> </w:t>
      </w:r>
      <w:r w:rsidRPr="00CE23AE">
        <w:rPr>
          <w:sz w:val="20"/>
          <w:szCs w:val="20"/>
          <w:lang w:val="en-US"/>
        </w:rPr>
        <w:t>of this instrument</w:t>
      </w:r>
      <w:r w:rsidR="00085557" w:rsidRPr="00CE23AE">
        <w:rPr>
          <w:sz w:val="20"/>
          <w:szCs w:val="20"/>
          <w:lang w:val="en-US"/>
        </w:rPr>
        <w:t xml:space="preserve">, </w:t>
      </w:r>
      <w:r w:rsidR="00936F40" w:rsidRPr="00CE23AE">
        <w:rPr>
          <w:sz w:val="20"/>
          <w:szCs w:val="20"/>
          <w:lang w:val="en-US"/>
        </w:rPr>
        <w:t>pursuant to</w:t>
      </w:r>
      <w:r w:rsidR="00085557" w:rsidRPr="00CE23AE">
        <w:rPr>
          <w:sz w:val="20"/>
          <w:szCs w:val="20"/>
          <w:lang w:val="en-US"/>
        </w:rPr>
        <w:t xml:space="preserve"> </w:t>
      </w:r>
      <w:r w:rsidR="00936F40" w:rsidRPr="00CE23AE">
        <w:rPr>
          <w:sz w:val="20"/>
          <w:szCs w:val="20"/>
          <w:lang w:val="en-US"/>
        </w:rPr>
        <w:t>paragraphs</w:t>
      </w:r>
      <w:r w:rsidR="00085557" w:rsidRPr="00CE23AE">
        <w:rPr>
          <w:sz w:val="20"/>
          <w:szCs w:val="20"/>
          <w:lang w:val="en-US"/>
        </w:rPr>
        <w:t xml:space="preserve"> </w:t>
      </w:r>
      <w:r w:rsidR="004B3F90" w:rsidRPr="00CE23AE">
        <w:rPr>
          <w:sz w:val="20"/>
          <w:szCs w:val="20"/>
          <w:lang w:val="en-US"/>
        </w:rPr>
        <w:fldChar w:fldCharType="begin"/>
      </w:r>
      <w:r w:rsidR="004B3F90" w:rsidRPr="00CE23AE">
        <w:rPr>
          <w:sz w:val="20"/>
          <w:szCs w:val="20"/>
          <w:lang w:val="en-US"/>
        </w:rPr>
        <w:instrText xml:space="preserve"> REF _Ref464741780 \r \h </w:instrText>
      </w:r>
      <w:r w:rsidR="00CE23AE">
        <w:rPr>
          <w:sz w:val="20"/>
          <w:szCs w:val="20"/>
          <w:lang w:val="en-US"/>
        </w:rPr>
        <w:instrText xml:space="preserve"> \* MERGEFORMAT </w:instrText>
      </w:r>
      <w:r w:rsidR="004B3F90" w:rsidRPr="00CE23AE">
        <w:rPr>
          <w:sz w:val="20"/>
          <w:szCs w:val="20"/>
          <w:lang w:val="en-US"/>
        </w:rPr>
      </w:r>
      <w:r w:rsidR="004B3F90" w:rsidRPr="00CE23AE">
        <w:rPr>
          <w:sz w:val="20"/>
          <w:szCs w:val="20"/>
          <w:lang w:val="en-US"/>
        </w:rPr>
        <w:fldChar w:fldCharType="separate"/>
      </w:r>
      <w:r w:rsidR="00BC2953" w:rsidRPr="00CE23AE">
        <w:rPr>
          <w:sz w:val="20"/>
          <w:szCs w:val="20"/>
          <w:lang w:val="en-US"/>
        </w:rPr>
        <w:t>153</w:t>
      </w:r>
      <w:r w:rsidR="004B3F90" w:rsidRPr="00CE23AE">
        <w:rPr>
          <w:sz w:val="20"/>
          <w:szCs w:val="20"/>
          <w:lang w:val="en-US"/>
        </w:rPr>
        <w:fldChar w:fldCharType="end"/>
      </w:r>
      <w:r w:rsidR="00085557" w:rsidRPr="00CE23AE">
        <w:rPr>
          <w:sz w:val="20"/>
          <w:szCs w:val="20"/>
          <w:lang w:val="en-US"/>
        </w:rPr>
        <w:t xml:space="preserve"> </w:t>
      </w:r>
      <w:r w:rsidR="00936F40" w:rsidRPr="00CE23AE">
        <w:rPr>
          <w:sz w:val="20"/>
          <w:szCs w:val="20"/>
          <w:lang w:val="en-US"/>
        </w:rPr>
        <w:t>to</w:t>
      </w:r>
      <w:r w:rsidR="00085557" w:rsidRPr="00CE23AE">
        <w:rPr>
          <w:sz w:val="20"/>
          <w:szCs w:val="20"/>
          <w:lang w:val="en-US"/>
        </w:rPr>
        <w:t xml:space="preserve"> </w:t>
      </w:r>
      <w:r w:rsidR="00085557" w:rsidRPr="00CE23AE">
        <w:rPr>
          <w:sz w:val="20"/>
          <w:szCs w:val="20"/>
          <w:lang w:val="en-US"/>
        </w:rPr>
        <w:fldChar w:fldCharType="begin"/>
      </w:r>
      <w:r w:rsidR="00085557" w:rsidRPr="00CE23AE">
        <w:rPr>
          <w:sz w:val="20"/>
          <w:szCs w:val="20"/>
          <w:lang w:val="en-US"/>
        </w:rPr>
        <w:instrText xml:space="preserve"> REF _Ref460348725 \r \h  \* MERGEFORMAT </w:instrText>
      </w:r>
      <w:r w:rsidR="00085557" w:rsidRPr="00CE23AE">
        <w:rPr>
          <w:sz w:val="20"/>
          <w:szCs w:val="20"/>
          <w:lang w:val="en-US"/>
        </w:rPr>
      </w:r>
      <w:r w:rsidR="00085557" w:rsidRPr="00CE23AE">
        <w:rPr>
          <w:sz w:val="20"/>
          <w:szCs w:val="20"/>
          <w:lang w:val="en-US"/>
        </w:rPr>
        <w:fldChar w:fldCharType="separate"/>
      </w:r>
      <w:r w:rsidR="00BC2953" w:rsidRPr="00CE23AE">
        <w:rPr>
          <w:sz w:val="20"/>
          <w:szCs w:val="20"/>
          <w:lang w:val="en-US"/>
        </w:rPr>
        <w:t>158</w:t>
      </w:r>
      <w:r w:rsidR="00085557" w:rsidRPr="00CE23AE">
        <w:rPr>
          <w:sz w:val="20"/>
          <w:szCs w:val="20"/>
          <w:lang w:val="en-US"/>
        </w:rPr>
        <w:fldChar w:fldCharType="end"/>
      </w:r>
      <w:r w:rsidR="00085557" w:rsidRPr="00CE23AE">
        <w:rPr>
          <w:sz w:val="20"/>
          <w:szCs w:val="20"/>
          <w:lang w:val="en-US"/>
        </w:rPr>
        <w:t xml:space="preserve"> </w:t>
      </w:r>
      <w:r w:rsidR="00936F40" w:rsidRPr="00CE23AE">
        <w:rPr>
          <w:sz w:val="20"/>
          <w:szCs w:val="20"/>
          <w:lang w:val="en-US"/>
        </w:rPr>
        <w:t>of this judgment</w:t>
      </w:r>
      <w:r w:rsidR="00085557" w:rsidRPr="00CE23AE">
        <w:rPr>
          <w:sz w:val="20"/>
          <w:szCs w:val="20"/>
          <w:lang w:val="en-US"/>
        </w:rPr>
        <w:t>.</w:t>
      </w:r>
    </w:p>
    <w:p w14:paraId="41F0D022" w14:textId="77777777" w:rsidR="00085557" w:rsidRPr="00CE23AE" w:rsidRDefault="00085557" w:rsidP="00F22AD0">
      <w:pPr>
        <w:pStyle w:val="Default"/>
        <w:tabs>
          <w:tab w:val="left" w:pos="567"/>
        </w:tabs>
        <w:spacing w:before="40"/>
        <w:jc w:val="both"/>
        <w:rPr>
          <w:sz w:val="20"/>
          <w:szCs w:val="20"/>
          <w:lang w:val="en-US"/>
        </w:rPr>
      </w:pPr>
    </w:p>
    <w:p w14:paraId="63435C19" w14:textId="25A7AF8F" w:rsidR="00414E16" w:rsidRPr="00CE23AE" w:rsidRDefault="00C561DF" w:rsidP="00F22AD0">
      <w:pPr>
        <w:pStyle w:val="Prrafodelista"/>
        <w:numPr>
          <w:ilvl w:val="0"/>
          <w:numId w:val="29"/>
        </w:numPr>
        <w:tabs>
          <w:tab w:val="left" w:pos="567"/>
        </w:tabs>
        <w:spacing w:before="40"/>
        <w:ind w:left="0" w:firstLine="0"/>
        <w:rPr>
          <w:szCs w:val="20"/>
          <w:lang w:val="en-US"/>
        </w:rPr>
      </w:pPr>
      <w:r w:rsidRPr="00CE23AE">
        <w:rPr>
          <w:szCs w:val="20"/>
          <w:lang w:val="en-US"/>
        </w:rPr>
        <w:t>The State</w:t>
      </w:r>
      <w:r w:rsidR="00DF27A0" w:rsidRPr="00CE23AE">
        <w:rPr>
          <w:szCs w:val="20"/>
          <w:lang w:val="en-US"/>
        </w:rPr>
        <w:t xml:space="preserve"> </w:t>
      </w:r>
      <w:r w:rsidR="00936F40" w:rsidRPr="00CE23AE">
        <w:rPr>
          <w:szCs w:val="20"/>
          <w:lang w:val="en-US"/>
        </w:rPr>
        <w:t>is responsible for</w:t>
      </w:r>
      <w:r w:rsidR="00DF27A0" w:rsidRPr="00CE23AE">
        <w:rPr>
          <w:szCs w:val="20"/>
          <w:lang w:val="en-US"/>
        </w:rPr>
        <w:t xml:space="preserve"> </w:t>
      </w:r>
      <w:r w:rsidR="00936F40" w:rsidRPr="00CE23AE">
        <w:rPr>
          <w:szCs w:val="20"/>
          <w:lang w:val="en-US"/>
        </w:rPr>
        <w:t>the violation</w:t>
      </w:r>
      <w:r w:rsidR="00DF27A0" w:rsidRPr="00CE23AE">
        <w:rPr>
          <w:szCs w:val="20"/>
          <w:lang w:val="en-US"/>
        </w:rPr>
        <w:t xml:space="preserve"> </w:t>
      </w:r>
      <w:r w:rsidR="00936F40" w:rsidRPr="00CE23AE">
        <w:rPr>
          <w:szCs w:val="20"/>
          <w:lang w:val="en-US"/>
        </w:rPr>
        <w:t>of the guarantee of impartiality recognized in</w:t>
      </w:r>
      <w:r w:rsidR="00DF27A0" w:rsidRPr="00CE23AE">
        <w:rPr>
          <w:szCs w:val="20"/>
          <w:lang w:val="en-US"/>
        </w:rPr>
        <w:t xml:space="preserve"> </w:t>
      </w:r>
      <w:r w:rsidRPr="00CE23AE">
        <w:rPr>
          <w:szCs w:val="20"/>
          <w:lang w:val="en-US"/>
        </w:rPr>
        <w:t>Article</w:t>
      </w:r>
      <w:r w:rsidR="00DF27A0" w:rsidRPr="00CE23AE">
        <w:rPr>
          <w:szCs w:val="20"/>
          <w:lang w:val="en-US"/>
        </w:rPr>
        <w:t xml:space="preserve"> </w:t>
      </w:r>
      <w:r w:rsidRPr="00CE23AE">
        <w:rPr>
          <w:szCs w:val="20"/>
          <w:lang w:val="en-US"/>
        </w:rPr>
        <w:t>8(1) of the Convention</w:t>
      </w:r>
      <w:r w:rsidR="00DF27A0" w:rsidRPr="00CE23AE">
        <w:rPr>
          <w:szCs w:val="20"/>
          <w:lang w:val="en-US"/>
        </w:rPr>
        <w:t xml:space="preserve">, </w:t>
      </w:r>
      <w:r w:rsidR="00936F40" w:rsidRPr="00CE23AE">
        <w:rPr>
          <w:szCs w:val="20"/>
          <w:lang w:val="en-US"/>
        </w:rPr>
        <w:t>in relation to</w:t>
      </w:r>
      <w:r w:rsidR="00DF27A0" w:rsidRPr="00CE23AE">
        <w:rPr>
          <w:szCs w:val="20"/>
          <w:lang w:val="en-US"/>
        </w:rPr>
        <w:t xml:space="preserve"> </w:t>
      </w:r>
      <w:r w:rsidRPr="00CE23AE">
        <w:rPr>
          <w:szCs w:val="20"/>
          <w:lang w:val="en-US"/>
        </w:rPr>
        <w:t>Article 1(1)</w:t>
      </w:r>
      <w:r w:rsidR="00DF27A0" w:rsidRPr="00CE23AE">
        <w:rPr>
          <w:szCs w:val="20"/>
          <w:lang w:val="en-US"/>
        </w:rPr>
        <w:t xml:space="preserve"> </w:t>
      </w:r>
      <w:r w:rsidRPr="00CE23AE">
        <w:rPr>
          <w:szCs w:val="20"/>
          <w:lang w:val="en-US"/>
        </w:rPr>
        <w:t>of this instrument</w:t>
      </w:r>
      <w:r w:rsidR="00DF27A0" w:rsidRPr="00CE23AE">
        <w:rPr>
          <w:szCs w:val="20"/>
          <w:lang w:val="en-US"/>
        </w:rPr>
        <w:t xml:space="preserve">, </w:t>
      </w:r>
      <w:r w:rsidRPr="00CE23AE">
        <w:rPr>
          <w:szCs w:val="20"/>
          <w:lang w:val="en-US"/>
        </w:rPr>
        <w:t>to the detriment of</w:t>
      </w:r>
      <w:r w:rsidR="00DF27A0" w:rsidRPr="00CE23AE">
        <w:rPr>
          <w:szCs w:val="20"/>
          <w:lang w:val="en-US"/>
        </w:rPr>
        <w:t xml:space="preserve"> Homero Flor Freire, </w:t>
      </w:r>
      <w:r w:rsidR="00936F40" w:rsidRPr="00CE23AE">
        <w:rPr>
          <w:szCs w:val="20"/>
          <w:lang w:val="en-US"/>
        </w:rPr>
        <w:t>pursuant to</w:t>
      </w:r>
      <w:r w:rsidR="00DF27A0" w:rsidRPr="00CE23AE">
        <w:rPr>
          <w:szCs w:val="20"/>
          <w:lang w:val="en-US"/>
        </w:rPr>
        <w:t xml:space="preserve"> </w:t>
      </w:r>
      <w:r w:rsidR="00936F40" w:rsidRPr="00CE23AE">
        <w:rPr>
          <w:szCs w:val="20"/>
          <w:lang w:val="en-US"/>
        </w:rPr>
        <w:t>paragraphs</w:t>
      </w:r>
      <w:r w:rsidR="00DF27A0" w:rsidRPr="00CE23AE">
        <w:rPr>
          <w:szCs w:val="20"/>
          <w:lang w:val="en-US"/>
        </w:rPr>
        <w:t xml:space="preserve"> </w:t>
      </w:r>
      <w:r w:rsidR="00DF27A0" w:rsidRPr="00CE23AE">
        <w:rPr>
          <w:szCs w:val="20"/>
          <w:lang w:val="en-US"/>
        </w:rPr>
        <w:fldChar w:fldCharType="begin"/>
      </w:r>
      <w:r w:rsidR="00DF27A0" w:rsidRPr="00CE23AE">
        <w:rPr>
          <w:szCs w:val="20"/>
          <w:lang w:val="en-US"/>
        </w:rPr>
        <w:instrText xml:space="preserve"> REF _Ref455672087 \r \h </w:instrText>
      </w:r>
      <w:r w:rsidR="003E16E9" w:rsidRPr="00CE23AE">
        <w:rPr>
          <w:szCs w:val="20"/>
          <w:lang w:val="en-US"/>
        </w:rPr>
        <w:instrText xml:space="preserve"> \* MERGEFORMAT </w:instrText>
      </w:r>
      <w:r w:rsidR="00DF27A0" w:rsidRPr="00CE23AE">
        <w:rPr>
          <w:szCs w:val="20"/>
          <w:lang w:val="en-US"/>
        </w:rPr>
      </w:r>
      <w:r w:rsidR="00DF27A0" w:rsidRPr="00CE23AE">
        <w:rPr>
          <w:szCs w:val="20"/>
          <w:lang w:val="en-US"/>
        </w:rPr>
        <w:fldChar w:fldCharType="separate"/>
      </w:r>
      <w:r w:rsidR="00BC2953" w:rsidRPr="00CE23AE">
        <w:rPr>
          <w:szCs w:val="20"/>
          <w:lang w:val="en-US"/>
        </w:rPr>
        <w:t>168</w:t>
      </w:r>
      <w:r w:rsidR="00DF27A0" w:rsidRPr="00CE23AE">
        <w:rPr>
          <w:szCs w:val="20"/>
          <w:lang w:val="en-US"/>
        </w:rPr>
        <w:fldChar w:fldCharType="end"/>
      </w:r>
      <w:r w:rsidR="00DF27A0" w:rsidRPr="00CE23AE">
        <w:rPr>
          <w:szCs w:val="20"/>
          <w:lang w:val="en-US"/>
        </w:rPr>
        <w:t xml:space="preserve"> </w:t>
      </w:r>
      <w:r w:rsidR="00936F40" w:rsidRPr="00CE23AE">
        <w:rPr>
          <w:szCs w:val="20"/>
          <w:lang w:val="en-US"/>
        </w:rPr>
        <w:t>to</w:t>
      </w:r>
      <w:r w:rsidR="00DF27A0" w:rsidRPr="00CE23AE">
        <w:rPr>
          <w:szCs w:val="20"/>
          <w:lang w:val="en-US"/>
        </w:rPr>
        <w:t xml:space="preserve"> </w:t>
      </w:r>
      <w:r w:rsidR="00DF27A0" w:rsidRPr="00CE23AE">
        <w:rPr>
          <w:szCs w:val="20"/>
          <w:lang w:val="en-US"/>
        </w:rPr>
        <w:fldChar w:fldCharType="begin"/>
      </w:r>
      <w:r w:rsidR="00DF27A0" w:rsidRPr="00CE23AE">
        <w:rPr>
          <w:szCs w:val="20"/>
          <w:lang w:val="en-US"/>
        </w:rPr>
        <w:instrText xml:space="preserve"> REF _Ref455672103 \r \h </w:instrText>
      </w:r>
      <w:r w:rsidR="003E16E9" w:rsidRPr="00CE23AE">
        <w:rPr>
          <w:szCs w:val="20"/>
          <w:lang w:val="en-US"/>
        </w:rPr>
        <w:instrText xml:space="preserve"> \* MERGEFORMAT </w:instrText>
      </w:r>
      <w:r w:rsidR="00DF27A0" w:rsidRPr="00CE23AE">
        <w:rPr>
          <w:szCs w:val="20"/>
          <w:lang w:val="en-US"/>
        </w:rPr>
      </w:r>
      <w:r w:rsidR="00DF27A0" w:rsidRPr="00CE23AE">
        <w:rPr>
          <w:szCs w:val="20"/>
          <w:lang w:val="en-US"/>
        </w:rPr>
        <w:fldChar w:fldCharType="separate"/>
      </w:r>
      <w:r w:rsidR="00BC2953" w:rsidRPr="00CE23AE">
        <w:rPr>
          <w:szCs w:val="20"/>
          <w:lang w:val="en-US"/>
        </w:rPr>
        <w:t>181</w:t>
      </w:r>
      <w:r w:rsidR="00DF27A0" w:rsidRPr="00CE23AE">
        <w:rPr>
          <w:szCs w:val="20"/>
          <w:lang w:val="en-US"/>
        </w:rPr>
        <w:fldChar w:fldCharType="end"/>
      </w:r>
      <w:r w:rsidR="00DF27A0" w:rsidRPr="00CE23AE">
        <w:rPr>
          <w:szCs w:val="20"/>
          <w:lang w:val="en-US"/>
        </w:rPr>
        <w:t xml:space="preserve"> </w:t>
      </w:r>
      <w:r w:rsidR="00936F40" w:rsidRPr="00CE23AE">
        <w:rPr>
          <w:szCs w:val="20"/>
          <w:lang w:val="en-US"/>
        </w:rPr>
        <w:t>of this judgment</w:t>
      </w:r>
      <w:r w:rsidR="00DF27A0" w:rsidRPr="00CE23AE">
        <w:rPr>
          <w:szCs w:val="20"/>
          <w:lang w:val="en-US"/>
        </w:rPr>
        <w:t>.</w:t>
      </w:r>
    </w:p>
    <w:p w14:paraId="7CA80D39" w14:textId="77777777" w:rsidR="00414E16" w:rsidRPr="00CE23AE" w:rsidRDefault="00414E16" w:rsidP="00F22AD0">
      <w:pPr>
        <w:pStyle w:val="Prrafodelista"/>
        <w:tabs>
          <w:tab w:val="left" w:pos="567"/>
        </w:tabs>
        <w:spacing w:before="40"/>
        <w:ind w:left="0"/>
        <w:rPr>
          <w:szCs w:val="20"/>
          <w:lang w:val="en-US"/>
        </w:rPr>
      </w:pPr>
    </w:p>
    <w:p w14:paraId="37B196D2" w14:textId="416BA1E1" w:rsidR="00293E96" w:rsidRPr="00CE23AE" w:rsidRDefault="00C561DF" w:rsidP="00F22AD0">
      <w:pPr>
        <w:pStyle w:val="Prrafodelista"/>
        <w:numPr>
          <w:ilvl w:val="0"/>
          <w:numId w:val="29"/>
        </w:numPr>
        <w:tabs>
          <w:tab w:val="left" w:pos="567"/>
        </w:tabs>
        <w:spacing w:before="40"/>
        <w:ind w:left="0" w:firstLine="0"/>
        <w:rPr>
          <w:szCs w:val="20"/>
          <w:lang w:val="en-US"/>
        </w:rPr>
      </w:pPr>
      <w:r w:rsidRPr="00CE23AE">
        <w:rPr>
          <w:lang w:val="en-US"/>
        </w:rPr>
        <w:t>The State</w:t>
      </w:r>
      <w:r w:rsidR="00293E96" w:rsidRPr="00CE23AE">
        <w:rPr>
          <w:lang w:val="en-US"/>
        </w:rPr>
        <w:t xml:space="preserve"> </w:t>
      </w:r>
      <w:r w:rsidR="00936F40" w:rsidRPr="00CE23AE">
        <w:rPr>
          <w:lang w:val="en-US"/>
        </w:rPr>
        <w:t>is not responsible for</w:t>
      </w:r>
      <w:r w:rsidR="00293E96" w:rsidRPr="00CE23AE">
        <w:rPr>
          <w:lang w:val="en-US"/>
        </w:rPr>
        <w:t xml:space="preserve"> </w:t>
      </w:r>
      <w:r w:rsidR="00936F40" w:rsidRPr="00CE23AE">
        <w:rPr>
          <w:lang w:val="en-US"/>
        </w:rPr>
        <w:t>the violation</w:t>
      </w:r>
      <w:r w:rsidR="00AC18A9" w:rsidRPr="00CE23AE">
        <w:rPr>
          <w:lang w:val="en-US"/>
        </w:rPr>
        <w:t xml:space="preserve"> of the principle of legality</w:t>
      </w:r>
      <w:r w:rsidR="00085557" w:rsidRPr="00CE23AE">
        <w:rPr>
          <w:lang w:val="en-US"/>
        </w:rPr>
        <w:t>,</w:t>
      </w:r>
      <w:r w:rsidR="00293E96" w:rsidRPr="00CE23AE">
        <w:rPr>
          <w:lang w:val="en-US"/>
        </w:rPr>
        <w:t xml:space="preserve"> </w:t>
      </w:r>
      <w:r w:rsidR="00936F40" w:rsidRPr="00CE23AE">
        <w:rPr>
          <w:lang w:val="en-US"/>
        </w:rPr>
        <w:t>recognized in</w:t>
      </w:r>
      <w:r w:rsidR="00293E96" w:rsidRPr="00CE23AE">
        <w:rPr>
          <w:lang w:val="en-US"/>
        </w:rPr>
        <w:t xml:space="preserve"> </w:t>
      </w:r>
      <w:r w:rsidRPr="00CE23AE">
        <w:rPr>
          <w:lang w:val="en-US"/>
        </w:rPr>
        <w:t>Article</w:t>
      </w:r>
      <w:r w:rsidR="00293E96" w:rsidRPr="00CE23AE">
        <w:rPr>
          <w:lang w:val="en-US"/>
        </w:rPr>
        <w:t xml:space="preserve"> 9</w:t>
      </w:r>
      <w:r w:rsidRPr="00CE23AE">
        <w:rPr>
          <w:lang w:val="en-US"/>
        </w:rPr>
        <w:t xml:space="preserve"> of the American Convention</w:t>
      </w:r>
      <w:r w:rsidR="00414E16" w:rsidRPr="00CE23AE">
        <w:rPr>
          <w:lang w:val="en-US"/>
        </w:rPr>
        <w:t xml:space="preserve">, </w:t>
      </w:r>
      <w:r w:rsidR="00936F40" w:rsidRPr="00CE23AE">
        <w:rPr>
          <w:lang w:val="en-US"/>
        </w:rPr>
        <w:t>in relation to</w:t>
      </w:r>
      <w:r w:rsidR="00414E16" w:rsidRPr="00CE23AE">
        <w:rPr>
          <w:lang w:val="en-US"/>
        </w:rPr>
        <w:t xml:space="preserve"> </w:t>
      </w:r>
      <w:r w:rsidRPr="00CE23AE">
        <w:rPr>
          <w:lang w:val="en-US"/>
        </w:rPr>
        <w:t>Article 1(1)</w:t>
      </w:r>
      <w:r w:rsidR="00414E16" w:rsidRPr="00CE23AE">
        <w:rPr>
          <w:lang w:val="en-US"/>
        </w:rPr>
        <w:t xml:space="preserve"> </w:t>
      </w:r>
      <w:r w:rsidRPr="00CE23AE">
        <w:rPr>
          <w:lang w:val="en-US"/>
        </w:rPr>
        <w:t>of this instrument</w:t>
      </w:r>
      <w:r w:rsidR="00414E16" w:rsidRPr="00CE23AE">
        <w:rPr>
          <w:lang w:val="en-US"/>
        </w:rPr>
        <w:t>,</w:t>
      </w:r>
      <w:r w:rsidR="00293E96" w:rsidRPr="00CE23AE">
        <w:rPr>
          <w:lang w:val="en-US"/>
        </w:rPr>
        <w:t xml:space="preserve"> </w:t>
      </w:r>
      <w:r w:rsidR="00936F40" w:rsidRPr="00CE23AE">
        <w:rPr>
          <w:lang w:val="en-US"/>
        </w:rPr>
        <w:t>pursuant to</w:t>
      </w:r>
      <w:r w:rsidR="00293E96" w:rsidRPr="00CE23AE">
        <w:rPr>
          <w:lang w:val="en-US"/>
        </w:rPr>
        <w:t xml:space="preserve"> </w:t>
      </w:r>
      <w:r w:rsidR="00936F40" w:rsidRPr="00CE23AE">
        <w:rPr>
          <w:lang w:val="en-US"/>
        </w:rPr>
        <w:t>paragraphs</w:t>
      </w:r>
      <w:r w:rsidR="00293E96" w:rsidRPr="00CE23AE">
        <w:rPr>
          <w:lang w:val="en-US"/>
        </w:rPr>
        <w:t xml:space="preserve"> </w:t>
      </w:r>
      <w:r w:rsidR="00293E96" w:rsidRPr="00CE23AE">
        <w:rPr>
          <w:lang w:val="en-US"/>
        </w:rPr>
        <w:fldChar w:fldCharType="begin"/>
      </w:r>
      <w:r w:rsidR="00293E96" w:rsidRPr="00CE23AE">
        <w:rPr>
          <w:lang w:val="en-US"/>
        </w:rPr>
        <w:instrText xml:space="preserve"> REF _Ref455671665 \r \h </w:instrText>
      </w:r>
      <w:r w:rsidR="00CE23AE">
        <w:rPr>
          <w:lang w:val="en-US"/>
        </w:rPr>
        <w:instrText xml:space="preserve"> \* MERGEFORMAT </w:instrText>
      </w:r>
      <w:r w:rsidR="00293E96" w:rsidRPr="00CE23AE">
        <w:rPr>
          <w:lang w:val="en-US"/>
        </w:rPr>
      </w:r>
      <w:r w:rsidR="00293E96" w:rsidRPr="00CE23AE">
        <w:rPr>
          <w:lang w:val="en-US"/>
        </w:rPr>
        <w:fldChar w:fldCharType="separate"/>
      </w:r>
      <w:r w:rsidR="00BC2953" w:rsidRPr="00CE23AE">
        <w:rPr>
          <w:lang w:val="en-US"/>
        </w:rPr>
        <w:t>144</w:t>
      </w:r>
      <w:r w:rsidR="00293E96" w:rsidRPr="00CE23AE">
        <w:rPr>
          <w:lang w:val="en-US"/>
        </w:rPr>
        <w:fldChar w:fldCharType="end"/>
      </w:r>
      <w:r w:rsidR="00293E96" w:rsidRPr="00CE23AE">
        <w:rPr>
          <w:lang w:val="en-US"/>
        </w:rPr>
        <w:t xml:space="preserve"> </w:t>
      </w:r>
      <w:r w:rsidR="00936F40" w:rsidRPr="00CE23AE">
        <w:rPr>
          <w:lang w:val="en-US"/>
        </w:rPr>
        <w:t xml:space="preserve">to </w:t>
      </w:r>
      <w:r w:rsidR="00293E96" w:rsidRPr="00CE23AE">
        <w:rPr>
          <w:lang w:val="en-US"/>
        </w:rPr>
        <w:fldChar w:fldCharType="begin"/>
      </w:r>
      <w:r w:rsidR="00293E96" w:rsidRPr="00CE23AE">
        <w:rPr>
          <w:lang w:val="en-US"/>
        </w:rPr>
        <w:instrText xml:space="preserve"> REF _Ref455671667 \r \h </w:instrText>
      </w:r>
      <w:r w:rsidR="00CE23AE">
        <w:rPr>
          <w:lang w:val="en-US"/>
        </w:rPr>
        <w:instrText xml:space="preserve"> \* MERGEFORMAT </w:instrText>
      </w:r>
      <w:r w:rsidR="00293E96" w:rsidRPr="00CE23AE">
        <w:rPr>
          <w:lang w:val="en-US"/>
        </w:rPr>
      </w:r>
      <w:r w:rsidR="00293E96" w:rsidRPr="00CE23AE">
        <w:rPr>
          <w:lang w:val="en-US"/>
        </w:rPr>
        <w:fldChar w:fldCharType="separate"/>
      </w:r>
      <w:r w:rsidR="00BC2953" w:rsidRPr="00CE23AE">
        <w:rPr>
          <w:lang w:val="en-US"/>
        </w:rPr>
        <w:t>151</w:t>
      </w:r>
      <w:r w:rsidR="00293E96" w:rsidRPr="00CE23AE">
        <w:rPr>
          <w:lang w:val="en-US"/>
        </w:rPr>
        <w:fldChar w:fldCharType="end"/>
      </w:r>
      <w:r w:rsidR="00293E96" w:rsidRPr="00CE23AE">
        <w:rPr>
          <w:lang w:val="en-US"/>
        </w:rPr>
        <w:t xml:space="preserve"> </w:t>
      </w:r>
      <w:r w:rsidR="00936F40" w:rsidRPr="00CE23AE">
        <w:rPr>
          <w:lang w:val="en-US"/>
        </w:rPr>
        <w:t>of this judgment</w:t>
      </w:r>
      <w:r w:rsidR="00293E96" w:rsidRPr="00CE23AE">
        <w:rPr>
          <w:lang w:val="en-US"/>
        </w:rPr>
        <w:t xml:space="preserve">. </w:t>
      </w:r>
    </w:p>
    <w:p w14:paraId="32F3C63D" w14:textId="77777777" w:rsidR="00DF27A0" w:rsidRPr="00CE23AE" w:rsidRDefault="00DF27A0" w:rsidP="00F22AD0">
      <w:pPr>
        <w:pStyle w:val="Prrafodelista"/>
        <w:tabs>
          <w:tab w:val="left" w:pos="567"/>
        </w:tabs>
        <w:spacing w:before="40"/>
        <w:ind w:left="0"/>
        <w:rPr>
          <w:szCs w:val="20"/>
          <w:lang w:val="en-US"/>
        </w:rPr>
      </w:pPr>
    </w:p>
    <w:p w14:paraId="4D08E4BB" w14:textId="592E1AF0" w:rsidR="00DF27A0" w:rsidRPr="00CE23AE" w:rsidRDefault="00C561DF" w:rsidP="00F22AD0">
      <w:pPr>
        <w:pStyle w:val="Prrafodelista"/>
        <w:numPr>
          <w:ilvl w:val="0"/>
          <w:numId w:val="29"/>
        </w:numPr>
        <w:tabs>
          <w:tab w:val="left" w:pos="567"/>
        </w:tabs>
        <w:spacing w:before="40"/>
        <w:ind w:left="0" w:firstLine="0"/>
        <w:rPr>
          <w:szCs w:val="20"/>
          <w:lang w:val="en-US"/>
        </w:rPr>
      </w:pPr>
      <w:r w:rsidRPr="00CE23AE">
        <w:rPr>
          <w:lang w:val="en-US"/>
        </w:rPr>
        <w:t>The State</w:t>
      </w:r>
      <w:r w:rsidR="00DF27A0" w:rsidRPr="00CE23AE">
        <w:rPr>
          <w:lang w:val="en-US"/>
        </w:rPr>
        <w:t xml:space="preserve"> </w:t>
      </w:r>
      <w:r w:rsidR="00936F40" w:rsidRPr="00CE23AE">
        <w:rPr>
          <w:lang w:val="en-US"/>
        </w:rPr>
        <w:t>is not responsible for</w:t>
      </w:r>
      <w:r w:rsidR="00DF27A0" w:rsidRPr="00CE23AE">
        <w:rPr>
          <w:lang w:val="en-US"/>
        </w:rPr>
        <w:t xml:space="preserve"> </w:t>
      </w:r>
      <w:r w:rsidR="00936F40" w:rsidRPr="00CE23AE">
        <w:rPr>
          <w:lang w:val="en-US"/>
        </w:rPr>
        <w:t>the violation</w:t>
      </w:r>
      <w:r w:rsidR="00DF27A0" w:rsidRPr="00CE23AE">
        <w:rPr>
          <w:lang w:val="en-US"/>
        </w:rPr>
        <w:t xml:space="preserve"> </w:t>
      </w:r>
      <w:r w:rsidR="00936F40" w:rsidRPr="00CE23AE">
        <w:rPr>
          <w:lang w:val="en-US"/>
        </w:rPr>
        <w:t>of the guarantee of the duty to provide the reasoning for decisions recognized in</w:t>
      </w:r>
      <w:r w:rsidR="00DF27A0" w:rsidRPr="00CE23AE">
        <w:rPr>
          <w:lang w:val="en-US"/>
        </w:rPr>
        <w:t xml:space="preserve"> </w:t>
      </w:r>
      <w:r w:rsidRPr="00CE23AE">
        <w:rPr>
          <w:lang w:val="en-US"/>
        </w:rPr>
        <w:t>Article</w:t>
      </w:r>
      <w:r w:rsidR="00DF27A0" w:rsidRPr="00CE23AE">
        <w:rPr>
          <w:lang w:val="en-US"/>
        </w:rPr>
        <w:t xml:space="preserve"> </w:t>
      </w:r>
      <w:r w:rsidRPr="00CE23AE">
        <w:rPr>
          <w:lang w:val="en-US"/>
        </w:rPr>
        <w:t>8(1) of the Convention</w:t>
      </w:r>
      <w:r w:rsidR="00DF27A0" w:rsidRPr="00CE23AE">
        <w:rPr>
          <w:lang w:val="en-US"/>
        </w:rPr>
        <w:t xml:space="preserve">, </w:t>
      </w:r>
      <w:r w:rsidR="00936F40" w:rsidRPr="00CE23AE">
        <w:rPr>
          <w:lang w:val="en-US"/>
        </w:rPr>
        <w:t>in relation to</w:t>
      </w:r>
      <w:r w:rsidR="00DF27A0" w:rsidRPr="00CE23AE">
        <w:rPr>
          <w:lang w:val="en-US"/>
        </w:rPr>
        <w:t xml:space="preserve"> </w:t>
      </w:r>
      <w:r w:rsidRPr="00CE23AE">
        <w:rPr>
          <w:lang w:val="en-US"/>
        </w:rPr>
        <w:t>Article 1(1)</w:t>
      </w:r>
      <w:r w:rsidR="00DF27A0" w:rsidRPr="00CE23AE">
        <w:rPr>
          <w:lang w:val="en-US"/>
        </w:rPr>
        <w:t xml:space="preserve"> </w:t>
      </w:r>
      <w:r w:rsidRPr="00CE23AE">
        <w:rPr>
          <w:szCs w:val="20"/>
          <w:lang w:val="en-US"/>
        </w:rPr>
        <w:t>of this instrument</w:t>
      </w:r>
      <w:r w:rsidR="00DF27A0" w:rsidRPr="00CE23AE">
        <w:rPr>
          <w:lang w:val="en-US"/>
        </w:rPr>
        <w:t xml:space="preserve">, </w:t>
      </w:r>
      <w:r w:rsidR="00936F40" w:rsidRPr="00CE23AE">
        <w:rPr>
          <w:lang w:val="en-US"/>
        </w:rPr>
        <w:t>pursuant to</w:t>
      </w:r>
      <w:r w:rsidR="00DF27A0" w:rsidRPr="00CE23AE">
        <w:rPr>
          <w:lang w:val="en-US"/>
        </w:rPr>
        <w:t xml:space="preserve"> </w:t>
      </w:r>
      <w:r w:rsidR="00936F40" w:rsidRPr="00CE23AE">
        <w:rPr>
          <w:lang w:val="en-US"/>
        </w:rPr>
        <w:t>paragraphs</w:t>
      </w:r>
      <w:r w:rsidR="00DF27A0" w:rsidRPr="00CE23AE">
        <w:rPr>
          <w:lang w:val="en-US"/>
        </w:rPr>
        <w:t xml:space="preserve"> </w:t>
      </w:r>
      <w:r w:rsidR="00DF27A0" w:rsidRPr="00CE23AE">
        <w:rPr>
          <w:lang w:val="en-US"/>
        </w:rPr>
        <w:fldChar w:fldCharType="begin"/>
      </w:r>
      <w:r w:rsidR="00DF27A0" w:rsidRPr="00CE23AE">
        <w:rPr>
          <w:lang w:val="en-US"/>
        </w:rPr>
        <w:instrText xml:space="preserve"> REF _Ref454242864 \r \h </w:instrText>
      </w:r>
      <w:r w:rsidR="00414E16" w:rsidRPr="00CE23AE">
        <w:rPr>
          <w:lang w:val="en-US"/>
        </w:rPr>
        <w:instrText xml:space="preserve"> \* MERGEFORMAT </w:instrText>
      </w:r>
      <w:r w:rsidR="00DF27A0" w:rsidRPr="00CE23AE">
        <w:rPr>
          <w:lang w:val="en-US"/>
        </w:rPr>
      </w:r>
      <w:r w:rsidR="00DF27A0" w:rsidRPr="00CE23AE">
        <w:rPr>
          <w:lang w:val="en-US"/>
        </w:rPr>
        <w:fldChar w:fldCharType="separate"/>
      </w:r>
      <w:r w:rsidR="00BC2953" w:rsidRPr="00CE23AE">
        <w:rPr>
          <w:lang w:val="en-US"/>
        </w:rPr>
        <w:t>182</w:t>
      </w:r>
      <w:r w:rsidR="00DF27A0" w:rsidRPr="00CE23AE">
        <w:rPr>
          <w:lang w:val="en-US"/>
        </w:rPr>
        <w:fldChar w:fldCharType="end"/>
      </w:r>
      <w:r w:rsidR="00DF27A0" w:rsidRPr="00CE23AE">
        <w:rPr>
          <w:lang w:val="en-US"/>
        </w:rPr>
        <w:t xml:space="preserve"> </w:t>
      </w:r>
      <w:r w:rsidR="00936F40" w:rsidRPr="00CE23AE">
        <w:rPr>
          <w:lang w:val="en-US"/>
        </w:rPr>
        <w:t>to</w:t>
      </w:r>
      <w:r w:rsidR="00DF27A0" w:rsidRPr="00CE23AE">
        <w:rPr>
          <w:lang w:val="en-US"/>
        </w:rPr>
        <w:t xml:space="preserve"> </w:t>
      </w:r>
      <w:r w:rsidR="004578A4" w:rsidRPr="00CE23AE">
        <w:rPr>
          <w:lang w:val="en-US"/>
        </w:rPr>
        <w:fldChar w:fldCharType="begin"/>
      </w:r>
      <w:r w:rsidR="004578A4" w:rsidRPr="00CE23AE">
        <w:rPr>
          <w:lang w:val="en-US"/>
        </w:rPr>
        <w:instrText xml:space="preserve"> REF _Ref464744265 \r \h </w:instrText>
      </w:r>
      <w:r w:rsidR="00CE23AE">
        <w:rPr>
          <w:lang w:val="en-US"/>
        </w:rPr>
        <w:instrText xml:space="preserve"> \* MERGEFORMAT </w:instrText>
      </w:r>
      <w:r w:rsidR="004578A4" w:rsidRPr="00CE23AE">
        <w:rPr>
          <w:lang w:val="en-US"/>
        </w:rPr>
      </w:r>
      <w:r w:rsidR="004578A4" w:rsidRPr="00CE23AE">
        <w:rPr>
          <w:lang w:val="en-US"/>
        </w:rPr>
        <w:fldChar w:fldCharType="separate"/>
      </w:r>
      <w:r w:rsidR="00BC2953" w:rsidRPr="00CE23AE">
        <w:rPr>
          <w:lang w:val="en-US"/>
        </w:rPr>
        <w:t>194</w:t>
      </w:r>
      <w:r w:rsidR="004578A4" w:rsidRPr="00CE23AE">
        <w:rPr>
          <w:lang w:val="en-US"/>
        </w:rPr>
        <w:fldChar w:fldCharType="end"/>
      </w:r>
      <w:r w:rsidR="00DF27A0" w:rsidRPr="00CE23AE">
        <w:rPr>
          <w:lang w:val="en-US"/>
        </w:rPr>
        <w:t xml:space="preserve"> </w:t>
      </w:r>
      <w:r w:rsidR="00936F40" w:rsidRPr="00CE23AE">
        <w:rPr>
          <w:lang w:val="en-US"/>
        </w:rPr>
        <w:t>of this judgment</w:t>
      </w:r>
      <w:r w:rsidR="00DF27A0" w:rsidRPr="00CE23AE">
        <w:rPr>
          <w:lang w:val="en-US"/>
        </w:rPr>
        <w:t>.</w:t>
      </w:r>
    </w:p>
    <w:p w14:paraId="693BBA37" w14:textId="77777777" w:rsidR="00DF27A0" w:rsidRPr="00CE23AE" w:rsidRDefault="00DF27A0" w:rsidP="00F22AD0">
      <w:pPr>
        <w:pStyle w:val="Prrafodelista"/>
        <w:tabs>
          <w:tab w:val="left" w:pos="567"/>
        </w:tabs>
        <w:spacing w:before="40"/>
        <w:ind w:left="0"/>
        <w:rPr>
          <w:szCs w:val="20"/>
          <w:lang w:val="en-US"/>
        </w:rPr>
      </w:pPr>
    </w:p>
    <w:p w14:paraId="3363B97B" w14:textId="45B06A7A" w:rsidR="00DF27A0" w:rsidRPr="00CE23AE" w:rsidRDefault="00C561DF" w:rsidP="00F22AD0">
      <w:pPr>
        <w:pStyle w:val="Prrafodelista"/>
        <w:numPr>
          <w:ilvl w:val="0"/>
          <w:numId w:val="29"/>
        </w:numPr>
        <w:tabs>
          <w:tab w:val="left" w:pos="567"/>
        </w:tabs>
        <w:spacing w:before="40"/>
        <w:ind w:left="0" w:firstLine="0"/>
        <w:rPr>
          <w:szCs w:val="20"/>
          <w:lang w:val="en-US"/>
        </w:rPr>
      </w:pPr>
      <w:r w:rsidRPr="00CE23AE">
        <w:rPr>
          <w:lang w:val="en-US"/>
        </w:rPr>
        <w:lastRenderedPageBreak/>
        <w:t>The State</w:t>
      </w:r>
      <w:r w:rsidR="00DF27A0" w:rsidRPr="00CE23AE">
        <w:rPr>
          <w:lang w:val="en-US"/>
        </w:rPr>
        <w:t xml:space="preserve"> </w:t>
      </w:r>
      <w:r w:rsidR="00936F40" w:rsidRPr="00CE23AE">
        <w:rPr>
          <w:lang w:val="en-US"/>
        </w:rPr>
        <w:t>is not responsible for</w:t>
      </w:r>
      <w:r w:rsidR="00DF27A0" w:rsidRPr="00CE23AE">
        <w:rPr>
          <w:lang w:val="en-US"/>
        </w:rPr>
        <w:t xml:space="preserve"> </w:t>
      </w:r>
      <w:r w:rsidR="00936F40" w:rsidRPr="00CE23AE">
        <w:rPr>
          <w:lang w:val="en-US"/>
        </w:rPr>
        <w:t>the violation</w:t>
      </w:r>
      <w:r w:rsidR="00DF27A0" w:rsidRPr="00CE23AE">
        <w:rPr>
          <w:lang w:val="en-US"/>
        </w:rPr>
        <w:t xml:space="preserve"> </w:t>
      </w:r>
      <w:r w:rsidR="008D3BC5" w:rsidRPr="00CE23AE">
        <w:rPr>
          <w:lang w:val="en-US"/>
        </w:rPr>
        <w:t>of the right</w:t>
      </w:r>
      <w:r w:rsidR="006C4675" w:rsidRPr="00CE23AE">
        <w:rPr>
          <w:lang w:val="en-US"/>
        </w:rPr>
        <w:t xml:space="preserve"> to an effective remedy</w:t>
      </w:r>
      <w:r w:rsidR="00DF27A0" w:rsidRPr="00CE23AE">
        <w:rPr>
          <w:lang w:val="en-US"/>
        </w:rPr>
        <w:t xml:space="preserve"> </w:t>
      </w:r>
      <w:r w:rsidR="00936F40" w:rsidRPr="00CE23AE">
        <w:rPr>
          <w:lang w:val="en-US"/>
        </w:rPr>
        <w:t>recognized in</w:t>
      </w:r>
      <w:r w:rsidR="00DF27A0" w:rsidRPr="00CE23AE">
        <w:rPr>
          <w:lang w:val="en-US"/>
        </w:rPr>
        <w:t xml:space="preserve"> </w:t>
      </w:r>
      <w:r w:rsidRPr="00CE23AE">
        <w:rPr>
          <w:lang w:val="en-US"/>
        </w:rPr>
        <w:t>Article</w:t>
      </w:r>
      <w:r w:rsidR="00DF27A0" w:rsidRPr="00CE23AE">
        <w:rPr>
          <w:lang w:val="en-US"/>
        </w:rPr>
        <w:t xml:space="preserve"> </w:t>
      </w:r>
      <w:r w:rsidRPr="00CE23AE">
        <w:rPr>
          <w:lang w:val="en-US"/>
        </w:rPr>
        <w:t>25(1) of the Convention</w:t>
      </w:r>
      <w:r w:rsidR="00DF27A0" w:rsidRPr="00CE23AE">
        <w:rPr>
          <w:lang w:val="en-US"/>
        </w:rPr>
        <w:t xml:space="preserve">, </w:t>
      </w:r>
      <w:r w:rsidR="00936F40" w:rsidRPr="00CE23AE">
        <w:rPr>
          <w:lang w:val="en-US"/>
        </w:rPr>
        <w:t>in relation to</w:t>
      </w:r>
      <w:r w:rsidR="00DF27A0" w:rsidRPr="00CE23AE">
        <w:rPr>
          <w:lang w:val="en-US"/>
        </w:rPr>
        <w:t xml:space="preserve"> </w:t>
      </w:r>
      <w:r w:rsidRPr="00CE23AE">
        <w:rPr>
          <w:lang w:val="en-US"/>
        </w:rPr>
        <w:t xml:space="preserve">Articles 1(1) and </w:t>
      </w:r>
      <w:r w:rsidR="00400443" w:rsidRPr="00CE23AE">
        <w:rPr>
          <w:lang w:val="en-US"/>
        </w:rPr>
        <w:t xml:space="preserve">2 </w:t>
      </w:r>
      <w:r w:rsidRPr="00CE23AE">
        <w:rPr>
          <w:szCs w:val="20"/>
          <w:lang w:val="en-US"/>
        </w:rPr>
        <w:t>of this instrument</w:t>
      </w:r>
      <w:r w:rsidR="00DF27A0" w:rsidRPr="00CE23AE">
        <w:rPr>
          <w:lang w:val="en-US"/>
        </w:rPr>
        <w:t xml:space="preserve">, </w:t>
      </w:r>
      <w:r w:rsidR="00936F40" w:rsidRPr="00CE23AE">
        <w:rPr>
          <w:lang w:val="en-US"/>
        </w:rPr>
        <w:t>pursuant to</w:t>
      </w:r>
      <w:r w:rsidR="00DF27A0" w:rsidRPr="00CE23AE">
        <w:rPr>
          <w:lang w:val="en-US"/>
        </w:rPr>
        <w:t xml:space="preserve"> </w:t>
      </w:r>
      <w:r w:rsidR="00936F40" w:rsidRPr="00CE23AE">
        <w:rPr>
          <w:lang w:val="en-US"/>
        </w:rPr>
        <w:t>paragraphs</w:t>
      </w:r>
      <w:r w:rsidR="00DF27A0" w:rsidRPr="00CE23AE">
        <w:rPr>
          <w:lang w:val="en-US"/>
        </w:rPr>
        <w:t xml:space="preserve"> </w:t>
      </w:r>
      <w:r w:rsidR="00DF27A0" w:rsidRPr="00CE23AE">
        <w:rPr>
          <w:lang w:val="en-US"/>
        </w:rPr>
        <w:fldChar w:fldCharType="begin"/>
      </w:r>
      <w:r w:rsidR="00DF27A0" w:rsidRPr="00CE23AE">
        <w:rPr>
          <w:lang w:val="en-US"/>
        </w:rPr>
        <w:instrText xml:space="preserve"> REF _Ref455672303 \r \h </w:instrText>
      </w:r>
      <w:r w:rsidR="00BC3EDF" w:rsidRPr="00CE23AE">
        <w:rPr>
          <w:lang w:val="en-US"/>
        </w:rPr>
        <w:instrText xml:space="preserve"> \* MERGEFORMAT </w:instrText>
      </w:r>
      <w:r w:rsidR="00DF27A0" w:rsidRPr="00CE23AE">
        <w:rPr>
          <w:lang w:val="en-US"/>
        </w:rPr>
      </w:r>
      <w:r w:rsidR="00DF27A0" w:rsidRPr="00CE23AE">
        <w:rPr>
          <w:lang w:val="en-US"/>
        </w:rPr>
        <w:fldChar w:fldCharType="separate"/>
      </w:r>
      <w:r w:rsidR="00BC2953" w:rsidRPr="00CE23AE">
        <w:rPr>
          <w:lang w:val="en-US"/>
        </w:rPr>
        <w:t>198</w:t>
      </w:r>
      <w:r w:rsidR="00DF27A0" w:rsidRPr="00CE23AE">
        <w:rPr>
          <w:lang w:val="en-US"/>
        </w:rPr>
        <w:fldChar w:fldCharType="end"/>
      </w:r>
      <w:r w:rsidR="00DF27A0" w:rsidRPr="00CE23AE">
        <w:rPr>
          <w:lang w:val="en-US"/>
        </w:rPr>
        <w:t xml:space="preserve"> </w:t>
      </w:r>
      <w:r w:rsidR="00936F40" w:rsidRPr="00CE23AE">
        <w:rPr>
          <w:lang w:val="en-US"/>
        </w:rPr>
        <w:t>to</w:t>
      </w:r>
      <w:r w:rsidR="00DF27A0" w:rsidRPr="00CE23AE">
        <w:rPr>
          <w:lang w:val="en-US"/>
        </w:rPr>
        <w:t xml:space="preserve"> </w:t>
      </w:r>
      <w:r w:rsidR="004B3F90" w:rsidRPr="00CE23AE">
        <w:rPr>
          <w:lang w:val="en-US"/>
        </w:rPr>
        <w:fldChar w:fldCharType="begin"/>
      </w:r>
      <w:r w:rsidR="004B3F90" w:rsidRPr="00CE23AE">
        <w:rPr>
          <w:lang w:val="en-US"/>
        </w:rPr>
        <w:instrText xml:space="preserve"> REF _Ref464741820 \r \h </w:instrText>
      </w:r>
      <w:r w:rsidR="00BC3EDF" w:rsidRPr="00CE23AE">
        <w:rPr>
          <w:lang w:val="en-US"/>
        </w:rPr>
        <w:instrText xml:space="preserve"> \* MERGEFORMAT </w:instrText>
      </w:r>
      <w:r w:rsidR="004B3F90" w:rsidRPr="00CE23AE">
        <w:rPr>
          <w:lang w:val="en-US"/>
        </w:rPr>
      </w:r>
      <w:r w:rsidR="004B3F90" w:rsidRPr="00CE23AE">
        <w:rPr>
          <w:lang w:val="en-US"/>
        </w:rPr>
        <w:fldChar w:fldCharType="separate"/>
      </w:r>
      <w:r w:rsidR="00BC2953" w:rsidRPr="00CE23AE">
        <w:rPr>
          <w:lang w:val="en-US"/>
        </w:rPr>
        <w:t>211</w:t>
      </w:r>
      <w:r w:rsidR="004B3F90" w:rsidRPr="00CE23AE">
        <w:rPr>
          <w:lang w:val="en-US"/>
        </w:rPr>
        <w:fldChar w:fldCharType="end"/>
      </w:r>
      <w:r w:rsidR="00DF27A0" w:rsidRPr="00CE23AE">
        <w:rPr>
          <w:lang w:val="en-US"/>
        </w:rPr>
        <w:t xml:space="preserve"> </w:t>
      </w:r>
      <w:r w:rsidR="00936F40" w:rsidRPr="00CE23AE">
        <w:rPr>
          <w:lang w:val="en-US"/>
        </w:rPr>
        <w:t>of this judgment</w:t>
      </w:r>
      <w:r w:rsidR="00DF27A0" w:rsidRPr="00CE23AE">
        <w:rPr>
          <w:lang w:val="en-US"/>
        </w:rPr>
        <w:t>.</w:t>
      </w:r>
    </w:p>
    <w:p w14:paraId="352F1715" w14:textId="77777777" w:rsidR="008E3B8F" w:rsidRPr="00CE23AE" w:rsidRDefault="008E3B8F" w:rsidP="00F22AD0">
      <w:pPr>
        <w:tabs>
          <w:tab w:val="left" w:pos="567"/>
          <w:tab w:val="left" w:pos="720"/>
        </w:tabs>
        <w:spacing w:before="40"/>
        <w:rPr>
          <w:rFonts w:cs="Verdana"/>
          <w:color w:val="000000"/>
          <w:spacing w:val="-2"/>
          <w:sz w:val="16"/>
          <w:szCs w:val="20"/>
          <w:lang w:val="en-US"/>
        </w:rPr>
      </w:pPr>
    </w:p>
    <w:p w14:paraId="6A954543" w14:textId="688BBF9F" w:rsidR="008E3B8F" w:rsidRPr="00CE23AE" w:rsidRDefault="00936F40" w:rsidP="00F22AD0">
      <w:pPr>
        <w:tabs>
          <w:tab w:val="left" w:pos="567"/>
          <w:tab w:val="left" w:pos="720"/>
        </w:tabs>
        <w:spacing w:before="40"/>
        <w:rPr>
          <w:rFonts w:cs="Verdana"/>
          <w:b/>
          <w:color w:val="000000"/>
          <w:spacing w:val="-2"/>
          <w:szCs w:val="20"/>
          <w:lang w:val="en-US"/>
        </w:rPr>
      </w:pPr>
      <w:r w:rsidRPr="00CE23AE">
        <w:rPr>
          <w:rFonts w:cs="Verdana"/>
          <w:b/>
          <w:color w:val="000000"/>
          <w:spacing w:val="-2"/>
          <w:szCs w:val="20"/>
          <w:lang w:val="en-US"/>
        </w:rPr>
        <w:t>AND ESTABLISHES,</w:t>
      </w:r>
    </w:p>
    <w:p w14:paraId="7B8F03DD" w14:textId="77777777" w:rsidR="008E3B8F" w:rsidRPr="00CE23AE" w:rsidRDefault="008E3B8F" w:rsidP="00F22AD0">
      <w:pPr>
        <w:tabs>
          <w:tab w:val="left" w:pos="567"/>
          <w:tab w:val="left" w:pos="720"/>
        </w:tabs>
        <w:spacing w:before="40"/>
        <w:rPr>
          <w:rFonts w:cs="Verdana"/>
          <w:b/>
          <w:color w:val="000000"/>
          <w:spacing w:val="-2"/>
          <w:sz w:val="16"/>
          <w:szCs w:val="20"/>
          <w:lang w:val="en-US"/>
        </w:rPr>
      </w:pPr>
    </w:p>
    <w:p w14:paraId="38941E09" w14:textId="7F009C2A" w:rsidR="00FB63E7" w:rsidRPr="00CE23AE" w:rsidRDefault="00936F40" w:rsidP="00F22AD0">
      <w:pPr>
        <w:tabs>
          <w:tab w:val="left" w:pos="720"/>
        </w:tabs>
        <w:spacing w:before="40"/>
        <w:rPr>
          <w:rFonts w:cs="Verdana"/>
          <w:color w:val="000000"/>
          <w:spacing w:val="-2"/>
          <w:szCs w:val="20"/>
          <w:lang w:val="en-US"/>
        </w:rPr>
      </w:pPr>
      <w:r w:rsidRPr="00CE23AE">
        <w:rPr>
          <w:rFonts w:cs="Verdana"/>
          <w:color w:val="000000"/>
          <w:spacing w:val="-2"/>
          <w:szCs w:val="20"/>
          <w:lang w:val="en-US"/>
        </w:rPr>
        <w:t>unanimously, that</w:t>
      </w:r>
      <w:r w:rsidR="00FB63E7" w:rsidRPr="00CE23AE">
        <w:rPr>
          <w:rFonts w:cs="Verdana"/>
          <w:color w:val="000000"/>
          <w:spacing w:val="-2"/>
          <w:szCs w:val="20"/>
          <w:lang w:val="en-US"/>
        </w:rPr>
        <w:t>:</w:t>
      </w:r>
    </w:p>
    <w:p w14:paraId="255116B6" w14:textId="77777777" w:rsidR="00F41330" w:rsidRPr="00CE23AE" w:rsidRDefault="00F41330" w:rsidP="00F22AD0">
      <w:pPr>
        <w:tabs>
          <w:tab w:val="left" w:pos="567"/>
          <w:tab w:val="left" w:pos="720"/>
        </w:tabs>
        <w:spacing w:before="40"/>
        <w:jc w:val="center"/>
        <w:rPr>
          <w:rFonts w:cs="Verdana"/>
          <w:color w:val="000000"/>
          <w:spacing w:val="-2"/>
          <w:sz w:val="16"/>
          <w:szCs w:val="20"/>
          <w:lang w:val="en-US"/>
        </w:rPr>
      </w:pPr>
    </w:p>
    <w:p w14:paraId="32E11CFC" w14:textId="24F0F925" w:rsidR="00F41330" w:rsidRPr="00CE23AE" w:rsidRDefault="00936F40" w:rsidP="00F22AD0">
      <w:pPr>
        <w:pStyle w:val="Default"/>
        <w:numPr>
          <w:ilvl w:val="0"/>
          <w:numId w:val="29"/>
        </w:numPr>
        <w:tabs>
          <w:tab w:val="left" w:pos="567"/>
        </w:tabs>
        <w:spacing w:before="40"/>
        <w:ind w:left="0" w:firstLine="0"/>
        <w:jc w:val="both"/>
        <w:rPr>
          <w:spacing w:val="-2"/>
          <w:sz w:val="20"/>
          <w:szCs w:val="20"/>
          <w:lang w:val="en-US"/>
        </w:rPr>
      </w:pPr>
      <w:r w:rsidRPr="00CE23AE">
        <w:rPr>
          <w:spacing w:val="-2"/>
          <w:sz w:val="20"/>
          <w:szCs w:val="20"/>
          <w:lang w:val="en-US"/>
        </w:rPr>
        <w:t xml:space="preserve">This judgment constitutes, </w:t>
      </w:r>
      <w:r w:rsidRPr="00CE23AE">
        <w:rPr>
          <w:i/>
          <w:iCs/>
          <w:spacing w:val="-2"/>
          <w:sz w:val="20"/>
          <w:szCs w:val="20"/>
          <w:lang w:val="en-US"/>
        </w:rPr>
        <w:t>per se</w:t>
      </w:r>
      <w:r w:rsidRPr="00CE23AE">
        <w:rPr>
          <w:spacing w:val="-2"/>
          <w:sz w:val="20"/>
          <w:szCs w:val="20"/>
          <w:lang w:val="en-US"/>
        </w:rPr>
        <w:t>, a form of reparation.</w:t>
      </w:r>
    </w:p>
    <w:p w14:paraId="360926C0" w14:textId="77777777" w:rsidR="008610C1" w:rsidRPr="00CE23AE" w:rsidRDefault="008610C1" w:rsidP="00F22AD0">
      <w:pPr>
        <w:pStyle w:val="PrrafodeSentencia"/>
        <w:numPr>
          <w:ilvl w:val="0"/>
          <w:numId w:val="0"/>
        </w:numPr>
        <w:spacing w:before="40"/>
        <w:rPr>
          <w:rFonts w:cs="ArialUnicodeMS"/>
          <w:lang w:val="en-US" w:bidi="en-US"/>
        </w:rPr>
      </w:pPr>
    </w:p>
    <w:p w14:paraId="385665E7" w14:textId="1D03F686" w:rsidR="00D87E1F" w:rsidRPr="00CE23AE" w:rsidRDefault="00936F40" w:rsidP="00F6458C">
      <w:pPr>
        <w:pStyle w:val="PrrafodeSentencia"/>
        <w:numPr>
          <w:ilvl w:val="0"/>
          <w:numId w:val="29"/>
        </w:numPr>
        <w:spacing w:before="40"/>
        <w:ind w:left="0" w:firstLine="0"/>
        <w:rPr>
          <w:rFonts w:cs="ArialUnicodeMS"/>
          <w:strike/>
          <w:lang w:val="en-US" w:bidi="en-US"/>
        </w:rPr>
      </w:pPr>
      <w:r w:rsidRPr="00CE23AE">
        <w:rPr>
          <w:lang w:val="en-US"/>
        </w:rPr>
        <w:t>The State shall</w:t>
      </w:r>
      <w:r w:rsidR="00D87E1F" w:rsidRPr="00CE23AE">
        <w:rPr>
          <w:rFonts w:cs="ArialUnicodeMS"/>
          <w:lang w:val="en-US" w:bidi="en-US"/>
        </w:rPr>
        <w:t xml:space="preserve">, </w:t>
      </w:r>
      <w:r w:rsidRPr="00CE23AE">
        <w:rPr>
          <w:rFonts w:cs="ArialUnicodeMS"/>
          <w:lang w:val="en-US" w:bidi="en-US"/>
        </w:rPr>
        <w:t>within one year of notification</w:t>
      </w:r>
      <w:r w:rsidR="00D87E1F" w:rsidRPr="00CE23AE">
        <w:rPr>
          <w:rFonts w:cs="ArialUnicodeMS"/>
          <w:lang w:val="en-US" w:bidi="en-US"/>
        </w:rPr>
        <w:t xml:space="preserve"> </w:t>
      </w:r>
      <w:r w:rsidRPr="00CE23AE">
        <w:rPr>
          <w:rFonts w:cs="ArialUnicodeMS"/>
          <w:lang w:val="en-US" w:bidi="en-US"/>
        </w:rPr>
        <w:t>of this judgment</w:t>
      </w:r>
      <w:r w:rsidR="00D87E1F" w:rsidRPr="00CE23AE">
        <w:rPr>
          <w:rFonts w:cs="ArialUnicodeMS"/>
          <w:lang w:val="en-US" w:bidi="en-US"/>
        </w:rPr>
        <w:t>,</w:t>
      </w:r>
      <w:r w:rsidR="00D87E1F" w:rsidRPr="00CE23AE">
        <w:rPr>
          <w:lang w:val="en-US"/>
        </w:rPr>
        <w:t xml:space="preserve"> </w:t>
      </w:r>
      <w:r w:rsidR="007033D1" w:rsidRPr="00CE23AE">
        <w:rPr>
          <w:lang w:val="en-US"/>
        </w:rPr>
        <w:t xml:space="preserve">accord Mr. Flor Freire </w:t>
      </w:r>
      <w:r w:rsidRPr="00CE23AE">
        <w:rPr>
          <w:lang w:val="en-US"/>
        </w:rPr>
        <w:t xml:space="preserve">the rank corresponding to his cohort at the time this measures is complied with and place him in the situation of a soldier </w:t>
      </w:r>
      <w:r w:rsidR="00F6458C" w:rsidRPr="00CE23AE">
        <w:rPr>
          <w:lang w:val="en-US"/>
        </w:rPr>
        <w:t xml:space="preserve">who has taken voluntary retirement or is on passive service, and shall grant him all the social rights and benefits that correspond to that rank, </w:t>
      </w:r>
      <w:r w:rsidRPr="00CE23AE">
        <w:rPr>
          <w:lang w:val="en-US"/>
        </w:rPr>
        <w:t>as established in paragraph</w:t>
      </w:r>
      <w:r w:rsidR="00D87E1F" w:rsidRPr="00CE23AE">
        <w:rPr>
          <w:lang w:val="en-US"/>
        </w:rPr>
        <w:t xml:space="preserve"> </w:t>
      </w:r>
      <w:r w:rsidR="00D87E1F" w:rsidRPr="00CE23AE">
        <w:rPr>
          <w:lang w:val="en-US"/>
        </w:rPr>
        <w:fldChar w:fldCharType="begin"/>
      </w:r>
      <w:r w:rsidR="00D87E1F" w:rsidRPr="00CE23AE">
        <w:rPr>
          <w:lang w:val="en-US"/>
        </w:rPr>
        <w:instrText xml:space="preserve"> REF _Ref460348988 \r \h </w:instrText>
      </w:r>
      <w:r w:rsidR="003E16E9" w:rsidRPr="00CE23AE">
        <w:rPr>
          <w:lang w:val="en-US"/>
        </w:rPr>
        <w:instrText xml:space="preserve"> \* MERGEFORMAT </w:instrText>
      </w:r>
      <w:r w:rsidR="00D87E1F" w:rsidRPr="00CE23AE">
        <w:rPr>
          <w:lang w:val="en-US"/>
        </w:rPr>
      </w:r>
      <w:r w:rsidR="00D87E1F" w:rsidRPr="00CE23AE">
        <w:rPr>
          <w:lang w:val="en-US"/>
        </w:rPr>
        <w:fldChar w:fldCharType="separate"/>
      </w:r>
      <w:r w:rsidR="00BC2953" w:rsidRPr="00CE23AE">
        <w:rPr>
          <w:lang w:val="en-US"/>
        </w:rPr>
        <w:t>227</w:t>
      </w:r>
      <w:r w:rsidR="00D87E1F" w:rsidRPr="00CE23AE">
        <w:rPr>
          <w:lang w:val="en-US"/>
        </w:rPr>
        <w:fldChar w:fldCharType="end"/>
      </w:r>
      <w:r w:rsidR="00760E07" w:rsidRPr="00CE23AE">
        <w:rPr>
          <w:lang w:val="en-US"/>
        </w:rPr>
        <w:t xml:space="preserve"> </w:t>
      </w:r>
      <w:r w:rsidRPr="00CE23AE">
        <w:rPr>
          <w:lang w:val="en-US"/>
        </w:rPr>
        <w:t>of this judgment</w:t>
      </w:r>
      <w:r w:rsidR="00760E07" w:rsidRPr="00CE23AE">
        <w:rPr>
          <w:lang w:val="en-US"/>
        </w:rPr>
        <w:t xml:space="preserve">. </w:t>
      </w:r>
    </w:p>
    <w:p w14:paraId="435C5796" w14:textId="77777777" w:rsidR="00855388" w:rsidRPr="00CE23AE" w:rsidRDefault="00855388" w:rsidP="00F22AD0">
      <w:pPr>
        <w:pStyle w:val="PrrafodeSentencia"/>
        <w:numPr>
          <w:ilvl w:val="0"/>
          <w:numId w:val="0"/>
        </w:numPr>
        <w:spacing w:before="40"/>
        <w:rPr>
          <w:rFonts w:cs="ArialUnicodeMS"/>
          <w:strike/>
          <w:lang w:val="en-US" w:bidi="en-US"/>
        </w:rPr>
      </w:pPr>
    </w:p>
    <w:p w14:paraId="1820726C" w14:textId="58CC6019" w:rsidR="008610C1" w:rsidRPr="00CE23AE" w:rsidRDefault="00936F40" w:rsidP="00F6458C">
      <w:pPr>
        <w:pStyle w:val="PrrafodeSentencia"/>
        <w:numPr>
          <w:ilvl w:val="0"/>
          <w:numId w:val="29"/>
        </w:numPr>
        <w:spacing w:before="40"/>
        <w:ind w:left="0" w:firstLine="0"/>
        <w:rPr>
          <w:rFonts w:cs="ArialUnicodeMS"/>
          <w:lang w:val="en-US" w:bidi="en-US"/>
        </w:rPr>
      </w:pPr>
      <w:r w:rsidRPr="00CE23AE">
        <w:rPr>
          <w:rFonts w:cs="ArialUnicodeMS"/>
          <w:lang w:val="en-US" w:bidi="en-US"/>
        </w:rPr>
        <w:t>The State shall</w:t>
      </w:r>
      <w:r w:rsidR="00AF634E" w:rsidRPr="00CE23AE">
        <w:rPr>
          <w:rFonts w:cs="ArialUnicodeMS"/>
          <w:lang w:val="en-US" w:bidi="en-US"/>
        </w:rPr>
        <w:t xml:space="preserve">, </w:t>
      </w:r>
      <w:r w:rsidRPr="00CE23AE">
        <w:rPr>
          <w:rFonts w:cs="ArialUnicodeMS"/>
          <w:lang w:val="en-US" w:bidi="en-US"/>
        </w:rPr>
        <w:t>within one year of notification</w:t>
      </w:r>
      <w:r w:rsidR="00AF634E" w:rsidRPr="00CE23AE">
        <w:rPr>
          <w:rFonts w:cs="ArialUnicodeMS"/>
          <w:lang w:val="en-US" w:bidi="en-US"/>
        </w:rPr>
        <w:t xml:space="preserve"> </w:t>
      </w:r>
      <w:r w:rsidRPr="00CE23AE">
        <w:rPr>
          <w:rFonts w:cs="ArialUnicodeMS"/>
          <w:lang w:val="en-US" w:bidi="en-US"/>
        </w:rPr>
        <w:t>of this judgment</w:t>
      </w:r>
      <w:r w:rsidR="00AF634E" w:rsidRPr="00CE23AE">
        <w:rPr>
          <w:rFonts w:cs="ArialUnicodeMS"/>
          <w:lang w:val="en-US" w:bidi="en-US"/>
        </w:rPr>
        <w:t>,</w:t>
      </w:r>
      <w:r w:rsidR="00CE4982" w:rsidRPr="00CE23AE">
        <w:rPr>
          <w:rFonts w:cs="ArialUnicodeMS"/>
          <w:lang w:val="en-US" w:bidi="en-US"/>
        </w:rPr>
        <w:t xml:space="preserve"> </w:t>
      </w:r>
      <w:r w:rsidR="00F6458C" w:rsidRPr="00CE23AE">
        <w:rPr>
          <w:rFonts w:cs="ArialUnicodeMS"/>
          <w:lang w:val="en-US" w:bidi="en-US"/>
        </w:rPr>
        <w:t xml:space="preserve">recognize to Mr. Flor Freire and pay the amounts corresponding to the social security contributions (for future end of employment and retirement payments) to which he would have had the right </w:t>
      </w:r>
      <w:r w:rsidRPr="00CE23AE">
        <w:rPr>
          <w:rFonts w:cs="ArialUnicodeMS"/>
          <w:lang w:val="en-US" w:bidi="en-US"/>
        </w:rPr>
        <w:t xml:space="preserve">if he had taken voluntary retirement from the institution at the time the State makes the said payment, based on the rank of his cohort at the time of this payment, pursuant to </w:t>
      </w:r>
      <w:r w:rsidRPr="00CE23AE">
        <w:rPr>
          <w:lang w:val="en-US"/>
        </w:rPr>
        <w:t>paragraph</w:t>
      </w:r>
      <w:r w:rsidR="00760E07" w:rsidRPr="00CE23AE">
        <w:rPr>
          <w:lang w:val="en-US"/>
        </w:rPr>
        <w:t xml:space="preserve"> </w:t>
      </w:r>
      <w:r w:rsidR="00760E07" w:rsidRPr="00CE23AE">
        <w:rPr>
          <w:lang w:val="en-US"/>
        </w:rPr>
        <w:fldChar w:fldCharType="begin"/>
      </w:r>
      <w:r w:rsidR="00760E07" w:rsidRPr="00CE23AE">
        <w:rPr>
          <w:lang w:val="en-US"/>
        </w:rPr>
        <w:instrText xml:space="preserve"> REF _Ref460349046 \r \h </w:instrText>
      </w:r>
      <w:r w:rsidR="00CE23AE">
        <w:rPr>
          <w:lang w:val="en-US"/>
        </w:rPr>
        <w:instrText xml:space="preserve"> \* MERGEFORMAT </w:instrText>
      </w:r>
      <w:r w:rsidR="00760E07" w:rsidRPr="00CE23AE">
        <w:rPr>
          <w:lang w:val="en-US"/>
        </w:rPr>
      </w:r>
      <w:r w:rsidR="00760E07" w:rsidRPr="00CE23AE">
        <w:rPr>
          <w:lang w:val="en-US"/>
        </w:rPr>
        <w:fldChar w:fldCharType="separate"/>
      </w:r>
      <w:r w:rsidR="00BC2953" w:rsidRPr="00CE23AE">
        <w:rPr>
          <w:lang w:val="en-US"/>
        </w:rPr>
        <w:t>228</w:t>
      </w:r>
      <w:r w:rsidR="00760E07" w:rsidRPr="00CE23AE">
        <w:rPr>
          <w:lang w:val="en-US"/>
        </w:rPr>
        <w:fldChar w:fldCharType="end"/>
      </w:r>
      <w:r w:rsidR="00760E07" w:rsidRPr="00CE23AE">
        <w:rPr>
          <w:lang w:val="en-US"/>
        </w:rPr>
        <w:t xml:space="preserve"> </w:t>
      </w:r>
      <w:r w:rsidRPr="00CE23AE">
        <w:rPr>
          <w:lang w:val="en-US"/>
        </w:rPr>
        <w:t>of this judgment</w:t>
      </w:r>
      <w:r w:rsidR="00760E07" w:rsidRPr="00CE23AE">
        <w:rPr>
          <w:lang w:val="en-US"/>
        </w:rPr>
        <w:t xml:space="preserve">. </w:t>
      </w:r>
    </w:p>
    <w:p w14:paraId="2FD24538" w14:textId="77777777" w:rsidR="008610C1" w:rsidRPr="00CE23AE" w:rsidRDefault="008610C1" w:rsidP="00F22AD0">
      <w:pPr>
        <w:tabs>
          <w:tab w:val="left" w:pos="567"/>
        </w:tabs>
        <w:spacing w:before="40"/>
        <w:rPr>
          <w:rFonts w:cs="ArialUnicodeMS"/>
          <w:lang w:val="en-US" w:bidi="en-US"/>
        </w:rPr>
      </w:pPr>
    </w:p>
    <w:p w14:paraId="30B640B9" w14:textId="338F830A" w:rsidR="00CE4982" w:rsidRPr="00CE23AE" w:rsidRDefault="00936F40" w:rsidP="00936F40">
      <w:pPr>
        <w:pStyle w:val="PrrafodeSentencia"/>
        <w:numPr>
          <w:ilvl w:val="0"/>
          <w:numId w:val="29"/>
        </w:numPr>
        <w:spacing w:before="40"/>
        <w:ind w:left="0" w:firstLine="0"/>
        <w:rPr>
          <w:rFonts w:cs="ArialUnicodeMS"/>
          <w:lang w:val="en-US" w:bidi="en-US"/>
        </w:rPr>
      </w:pPr>
      <w:r w:rsidRPr="00CE23AE">
        <w:rPr>
          <w:rFonts w:cs="ArialUnicodeMS"/>
          <w:lang w:val="en-US" w:bidi="en-US"/>
        </w:rPr>
        <w:t>The State shall</w:t>
      </w:r>
      <w:r w:rsidR="00AF634E" w:rsidRPr="00CE23AE">
        <w:rPr>
          <w:lang w:val="en-US"/>
        </w:rPr>
        <w:t xml:space="preserve">, </w:t>
      </w:r>
      <w:r w:rsidRPr="00CE23AE">
        <w:rPr>
          <w:rFonts w:cs="ArialUnicodeMS"/>
          <w:lang w:val="en-US" w:bidi="en-US"/>
        </w:rPr>
        <w:t>within one year of notification</w:t>
      </w:r>
      <w:r w:rsidR="00AF634E" w:rsidRPr="00CE23AE">
        <w:rPr>
          <w:rFonts w:cs="ArialUnicodeMS"/>
          <w:lang w:val="en-US" w:bidi="en-US"/>
        </w:rPr>
        <w:t xml:space="preserve"> </w:t>
      </w:r>
      <w:r w:rsidRPr="00CE23AE">
        <w:rPr>
          <w:rFonts w:cs="ArialUnicodeMS"/>
          <w:lang w:val="en-US" w:bidi="en-US"/>
        </w:rPr>
        <w:t>of this judgment</w:t>
      </w:r>
      <w:r w:rsidR="00AF634E" w:rsidRPr="00CE23AE">
        <w:rPr>
          <w:rFonts w:cs="ArialUnicodeMS"/>
          <w:lang w:val="en-US" w:bidi="en-US"/>
        </w:rPr>
        <w:t xml:space="preserve">, </w:t>
      </w:r>
      <w:r w:rsidR="00F6458C" w:rsidRPr="00CE23AE">
        <w:rPr>
          <w:rFonts w:cs="ArialUnicodeMS"/>
          <w:lang w:val="en-US" w:bidi="en-US"/>
        </w:rPr>
        <w:t xml:space="preserve">adopt </w:t>
      </w:r>
      <w:r w:rsidRPr="00CE23AE">
        <w:rPr>
          <w:rFonts w:cs="ArialUnicodeMS"/>
          <w:lang w:val="en-US" w:bidi="en-US"/>
        </w:rPr>
        <w:t xml:space="preserve">all the measures required under domestic law to ensure that no administrative act or decision taken in the disciplinary procedure, which </w:t>
      </w:r>
      <w:r w:rsidR="00F6458C" w:rsidRPr="00CE23AE">
        <w:rPr>
          <w:rFonts w:cs="ArialUnicodeMS"/>
          <w:lang w:val="en-US" w:bidi="en-US"/>
        </w:rPr>
        <w:t>the Court has</w:t>
      </w:r>
      <w:r w:rsidRPr="00CE23AE">
        <w:rPr>
          <w:rFonts w:cs="ArialUnicodeMS"/>
          <w:lang w:val="en-US" w:bidi="en-US"/>
        </w:rPr>
        <w:t xml:space="preserve"> declared violate</w:t>
      </w:r>
      <w:r w:rsidR="00F6458C" w:rsidRPr="00CE23AE">
        <w:rPr>
          <w:rFonts w:cs="ArialUnicodeMS"/>
          <w:lang w:val="en-US" w:bidi="en-US"/>
        </w:rPr>
        <w:t>d</w:t>
      </w:r>
      <w:r w:rsidRPr="00CE23AE">
        <w:rPr>
          <w:rFonts w:cs="ArialUnicodeMS"/>
          <w:lang w:val="en-US" w:bidi="en-US"/>
        </w:rPr>
        <w:t xml:space="preserve"> rights recognized in </w:t>
      </w:r>
      <w:r w:rsidRPr="00CE23AE">
        <w:rPr>
          <w:lang w:val="en-US"/>
        </w:rPr>
        <w:t>the American Convention</w:t>
      </w:r>
      <w:r w:rsidR="00F6458C" w:rsidRPr="00CE23AE">
        <w:rPr>
          <w:lang w:val="en-US"/>
        </w:rPr>
        <w:t>,</w:t>
      </w:r>
      <w:r w:rsidRPr="00CE23AE">
        <w:rPr>
          <w:lang w:val="en-US"/>
        </w:rPr>
        <w:t xml:space="preserve"> produce any legal effect on the social rights and/or benefits that would correspond to Mr. Flor Freire if he had taken voluntary retirement from the Ecuadorian Armed Forces. The State shall also eliminate the references to this procedure from his military record, as established in</w:t>
      </w:r>
      <w:r w:rsidRPr="00CE23AE">
        <w:rPr>
          <w:rFonts w:cs="ArialUnicodeMS"/>
          <w:lang w:val="en-US" w:bidi="en-US"/>
        </w:rPr>
        <w:t xml:space="preserve"> </w:t>
      </w:r>
      <w:r w:rsidRPr="00CE23AE">
        <w:rPr>
          <w:lang w:val="en-US"/>
        </w:rPr>
        <w:t>paragraph</w:t>
      </w:r>
      <w:r w:rsidR="00760E07" w:rsidRPr="00CE23AE">
        <w:rPr>
          <w:lang w:val="en-US"/>
        </w:rPr>
        <w:t xml:space="preserve"> </w:t>
      </w:r>
      <w:r w:rsidR="00760E07" w:rsidRPr="00CE23AE">
        <w:rPr>
          <w:lang w:val="en-US"/>
        </w:rPr>
        <w:fldChar w:fldCharType="begin"/>
      </w:r>
      <w:r w:rsidR="00760E07" w:rsidRPr="00CE23AE">
        <w:rPr>
          <w:lang w:val="en-US"/>
        </w:rPr>
        <w:instrText xml:space="preserve"> REF _Ref460349141 \r \h </w:instrText>
      </w:r>
      <w:r w:rsidR="00CE23AE">
        <w:rPr>
          <w:lang w:val="en-US"/>
        </w:rPr>
        <w:instrText xml:space="preserve"> \* MERGEFORMAT </w:instrText>
      </w:r>
      <w:r w:rsidR="00760E07" w:rsidRPr="00CE23AE">
        <w:rPr>
          <w:lang w:val="en-US"/>
        </w:rPr>
      </w:r>
      <w:r w:rsidR="00760E07" w:rsidRPr="00CE23AE">
        <w:rPr>
          <w:lang w:val="en-US"/>
        </w:rPr>
        <w:fldChar w:fldCharType="separate"/>
      </w:r>
      <w:r w:rsidR="00BC2953" w:rsidRPr="00CE23AE">
        <w:rPr>
          <w:lang w:val="en-US"/>
        </w:rPr>
        <w:t>229</w:t>
      </w:r>
      <w:r w:rsidR="00760E07" w:rsidRPr="00CE23AE">
        <w:rPr>
          <w:lang w:val="en-US"/>
        </w:rPr>
        <w:fldChar w:fldCharType="end"/>
      </w:r>
      <w:r w:rsidR="00760E07" w:rsidRPr="00CE23AE">
        <w:rPr>
          <w:lang w:val="en-US"/>
        </w:rPr>
        <w:t xml:space="preserve"> </w:t>
      </w:r>
      <w:r w:rsidRPr="00CE23AE">
        <w:rPr>
          <w:lang w:val="en-US"/>
        </w:rPr>
        <w:t>of this judgment</w:t>
      </w:r>
      <w:r w:rsidR="00760E07" w:rsidRPr="00CE23AE">
        <w:rPr>
          <w:lang w:val="en-US"/>
        </w:rPr>
        <w:t>.</w:t>
      </w:r>
    </w:p>
    <w:p w14:paraId="5ADDC8B4" w14:textId="77777777" w:rsidR="00CE4982" w:rsidRPr="00CE23AE" w:rsidRDefault="00CE4982" w:rsidP="00F22AD0">
      <w:pPr>
        <w:pStyle w:val="PrrafodeSentencia"/>
        <w:numPr>
          <w:ilvl w:val="0"/>
          <w:numId w:val="0"/>
        </w:numPr>
        <w:spacing w:before="40"/>
        <w:rPr>
          <w:rFonts w:cs="ArialUnicodeMS"/>
          <w:lang w:val="en-US" w:bidi="en-US"/>
        </w:rPr>
      </w:pPr>
    </w:p>
    <w:p w14:paraId="096996E2" w14:textId="23A2D5F3" w:rsidR="00BF1B36" w:rsidRPr="00CE23AE" w:rsidRDefault="00936F40" w:rsidP="00F22AD0">
      <w:pPr>
        <w:pStyle w:val="PrrafodeSentencia"/>
        <w:numPr>
          <w:ilvl w:val="0"/>
          <w:numId w:val="29"/>
        </w:numPr>
        <w:spacing w:before="40"/>
        <w:ind w:left="0" w:firstLine="0"/>
        <w:rPr>
          <w:rFonts w:cs="ArialUnicodeMS"/>
          <w:lang w:val="en-US" w:bidi="en-US"/>
        </w:rPr>
      </w:pPr>
      <w:r w:rsidRPr="00CE23AE">
        <w:rPr>
          <w:lang w:val="en-US"/>
        </w:rPr>
        <w:t>The State shall</w:t>
      </w:r>
      <w:r w:rsidR="00BF1B36" w:rsidRPr="00CE23AE">
        <w:rPr>
          <w:lang w:val="en-US"/>
        </w:rPr>
        <w:t xml:space="preserve"> </w:t>
      </w:r>
      <w:r w:rsidRPr="00CE23AE">
        <w:rPr>
          <w:lang w:val="en-US"/>
        </w:rPr>
        <w:t>make the publications indicated in paragraph</w:t>
      </w:r>
      <w:r w:rsidR="00BF1B36" w:rsidRPr="00CE23AE">
        <w:rPr>
          <w:lang w:val="en-US"/>
        </w:rPr>
        <w:t xml:space="preserve"> </w:t>
      </w:r>
      <w:r w:rsidR="00BF1B36" w:rsidRPr="00CE23AE">
        <w:rPr>
          <w:lang w:val="en-US"/>
        </w:rPr>
        <w:fldChar w:fldCharType="begin"/>
      </w:r>
      <w:r w:rsidR="00BF1B36" w:rsidRPr="00CE23AE">
        <w:rPr>
          <w:lang w:val="en-US"/>
        </w:rPr>
        <w:instrText xml:space="preserve"> REF _Ref455680341 \r \h </w:instrText>
      </w:r>
      <w:r w:rsidR="00CE23AE">
        <w:rPr>
          <w:lang w:val="en-US"/>
        </w:rPr>
        <w:instrText xml:space="preserve"> \* MERGEFORMAT </w:instrText>
      </w:r>
      <w:r w:rsidR="00BF1B36" w:rsidRPr="00CE23AE">
        <w:rPr>
          <w:lang w:val="en-US"/>
        </w:rPr>
      </w:r>
      <w:r w:rsidR="00BF1B36" w:rsidRPr="00CE23AE">
        <w:rPr>
          <w:lang w:val="en-US"/>
        </w:rPr>
        <w:fldChar w:fldCharType="separate"/>
      </w:r>
      <w:r w:rsidR="00BC2953" w:rsidRPr="00CE23AE">
        <w:rPr>
          <w:lang w:val="en-US"/>
        </w:rPr>
        <w:t>231</w:t>
      </w:r>
      <w:r w:rsidR="00BF1B36" w:rsidRPr="00CE23AE">
        <w:rPr>
          <w:lang w:val="en-US"/>
        </w:rPr>
        <w:fldChar w:fldCharType="end"/>
      </w:r>
      <w:r w:rsidR="00BF1B36" w:rsidRPr="00CE23AE">
        <w:rPr>
          <w:lang w:val="en-US"/>
        </w:rPr>
        <w:t xml:space="preserve"> </w:t>
      </w:r>
      <w:r w:rsidRPr="00CE23AE">
        <w:rPr>
          <w:lang w:val="en-US"/>
        </w:rPr>
        <w:t>of this judgment</w:t>
      </w:r>
      <w:r w:rsidR="006C0C0E" w:rsidRPr="00CE23AE">
        <w:rPr>
          <w:lang w:val="en-US"/>
        </w:rPr>
        <w:t xml:space="preserve">, </w:t>
      </w:r>
      <w:r w:rsidRPr="00CE23AE">
        <w:rPr>
          <w:lang w:val="en-US"/>
        </w:rPr>
        <w:t xml:space="preserve">as established in that paragraph. </w:t>
      </w:r>
    </w:p>
    <w:p w14:paraId="32CE0863" w14:textId="77777777" w:rsidR="00BF1B36" w:rsidRPr="00CE23AE" w:rsidRDefault="00BF1B36" w:rsidP="00F22AD0">
      <w:pPr>
        <w:tabs>
          <w:tab w:val="left" w:pos="567"/>
        </w:tabs>
        <w:spacing w:before="40"/>
        <w:rPr>
          <w:lang w:val="en-US"/>
        </w:rPr>
      </w:pPr>
    </w:p>
    <w:p w14:paraId="25247EDB" w14:textId="404489EC" w:rsidR="00293E96" w:rsidRPr="00CE23AE" w:rsidRDefault="00936F40" w:rsidP="00F22AD0">
      <w:pPr>
        <w:pStyle w:val="PrrafodeSentencia"/>
        <w:numPr>
          <w:ilvl w:val="0"/>
          <w:numId w:val="29"/>
        </w:numPr>
        <w:spacing w:before="40"/>
        <w:ind w:left="0" w:firstLine="0"/>
        <w:rPr>
          <w:rFonts w:cs="ArialUnicodeMS"/>
          <w:lang w:val="en-US" w:bidi="en-US"/>
        </w:rPr>
      </w:pPr>
      <w:r w:rsidRPr="00CE23AE">
        <w:rPr>
          <w:lang w:val="en-US"/>
        </w:rPr>
        <w:t xml:space="preserve">The State shall, within a reasonable time, </w:t>
      </w:r>
      <w:r w:rsidR="00F6458C" w:rsidRPr="00CE23AE">
        <w:rPr>
          <w:lang w:val="en-US"/>
        </w:rPr>
        <w:t xml:space="preserve">implement </w:t>
      </w:r>
      <w:r w:rsidRPr="00CE23AE">
        <w:rPr>
          <w:lang w:val="en-US"/>
        </w:rPr>
        <w:t xml:space="preserve">continuing and permanent training programs for members </w:t>
      </w:r>
      <w:r w:rsidR="0005476C" w:rsidRPr="00CE23AE">
        <w:rPr>
          <w:lang w:val="en-US"/>
        </w:rPr>
        <w:t xml:space="preserve">of the </w:t>
      </w:r>
      <w:r w:rsidR="009C5D46" w:rsidRPr="00CE23AE">
        <w:rPr>
          <w:lang w:val="en-US"/>
        </w:rPr>
        <w:t>Armed Forces</w:t>
      </w:r>
      <w:r w:rsidR="00293E96" w:rsidRPr="00CE23AE">
        <w:rPr>
          <w:lang w:val="en-US"/>
        </w:rPr>
        <w:t xml:space="preserve"> </w:t>
      </w:r>
      <w:r w:rsidRPr="00CE23AE">
        <w:rPr>
          <w:lang w:val="en-US"/>
        </w:rPr>
        <w:t xml:space="preserve">on the </w:t>
      </w:r>
      <w:r w:rsidR="00970AA1" w:rsidRPr="00CE23AE">
        <w:rPr>
          <w:lang w:val="en-US"/>
        </w:rPr>
        <w:t>prohibition of discrimination based on sexual orientation</w:t>
      </w:r>
      <w:r w:rsidR="00293E96" w:rsidRPr="00CE23AE">
        <w:rPr>
          <w:lang w:val="en-US"/>
        </w:rPr>
        <w:t xml:space="preserve">, </w:t>
      </w:r>
      <w:r w:rsidRPr="00CE23AE">
        <w:rPr>
          <w:lang w:val="en-US"/>
        </w:rPr>
        <w:t>pursuant to</w:t>
      </w:r>
      <w:r w:rsidR="00293E96" w:rsidRPr="00CE23AE">
        <w:rPr>
          <w:lang w:val="en-US"/>
        </w:rPr>
        <w:t xml:space="preserve"> </w:t>
      </w:r>
      <w:r w:rsidRPr="00CE23AE">
        <w:rPr>
          <w:lang w:val="en-US"/>
        </w:rPr>
        <w:t>paragraphs</w:t>
      </w:r>
      <w:r w:rsidR="00BF1B36" w:rsidRPr="00CE23AE">
        <w:rPr>
          <w:lang w:val="en-US"/>
        </w:rPr>
        <w:t xml:space="preserve"> </w:t>
      </w:r>
      <w:r w:rsidR="00BF1B36" w:rsidRPr="00CE23AE">
        <w:rPr>
          <w:lang w:val="en-US"/>
        </w:rPr>
        <w:fldChar w:fldCharType="begin"/>
      </w:r>
      <w:r w:rsidR="00BF1B36" w:rsidRPr="00CE23AE">
        <w:rPr>
          <w:lang w:val="en-US"/>
        </w:rPr>
        <w:instrText xml:space="preserve"> REF _Ref455680415 \r \h </w:instrText>
      </w:r>
      <w:r w:rsidR="00A9370E" w:rsidRPr="00CE23AE">
        <w:rPr>
          <w:lang w:val="en-US"/>
        </w:rPr>
        <w:instrText xml:space="preserve"> \* MERGEFORMAT </w:instrText>
      </w:r>
      <w:r w:rsidR="00BF1B36" w:rsidRPr="00CE23AE">
        <w:rPr>
          <w:lang w:val="en-US"/>
        </w:rPr>
      </w:r>
      <w:r w:rsidR="00BF1B36" w:rsidRPr="00CE23AE">
        <w:rPr>
          <w:lang w:val="en-US"/>
        </w:rPr>
        <w:fldChar w:fldCharType="separate"/>
      </w:r>
      <w:r w:rsidR="00BC2953" w:rsidRPr="00CE23AE">
        <w:rPr>
          <w:lang w:val="en-US"/>
        </w:rPr>
        <w:t>238</w:t>
      </w:r>
      <w:r w:rsidR="00BF1B36" w:rsidRPr="00CE23AE">
        <w:rPr>
          <w:lang w:val="en-US"/>
        </w:rPr>
        <w:fldChar w:fldCharType="end"/>
      </w:r>
      <w:r w:rsidR="00C561DF" w:rsidRPr="00CE23AE">
        <w:rPr>
          <w:lang w:val="en-US"/>
        </w:rPr>
        <w:t xml:space="preserve"> and </w:t>
      </w:r>
      <w:r w:rsidR="00BF1B36" w:rsidRPr="00CE23AE">
        <w:rPr>
          <w:lang w:val="en-US"/>
        </w:rPr>
        <w:fldChar w:fldCharType="begin"/>
      </w:r>
      <w:r w:rsidR="00BF1B36" w:rsidRPr="00CE23AE">
        <w:rPr>
          <w:lang w:val="en-US"/>
        </w:rPr>
        <w:instrText xml:space="preserve"> REF _Ref455680418 \r \h </w:instrText>
      </w:r>
      <w:r w:rsidR="00A9370E" w:rsidRPr="00CE23AE">
        <w:rPr>
          <w:lang w:val="en-US"/>
        </w:rPr>
        <w:instrText xml:space="preserve"> \* MERGEFORMAT </w:instrText>
      </w:r>
      <w:r w:rsidR="00BF1B36" w:rsidRPr="00CE23AE">
        <w:rPr>
          <w:lang w:val="en-US"/>
        </w:rPr>
      </w:r>
      <w:r w:rsidR="00BF1B36" w:rsidRPr="00CE23AE">
        <w:rPr>
          <w:lang w:val="en-US"/>
        </w:rPr>
        <w:fldChar w:fldCharType="separate"/>
      </w:r>
      <w:r w:rsidR="00BC2953" w:rsidRPr="00CE23AE">
        <w:rPr>
          <w:lang w:val="en-US"/>
        </w:rPr>
        <w:t>239</w:t>
      </w:r>
      <w:r w:rsidR="00BF1B36" w:rsidRPr="00CE23AE">
        <w:rPr>
          <w:lang w:val="en-US"/>
        </w:rPr>
        <w:fldChar w:fldCharType="end"/>
      </w:r>
      <w:r w:rsidR="00293E96" w:rsidRPr="00CE23AE">
        <w:rPr>
          <w:lang w:val="en-US"/>
        </w:rPr>
        <w:t xml:space="preserve"> </w:t>
      </w:r>
      <w:r w:rsidRPr="00CE23AE">
        <w:rPr>
          <w:lang w:val="en-US"/>
        </w:rPr>
        <w:t>of this judgment</w:t>
      </w:r>
      <w:r w:rsidR="00293E96" w:rsidRPr="00CE23AE">
        <w:rPr>
          <w:lang w:val="en-US"/>
        </w:rPr>
        <w:t>.</w:t>
      </w:r>
    </w:p>
    <w:p w14:paraId="04235694" w14:textId="77777777" w:rsidR="00293E96" w:rsidRPr="00CE23AE" w:rsidRDefault="00293E96" w:rsidP="00F22AD0">
      <w:pPr>
        <w:pStyle w:val="PrrafodeSentencia"/>
        <w:numPr>
          <w:ilvl w:val="0"/>
          <w:numId w:val="0"/>
        </w:numPr>
        <w:spacing w:before="40"/>
        <w:rPr>
          <w:rFonts w:cs="ArialUnicodeMS"/>
          <w:lang w:val="en-US" w:bidi="en-US"/>
        </w:rPr>
      </w:pPr>
    </w:p>
    <w:p w14:paraId="5ABD1606" w14:textId="67CFAE82" w:rsidR="00293E96" w:rsidRPr="00CE23AE" w:rsidRDefault="00936F40" w:rsidP="00F22AD0">
      <w:pPr>
        <w:pStyle w:val="PrrafodeSentencia"/>
        <w:numPr>
          <w:ilvl w:val="0"/>
          <w:numId w:val="29"/>
        </w:numPr>
        <w:spacing w:before="40"/>
        <w:ind w:left="0" w:firstLine="0"/>
        <w:rPr>
          <w:rFonts w:cs="ArialUnicodeMS"/>
          <w:lang w:val="en-US" w:bidi="en-US"/>
        </w:rPr>
      </w:pPr>
      <w:r w:rsidRPr="00CE23AE">
        <w:rPr>
          <w:lang w:val="en-US"/>
        </w:rPr>
        <w:t>The State shall</w:t>
      </w:r>
      <w:r w:rsidR="00293E96" w:rsidRPr="00CE23AE">
        <w:rPr>
          <w:lang w:val="en-US"/>
        </w:rPr>
        <w:t xml:space="preserve">, </w:t>
      </w:r>
      <w:r w:rsidRPr="00CE23AE">
        <w:rPr>
          <w:lang w:val="en-US"/>
        </w:rPr>
        <w:t>within one year of notification</w:t>
      </w:r>
      <w:r w:rsidR="00293E96" w:rsidRPr="00CE23AE">
        <w:rPr>
          <w:lang w:val="en-US"/>
        </w:rPr>
        <w:t xml:space="preserve"> </w:t>
      </w:r>
      <w:r w:rsidRPr="00CE23AE">
        <w:rPr>
          <w:lang w:val="en-US"/>
        </w:rPr>
        <w:t>of this judgment</w:t>
      </w:r>
      <w:r w:rsidR="00293E96" w:rsidRPr="00CE23AE">
        <w:rPr>
          <w:lang w:val="en-US"/>
        </w:rPr>
        <w:t xml:space="preserve">, </w:t>
      </w:r>
      <w:r w:rsidR="00F6458C" w:rsidRPr="00CE23AE">
        <w:rPr>
          <w:lang w:val="en-US"/>
        </w:rPr>
        <w:t>pay the</w:t>
      </w:r>
      <w:r w:rsidRPr="00CE23AE">
        <w:rPr>
          <w:lang w:val="en-US"/>
        </w:rPr>
        <w:t xml:space="preserve"> amounts established in paragraphs</w:t>
      </w:r>
      <w:r w:rsidR="00293E96" w:rsidRPr="00CE23AE">
        <w:rPr>
          <w:lang w:val="en-US"/>
        </w:rPr>
        <w:t xml:space="preserve"> </w:t>
      </w:r>
      <w:r w:rsidR="00B42448" w:rsidRPr="00CE23AE">
        <w:rPr>
          <w:lang w:val="en-US"/>
        </w:rPr>
        <w:fldChar w:fldCharType="begin"/>
      </w:r>
      <w:r w:rsidR="00B42448" w:rsidRPr="00CE23AE">
        <w:rPr>
          <w:lang w:val="en-US"/>
        </w:rPr>
        <w:instrText xml:space="preserve"> REF _Ref455680879 \r \h </w:instrText>
      </w:r>
      <w:r w:rsidR="00A41F7A" w:rsidRPr="00CE23AE">
        <w:rPr>
          <w:lang w:val="en-US"/>
        </w:rPr>
        <w:instrText xml:space="preserve"> \* MERGEFORMAT </w:instrText>
      </w:r>
      <w:r w:rsidR="00B42448" w:rsidRPr="00CE23AE">
        <w:rPr>
          <w:lang w:val="en-US"/>
        </w:rPr>
      </w:r>
      <w:r w:rsidR="00B42448" w:rsidRPr="00CE23AE">
        <w:rPr>
          <w:lang w:val="en-US"/>
        </w:rPr>
        <w:fldChar w:fldCharType="separate"/>
      </w:r>
      <w:r w:rsidR="00BC2953" w:rsidRPr="00CE23AE">
        <w:rPr>
          <w:lang w:val="en-US"/>
        </w:rPr>
        <w:t>252</w:t>
      </w:r>
      <w:r w:rsidR="00B42448" w:rsidRPr="00CE23AE">
        <w:rPr>
          <w:lang w:val="en-US"/>
        </w:rPr>
        <w:fldChar w:fldCharType="end"/>
      </w:r>
      <w:r w:rsidR="004B3F90" w:rsidRPr="00CE23AE">
        <w:rPr>
          <w:lang w:val="en-US"/>
        </w:rPr>
        <w:t xml:space="preserve">, </w:t>
      </w:r>
      <w:r w:rsidR="00B42448" w:rsidRPr="00CE23AE">
        <w:rPr>
          <w:lang w:val="en-US"/>
        </w:rPr>
        <w:fldChar w:fldCharType="begin"/>
      </w:r>
      <w:r w:rsidR="00B42448" w:rsidRPr="00CE23AE">
        <w:rPr>
          <w:lang w:val="en-US"/>
        </w:rPr>
        <w:instrText xml:space="preserve"> REF _Ref455680881 \r \h </w:instrText>
      </w:r>
      <w:r w:rsidR="00A41F7A" w:rsidRPr="00CE23AE">
        <w:rPr>
          <w:lang w:val="en-US"/>
        </w:rPr>
        <w:instrText xml:space="preserve"> \* MERGEFORMAT </w:instrText>
      </w:r>
      <w:r w:rsidR="00B42448" w:rsidRPr="00CE23AE">
        <w:rPr>
          <w:lang w:val="en-US"/>
        </w:rPr>
      </w:r>
      <w:r w:rsidR="00B42448" w:rsidRPr="00CE23AE">
        <w:rPr>
          <w:lang w:val="en-US"/>
        </w:rPr>
        <w:fldChar w:fldCharType="separate"/>
      </w:r>
      <w:r w:rsidR="00BC2953" w:rsidRPr="00CE23AE">
        <w:rPr>
          <w:lang w:val="en-US"/>
        </w:rPr>
        <w:t>258</w:t>
      </w:r>
      <w:r w:rsidR="00B42448" w:rsidRPr="00CE23AE">
        <w:rPr>
          <w:lang w:val="en-US"/>
        </w:rPr>
        <w:fldChar w:fldCharType="end"/>
      </w:r>
      <w:r w:rsidR="00C561DF" w:rsidRPr="00CE23AE">
        <w:rPr>
          <w:lang w:val="en-US"/>
        </w:rPr>
        <w:t xml:space="preserve"> and </w:t>
      </w:r>
      <w:r w:rsidR="004B3F90" w:rsidRPr="00CE23AE">
        <w:rPr>
          <w:lang w:val="en-US"/>
        </w:rPr>
        <w:fldChar w:fldCharType="begin"/>
      </w:r>
      <w:r w:rsidR="004B3F90" w:rsidRPr="00CE23AE">
        <w:rPr>
          <w:lang w:val="en-US"/>
        </w:rPr>
        <w:instrText xml:space="preserve"> REF _Ref455680884 \r \h </w:instrText>
      </w:r>
      <w:r w:rsidR="00A41F7A" w:rsidRPr="00CE23AE">
        <w:rPr>
          <w:lang w:val="en-US"/>
        </w:rPr>
        <w:instrText xml:space="preserve"> \* MERGEFORMAT </w:instrText>
      </w:r>
      <w:r w:rsidR="004B3F90" w:rsidRPr="00CE23AE">
        <w:rPr>
          <w:lang w:val="en-US"/>
        </w:rPr>
      </w:r>
      <w:r w:rsidR="004B3F90" w:rsidRPr="00CE23AE">
        <w:rPr>
          <w:lang w:val="en-US"/>
        </w:rPr>
        <w:fldChar w:fldCharType="separate"/>
      </w:r>
      <w:r w:rsidR="00BC2953" w:rsidRPr="00CE23AE">
        <w:rPr>
          <w:lang w:val="en-US"/>
        </w:rPr>
        <w:t>264</w:t>
      </w:r>
      <w:r w:rsidR="004B3F90" w:rsidRPr="00CE23AE">
        <w:rPr>
          <w:lang w:val="en-US"/>
        </w:rPr>
        <w:fldChar w:fldCharType="end"/>
      </w:r>
      <w:r w:rsidR="004B3F90" w:rsidRPr="00CE23AE">
        <w:rPr>
          <w:lang w:val="en-US"/>
        </w:rPr>
        <w:t xml:space="preserve"> </w:t>
      </w:r>
      <w:r w:rsidRPr="00CE23AE">
        <w:rPr>
          <w:lang w:val="en-US"/>
        </w:rPr>
        <w:t>as compensation for</w:t>
      </w:r>
      <w:r w:rsidR="00293E96" w:rsidRPr="00CE23AE">
        <w:rPr>
          <w:lang w:val="en-US"/>
        </w:rPr>
        <w:t xml:space="preserve"> </w:t>
      </w:r>
      <w:r w:rsidR="00970AA1" w:rsidRPr="00CE23AE">
        <w:rPr>
          <w:lang w:val="en-US"/>
        </w:rPr>
        <w:t xml:space="preserve">pecuniary </w:t>
      </w:r>
      <w:r w:rsidRPr="00CE23AE">
        <w:rPr>
          <w:lang w:val="en-US"/>
        </w:rPr>
        <w:t xml:space="preserve">and non-pecuniary </w:t>
      </w:r>
      <w:r w:rsidR="00970AA1" w:rsidRPr="00CE23AE">
        <w:rPr>
          <w:lang w:val="en-US"/>
        </w:rPr>
        <w:t>damage</w:t>
      </w:r>
      <w:r w:rsidRPr="00CE23AE">
        <w:rPr>
          <w:lang w:val="en-US"/>
        </w:rPr>
        <w:t xml:space="preserve"> and to reimburse</w:t>
      </w:r>
      <w:r w:rsidR="00293E96" w:rsidRPr="00CE23AE">
        <w:rPr>
          <w:lang w:val="en-US"/>
        </w:rPr>
        <w:t xml:space="preserve"> </w:t>
      </w:r>
      <w:r w:rsidR="009B78E5" w:rsidRPr="00CE23AE">
        <w:rPr>
          <w:lang w:val="en-US"/>
        </w:rPr>
        <w:t>costs and expenses</w:t>
      </w:r>
      <w:r w:rsidR="002C29DE" w:rsidRPr="00CE23AE">
        <w:rPr>
          <w:lang w:val="en-US"/>
        </w:rPr>
        <w:t>,</w:t>
      </w:r>
      <w:r w:rsidR="00293E96" w:rsidRPr="00CE23AE">
        <w:rPr>
          <w:lang w:val="en-US"/>
        </w:rPr>
        <w:t xml:space="preserve"> </w:t>
      </w:r>
      <w:r w:rsidRPr="00CE23AE">
        <w:rPr>
          <w:lang w:val="en-US"/>
        </w:rPr>
        <w:t xml:space="preserve">pursuant to those paragraphs </w:t>
      </w:r>
      <w:r w:rsidR="00C561DF" w:rsidRPr="00CE23AE">
        <w:rPr>
          <w:lang w:val="en-US"/>
        </w:rPr>
        <w:t xml:space="preserve">and </w:t>
      </w:r>
      <w:r w:rsidRPr="00CE23AE">
        <w:rPr>
          <w:lang w:val="en-US"/>
        </w:rPr>
        <w:t>paragraphs</w:t>
      </w:r>
      <w:r w:rsidR="00293E96" w:rsidRPr="00CE23AE">
        <w:rPr>
          <w:lang w:val="en-US"/>
        </w:rPr>
        <w:t xml:space="preserve"> </w:t>
      </w:r>
      <w:r w:rsidR="004B3F90" w:rsidRPr="00CE23AE">
        <w:rPr>
          <w:lang w:val="en-US"/>
        </w:rPr>
        <w:fldChar w:fldCharType="begin"/>
      </w:r>
      <w:r w:rsidR="004B3F90" w:rsidRPr="00CE23AE">
        <w:rPr>
          <w:lang w:val="en-US"/>
        </w:rPr>
        <w:instrText xml:space="preserve"> REF _Ref464742067 \r \h </w:instrText>
      </w:r>
      <w:r w:rsidR="00A41F7A" w:rsidRPr="00CE23AE">
        <w:rPr>
          <w:lang w:val="en-US"/>
        </w:rPr>
        <w:instrText xml:space="preserve"> \* MERGEFORMAT </w:instrText>
      </w:r>
      <w:r w:rsidR="004B3F90" w:rsidRPr="00CE23AE">
        <w:rPr>
          <w:lang w:val="en-US"/>
        </w:rPr>
      </w:r>
      <w:r w:rsidR="004B3F90" w:rsidRPr="00CE23AE">
        <w:rPr>
          <w:lang w:val="en-US"/>
        </w:rPr>
        <w:fldChar w:fldCharType="separate"/>
      </w:r>
      <w:r w:rsidR="00BC2953" w:rsidRPr="00CE23AE">
        <w:rPr>
          <w:lang w:val="en-US"/>
        </w:rPr>
        <w:t>268</w:t>
      </w:r>
      <w:r w:rsidR="004B3F90" w:rsidRPr="00CE23AE">
        <w:rPr>
          <w:lang w:val="en-US"/>
        </w:rPr>
        <w:fldChar w:fldCharType="end"/>
      </w:r>
      <w:r w:rsidR="004B3F90" w:rsidRPr="00CE23AE">
        <w:rPr>
          <w:lang w:val="en-US"/>
        </w:rPr>
        <w:t xml:space="preserve"> </w:t>
      </w:r>
      <w:r w:rsidRPr="00CE23AE">
        <w:rPr>
          <w:lang w:val="en-US"/>
        </w:rPr>
        <w:t>to</w:t>
      </w:r>
      <w:r w:rsidR="004B3F90" w:rsidRPr="00CE23AE">
        <w:rPr>
          <w:lang w:val="en-US"/>
        </w:rPr>
        <w:t xml:space="preserve"> </w:t>
      </w:r>
      <w:r w:rsidR="004B3F90" w:rsidRPr="00CE23AE">
        <w:rPr>
          <w:lang w:val="en-US"/>
        </w:rPr>
        <w:fldChar w:fldCharType="begin"/>
      </w:r>
      <w:r w:rsidR="004B3F90" w:rsidRPr="00CE23AE">
        <w:rPr>
          <w:lang w:val="en-US"/>
        </w:rPr>
        <w:instrText xml:space="preserve"> REF _Ref464742077 \r \h </w:instrText>
      </w:r>
      <w:r w:rsidR="00A41F7A" w:rsidRPr="00CE23AE">
        <w:rPr>
          <w:lang w:val="en-US"/>
        </w:rPr>
        <w:instrText xml:space="preserve"> \* MERGEFORMAT </w:instrText>
      </w:r>
      <w:r w:rsidR="004B3F90" w:rsidRPr="00CE23AE">
        <w:rPr>
          <w:lang w:val="en-US"/>
        </w:rPr>
      </w:r>
      <w:r w:rsidR="004B3F90" w:rsidRPr="00CE23AE">
        <w:rPr>
          <w:lang w:val="en-US"/>
        </w:rPr>
        <w:fldChar w:fldCharType="separate"/>
      </w:r>
      <w:r w:rsidR="00BC2953" w:rsidRPr="00CE23AE">
        <w:rPr>
          <w:lang w:val="en-US"/>
        </w:rPr>
        <w:t>273</w:t>
      </w:r>
      <w:r w:rsidR="004B3F90" w:rsidRPr="00CE23AE">
        <w:rPr>
          <w:lang w:val="en-US"/>
        </w:rPr>
        <w:fldChar w:fldCharType="end"/>
      </w:r>
      <w:r w:rsidR="004B3F90" w:rsidRPr="00CE23AE">
        <w:rPr>
          <w:lang w:val="en-US"/>
        </w:rPr>
        <w:t xml:space="preserve"> </w:t>
      </w:r>
      <w:r w:rsidRPr="00CE23AE">
        <w:rPr>
          <w:lang w:val="en-US"/>
        </w:rPr>
        <w:t>of this judgment</w:t>
      </w:r>
      <w:r w:rsidR="00293E96" w:rsidRPr="00CE23AE">
        <w:rPr>
          <w:lang w:val="en-US"/>
        </w:rPr>
        <w:t xml:space="preserve">. </w:t>
      </w:r>
    </w:p>
    <w:p w14:paraId="2302CF1B" w14:textId="77777777" w:rsidR="00293E96" w:rsidRPr="00CE23AE" w:rsidRDefault="00293E96" w:rsidP="00F22AD0">
      <w:pPr>
        <w:pStyle w:val="PrrafodeSentencia"/>
        <w:numPr>
          <w:ilvl w:val="0"/>
          <w:numId w:val="0"/>
        </w:numPr>
        <w:spacing w:before="40"/>
        <w:rPr>
          <w:rFonts w:cs="ArialUnicodeMS"/>
          <w:lang w:val="en-US" w:bidi="en-US"/>
        </w:rPr>
      </w:pPr>
    </w:p>
    <w:p w14:paraId="3DCFFA01" w14:textId="45CC199B" w:rsidR="00293E96" w:rsidRPr="00CE23AE" w:rsidRDefault="00936F40" w:rsidP="00F22AD0">
      <w:pPr>
        <w:pStyle w:val="PrrafodeSentencia"/>
        <w:numPr>
          <w:ilvl w:val="0"/>
          <w:numId w:val="29"/>
        </w:numPr>
        <w:spacing w:before="40"/>
        <w:ind w:left="0" w:firstLine="0"/>
        <w:rPr>
          <w:rFonts w:cs="ArialUnicodeMS"/>
          <w:lang w:val="en-US" w:bidi="en-US"/>
        </w:rPr>
      </w:pPr>
      <w:r w:rsidRPr="00CE23AE">
        <w:rPr>
          <w:lang w:val="en-US"/>
        </w:rPr>
        <w:t>The State shall</w:t>
      </w:r>
      <w:r w:rsidR="00293E96" w:rsidRPr="00CE23AE">
        <w:rPr>
          <w:lang w:val="en-US"/>
        </w:rPr>
        <w:t xml:space="preserve"> </w:t>
      </w:r>
      <w:r w:rsidRPr="00CE23AE">
        <w:rPr>
          <w:lang w:val="en-US"/>
        </w:rPr>
        <w:t xml:space="preserve">reimburse the Victims’ </w:t>
      </w:r>
      <w:r w:rsidR="005C743F" w:rsidRPr="00CE23AE">
        <w:rPr>
          <w:lang w:val="en-US"/>
        </w:rPr>
        <w:t>Legal Assistance Fund</w:t>
      </w:r>
      <w:r w:rsidR="00293E96" w:rsidRPr="00CE23AE">
        <w:rPr>
          <w:lang w:val="en-US"/>
        </w:rPr>
        <w:t xml:space="preserve"> </w:t>
      </w:r>
      <w:r w:rsidR="00C561DF" w:rsidRPr="00CE23AE">
        <w:rPr>
          <w:lang w:val="en-US"/>
        </w:rPr>
        <w:t>of the Inter-American Court of Human Rights</w:t>
      </w:r>
      <w:r w:rsidR="00293E96" w:rsidRPr="00CE23AE">
        <w:rPr>
          <w:lang w:val="en-US"/>
        </w:rPr>
        <w:t xml:space="preserve"> </w:t>
      </w:r>
      <w:r w:rsidRPr="00CE23AE">
        <w:rPr>
          <w:lang w:val="en-US"/>
        </w:rPr>
        <w:t>the amount disbursed during the processing of this case</w:t>
      </w:r>
      <w:r w:rsidR="00293E96" w:rsidRPr="00CE23AE">
        <w:rPr>
          <w:lang w:val="en-US"/>
        </w:rPr>
        <w:t xml:space="preserve">, </w:t>
      </w:r>
      <w:r w:rsidRPr="00CE23AE">
        <w:rPr>
          <w:lang w:val="en-US"/>
        </w:rPr>
        <w:t>pursuant to</w:t>
      </w:r>
      <w:r w:rsidR="00293E96" w:rsidRPr="00CE23AE">
        <w:rPr>
          <w:lang w:val="en-US"/>
        </w:rPr>
        <w:t xml:space="preserve"> </w:t>
      </w:r>
      <w:r w:rsidRPr="00CE23AE">
        <w:rPr>
          <w:lang w:val="en-US"/>
        </w:rPr>
        <w:t>paragraphs</w:t>
      </w:r>
      <w:r w:rsidR="00293E96" w:rsidRPr="00CE23AE">
        <w:rPr>
          <w:lang w:val="en-US"/>
        </w:rPr>
        <w:t xml:space="preserve"> </w:t>
      </w:r>
      <w:r w:rsidR="00B42448" w:rsidRPr="00CE23AE">
        <w:rPr>
          <w:lang w:val="en-US"/>
        </w:rPr>
        <w:fldChar w:fldCharType="begin"/>
      </w:r>
      <w:r w:rsidR="00B42448" w:rsidRPr="00CE23AE">
        <w:rPr>
          <w:lang w:val="en-US"/>
        </w:rPr>
        <w:instrText xml:space="preserve"> REF _Ref455680938 \r \h </w:instrText>
      </w:r>
      <w:r w:rsidR="00A41F7A" w:rsidRPr="00CE23AE">
        <w:rPr>
          <w:lang w:val="en-US"/>
        </w:rPr>
        <w:instrText xml:space="preserve"> \* MERGEFORMAT </w:instrText>
      </w:r>
      <w:r w:rsidR="00B42448" w:rsidRPr="00CE23AE">
        <w:rPr>
          <w:lang w:val="en-US"/>
        </w:rPr>
      </w:r>
      <w:r w:rsidR="00B42448" w:rsidRPr="00CE23AE">
        <w:rPr>
          <w:lang w:val="en-US"/>
        </w:rPr>
        <w:fldChar w:fldCharType="separate"/>
      </w:r>
      <w:r w:rsidR="00BC2953" w:rsidRPr="00CE23AE">
        <w:rPr>
          <w:lang w:val="en-US"/>
        </w:rPr>
        <w:t>267</w:t>
      </w:r>
      <w:r w:rsidR="00B42448" w:rsidRPr="00CE23AE">
        <w:rPr>
          <w:lang w:val="en-US"/>
        </w:rPr>
        <w:fldChar w:fldCharType="end"/>
      </w:r>
      <w:r w:rsidR="00C561DF" w:rsidRPr="00CE23AE">
        <w:rPr>
          <w:lang w:val="en-US"/>
        </w:rPr>
        <w:t xml:space="preserve"> and </w:t>
      </w:r>
      <w:r w:rsidR="002C29DE" w:rsidRPr="00CE23AE">
        <w:rPr>
          <w:lang w:val="en-US"/>
        </w:rPr>
        <w:fldChar w:fldCharType="begin"/>
      </w:r>
      <w:r w:rsidR="002C29DE" w:rsidRPr="00CE23AE">
        <w:rPr>
          <w:lang w:val="en-US"/>
        </w:rPr>
        <w:instrText xml:space="preserve"> REF _Ref464742077 \r \h </w:instrText>
      </w:r>
      <w:r w:rsidR="00C419D8" w:rsidRPr="00CE23AE">
        <w:rPr>
          <w:lang w:val="en-US"/>
        </w:rPr>
        <w:instrText xml:space="preserve"> \* MERGEFORMAT </w:instrText>
      </w:r>
      <w:r w:rsidR="002C29DE" w:rsidRPr="00CE23AE">
        <w:rPr>
          <w:lang w:val="en-US"/>
        </w:rPr>
      </w:r>
      <w:r w:rsidR="002C29DE" w:rsidRPr="00CE23AE">
        <w:rPr>
          <w:lang w:val="en-US"/>
        </w:rPr>
        <w:fldChar w:fldCharType="separate"/>
      </w:r>
      <w:r w:rsidR="00BC2953" w:rsidRPr="00CE23AE">
        <w:rPr>
          <w:lang w:val="en-US"/>
        </w:rPr>
        <w:t>273</w:t>
      </w:r>
      <w:r w:rsidR="002C29DE" w:rsidRPr="00CE23AE">
        <w:rPr>
          <w:lang w:val="en-US"/>
        </w:rPr>
        <w:fldChar w:fldCharType="end"/>
      </w:r>
      <w:r w:rsidR="002C29DE" w:rsidRPr="00CE23AE">
        <w:rPr>
          <w:lang w:val="en-US"/>
        </w:rPr>
        <w:t xml:space="preserve"> </w:t>
      </w:r>
      <w:r w:rsidRPr="00CE23AE">
        <w:rPr>
          <w:lang w:val="en-US"/>
        </w:rPr>
        <w:t>of this judgment</w:t>
      </w:r>
      <w:r w:rsidR="00293E96" w:rsidRPr="00CE23AE">
        <w:rPr>
          <w:lang w:val="en-US"/>
        </w:rPr>
        <w:t xml:space="preserve">. </w:t>
      </w:r>
    </w:p>
    <w:p w14:paraId="6EB6BEDE" w14:textId="4936F818" w:rsidR="00293E96" w:rsidRPr="00CE23AE" w:rsidRDefault="00293E96" w:rsidP="00F22AD0">
      <w:pPr>
        <w:pStyle w:val="PrrafodeSentencia"/>
        <w:numPr>
          <w:ilvl w:val="0"/>
          <w:numId w:val="0"/>
        </w:numPr>
        <w:spacing w:before="40"/>
        <w:rPr>
          <w:rFonts w:cs="ArialUnicodeMS"/>
          <w:lang w:val="en-US" w:bidi="en-US"/>
        </w:rPr>
      </w:pPr>
    </w:p>
    <w:p w14:paraId="73C547ED" w14:textId="049D843E" w:rsidR="00293E96" w:rsidRPr="00CE23AE" w:rsidRDefault="00936F40" w:rsidP="00F22AD0">
      <w:pPr>
        <w:pStyle w:val="PrrafodeSentencia"/>
        <w:numPr>
          <w:ilvl w:val="0"/>
          <w:numId w:val="29"/>
        </w:numPr>
        <w:spacing w:before="40"/>
        <w:ind w:left="0" w:firstLine="0"/>
        <w:rPr>
          <w:rFonts w:cs="ArialUnicodeMS"/>
          <w:lang w:val="en-US" w:bidi="en-US"/>
        </w:rPr>
      </w:pPr>
      <w:r w:rsidRPr="00CE23AE">
        <w:rPr>
          <w:lang w:val="en-US"/>
        </w:rPr>
        <w:t xml:space="preserve">The State shall, within one year of notification </w:t>
      </w:r>
      <w:r w:rsidR="001A22B6" w:rsidRPr="00CE23AE">
        <w:rPr>
          <w:lang w:val="en-US"/>
        </w:rPr>
        <w:t>of this judgment</w:t>
      </w:r>
      <w:r w:rsidR="00293E96" w:rsidRPr="00CE23AE">
        <w:rPr>
          <w:lang w:val="en-US"/>
        </w:rPr>
        <w:t>,</w:t>
      </w:r>
      <w:r w:rsidR="00F6458C" w:rsidRPr="00CE23AE">
        <w:rPr>
          <w:lang w:val="en-US"/>
        </w:rPr>
        <w:t xml:space="preserve"> provide the Court with a report</w:t>
      </w:r>
      <w:r w:rsidR="00293E96" w:rsidRPr="00CE23AE">
        <w:rPr>
          <w:lang w:val="en-US"/>
        </w:rPr>
        <w:t xml:space="preserve"> </w:t>
      </w:r>
      <w:r w:rsidRPr="00CE23AE">
        <w:rPr>
          <w:lang w:val="en-US"/>
        </w:rPr>
        <w:t>on the measures taken to comply with  it, without prejudice to the provisions of paragraph</w:t>
      </w:r>
      <w:r w:rsidR="002C29DE" w:rsidRPr="00CE23AE">
        <w:rPr>
          <w:lang w:val="en-US"/>
        </w:rPr>
        <w:t xml:space="preserve"> </w:t>
      </w:r>
      <w:r w:rsidR="002C29DE" w:rsidRPr="00CE23AE">
        <w:rPr>
          <w:lang w:val="en-US"/>
        </w:rPr>
        <w:fldChar w:fldCharType="begin"/>
      </w:r>
      <w:r w:rsidR="002C29DE" w:rsidRPr="00CE23AE">
        <w:rPr>
          <w:lang w:val="en-US"/>
        </w:rPr>
        <w:instrText xml:space="preserve"> REF _Ref464742453 \r \h  \* MERGEFORMAT </w:instrText>
      </w:r>
      <w:r w:rsidR="002C29DE" w:rsidRPr="00CE23AE">
        <w:rPr>
          <w:lang w:val="en-US"/>
        </w:rPr>
      </w:r>
      <w:r w:rsidR="002C29DE" w:rsidRPr="00CE23AE">
        <w:rPr>
          <w:lang w:val="en-US"/>
        </w:rPr>
        <w:fldChar w:fldCharType="separate"/>
      </w:r>
      <w:r w:rsidR="00BC2953" w:rsidRPr="00CE23AE">
        <w:rPr>
          <w:lang w:val="en-US"/>
        </w:rPr>
        <w:t>232</w:t>
      </w:r>
      <w:r w:rsidR="002C29DE" w:rsidRPr="00CE23AE">
        <w:rPr>
          <w:lang w:val="en-US"/>
        </w:rPr>
        <w:fldChar w:fldCharType="end"/>
      </w:r>
      <w:r w:rsidR="002C29DE" w:rsidRPr="00CE23AE">
        <w:rPr>
          <w:lang w:val="en-US"/>
        </w:rPr>
        <w:t xml:space="preserve"> </w:t>
      </w:r>
      <w:r w:rsidRPr="00CE23AE">
        <w:rPr>
          <w:lang w:val="en-US"/>
        </w:rPr>
        <w:t>of this judgment</w:t>
      </w:r>
      <w:r w:rsidR="002C29DE" w:rsidRPr="00CE23AE">
        <w:rPr>
          <w:lang w:val="en-US"/>
        </w:rPr>
        <w:t>.</w:t>
      </w:r>
    </w:p>
    <w:p w14:paraId="726543E8" w14:textId="77777777" w:rsidR="00293E96" w:rsidRPr="00CE23AE" w:rsidRDefault="00293E96" w:rsidP="00F22AD0">
      <w:pPr>
        <w:pStyle w:val="PrrafodeSentencia"/>
        <w:numPr>
          <w:ilvl w:val="0"/>
          <w:numId w:val="0"/>
        </w:numPr>
        <w:spacing w:before="40"/>
        <w:rPr>
          <w:rFonts w:cs="ArialUnicodeMS"/>
          <w:lang w:val="en-US" w:bidi="en-US"/>
        </w:rPr>
      </w:pPr>
    </w:p>
    <w:p w14:paraId="25A04066" w14:textId="3281D56A" w:rsidR="00887CF1" w:rsidRPr="00CE23AE" w:rsidRDefault="00C561DF" w:rsidP="00F22AD0">
      <w:pPr>
        <w:pStyle w:val="PrrafodeSentencia"/>
        <w:numPr>
          <w:ilvl w:val="0"/>
          <w:numId w:val="29"/>
        </w:numPr>
        <w:spacing w:before="40"/>
        <w:ind w:left="0" w:firstLine="0"/>
        <w:rPr>
          <w:rFonts w:cs="ArialUnicodeMS"/>
          <w:lang w:val="en-US" w:bidi="en-US"/>
        </w:rPr>
      </w:pPr>
      <w:r w:rsidRPr="00CE23AE">
        <w:rPr>
          <w:lang w:val="en-US"/>
        </w:rPr>
        <w:lastRenderedPageBreak/>
        <w:t>The Court</w:t>
      </w:r>
      <w:r w:rsidR="00293E96" w:rsidRPr="00CE23AE">
        <w:rPr>
          <w:lang w:val="en-US"/>
        </w:rPr>
        <w:t xml:space="preserve"> </w:t>
      </w:r>
      <w:r w:rsidR="00936F40" w:rsidRPr="00CE23AE">
        <w:rPr>
          <w:lang w:val="en-US"/>
        </w:rPr>
        <w:t xml:space="preserve">will monitor full compliance with the judgment, in exercise of its authority and in fulfillment of its duties under </w:t>
      </w:r>
      <w:r w:rsidRPr="00CE23AE">
        <w:rPr>
          <w:lang w:val="en-US"/>
        </w:rPr>
        <w:t>the American Convention on Human Rights</w:t>
      </w:r>
      <w:r w:rsidR="00293E96" w:rsidRPr="00CE23AE">
        <w:rPr>
          <w:lang w:val="en-US"/>
        </w:rPr>
        <w:t>,</w:t>
      </w:r>
      <w:r w:rsidRPr="00CE23AE">
        <w:rPr>
          <w:lang w:val="en-US"/>
        </w:rPr>
        <w:t xml:space="preserve"> and </w:t>
      </w:r>
      <w:r w:rsidR="00936F40" w:rsidRPr="00CE23AE">
        <w:rPr>
          <w:lang w:val="en-US"/>
        </w:rPr>
        <w:t>will consider this case closed when the State has complied fully with its provisions.</w:t>
      </w:r>
    </w:p>
    <w:p w14:paraId="4E039D7D" w14:textId="77777777" w:rsidR="00F22AD0" w:rsidRPr="00CE23AE" w:rsidRDefault="00F22AD0" w:rsidP="00F22AD0">
      <w:pPr>
        <w:pStyle w:val="PrrafodeSentencia"/>
        <w:numPr>
          <w:ilvl w:val="0"/>
          <w:numId w:val="0"/>
        </w:numPr>
        <w:spacing w:before="40"/>
        <w:rPr>
          <w:lang w:val="en-US"/>
        </w:rPr>
      </w:pPr>
    </w:p>
    <w:p w14:paraId="7BBDA3DE" w14:textId="77777777" w:rsidR="00F22AD0" w:rsidRPr="00CE23AE" w:rsidRDefault="00F22AD0" w:rsidP="00F22AD0">
      <w:pPr>
        <w:pStyle w:val="PrrafodeSentencia"/>
        <w:numPr>
          <w:ilvl w:val="0"/>
          <w:numId w:val="0"/>
        </w:numPr>
        <w:spacing w:before="40"/>
        <w:rPr>
          <w:rFonts w:cs="ArialUnicodeMS"/>
          <w:lang w:val="en-US" w:bidi="en-US"/>
        </w:rPr>
      </w:pPr>
    </w:p>
    <w:p w14:paraId="1224E192" w14:textId="681B61C4" w:rsidR="008E3B8F" w:rsidRPr="00CE23AE" w:rsidRDefault="00F874CB" w:rsidP="00F22AD0">
      <w:pPr>
        <w:spacing w:before="40"/>
        <w:rPr>
          <w:lang w:val="en-US"/>
        </w:rPr>
      </w:pPr>
      <w:r w:rsidRPr="00CE23AE">
        <w:rPr>
          <w:lang w:val="en-US"/>
        </w:rPr>
        <w:t xml:space="preserve">DONE, at Mexico City, Mexico, on </w:t>
      </w:r>
      <w:r w:rsidR="00C561DF" w:rsidRPr="00CE23AE">
        <w:rPr>
          <w:lang w:val="en-US"/>
        </w:rPr>
        <w:t>August 31,</w:t>
      </w:r>
      <w:r w:rsidR="008E3B8F" w:rsidRPr="00CE23AE">
        <w:rPr>
          <w:lang w:val="en-US"/>
        </w:rPr>
        <w:t xml:space="preserve"> 2016</w:t>
      </w:r>
      <w:r w:rsidR="00721F1C" w:rsidRPr="00CE23AE">
        <w:rPr>
          <w:lang w:val="en-US"/>
        </w:rPr>
        <w:t>, in the Spanish language</w:t>
      </w:r>
    </w:p>
    <w:p w14:paraId="7371EE9C" w14:textId="77777777" w:rsidR="000A6980" w:rsidRPr="00CE23AE" w:rsidRDefault="000A6980" w:rsidP="00F22AD0">
      <w:pPr>
        <w:spacing w:before="40"/>
        <w:rPr>
          <w:lang w:val="en-US"/>
        </w:rPr>
      </w:pPr>
    </w:p>
    <w:p w14:paraId="0AEB6992" w14:textId="576817E7" w:rsidR="000A6980" w:rsidRPr="00CE23AE" w:rsidRDefault="00C561DF" w:rsidP="000A6980">
      <w:pPr>
        <w:keepNext/>
        <w:spacing w:line="240" w:lineRule="auto"/>
        <w:outlineLvl w:val="0"/>
        <w:rPr>
          <w:rFonts w:eastAsia="Times"/>
          <w:szCs w:val="20"/>
          <w:lang w:val="en-US"/>
        </w:rPr>
      </w:pPr>
      <w:bookmarkStart w:id="583" w:name="_Toc46388424"/>
      <w:r w:rsidRPr="00CE23AE">
        <w:rPr>
          <w:rFonts w:eastAsia="Times"/>
          <w:szCs w:val="20"/>
          <w:lang w:val="en-US"/>
        </w:rPr>
        <w:t>Judgment of</w:t>
      </w:r>
      <w:r w:rsidR="000A6980" w:rsidRPr="00CE23AE">
        <w:rPr>
          <w:rFonts w:eastAsia="Times"/>
          <w:szCs w:val="20"/>
          <w:lang w:val="en-US"/>
        </w:rPr>
        <w:t xml:space="preserve"> </w:t>
      </w:r>
      <w:r w:rsidRPr="00CE23AE">
        <w:rPr>
          <w:rFonts w:eastAsia="Times"/>
          <w:szCs w:val="20"/>
          <w:lang w:val="en-US"/>
        </w:rPr>
        <w:t>the Inter-American Court of Human Rights</w:t>
      </w:r>
      <w:r w:rsidR="000A6980" w:rsidRPr="00CE23AE">
        <w:rPr>
          <w:rFonts w:eastAsia="Times"/>
          <w:szCs w:val="20"/>
          <w:lang w:val="en-US"/>
        </w:rPr>
        <w:t xml:space="preserve">. </w:t>
      </w:r>
      <w:r w:rsidRPr="00CE23AE">
        <w:rPr>
          <w:rFonts w:eastAsia="Times"/>
          <w:szCs w:val="20"/>
          <w:lang w:val="en-US"/>
        </w:rPr>
        <w:t>Case of</w:t>
      </w:r>
      <w:r w:rsidR="000A6980" w:rsidRPr="00CE23AE">
        <w:rPr>
          <w:rFonts w:eastAsia="Times"/>
          <w:szCs w:val="20"/>
          <w:lang w:val="en-US"/>
        </w:rPr>
        <w:t xml:space="preserve"> Flor Freire </w:t>
      </w:r>
      <w:r w:rsidRPr="00CE23AE">
        <w:rPr>
          <w:rFonts w:eastAsia="Times"/>
          <w:szCs w:val="20"/>
          <w:lang w:val="en-US"/>
        </w:rPr>
        <w:t>v.</w:t>
      </w:r>
      <w:r w:rsidR="000A6980" w:rsidRPr="00CE23AE">
        <w:rPr>
          <w:rFonts w:eastAsia="Times"/>
          <w:szCs w:val="20"/>
          <w:lang w:val="en-US"/>
        </w:rPr>
        <w:t xml:space="preserve"> Ecuador. </w:t>
      </w:r>
      <w:r w:rsidRPr="00CE23AE">
        <w:rPr>
          <w:rFonts w:eastAsia="Times"/>
          <w:szCs w:val="20"/>
          <w:lang w:val="en-US"/>
        </w:rPr>
        <w:t>Preliminary objection, merits, reparations and costs</w:t>
      </w:r>
      <w:r w:rsidR="000A6980" w:rsidRPr="00CE23AE">
        <w:rPr>
          <w:rFonts w:eastAsia="Times"/>
          <w:szCs w:val="20"/>
          <w:lang w:val="en-US"/>
        </w:rPr>
        <w:t>.</w:t>
      </w:r>
      <w:bookmarkEnd w:id="583"/>
    </w:p>
    <w:p w14:paraId="043DAF2E" w14:textId="77777777" w:rsidR="000A6980" w:rsidRPr="00CE23AE" w:rsidRDefault="000A6980" w:rsidP="000A6980">
      <w:pPr>
        <w:spacing w:line="240" w:lineRule="auto"/>
        <w:jc w:val="center"/>
        <w:rPr>
          <w:rFonts w:eastAsia="Times"/>
          <w:szCs w:val="20"/>
          <w:lang w:val="en-US"/>
        </w:rPr>
      </w:pPr>
    </w:p>
    <w:p w14:paraId="4D762079" w14:textId="77777777" w:rsidR="000A6980" w:rsidRPr="00CE23AE" w:rsidRDefault="000A6980" w:rsidP="000A6980">
      <w:pPr>
        <w:spacing w:line="240" w:lineRule="auto"/>
        <w:jc w:val="center"/>
        <w:rPr>
          <w:rFonts w:eastAsia="Times"/>
          <w:szCs w:val="20"/>
          <w:lang w:val="en-US"/>
        </w:rPr>
      </w:pPr>
    </w:p>
    <w:p w14:paraId="47C8949A" w14:textId="77777777" w:rsidR="000A6980" w:rsidRPr="00CE23AE" w:rsidRDefault="000A6980" w:rsidP="000A6980">
      <w:pPr>
        <w:spacing w:line="240" w:lineRule="auto"/>
        <w:jc w:val="center"/>
        <w:rPr>
          <w:rFonts w:eastAsia="Times"/>
          <w:szCs w:val="20"/>
          <w:lang w:val="en-US"/>
        </w:rPr>
      </w:pPr>
    </w:p>
    <w:p w14:paraId="74F9BF32" w14:textId="77777777" w:rsidR="000A6980" w:rsidRPr="00CE23AE" w:rsidRDefault="000A6980" w:rsidP="000A6980">
      <w:pPr>
        <w:spacing w:line="240" w:lineRule="auto"/>
        <w:jc w:val="center"/>
        <w:rPr>
          <w:rFonts w:eastAsia="Times"/>
          <w:szCs w:val="20"/>
          <w:lang w:val="en-US"/>
        </w:rPr>
      </w:pPr>
    </w:p>
    <w:p w14:paraId="2C28C68B" w14:textId="77777777" w:rsidR="000A6980" w:rsidRPr="00CE23AE" w:rsidRDefault="000A6980" w:rsidP="000A6980">
      <w:pPr>
        <w:spacing w:line="240" w:lineRule="auto"/>
        <w:jc w:val="center"/>
        <w:rPr>
          <w:rFonts w:eastAsia="Times"/>
          <w:szCs w:val="20"/>
          <w:lang w:val="en-US"/>
        </w:rPr>
      </w:pPr>
    </w:p>
    <w:p w14:paraId="33559332" w14:textId="77777777" w:rsidR="000A6980" w:rsidRPr="00CE23AE" w:rsidRDefault="000A6980" w:rsidP="000A6980">
      <w:pPr>
        <w:spacing w:line="240" w:lineRule="auto"/>
        <w:jc w:val="center"/>
        <w:rPr>
          <w:rFonts w:eastAsia="Times"/>
          <w:szCs w:val="20"/>
          <w:lang w:val="en-US"/>
        </w:rPr>
      </w:pPr>
      <w:r w:rsidRPr="00CE23AE">
        <w:rPr>
          <w:rFonts w:eastAsia="Times"/>
          <w:szCs w:val="20"/>
          <w:lang w:val="en-US"/>
        </w:rPr>
        <w:t>Roberto F. Caldas</w:t>
      </w:r>
    </w:p>
    <w:p w14:paraId="74FCB0B0" w14:textId="62D5E041" w:rsidR="000A6980" w:rsidRPr="00CE23AE" w:rsidRDefault="00C561DF" w:rsidP="000A6980">
      <w:pPr>
        <w:spacing w:line="240" w:lineRule="auto"/>
        <w:jc w:val="center"/>
        <w:rPr>
          <w:rFonts w:eastAsia="Times"/>
          <w:szCs w:val="20"/>
          <w:lang w:val="en-US"/>
        </w:rPr>
      </w:pPr>
      <w:r w:rsidRPr="00CE23AE">
        <w:rPr>
          <w:rFonts w:eastAsia="Times"/>
          <w:szCs w:val="20"/>
          <w:lang w:val="en-US"/>
        </w:rPr>
        <w:t>President</w:t>
      </w:r>
    </w:p>
    <w:p w14:paraId="1D1353BD" w14:textId="77777777" w:rsidR="000A6980" w:rsidRPr="00CE23AE" w:rsidRDefault="000A6980" w:rsidP="000A6980">
      <w:pPr>
        <w:spacing w:line="240" w:lineRule="auto"/>
        <w:rPr>
          <w:rFonts w:eastAsia="Times"/>
          <w:szCs w:val="20"/>
          <w:lang w:val="en-US"/>
        </w:rPr>
      </w:pPr>
    </w:p>
    <w:p w14:paraId="0980409F" w14:textId="77777777" w:rsidR="000A6980" w:rsidRPr="00CE23AE" w:rsidRDefault="000A6980" w:rsidP="000A6980">
      <w:pPr>
        <w:spacing w:line="240" w:lineRule="auto"/>
        <w:rPr>
          <w:rFonts w:eastAsia="Times"/>
          <w:szCs w:val="20"/>
          <w:lang w:val="en-US"/>
        </w:rPr>
      </w:pPr>
    </w:p>
    <w:p w14:paraId="486B5FED" w14:textId="77777777" w:rsidR="000A6980" w:rsidRPr="00CE23AE" w:rsidRDefault="000A6980" w:rsidP="000A6980">
      <w:pPr>
        <w:spacing w:line="240" w:lineRule="auto"/>
        <w:rPr>
          <w:rFonts w:eastAsia="Times"/>
          <w:szCs w:val="20"/>
          <w:lang w:val="en-US"/>
        </w:rPr>
      </w:pPr>
    </w:p>
    <w:p w14:paraId="5A4BEA00" w14:textId="77777777" w:rsidR="000A6980" w:rsidRPr="00CE23AE" w:rsidRDefault="000A6980" w:rsidP="000A6980">
      <w:pPr>
        <w:spacing w:line="240" w:lineRule="auto"/>
        <w:rPr>
          <w:rFonts w:eastAsia="Times"/>
          <w:szCs w:val="20"/>
          <w:lang w:val="en-US"/>
        </w:rPr>
      </w:pPr>
    </w:p>
    <w:p w14:paraId="2D5CF936" w14:textId="77777777" w:rsidR="000A6980" w:rsidRPr="00CE23AE" w:rsidRDefault="000A6980" w:rsidP="000A6980">
      <w:pPr>
        <w:spacing w:line="240" w:lineRule="auto"/>
        <w:rPr>
          <w:rFonts w:eastAsia="Times"/>
          <w:szCs w:val="20"/>
          <w:lang w:val="en-US"/>
        </w:rPr>
      </w:pPr>
      <w:r w:rsidRPr="00CE23AE">
        <w:rPr>
          <w:rFonts w:eastAsia="Times"/>
          <w:szCs w:val="20"/>
          <w:lang w:val="en-US"/>
        </w:rPr>
        <w:t>Eduardo Ferrer Mac-Gregor Poisot</w:t>
      </w:r>
      <w:r w:rsidRPr="00CE23AE">
        <w:rPr>
          <w:rFonts w:eastAsia="Times"/>
          <w:szCs w:val="20"/>
          <w:lang w:val="en-US"/>
        </w:rPr>
        <w:tab/>
      </w:r>
      <w:r w:rsidRPr="00CE23AE">
        <w:rPr>
          <w:rFonts w:eastAsia="Times"/>
          <w:szCs w:val="20"/>
          <w:lang w:val="en-US"/>
        </w:rPr>
        <w:tab/>
      </w:r>
      <w:r w:rsidRPr="00CE23AE">
        <w:rPr>
          <w:rFonts w:eastAsia="Times"/>
          <w:szCs w:val="20"/>
          <w:lang w:val="en-US"/>
        </w:rPr>
        <w:tab/>
      </w:r>
      <w:r w:rsidRPr="00CE23AE">
        <w:rPr>
          <w:rFonts w:eastAsia="Times"/>
          <w:szCs w:val="20"/>
          <w:lang w:val="en-US"/>
        </w:rPr>
        <w:tab/>
      </w:r>
      <w:r w:rsidRPr="00CE23AE">
        <w:rPr>
          <w:rFonts w:eastAsia="Times"/>
          <w:szCs w:val="20"/>
          <w:lang w:val="en-US"/>
        </w:rPr>
        <w:tab/>
        <w:t xml:space="preserve">       Eduardo Vio Grossi</w:t>
      </w:r>
    </w:p>
    <w:p w14:paraId="62D16614" w14:textId="77777777" w:rsidR="000A6980" w:rsidRPr="00CE23AE" w:rsidRDefault="000A6980" w:rsidP="000A6980">
      <w:pPr>
        <w:spacing w:line="240" w:lineRule="auto"/>
        <w:rPr>
          <w:rFonts w:eastAsia="Times"/>
          <w:szCs w:val="20"/>
          <w:lang w:val="en-US"/>
        </w:rPr>
      </w:pPr>
    </w:p>
    <w:p w14:paraId="164608D3" w14:textId="77777777" w:rsidR="000A6980" w:rsidRPr="00CE23AE" w:rsidRDefault="000A6980" w:rsidP="000A6980">
      <w:pPr>
        <w:spacing w:line="240" w:lineRule="auto"/>
        <w:rPr>
          <w:rFonts w:eastAsia="Times"/>
          <w:szCs w:val="20"/>
          <w:lang w:val="en-US"/>
        </w:rPr>
      </w:pPr>
    </w:p>
    <w:p w14:paraId="17CD4E49" w14:textId="77777777" w:rsidR="000A6980" w:rsidRPr="00CE23AE" w:rsidRDefault="000A6980" w:rsidP="000A6980">
      <w:pPr>
        <w:spacing w:line="240" w:lineRule="auto"/>
        <w:rPr>
          <w:rFonts w:eastAsia="Times"/>
          <w:szCs w:val="20"/>
          <w:lang w:val="en-US"/>
        </w:rPr>
      </w:pPr>
    </w:p>
    <w:p w14:paraId="3A4112DF" w14:textId="77777777" w:rsidR="000A6980" w:rsidRPr="00CE23AE" w:rsidRDefault="000A6980" w:rsidP="000A6980">
      <w:pPr>
        <w:spacing w:line="240" w:lineRule="auto"/>
        <w:rPr>
          <w:rFonts w:eastAsia="Times"/>
          <w:szCs w:val="20"/>
          <w:lang w:val="en-US"/>
        </w:rPr>
      </w:pPr>
    </w:p>
    <w:p w14:paraId="6D7DD25F" w14:textId="77777777" w:rsidR="000A6980" w:rsidRPr="00CE23AE" w:rsidRDefault="000A6980" w:rsidP="000A6980">
      <w:pPr>
        <w:spacing w:line="240" w:lineRule="auto"/>
        <w:rPr>
          <w:rFonts w:eastAsia="Times"/>
          <w:szCs w:val="20"/>
          <w:lang w:val="en-US"/>
        </w:rPr>
      </w:pPr>
    </w:p>
    <w:p w14:paraId="0EFC6CCB" w14:textId="77777777" w:rsidR="000A6980" w:rsidRPr="00CE23AE" w:rsidRDefault="000A6980" w:rsidP="000A6980">
      <w:pPr>
        <w:spacing w:line="240" w:lineRule="auto"/>
        <w:rPr>
          <w:rFonts w:eastAsia="Times"/>
          <w:szCs w:val="20"/>
        </w:rPr>
      </w:pPr>
      <w:r w:rsidRPr="00CE23AE">
        <w:rPr>
          <w:rFonts w:eastAsia="Times"/>
          <w:szCs w:val="20"/>
        </w:rPr>
        <w:t>Humberto Antonio Sierra Porto</w:t>
      </w:r>
      <w:r w:rsidRPr="00CE23AE">
        <w:rPr>
          <w:rFonts w:eastAsia="Times"/>
          <w:szCs w:val="20"/>
        </w:rPr>
        <w:tab/>
      </w:r>
      <w:r w:rsidRPr="00CE23AE">
        <w:rPr>
          <w:rFonts w:eastAsia="Times"/>
          <w:szCs w:val="20"/>
        </w:rPr>
        <w:tab/>
      </w:r>
      <w:r w:rsidRPr="00CE23AE">
        <w:rPr>
          <w:rFonts w:eastAsia="Times"/>
          <w:szCs w:val="20"/>
        </w:rPr>
        <w:tab/>
      </w:r>
      <w:r w:rsidRPr="00CE23AE">
        <w:rPr>
          <w:rFonts w:eastAsia="Times"/>
          <w:szCs w:val="20"/>
        </w:rPr>
        <w:tab/>
      </w:r>
      <w:r w:rsidRPr="00CE23AE">
        <w:rPr>
          <w:rFonts w:eastAsia="Times"/>
          <w:szCs w:val="20"/>
        </w:rPr>
        <w:tab/>
        <w:t xml:space="preserve">    Elizabeth Odio Benito </w:t>
      </w:r>
    </w:p>
    <w:p w14:paraId="04E658FA" w14:textId="77777777" w:rsidR="000A6980" w:rsidRPr="00CE23AE" w:rsidRDefault="000A6980" w:rsidP="000A6980">
      <w:pPr>
        <w:spacing w:line="240" w:lineRule="auto"/>
        <w:rPr>
          <w:rFonts w:eastAsia="Times"/>
          <w:szCs w:val="20"/>
        </w:rPr>
      </w:pPr>
    </w:p>
    <w:p w14:paraId="13F02F43" w14:textId="77777777" w:rsidR="000A6980" w:rsidRPr="00CE23AE" w:rsidRDefault="000A6980" w:rsidP="000A6980">
      <w:pPr>
        <w:spacing w:line="240" w:lineRule="auto"/>
        <w:rPr>
          <w:rFonts w:eastAsia="Times"/>
          <w:szCs w:val="20"/>
        </w:rPr>
      </w:pPr>
    </w:p>
    <w:p w14:paraId="5EFB25A1" w14:textId="77777777" w:rsidR="000A6980" w:rsidRPr="00CE23AE" w:rsidRDefault="000A6980" w:rsidP="000A6980">
      <w:pPr>
        <w:spacing w:line="240" w:lineRule="auto"/>
        <w:rPr>
          <w:rFonts w:eastAsia="Times"/>
          <w:szCs w:val="20"/>
        </w:rPr>
      </w:pPr>
    </w:p>
    <w:p w14:paraId="63DF7A2A" w14:textId="77777777" w:rsidR="000A6980" w:rsidRPr="00CE23AE" w:rsidRDefault="000A6980" w:rsidP="000A6980">
      <w:pPr>
        <w:spacing w:line="240" w:lineRule="auto"/>
        <w:rPr>
          <w:rFonts w:eastAsia="Times"/>
          <w:szCs w:val="20"/>
        </w:rPr>
      </w:pPr>
    </w:p>
    <w:p w14:paraId="0F5E7BF8" w14:textId="77777777" w:rsidR="000A6980" w:rsidRPr="00CE23AE" w:rsidRDefault="000A6980" w:rsidP="000A6980">
      <w:pPr>
        <w:spacing w:line="240" w:lineRule="auto"/>
        <w:jc w:val="center"/>
        <w:rPr>
          <w:rFonts w:eastAsia="Times"/>
          <w:szCs w:val="20"/>
        </w:rPr>
      </w:pPr>
      <w:r w:rsidRPr="00CE23AE">
        <w:rPr>
          <w:rFonts w:eastAsia="Times"/>
          <w:szCs w:val="20"/>
        </w:rPr>
        <w:t>Eugenio Raúl Zaffaroni</w:t>
      </w:r>
    </w:p>
    <w:p w14:paraId="36C6A359" w14:textId="77777777" w:rsidR="000A6980" w:rsidRPr="00CE23AE" w:rsidRDefault="000A6980" w:rsidP="000A6980">
      <w:pPr>
        <w:spacing w:line="240" w:lineRule="auto"/>
        <w:rPr>
          <w:rFonts w:eastAsia="Times"/>
          <w:szCs w:val="20"/>
        </w:rPr>
      </w:pPr>
    </w:p>
    <w:p w14:paraId="7D756764" w14:textId="77777777" w:rsidR="000A6980" w:rsidRPr="00CE23AE" w:rsidRDefault="000A6980" w:rsidP="000A6980">
      <w:pPr>
        <w:spacing w:line="240" w:lineRule="auto"/>
        <w:rPr>
          <w:rFonts w:eastAsia="Times"/>
          <w:szCs w:val="20"/>
        </w:rPr>
      </w:pPr>
    </w:p>
    <w:p w14:paraId="24D5482B" w14:textId="77777777" w:rsidR="000A6980" w:rsidRPr="00CE23AE" w:rsidRDefault="000A6980" w:rsidP="000A6980">
      <w:pPr>
        <w:spacing w:line="240" w:lineRule="auto"/>
        <w:rPr>
          <w:rFonts w:eastAsia="Times"/>
          <w:szCs w:val="20"/>
        </w:rPr>
      </w:pPr>
    </w:p>
    <w:p w14:paraId="253E6FF1" w14:textId="77777777" w:rsidR="000A6980" w:rsidRPr="00CE23AE" w:rsidRDefault="000A6980" w:rsidP="000A6980">
      <w:pPr>
        <w:spacing w:line="240" w:lineRule="auto"/>
        <w:rPr>
          <w:rFonts w:eastAsia="Times"/>
          <w:szCs w:val="20"/>
        </w:rPr>
      </w:pPr>
    </w:p>
    <w:p w14:paraId="67592D9E" w14:textId="77777777" w:rsidR="000A6980" w:rsidRPr="00CE23AE" w:rsidRDefault="000A6980" w:rsidP="000A6980">
      <w:pPr>
        <w:spacing w:line="240" w:lineRule="auto"/>
        <w:jc w:val="center"/>
        <w:rPr>
          <w:rFonts w:eastAsia="Times"/>
          <w:szCs w:val="20"/>
        </w:rPr>
      </w:pPr>
      <w:r w:rsidRPr="00CE23AE">
        <w:rPr>
          <w:rFonts w:eastAsia="Times"/>
          <w:szCs w:val="20"/>
        </w:rPr>
        <w:t>Pablo Saavedra Alessandri</w:t>
      </w:r>
    </w:p>
    <w:p w14:paraId="6337E1A9" w14:textId="3AE7F6F7" w:rsidR="000A6980" w:rsidRPr="00CE23AE" w:rsidRDefault="00C561DF" w:rsidP="000A6980">
      <w:pPr>
        <w:spacing w:line="240" w:lineRule="auto"/>
        <w:jc w:val="center"/>
        <w:rPr>
          <w:rFonts w:eastAsia="Times"/>
          <w:szCs w:val="20"/>
          <w:lang w:val="en-US"/>
        </w:rPr>
      </w:pPr>
      <w:r w:rsidRPr="00CE23AE">
        <w:rPr>
          <w:rFonts w:eastAsia="Times"/>
          <w:szCs w:val="20"/>
          <w:lang w:val="en-US"/>
        </w:rPr>
        <w:t>Secretary</w:t>
      </w:r>
    </w:p>
    <w:p w14:paraId="71D8F35F" w14:textId="77777777" w:rsidR="000A6980" w:rsidRPr="00CE23AE" w:rsidRDefault="000A6980" w:rsidP="000A6980">
      <w:pPr>
        <w:spacing w:line="240" w:lineRule="auto"/>
        <w:rPr>
          <w:rFonts w:eastAsia="Times"/>
          <w:szCs w:val="20"/>
          <w:lang w:val="en-US"/>
        </w:rPr>
      </w:pPr>
    </w:p>
    <w:p w14:paraId="2AFD81B1" w14:textId="77777777" w:rsidR="000A6980" w:rsidRPr="00CE23AE" w:rsidRDefault="000A6980" w:rsidP="000A6980">
      <w:pPr>
        <w:spacing w:line="240" w:lineRule="auto"/>
        <w:rPr>
          <w:rFonts w:eastAsia="Times"/>
          <w:szCs w:val="20"/>
          <w:lang w:val="en-US"/>
        </w:rPr>
      </w:pPr>
    </w:p>
    <w:p w14:paraId="06D050B4" w14:textId="77777777" w:rsidR="000A6980" w:rsidRPr="00CE23AE" w:rsidRDefault="000A6980" w:rsidP="000A6980">
      <w:pPr>
        <w:spacing w:line="240" w:lineRule="auto"/>
        <w:rPr>
          <w:rFonts w:eastAsia="Times"/>
          <w:szCs w:val="20"/>
          <w:lang w:val="en-US"/>
        </w:rPr>
      </w:pPr>
    </w:p>
    <w:p w14:paraId="00B4C137" w14:textId="5DD15525" w:rsidR="000A6980" w:rsidRPr="00CE23AE" w:rsidRDefault="00F874CB" w:rsidP="000A6980">
      <w:pPr>
        <w:spacing w:line="240" w:lineRule="auto"/>
        <w:rPr>
          <w:rFonts w:eastAsia="Times"/>
          <w:szCs w:val="20"/>
          <w:lang w:val="en-US"/>
        </w:rPr>
      </w:pPr>
      <w:r w:rsidRPr="00CE23AE">
        <w:rPr>
          <w:rFonts w:eastAsia="Times"/>
          <w:szCs w:val="20"/>
          <w:lang w:val="en-US"/>
        </w:rPr>
        <w:t>So ordered</w:t>
      </w:r>
      <w:r w:rsidR="000A6980" w:rsidRPr="00CE23AE">
        <w:rPr>
          <w:rFonts w:eastAsia="Times"/>
          <w:szCs w:val="20"/>
          <w:lang w:val="en-US"/>
        </w:rPr>
        <w:t>,</w:t>
      </w:r>
    </w:p>
    <w:p w14:paraId="5F869332" w14:textId="77777777" w:rsidR="000A6980" w:rsidRPr="00CE23AE" w:rsidRDefault="000A6980" w:rsidP="000A6980">
      <w:pPr>
        <w:spacing w:line="240" w:lineRule="auto"/>
        <w:rPr>
          <w:rFonts w:eastAsia="Times"/>
          <w:szCs w:val="20"/>
          <w:lang w:val="en-US"/>
        </w:rPr>
      </w:pPr>
    </w:p>
    <w:p w14:paraId="48C9D97D" w14:textId="77777777" w:rsidR="000A6980" w:rsidRPr="00CE23AE" w:rsidRDefault="000A6980" w:rsidP="000A6980">
      <w:pPr>
        <w:spacing w:line="240" w:lineRule="auto"/>
        <w:rPr>
          <w:rFonts w:eastAsia="Times"/>
          <w:szCs w:val="20"/>
          <w:lang w:val="en-US"/>
        </w:rPr>
      </w:pPr>
    </w:p>
    <w:p w14:paraId="02A97D5C" w14:textId="77777777" w:rsidR="000A6980" w:rsidRPr="00CE23AE" w:rsidRDefault="000A6980" w:rsidP="000A6980">
      <w:pPr>
        <w:spacing w:line="240" w:lineRule="auto"/>
        <w:rPr>
          <w:rFonts w:eastAsia="Times"/>
          <w:szCs w:val="20"/>
          <w:lang w:val="en-US"/>
        </w:rPr>
      </w:pPr>
    </w:p>
    <w:p w14:paraId="3B3AE9F2" w14:textId="77777777" w:rsidR="000A6980" w:rsidRPr="00CE23AE" w:rsidRDefault="000A6980" w:rsidP="000A6980">
      <w:pPr>
        <w:spacing w:line="240" w:lineRule="auto"/>
        <w:ind w:left="5664"/>
        <w:jc w:val="center"/>
        <w:rPr>
          <w:rFonts w:eastAsia="Times"/>
          <w:szCs w:val="20"/>
          <w:lang w:val="en-US"/>
        </w:rPr>
      </w:pPr>
      <w:r w:rsidRPr="00CE23AE">
        <w:rPr>
          <w:rFonts w:eastAsia="Times"/>
          <w:szCs w:val="20"/>
          <w:lang w:val="en-US"/>
        </w:rPr>
        <w:t>Roberto F. Caldas</w:t>
      </w:r>
    </w:p>
    <w:p w14:paraId="5E2DB33E" w14:textId="4A77270F" w:rsidR="000A6980" w:rsidRPr="00CE23AE" w:rsidRDefault="000A6980" w:rsidP="000A6980">
      <w:pPr>
        <w:spacing w:line="240" w:lineRule="auto"/>
        <w:ind w:left="5664"/>
        <w:jc w:val="center"/>
        <w:rPr>
          <w:rFonts w:eastAsia="Times"/>
          <w:szCs w:val="20"/>
          <w:lang w:val="en-US"/>
        </w:rPr>
      </w:pPr>
      <w:r w:rsidRPr="00CE23AE">
        <w:rPr>
          <w:rFonts w:eastAsia="Times"/>
          <w:szCs w:val="20"/>
          <w:lang w:val="en-US"/>
        </w:rPr>
        <w:t>President</w:t>
      </w:r>
    </w:p>
    <w:p w14:paraId="1A424990" w14:textId="77777777" w:rsidR="000A6980" w:rsidRPr="00CE23AE" w:rsidRDefault="000A6980" w:rsidP="000A6980">
      <w:pPr>
        <w:spacing w:line="240" w:lineRule="auto"/>
        <w:rPr>
          <w:rFonts w:eastAsia="Times"/>
          <w:szCs w:val="20"/>
          <w:lang w:val="en-US"/>
        </w:rPr>
      </w:pPr>
    </w:p>
    <w:p w14:paraId="7C0CCC56" w14:textId="77777777" w:rsidR="000A6980" w:rsidRPr="00CE23AE" w:rsidRDefault="000A6980" w:rsidP="000A6980">
      <w:pPr>
        <w:spacing w:line="240" w:lineRule="auto"/>
        <w:rPr>
          <w:rFonts w:eastAsia="Times"/>
          <w:szCs w:val="20"/>
          <w:lang w:val="en-US"/>
        </w:rPr>
      </w:pPr>
    </w:p>
    <w:p w14:paraId="5621FE21" w14:textId="77777777" w:rsidR="000A6980" w:rsidRPr="00CE23AE" w:rsidRDefault="000A6980" w:rsidP="000A6980">
      <w:pPr>
        <w:spacing w:line="240" w:lineRule="auto"/>
        <w:rPr>
          <w:rFonts w:eastAsia="Times"/>
          <w:szCs w:val="20"/>
          <w:lang w:val="en-US"/>
        </w:rPr>
      </w:pPr>
    </w:p>
    <w:p w14:paraId="711F2A54" w14:textId="77777777" w:rsidR="000A6980" w:rsidRPr="00CE23AE" w:rsidRDefault="000A6980" w:rsidP="000A6980">
      <w:pPr>
        <w:spacing w:line="240" w:lineRule="auto"/>
        <w:rPr>
          <w:rFonts w:eastAsia="Times"/>
          <w:szCs w:val="20"/>
          <w:lang w:val="en-US"/>
        </w:rPr>
      </w:pPr>
      <w:r w:rsidRPr="00CE23AE">
        <w:rPr>
          <w:rFonts w:eastAsia="Times"/>
          <w:szCs w:val="20"/>
          <w:lang w:val="en-US"/>
        </w:rPr>
        <w:t>Pablo Saavedra Alessandri</w:t>
      </w:r>
    </w:p>
    <w:p w14:paraId="2D64C879" w14:textId="6F08537C" w:rsidR="008E3B8F" w:rsidRPr="005C6C94" w:rsidRDefault="000A6980" w:rsidP="000A6980">
      <w:pPr>
        <w:spacing w:line="240" w:lineRule="auto"/>
        <w:rPr>
          <w:lang w:val="en-US"/>
        </w:rPr>
      </w:pPr>
      <w:r w:rsidRPr="00CE23AE">
        <w:rPr>
          <w:rFonts w:eastAsia="Times"/>
          <w:szCs w:val="20"/>
          <w:lang w:val="en-US"/>
        </w:rPr>
        <w:tab/>
      </w:r>
      <w:r w:rsidR="00C561DF" w:rsidRPr="00CE23AE">
        <w:rPr>
          <w:rFonts w:eastAsia="Times"/>
          <w:szCs w:val="20"/>
          <w:lang w:val="en-US"/>
        </w:rPr>
        <w:t>Secretary</w:t>
      </w:r>
    </w:p>
    <w:sectPr w:rsidR="008E3B8F" w:rsidRPr="005C6C94" w:rsidSect="00AF631C">
      <w:headerReference w:type="even" r:id="rId8"/>
      <w:headerReference w:type="default" r:id="rId9"/>
      <w:footerReference w:type="even" r:id="rId10"/>
      <w:footerReference w:type="default" r:id="rId11"/>
      <w:footnotePr>
        <w:numRestart w:val="eachSect"/>
      </w:footnotePr>
      <w:pgSz w:w="12240" w:h="15840"/>
      <w:pgMar w:top="1418" w:right="1021"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F742A" w14:textId="77777777" w:rsidR="00617A64" w:rsidRDefault="00617A64" w:rsidP="00C51E3C">
      <w:pPr>
        <w:spacing w:line="240" w:lineRule="auto"/>
      </w:pPr>
      <w:r>
        <w:separator/>
      </w:r>
    </w:p>
  </w:endnote>
  <w:endnote w:type="continuationSeparator" w:id="0">
    <w:p w14:paraId="5CA5C83B" w14:textId="77777777" w:rsidR="00617A64" w:rsidRDefault="00617A64" w:rsidP="00C51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charset w:val="00"/>
    <w:family w:val="auto"/>
    <w:pitch w:val="variable"/>
    <w:sig w:usb0="00000001"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Bold">
    <w:altName w:val="Times New Roman"/>
    <w:panose1 w:val="00000000000000000000"/>
    <w:charset w:val="00"/>
    <w:family w:val="roman"/>
    <w:notTrueType/>
    <w:pitch w:val="default"/>
  </w:font>
  <w:font w:name="TimesNewRomanPSMT">
    <w:altName w:val="Times New Roman"/>
    <w:charset w:val="00"/>
    <w:family w:val="auto"/>
    <w:pitch w:val="variable"/>
    <w:sig w:usb0="00000003" w:usb1="C0007841"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Italic">
    <w:charset w:val="00"/>
    <w:family w:val="auto"/>
    <w:pitch w:val="variable"/>
    <w:sig w:usb0="E00002FF" w:usb1="4000045F" w:usb2="00000000" w:usb3="00000000" w:csb0="0000019F" w:csb1="00000000"/>
  </w:font>
  <w:font w:name="Kuenstler480BT-Roman">
    <w:altName w:val="Times New Roman"/>
    <w:panose1 w:val="00000000000000000000"/>
    <w:charset w:val="A3"/>
    <w:family w:val="auto"/>
    <w:notTrueType/>
    <w:pitch w:val="default"/>
    <w:sig w:usb0="20000001" w:usb1="00000000" w:usb2="00000000" w:usb3="00000000" w:csb0="00000100" w:csb1="00000000"/>
  </w:font>
  <w:font w:name="ArialUnicodeMS">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94037" w14:textId="77777777" w:rsidR="00673461" w:rsidRDefault="00673461" w:rsidP="00807D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E17D81" w14:textId="77777777" w:rsidR="00673461" w:rsidRDefault="00673461" w:rsidP="00807D73">
    <w:pPr>
      <w:pStyle w:val="Piedepgina"/>
      <w:ind w:right="360"/>
    </w:pPr>
  </w:p>
  <w:p w14:paraId="4398C40F" w14:textId="77777777" w:rsidR="00673461" w:rsidRDefault="00673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74C58" w14:textId="77777777" w:rsidR="00673461" w:rsidRPr="005C3E76" w:rsidRDefault="00673461" w:rsidP="00807D73">
    <w:pPr>
      <w:pStyle w:val="Piedepgina"/>
      <w:ind w:right="360"/>
      <w:jc w:val="center"/>
    </w:pPr>
  </w:p>
  <w:p w14:paraId="66C8B40B" w14:textId="77777777" w:rsidR="00673461" w:rsidRPr="005C3E76" w:rsidRDefault="006734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F68C3" w14:textId="77777777" w:rsidR="00617A64" w:rsidRDefault="00617A64" w:rsidP="00C51E3C">
      <w:pPr>
        <w:spacing w:line="240" w:lineRule="auto"/>
      </w:pPr>
      <w:r>
        <w:separator/>
      </w:r>
    </w:p>
  </w:footnote>
  <w:footnote w:type="continuationSeparator" w:id="0">
    <w:p w14:paraId="3ECDBDAE" w14:textId="77777777" w:rsidR="00617A64" w:rsidRDefault="00617A64" w:rsidP="00C51E3C">
      <w:pPr>
        <w:spacing w:line="240" w:lineRule="auto"/>
      </w:pPr>
      <w:r>
        <w:continuationSeparator/>
      </w:r>
    </w:p>
  </w:footnote>
  <w:footnote w:id="1">
    <w:p w14:paraId="467F57A0" w14:textId="46B07DB1" w:rsidR="00673461" w:rsidRPr="00CE23AE" w:rsidRDefault="00673461" w:rsidP="007B1AC9">
      <w:pPr>
        <w:pStyle w:val="Textonotapie"/>
        <w:tabs>
          <w:tab w:val="left" w:pos="540"/>
        </w:tabs>
        <w:rPr>
          <w:szCs w:val="16"/>
          <w:lang w:val="en-US"/>
        </w:rPr>
      </w:pPr>
      <w:r w:rsidRPr="00CE23AE">
        <w:rPr>
          <w:rStyle w:val="Refdenotaalpie"/>
          <w:szCs w:val="16"/>
          <w:lang w:val="en-US"/>
        </w:rPr>
        <w:t>*</w:t>
      </w:r>
      <w:r w:rsidRPr="00CE23AE">
        <w:rPr>
          <w:szCs w:val="16"/>
          <w:lang w:val="en-US"/>
        </w:rPr>
        <w:t xml:space="preserve"> </w:t>
      </w:r>
      <w:r w:rsidRPr="00CE23AE">
        <w:rPr>
          <w:szCs w:val="16"/>
          <w:lang w:val="en-US"/>
        </w:rPr>
        <w:tab/>
      </w:r>
      <w:r w:rsidRPr="00CE23AE">
        <w:rPr>
          <w:szCs w:val="16"/>
          <w:lang w:val="en-US" w:eastAsia="en-US"/>
        </w:rPr>
        <w:t>Judge Patricio Pazmiño Freire, an Ecuadorian national, did not take part in the hearing or the deliberation of this case in accordance with the provisions of Article 19(1) the Court’s Rules of Procedure.</w:t>
      </w:r>
    </w:p>
  </w:footnote>
  <w:footnote w:id="2">
    <w:p w14:paraId="53127B71" w14:textId="1ED1CE17" w:rsidR="00673461" w:rsidRPr="00CE23AE" w:rsidRDefault="00673461" w:rsidP="007B1AC9">
      <w:pPr>
        <w:pStyle w:val="Textonotapie"/>
        <w:tabs>
          <w:tab w:val="left" w:pos="540"/>
        </w:tabs>
        <w:rPr>
          <w:szCs w:val="16"/>
          <w:lang w:val="en-US"/>
        </w:rPr>
      </w:pPr>
      <w:r w:rsidRPr="00CE23AE">
        <w:rPr>
          <w:szCs w:val="16"/>
          <w:vertAlign w:val="superscript"/>
          <w:lang w:val="en-US"/>
        </w:rPr>
        <w:footnoteRef/>
      </w:r>
      <w:r w:rsidRPr="00CE23AE">
        <w:rPr>
          <w:szCs w:val="16"/>
          <w:vertAlign w:val="superscript"/>
          <w:lang w:val="en-US"/>
        </w:rPr>
        <w:t xml:space="preserve"> </w:t>
      </w:r>
      <w:r w:rsidRPr="00CE23AE">
        <w:rPr>
          <w:szCs w:val="16"/>
          <w:lang w:val="en-US"/>
        </w:rPr>
        <w:tab/>
        <w:t xml:space="preserve">Admissibility Report No. 1/10, </w:t>
      </w:r>
      <w:r w:rsidRPr="00CE23AE">
        <w:rPr>
          <w:i/>
          <w:szCs w:val="16"/>
          <w:lang w:val="en-US"/>
        </w:rPr>
        <w:t>Case of Homero Flor Freire v. Ecuador</w:t>
      </w:r>
      <w:r w:rsidRPr="00CE23AE">
        <w:rPr>
          <w:szCs w:val="16"/>
          <w:lang w:val="en-US"/>
        </w:rPr>
        <w:t>, March 15, 2010 (evidence file, folios 204 to 215).</w:t>
      </w:r>
    </w:p>
  </w:footnote>
  <w:footnote w:id="3">
    <w:p w14:paraId="07166D1B" w14:textId="75379C56" w:rsidR="00673461" w:rsidRPr="00CE23AE" w:rsidRDefault="00673461" w:rsidP="007B1AC9">
      <w:pPr>
        <w:pStyle w:val="Textonotapie"/>
        <w:tabs>
          <w:tab w:val="left" w:pos="540"/>
        </w:tabs>
        <w:rPr>
          <w:szCs w:val="16"/>
          <w:lang w:val="en-US"/>
        </w:rPr>
      </w:pPr>
      <w:r w:rsidRPr="00CE23AE">
        <w:rPr>
          <w:szCs w:val="16"/>
          <w:vertAlign w:val="superscript"/>
          <w:lang w:val="en-US"/>
        </w:rPr>
        <w:footnoteRef/>
      </w:r>
      <w:r w:rsidRPr="00CE23AE">
        <w:rPr>
          <w:szCs w:val="16"/>
          <w:vertAlign w:val="superscript"/>
          <w:lang w:val="en-US"/>
        </w:rPr>
        <w:t xml:space="preserve"> </w:t>
      </w:r>
      <w:r w:rsidRPr="00CE23AE">
        <w:rPr>
          <w:szCs w:val="16"/>
          <w:lang w:val="en-US"/>
        </w:rPr>
        <w:tab/>
        <w:t xml:space="preserve">Merits Report No. 81/13, </w:t>
      </w:r>
      <w:r w:rsidRPr="00CE23AE">
        <w:rPr>
          <w:i/>
          <w:szCs w:val="16"/>
          <w:lang w:val="en-US"/>
        </w:rPr>
        <w:t>Case of Homero Flor Freire v. Ecuador,</w:t>
      </w:r>
      <w:r w:rsidRPr="00CE23AE">
        <w:rPr>
          <w:szCs w:val="16"/>
          <w:lang w:val="en-US"/>
        </w:rPr>
        <w:t xml:space="preserve"> November 4, 2013 (merits file, folios 5 to 53).</w:t>
      </w:r>
    </w:p>
  </w:footnote>
  <w:footnote w:id="4">
    <w:p w14:paraId="5C7C72A2" w14:textId="1FEF22D9"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i/>
          <w:szCs w:val="16"/>
          <w:lang w:val="en-US"/>
        </w:rPr>
        <w:tab/>
        <w:t>Cf.</w:t>
      </w:r>
      <w:r w:rsidRPr="00CE23AE">
        <w:rPr>
          <w:szCs w:val="16"/>
          <w:lang w:val="en-US"/>
        </w:rPr>
        <w:t xml:space="preserve"> Brief of the State of March 14, 2014 (evidence file, folios 2045 to 2059); brief of the State of June 25, 2014 (evidence file, folios 1816 to 1819); brief of the State of October 9, 2014 (evidence file, folios 1589 to 1601), and proposed compliance agreement presented by the representative on August 21, 2014 (evidence file, folios 1695 and 1723 to 1727).</w:t>
      </w:r>
    </w:p>
  </w:footnote>
  <w:footnote w:id="5">
    <w:p w14:paraId="2D4695DC" w14:textId="586F0FB4"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The presumed victim in this case is represented by Alejandro Ponce Villacís.</w:t>
      </w:r>
    </w:p>
  </w:footnote>
  <w:footnote w:id="6">
    <w:p w14:paraId="07EFDDB6" w14:textId="2BB4D4D8"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Flor Freire v. Ecuador</w:t>
      </w:r>
      <w:r w:rsidRPr="00CE23AE">
        <w:rPr>
          <w:szCs w:val="16"/>
          <w:lang w:val="en-US"/>
        </w:rPr>
        <w:t xml:space="preserve">. Order of the President of the Court of July 3, 2015. Available at: </w:t>
      </w:r>
      <w:hyperlink r:id="rId1" w:history="1">
        <w:r w:rsidRPr="00CE23AE">
          <w:rPr>
            <w:rStyle w:val="Hipervnculo"/>
            <w:szCs w:val="16"/>
            <w:lang w:val="en-US"/>
          </w:rPr>
          <w:t>http://www.corteidh.or.cr/docs/asuntos/freire_fv_15.pdf</w:t>
        </w:r>
      </w:hyperlink>
      <w:r w:rsidRPr="00CE23AE">
        <w:rPr>
          <w:szCs w:val="16"/>
          <w:lang w:val="en-US"/>
        </w:rPr>
        <w:t>.</w:t>
      </w:r>
    </w:p>
  </w:footnote>
  <w:footnote w:id="7">
    <w:p w14:paraId="181938DB" w14:textId="306EB081"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Flor Freire v. Ecuador</w:t>
      </w:r>
      <w:r w:rsidRPr="00CE23AE">
        <w:rPr>
          <w:szCs w:val="16"/>
          <w:lang w:val="en-US"/>
        </w:rPr>
        <w:t xml:space="preserve">. Order of the President of the Court of December 16, 2015. Available at: </w:t>
      </w:r>
      <w:hyperlink r:id="rId2" w:history="1">
        <w:r w:rsidRPr="00CE23AE">
          <w:rPr>
            <w:rStyle w:val="Hipervnculo"/>
            <w:szCs w:val="16"/>
            <w:lang w:val="en-US"/>
          </w:rPr>
          <w:t>http://www.corteidh.or.cr/docs/asuntos/freire_16_12_15.pdf</w:t>
        </w:r>
      </w:hyperlink>
      <w:r w:rsidRPr="00CE23AE">
        <w:rPr>
          <w:szCs w:val="16"/>
          <w:lang w:val="en-US"/>
        </w:rPr>
        <w:t xml:space="preserve">. </w:t>
      </w:r>
    </w:p>
  </w:footnote>
  <w:footnote w:id="8">
    <w:p w14:paraId="1AA6E3B5" w14:textId="4C136365"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There appeared at this hearing: (a) for the Inter-American Commission: Commissioner Francisco Eguiguren Praeli and Silvia Serrano Guzmán, Adviser; (b) for the presumed victim: Alejandro Ponce Villacís, legal representative, and (c) for the State: Ricardo Velasco, National Director for Human Rights, Agent; Carlos Espín Arias, Assistant National Director for Human Rights, Deputy Agent, and Alonso Fonseca, Deputy Agent.</w:t>
      </w:r>
    </w:p>
  </w:footnote>
  <w:footnote w:id="9">
    <w:p w14:paraId="22BCAD0F" w14:textId="0A682FFD"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This brief was signed by Alex Esparza Sarango, President of the Foundation; Bernarda Freire Barrera, Coordinator of the Foundation’s Human Rights Clinic, and by the lawyers, Christian Paula Aguirre and Jorge Fernández Yépez. </w:t>
      </w:r>
    </w:p>
  </w:footnote>
  <w:footnote w:id="10">
    <w:p w14:paraId="0F7A486F" w14:textId="5868EB64" w:rsidR="00673461" w:rsidRPr="00CE23AE" w:rsidRDefault="00673461" w:rsidP="007B1AC9">
      <w:pPr>
        <w:pStyle w:val="Textonotapie"/>
        <w:tabs>
          <w:tab w:val="left" w:pos="540"/>
        </w:tabs>
        <w:outlineLvl w:val="0"/>
        <w:rPr>
          <w:szCs w:val="16"/>
          <w:lang w:val="en-US" w:eastAsia="es-CR"/>
        </w:rPr>
      </w:pPr>
      <w:r w:rsidRPr="00CE23AE">
        <w:rPr>
          <w:rStyle w:val="Refdenotaalpie"/>
          <w:szCs w:val="16"/>
          <w:lang w:val="en-US"/>
        </w:rPr>
        <w:footnoteRef/>
      </w:r>
      <w:r w:rsidRPr="00CE23AE">
        <w:rPr>
          <w:szCs w:val="16"/>
          <w:lang w:val="es-CR"/>
        </w:rPr>
        <w:tab/>
      </w:r>
      <w:r w:rsidRPr="00CE23AE">
        <w:rPr>
          <w:i/>
          <w:szCs w:val="16"/>
          <w:lang w:val="es-CR" w:eastAsia="es-CR"/>
        </w:rPr>
        <w:t xml:space="preserve">Cf. Case of Tarazona Arrieta et al. v. Peru. </w:t>
      </w:r>
      <w:r w:rsidRPr="00CE23AE">
        <w:rPr>
          <w:i/>
          <w:szCs w:val="16"/>
          <w:lang w:val="en-US" w:eastAsia="es-CR"/>
        </w:rPr>
        <w:t xml:space="preserve">Preliminary objection, merits, reparations and costs. </w:t>
      </w:r>
      <w:r w:rsidRPr="00CE23AE">
        <w:rPr>
          <w:szCs w:val="16"/>
          <w:lang w:val="en-US" w:eastAsia="es-CR"/>
        </w:rPr>
        <w:t xml:space="preserve">Judgment of October 15, 2014. Series C No. 286, para. 18, and </w:t>
      </w:r>
      <w:r w:rsidRPr="00CE23AE">
        <w:rPr>
          <w:i/>
          <w:szCs w:val="16"/>
          <w:lang w:val="en-US" w:eastAsia="es-CR"/>
        </w:rPr>
        <w:t>Case of Gonzales Lluy et al. v. Ecuador. Preliminary objections, merits, reparations and costs.</w:t>
      </w:r>
      <w:r w:rsidRPr="00CE23AE">
        <w:rPr>
          <w:spacing w:val="-4"/>
          <w:szCs w:val="16"/>
          <w:lang w:val="en-US"/>
        </w:rPr>
        <w:t xml:space="preserve"> Judgment of September 1, 2015, para. 19.</w:t>
      </w:r>
    </w:p>
  </w:footnote>
  <w:footnote w:id="11">
    <w:p w14:paraId="61398E35" w14:textId="4D8B24FF" w:rsidR="00673461" w:rsidRPr="00CE23AE" w:rsidRDefault="00673461" w:rsidP="007B1AC9">
      <w:pPr>
        <w:pStyle w:val="Textonotapie"/>
        <w:tabs>
          <w:tab w:val="left" w:pos="540"/>
        </w:tabs>
        <w:rPr>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pacing w:val="-4"/>
          <w:szCs w:val="16"/>
          <w:lang w:val="en-US"/>
        </w:rPr>
        <w:t>Cf. Case of Velásquez Rodríguez v. Honduras. Preliminary objections</w:t>
      </w:r>
      <w:r w:rsidRPr="00CE23AE">
        <w:rPr>
          <w:rStyle w:val="Textoennegrita"/>
          <w:rFonts w:eastAsia="MS ????"/>
          <w:b w:val="0"/>
          <w:color w:val="000000"/>
          <w:szCs w:val="16"/>
          <w:shd w:val="clear" w:color="auto" w:fill="FFFFFF"/>
          <w:lang w:val="en-US"/>
        </w:rPr>
        <w:t>.</w:t>
      </w:r>
      <w:r w:rsidRPr="00CE23AE">
        <w:rPr>
          <w:rStyle w:val="Textoennegrita"/>
          <w:rFonts w:eastAsia="MS ????"/>
          <w:color w:val="000000"/>
          <w:szCs w:val="16"/>
          <w:shd w:val="clear" w:color="auto" w:fill="FFFFFF"/>
          <w:lang w:val="en-US"/>
        </w:rPr>
        <w:t xml:space="preserve"> </w:t>
      </w:r>
      <w:r w:rsidRPr="00CE23AE">
        <w:rPr>
          <w:rStyle w:val="Textoennegrita"/>
          <w:rFonts w:eastAsia="MS ????"/>
          <w:b w:val="0"/>
          <w:color w:val="000000"/>
          <w:szCs w:val="16"/>
          <w:shd w:val="clear" w:color="auto" w:fill="FFFFFF"/>
          <w:lang w:val="en-US"/>
        </w:rPr>
        <w:t>Judgment of June 26, 1987. Series C No. 1</w:t>
      </w:r>
      <w:r w:rsidRPr="00CE23AE">
        <w:rPr>
          <w:spacing w:val="-4"/>
          <w:szCs w:val="16"/>
          <w:lang w:val="en-US"/>
        </w:rPr>
        <w:t xml:space="preserve">, para. 85, and </w:t>
      </w:r>
      <w:r w:rsidRPr="00CE23AE">
        <w:rPr>
          <w:rStyle w:val="Textoennegrita"/>
          <w:rFonts w:eastAsia="MS ????"/>
          <w:b w:val="0"/>
          <w:i/>
          <w:color w:val="000000"/>
          <w:szCs w:val="16"/>
          <w:shd w:val="clear" w:color="auto" w:fill="FFFFFF"/>
          <w:lang w:val="en-US"/>
        </w:rPr>
        <w:t>Case of Tenorio Roca et al. v. Peru. Preliminary objections, merits, reparations and costs</w:t>
      </w:r>
      <w:r w:rsidRPr="00CE23AE">
        <w:rPr>
          <w:rStyle w:val="Textoennegrita"/>
          <w:rFonts w:eastAsia="MS ????"/>
          <w:b w:val="0"/>
          <w:color w:val="000000"/>
          <w:szCs w:val="16"/>
          <w:shd w:val="clear" w:color="auto" w:fill="FFFFFF"/>
          <w:lang w:val="en-US"/>
        </w:rPr>
        <w:t>. Judgment of June 22, 2016. Series C No. 314,</w:t>
      </w:r>
      <w:r w:rsidRPr="00CE23AE">
        <w:rPr>
          <w:rStyle w:val="Textoennegrita"/>
          <w:rFonts w:eastAsia="MS ????"/>
          <w:b w:val="0"/>
          <w:i/>
          <w:color w:val="000000"/>
          <w:szCs w:val="16"/>
          <w:shd w:val="clear" w:color="auto" w:fill="FFFFFF"/>
          <w:lang w:val="en-US"/>
        </w:rPr>
        <w:t xml:space="preserve"> </w:t>
      </w:r>
      <w:r w:rsidRPr="00CE23AE">
        <w:rPr>
          <w:spacing w:val="-4"/>
          <w:szCs w:val="16"/>
          <w:lang w:val="en-US"/>
        </w:rPr>
        <w:t>para. 20.</w:t>
      </w:r>
    </w:p>
  </w:footnote>
  <w:footnote w:id="12">
    <w:p w14:paraId="781176D2" w14:textId="6AE345A3" w:rsidR="00673461" w:rsidRPr="00CE23AE" w:rsidRDefault="00673461" w:rsidP="007B1AC9">
      <w:pPr>
        <w:pStyle w:val="Textonotapie"/>
        <w:tabs>
          <w:tab w:val="left" w:pos="540"/>
        </w:tabs>
        <w:rPr>
          <w:spacing w:val="-4"/>
          <w:szCs w:val="16"/>
          <w:lang w:val="es-CR"/>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pacing w:val="-4"/>
          <w:szCs w:val="16"/>
          <w:lang w:val="en-US"/>
        </w:rPr>
        <w:t>Cf. Case of Velásquez Rodríguez v. Honduras. Merits.</w:t>
      </w:r>
      <w:r w:rsidRPr="00CE23AE">
        <w:rPr>
          <w:spacing w:val="-4"/>
          <w:szCs w:val="16"/>
          <w:lang w:val="en-US"/>
        </w:rPr>
        <w:t xml:space="preserve"> Judgment of July 29, 1988. </w:t>
      </w:r>
      <w:r w:rsidRPr="00CE23AE">
        <w:rPr>
          <w:spacing w:val="-4"/>
          <w:szCs w:val="16"/>
          <w:lang w:val="es-CR"/>
        </w:rPr>
        <w:t xml:space="preserve">Series C No. 4, para. 61, and </w:t>
      </w:r>
      <w:r w:rsidRPr="00CE23AE">
        <w:rPr>
          <w:rStyle w:val="Textoennegrita"/>
          <w:rFonts w:eastAsia="MS ????"/>
          <w:b w:val="0"/>
          <w:i/>
          <w:color w:val="000000"/>
          <w:szCs w:val="16"/>
          <w:shd w:val="clear" w:color="auto" w:fill="FFFFFF"/>
          <w:lang w:val="es-CR"/>
        </w:rPr>
        <w:t>Case of Tenorio Roca et al. v. Peru, supra</w:t>
      </w:r>
      <w:r w:rsidRPr="00CE23AE">
        <w:rPr>
          <w:rStyle w:val="Textoennegrita"/>
          <w:rFonts w:eastAsia="MS ????"/>
          <w:b w:val="0"/>
          <w:color w:val="000000"/>
          <w:szCs w:val="16"/>
          <w:shd w:val="clear" w:color="auto" w:fill="FFFFFF"/>
          <w:lang w:val="es-CR"/>
        </w:rPr>
        <w:t>,</w:t>
      </w:r>
      <w:r w:rsidRPr="00CE23AE">
        <w:rPr>
          <w:rStyle w:val="Textoennegrita"/>
          <w:rFonts w:eastAsia="MS ????"/>
          <w:b w:val="0"/>
          <w:i/>
          <w:color w:val="000000"/>
          <w:szCs w:val="16"/>
          <w:shd w:val="clear" w:color="auto" w:fill="FFFFFF"/>
          <w:lang w:val="es-CR"/>
        </w:rPr>
        <w:t xml:space="preserve"> </w:t>
      </w:r>
      <w:r w:rsidRPr="00CE23AE">
        <w:rPr>
          <w:spacing w:val="-4"/>
          <w:szCs w:val="16"/>
          <w:lang w:val="es-CR"/>
        </w:rPr>
        <w:t>para. 20.</w:t>
      </w:r>
    </w:p>
  </w:footnote>
  <w:footnote w:id="13">
    <w:p w14:paraId="510841E3" w14:textId="3240BA5A" w:rsidR="00673461" w:rsidRPr="00CE23AE" w:rsidRDefault="00673461" w:rsidP="007B1AC9">
      <w:pPr>
        <w:pStyle w:val="Textonotapie"/>
        <w:tabs>
          <w:tab w:val="left" w:pos="540"/>
        </w:tabs>
        <w:rPr>
          <w:spacing w:val="-4"/>
          <w:szCs w:val="16"/>
          <w:lang w:val="es-CR"/>
        </w:rPr>
      </w:pPr>
      <w:r w:rsidRPr="00CE23AE">
        <w:rPr>
          <w:rStyle w:val="Refdenotaalpie"/>
          <w:spacing w:val="-4"/>
          <w:szCs w:val="16"/>
          <w:lang w:val="en-US"/>
        </w:rPr>
        <w:footnoteRef/>
      </w:r>
      <w:r w:rsidRPr="00CE23AE">
        <w:rPr>
          <w:spacing w:val="-4"/>
          <w:szCs w:val="16"/>
          <w:lang w:val="es-CR"/>
        </w:rPr>
        <w:t xml:space="preserve"> </w:t>
      </w:r>
      <w:r w:rsidRPr="00CE23AE">
        <w:rPr>
          <w:spacing w:val="-4"/>
          <w:szCs w:val="16"/>
          <w:lang w:val="es-CR"/>
        </w:rPr>
        <w:tab/>
      </w:r>
      <w:r w:rsidRPr="00CE23AE">
        <w:rPr>
          <w:i/>
          <w:spacing w:val="-4"/>
          <w:szCs w:val="16"/>
          <w:lang w:val="es-CR"/>
        </w:rPr>
        <w:t>Cf. Case of Velásquez Rodríguez v. Honduras. Preliminary objections,</w:t>
      </w:r>
      <w:r w:rsidRPr="00CE23AE">
        <w:rPr>
          <w:spacing w:val="-4"/>
          <w:szCs w:val="16"/>
          <w:lang w:val="es-CR"/>
        </w:rPr>
        <w:t xml:space="preserve"> </w:t>
      </w:r>
      <w:r w:rsidRPr="00CE23AE">
        <w:rPr>
          <w:i/>
          <w:spacing w:val="-4"/>
          <w:szCs w:val="16"/>
          <w:lang w:val="es-CR"/>
        </w:rPr>
        <w:t>supra</w:t>
      </w:r>
      <w:r w:rsidRPr="00CE23AE">
        <w:rPr>
          <w:spacing w:val="-4"/>
          <w:szCs w:val="16"/>
          <w:lang w:val="es-CR"/>
        </w:rPr>
        <w:t xml:space="preserve">, para. 88, and </w:t>
      </w:r>
      <w:r w:rsidRPr="00CE23AE">
        <w:rPr>
          <w:rStyle w:val="Textoennegrita"/>
          <w:rFonts w:eastAsia="MS ????"/>
          <w:b w:val="0"/>
          <w:i/>
          <w:color w:val="000000"/>
          <w:szCs w:val="16"/>
          <w:shd w:val="clear" w:color="auto" w:fill="FFFFFF"/>
          <w:lang w:val="es-CR"/>
        </w:rPr>
        <w:t>Case of Tenorio Roca et al. v. Peru, supra</w:t>
      </w:r>
      <w:r w:rsidRPr="00CE23AE">
        <w:rPr>
          <w:rStyle w:val="Textoennegrita"/>
          <w:rFonts w:eastAsia="MS ????"/>
          <w:b w:val="0"/>
          <w:color w:val="000000"/>
          <w:szCs w:val="16"/>
          <w:shd w:val="clear" w:color="auto" w:fill="FFFFFF"/>
          <w:lang w:val="es-CR"/>
        </w:rPr>
        <w:t>,</w:t>
      </w:r>
      <w:r w:rsidRPr="00CE23AE">
        <w:rPr>
          <w:rStyle w:val="Textoennegrita"/>
          <w:rFonts w:eastAsia="MS ????"/>
          <w:b w:val="0"/>
          <w:i/>
          <w:color w:val="000000"/>
          <w:szCs w:val="16"/>
          <w:shd w:val="clear" w:color="auto" w:fill="FFFFFF"/>
          <w:lang w:val="es-CR"/>
        </w:rPr>
        <w:t xml:space="preserve"> </w:t>
      </w:r>
      <w:r w:rsidRPr="00CE23AE">
        <w:rPr>
          <w:spacing w:val="-4"/>
          <w:szCs w:val="16"/>
          <w:lang w:val="es-CR"/>
        </w:rPr>
        <w:t>para. 21.</w:t>
      </w:r>
    </w:p>
  </w:footnote>
  <w:footnote w:id="14">
    <w:p w14:paraId="44D47503" w14:textId="60A3410D" w:rsidR="00673461" w:rsidRPr="00CE23AE" w:rsidRDefault="00673461" w:rsidP="007B1AC9">
      <w:pPr>
        <w:pStyle w:val="Textonotapie"/>
        <w:tabs>
          <w:tab w:val="left" w:pos="540"/>
        </w:tabs>
        <w:rPr>
          <w:spacing w:val="-4"/>
          <w:szCs w:val="16"/>
          <w:lang w:val="en-US"/>
        </w:rPr>
      </w:pPr>
      <w:r w:rsidRPr="00CE23AE">
        <w:rPr>
          <w:rStyle w:val="Refdenotaalpie"/>
          <w:spacing w:val="-4"/>
          <w:szCs w:val="16"/>
          <w:lang w:val="en-US"/>
        </w:rPr>
        <w:footnoteRef/>
      </w:r>
      <w:r w:rsidRPr="00CE23AE">
        <w:rPr>
          <w:spacing w:val="-4"/>
          <w:szCs w:val="16"/>
          <w:lang w:val="es-CR"/>
        </w:rPr>
        <w:t xml:space="preserve"> </w:t>
      </w:r>
      <w:r w:rsidRPr="00CE23AE">
        <w:rPr>
          <w:spacing w:val="-4"/>
          <w:szCs w:val="16"/>
          <w:lang w:val="es-CR"/>
        </w:rPr>
        <w:tab/>
      </w:r>
      <w:r w:rsidRPr="00CE23AE">
        <w:rPr>
          <w:i/>
          <w:spacing w:val="-4"/>
          <w:szCs w:val="16"/>
          <w:lang w:val="es-CR"/>
        </w:rPr>
        <w:t xml:space="preserve">Cf. Case of Velásquez Rodríguez v. Honduras. </w:t>
      </w:r>
      <w:r w:rsidRPr="00CE23AE">
        <w:rPr>
          <w:i/>
          <w:spacing w:val="-4"/>
          <w:szCs w:val="16"/>
          <w:lang w:val="en-US"/>
        </w:rPr>
        <w:t>Preliminary objections,</w:t>
      </w:r>
      <w:r w:rsidRPr="00CE23AE">
        <w:rPr>
          <w:spacing w:val="-4"/>
          <w:szCs w:val="16"/>
          <w:lang w:val="en-US"/>
        </w:rPr>
        <w:t xml:space="preserve"> </w:t>
      </w:r>
      <w:r w:rsidRPr="00CE23AE">
        <w:rPr>
          <w:i/>
          <w:spacing w:val="-4"/>
          <w:szCs w:val="16"/>
          <w:lang w:val="en-US"/>
        </w:rPr>
        <w:t>supra</w:t>
      </w:r>
      <w:r w:rsidRPr="00CE23AE">
        <w:rPr>
          <w:spacing w:val="-4"/>
          <w:szCs w:val="16"/>
          <w:lang w:val="en-US"/>
        </w:rPr>
        <w:t xml:space="preserve">, paras. 88 and 91, and </w:t>
      </w:r>
      <w:r w:rsidRPr="00CE23AE">
        <w:rPr>
          <w:rStyle w:val="Textoennegrita"/>
          <w:rFonts w:eastAsia="MS ????"/>
          <w:b w:val="0"/>
          <w:i/>
          <w:color w:val="000000"/>
          <w:szCs w:val="16"/>
          <w:shd w:val="clear" w:color="auto" w:fill="FFFFFF"/>
          <w:lang w:val="en-US"/>
        </w:rPr>
        <w:t>Case of Tenorio Roca et al. v. Peru, supra</w:t>
      </w:r>
      <w:r w:rsidRPr="00CE23AE">
        <w:rPr>
          <w:rStyle w:val="Textoennegrita"/>
          <w:rFonts w:eastAsia="MS ????"/>
          <w:b w:val="0"/>
          <w:color w:val="000000"/>
          <w:szCs w:val="16"/>
          <w:shd w:val="clear" w:color="auto" w:fill="FFFFFF"/>
          <w:lang w:val="en-US"/>
        </w:rPr>
        <w:t>,</w:t>
      </w:r>
      <w:r w:rsidRPr="00CE23AE">
        <w:rPr>
          <w:rStyle w:val="Textoennegrita"/>
          <w:rFonts w:eastAsia="MS ????"/>
          <w:b w:val="0"/>
          <w:i/>
          <w:color w:val="000000"/>
          <w:szCs w:val="16"/>
          <w:shd w:val="clear" w:color="auto" w:fill="FFFFFF"/>
          <w:lang w:val="en-US"/>
        </w:rPr>
        <w:t xml:space="preserve"> </w:t>
      </w:r>
      <w:r w:rsidRPr="00CE23AE">
        <w:rPr>
          <w:spacing w:val="-4"/>
          <w:szCs w:val="16"/>
          <w:lang w:val="en-US"/>
        </w:rPr>
        <w:t>para. 21.</w:t>
      </w:r>
    </w:p>
  </w:footnote>
  <w:footnote w:id="15">
    <w:p w14:paraId="2599BBE0" w14:textId="077A480F" w:rsidR="00673461" w:rsidRPr="00CE23AE" w:rsidRDefault="00673461" w:rsidP="007B1AC9">
      <w:pPr>
        <w:pStyle w:val="Textonotapie"/>
        <w:tabs>
          <w:tab w:val="left" w:pos="540"/>
        </w:tabs>
        <w:rPr>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pacing w:val="-4"/>
          <w:szCs w:val="16"/>
          <w:lang w:val="en-US"/>
        </w:rPr>
        <w:t>Cf. Case of Reverón Trujillo v. Venezuela. Preliminary objection, merits, reparations and costs</w:t>
      </w:r>
      <w:r w:rsidRPr="00CE23AE">
        <w:rPr>
          <w:spacing w:val="-4"/>
          <w:szCs w:val="16"/>
          <w:lang w:val="en-US"/>
        </w:rPr>
        <w:t xml:space="preserve">. Judgment of June 30, 2009. Series C No. 197, para. 23, and </w:t>
      </w:r>
      <w:r w:rsidRPr="00CE23AE">
        <w:rPr>
          <w:rStyle w:val="Textoennegrita"/>
          <w:rFonts w:eastAsia="MS ????"/>
          <w:b w:val="0"/>
          <w:i/>
          <w:color w:val="000000"/>
          <w:szCs w:val="16"/>
          <w:shd w:val="clear" w:color="auto" w:fill="FFFFFF"/>
          <w:lang w:val="en-US"/>
        </w:rPr>
        <w:t>Case of Tenorio Roca et al. v. Peru, supra</w:t>
      </w:r>
      <w:r w:rsidRPr="00CE23AE">
        <w:rPr>
          <w:rStyle w:val="Textoennegrita"/>
          <w:rFonts w:eastAsia="MS ????"/>
          <w:b w:val="0"/>
          <w:color w:val="000000"/>
          <w:szCs w:val="16"/>
          <w:shd w:val="clear" w:color="auto" w:fill="FFFFFF"/>
          <w:lang w:val="en-US"/>
        </w:rPr>
        <w:t>,</w:t>
      </w:r>
      <w:r w:rsidRPr="00CE23AE">
        <w:rPr>
          <w:rStyle w:val="Textoennegrita"/>
          <w:rFonts w:eastAsia="MS ????"/>
          <w:b w:val="0"/>
          <w:i/>
          <w:color w:val="000000"/>
          <w:szCs w:val="16"/>
          <w:shd w:val="clear" w:color="auto" w:fill="FFFFFF"/>
          <w:lang w:val="en-US"/>
        </w:rPr>
        <w:t xml:space="preserve"> </w:t>
      </w:r>
      <w:r w:rsidRPr="00CE23AE">
        <w:rPr>
          <w:spacing w:val="-4"/>
          <w:szCs w:val="16"/>
          <w:lang w:val="en-US"/>
        </w:rPr>
        <w:t>para. 21.</w:t>
      </w:r>
    </w:p>
  </w:footnote>
  <w:footnote w:id="16">
    <w:p w14:paraId="15C9344E" w14:textId="581C70C7" w:rsidR="00673461" w:rsidRPr="00CE23AE" w:rsidRDefault="00673461" w:rsidP="007B1AC9">
      <w:pPr>
        <w:pStyle w:val="Textonotapie"/>
        <w:tabs>
          <w:tab w:val="left" w:pos="540"/>
        </w:tabs>
        <w:rPr>
          <w:spacing w:val="-4"/>
          <w:szCs w:val="16"/>
          <w:lang w:val="es-CR"/>
        </w:rPr>
      </w:pPr>
      <w:r w:rsidRPr="00CE23AE">
        <w:rPr>
          <w:rStyle w:val="Refdenotaalpie"/>
          <w:spacing w:val="-4"/>
          <w:szCs w:val="16"/>
          <w:lang w:val="en-US"/>
        </w:rPr>
        <w:footnoteRef/>
      </w:r>
      <w:r w:rsidRPr="00CE23AE">
        <w:rPr>
          <w:spacing w:val="-4"/>
          <w:szCs w:val="16"/>
          <w:lang w:val="en-US"/>
        </w:rPr>
        <w:t xml:space="preserve">      </w:t>
      </w:r>
      <w:r w:rsidRPr="00CE23AE">
        <w:rPr>
          <w:i/>
          <w:spacing w:val="-4"/>
          <w:szCs w:val="16"/>
          <w:lang w:val="en-US"/>
        </w:rPr>
        <w:t xml:space="preserve">Cf. Case of Expelled Dominicans and Haitians v. Dominican Republic. Preliminary objections, merits, reparations and costs. </w:t>
      </w:r>
      <w:r w:rsidRPr="00CE23AE">
        <w:rPr>
          <w:spacing w:val="-4"/>
          <w:szCs w:val="16"/>
          <w:lang w:val="en-US"/>
        </w:rPr>
        <w:t xml:space="preserve">Judgment of August 28, 2014. Series C No. 282, para. </w:t>
      </w:r>
      <w:r w:rsidRPr="00CE23AE">
        <w:rPr>
          <w:spacing w:val="-4"/>
          <w:szCs w:val="16"/>
          <w:lang w:val="es-CR"/>
        </w:rPr>
        <w:t xml:space="preserve">30, and </w:t>
      </w:r>
      <w:r w:rsidRPr="00CE23AE">
        <w:rPr>
          <w:rStyle w:val="Textoennegrita"/>
          <w:rFonts w:eastAsia="MS ????"/>
          <w:b w:val="0"/>
          <w:i/>
          <w:color w:val="000000"/>
          <w:szCs w:val="16"/>
          <w:shd w:val="clear" w:color="auto" w:fill="FFFFFF"/>
          <w:lang w:val="es-CR"/>
        </w:rPr>
        <w:t>Case of Tenorio Roca et al. v. Peru, supra</w:t>
      </w:r>
      <w:r w:rsidRPr="00CE23AE">
        <w:rPr>
          <w:rStyle w:val="Textoennegrita"/>
          <w:rFonts w:eastAsia="MS ????"/>
          <w:b w:val="0"/>
          <w:color w:val="000000"/>
          <w:szCs w:val="16"/>
          <w:shd w:val="clear" w:color="auto" w:fill="FFFFFF"/>
          <w:lang w:val="es-CR"/>
        </w:rPr>
        <w:t>,</w:t>
      </w:r>
      <w:r w:rsidRPr="00CE23AE">
        <w:rPr>
          <w:rStyle w:val="Textoennegrita"/>
          <w:rFonts w:eastAsia="MS ????"/>
          <w:b w:val="0"/>
          <w:i/>
          <w:color w:val="000000"/>
          <w:szCs w:val="16"/>
          <w:shd w:val="clear" w:color="auto" w:fill="FFFFFF"/>
          <w:lang w:val="es-CR"/>
        </w:rPr>
        <w:t xml:space="preserve"> </w:t>
      </w:r>
      <w:r w:rsidRPr="00CE23AE">
        <w:rPr>
          <w:spacing w:val="-4"/>
          <w:szCs w:val="16"/>
          <w:lang w:val="es-CR"/>
        </w:rPr>
        <w:t>para. 21.</w:t>
      </w:r>
    </w:p>
  </w:footnote>
  <w:footnote w:id="17">
    <w:p w14:paraId="62E84317" w14:textId="75DF319F" w:rsidR="00673461" w:rsidRPr="00CE23AE" w:rsidRDefault="00673461" w:rsidP="007B1AC9">
      <w:pPr>
        <w:pStyle w:val="Textonotapie"/>
        <w:tabs>
          <w:tab w:val="left" w:pos="540"/>
        </w:tabs>
        <w:rPr>
          <w:spacing w:val="-4"/>
          <w:szCs w:val="16"/>
          <w:lang w:val="en-US"/>
        </w:rPr>
      </w:pPr>
      <w:r w:rsidRPr="00CE23AE">
        <w:rPr>
          <w:rStyle w:val="Refdenotaalpie"/>
          <w:spacing w:val="-4"/>
          <w:szCs w:val="16"/>
          <w:lang w:val="en-US"/>
        </w:rPr>
        <w:footnoteRef/>
      </w:r>
      <w:r w:rsidRPr="00CE23AE">
        <w:rPr>
          <w:spacing w:val="-4"/>
          <w:szCs w:val="16"/>
          <w:lang w:val="es-CR"/>
        </w:rPr>
        <w:t xml:space="preserve"> </w:t>
      </w:r>
      <w:r w:rsidRPr="00CE23AE">
        <w:rPr>
          <w:spacing w:val="-4"/>
          <w:szCs w:val="16"/>
          <w:lang w:val="es-CR"/>
        </w:rPr>
        <w:tab/>
      </w:r>
      <w:r w:rsidRPr="00CE23AE">
        <w:rPr>
          <w:i/>
          <w:spacing w:val="-4"/>
          <w:szCs w:val="16"/>
          <w:lang w:val="es-CR"/>
        </w:rPr>
        <w:t xml:space="preserve">Cf. Case of Velásquez Rodríguez v. Honduras. </w:t>
      </w:r>
      <w:r w:rsidRPr="00CE23AE">
        <w:rPr>
          <w:i/>
          <w:spacing w:val="-4"/>
          <w:szCs w:val="16"/>
          <w:lang w:val="en-US"/>
        </w:rPr>
        <w:t>Preliminary objections, supra</w:t>
      </w:r>
      <w:r w:rsidRPr="00CE23AE">
        <w:rPr>
          <w:rStyle w:val="Textoennegrita"/>
          <w:rFonts w:eastAsia="MS ????"/>
          <w:b w:val="0"/>
          <w:color w:val="000000"/>
          <w:szCs w:val="16"/>
          <w:shd w:val="clear" w:color="auto" w:fill="FFFFFF"/>
          <w:lang w:val="en-US"/>
        </w:rPr>
        <w:t>,</w:t>
      </w:r>
      <w:r w:rsidRPr="00CE23AE">
        <w:rPr>
          <w:spacing w:val="-4"/>
          <w:szCs w:val="16"/>
          <w:lang w:val="en-US"/>
        </w:rPr>
        <w:t xml:space="preserve"> para. 88, and </w:t>
      </w:r>
      <w:r w:rsidRPr="00CE23AE">
        <w:rPr>
          <w:i/>
          <w:spacing w:val="-4"/>
          <w:szCs w:val="16"/>
          <w:lang w:val="en-US"/>
        </w:rPr>
        <w:t xml:space="preserve">Case of López Lone et al. v. Honduras. Preliminary objection, merits, reparations and costs. </w:t>
      </w:r>
      <w:r w:rsidRPr="00CE23AE">
        <w:rPr>
          <w:spacing w:val="-4"/>
          <w:szCs w:val="16"/>
          <w:lang w:val="en-US"/>
        </w:rPr>
        <w:t>Judgment of October 5, 2015. Series C No. 302, para. 21.</w:t>
      </w:r>
    </w:p>
  </w:footnote>
  <w:footnote w:id="18">
    <w:p w14:paraId="0362B063" w14:textId="044CD75F"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ab/>
      </w:r>
      <w:r w:rsidRPr="00CE23AE">
        <w:rPr>
          <w:i/>
          <w:szCs w:val="16"/>
          <w:lang w:val="en-US"/>
        </w:rPr>
        <w:t xml:space="preserve">Cf. </w:t>
      </w:r>
      <w:r w:rsidRPr="00CE23AE">
        <w:rPr>
          <w:szCs w:val="16"/>
          <w:lang w:val="en-US"/>
        </w:rPr>
        <w:t>Letter of the Inter-American Commission of March 20, 2003 (evidence file, folio 449).</w:t>
      </w:r>
    </w:p>
  </w:footnote>
  <w:footnote w:id="19">
    <w:p w14:paraId="7C157012" w14:textId="45BC2C77"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Brief of the State of Ecuador dated August 25, 2003, submitted to the Inter-American Commission (evidence file, folios 443 to 445).</w:t>
      </w:r>
    </w:p>
  </w:footnote>
  <w:footnote w:id="20">
    <w:p w14:paraId="2C36871C" w14:textId="51A282AA" w:rsidR="00673461" w:rsidRPr="00CE23AE" w:rsidRDefault="00673461" w:rsidP="004A46A6">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Brief of the representative of April 12, 2004 (evidence file, folios 413 and 414).</w:t>
      </w:r>
    </w:p>
  </w:footnote>
  <w:footnote w:id="21">
    <w:p w14:paraId="5D7965E3" w14:textId="54FAFBFB"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Brief of the representative of April 12, 2004 (evidence file, folios 413 to 415), and decision of the Administrative Chamber of the Supreme Court of March 11, 1994 (evidence file, folios 421 to 426).</w:t>
      </w:r>
    </w:p>
  </w:footnote>
  <w:footnote w:id="22">
    <w:p w14:paraId="15469F57" w14:textId="5D965394"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Letter of the Inter-American Commission of April 30, 2004 (evidence file, folio 409).</w:t>
      </w:r>
    </w:p>
  </w:footnote>
  <w:footnote w:id="23">
    <w:p w14:paraId="515B9955" w14:textId="13D57B32"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On December 10 and 30, 2008, the State indicated that “[t]he Ecuadorian State has sent the Inter-American Commission all the relevant information on this petition; therefore, the State’s opinion is reconfirmed in the sense that this complaint should be declared inadmissible.” </w:t>
      </w:r>
      <w:r w:rsidRPr="00CE23AE">
        <w:rPr>
          <w:i/>
          <w:szCs w:val="16"/>
          <w:lang w:val="en-US"/>
        </w:rPr>
        <w:t xml:space="preserve">Cf. </w:t>
      </w:r>
      <w:r w:rsidRPr="00CE23AE">
        <w:rPr>
          <w:szCs w:val="16"/>
          <w:lang w:val="en-US"/>
        </w:rPr>
        <w:t>Briefs of the State of Ecuador of December 10 and 30, 2008, before the Inter-American Commission (evidence file, folios 287 and 230).</w:t>
      </w:r>
    </w:p>
  </w:footnote>
  <w:footnote w:id="24">
    <w:p w14:paraId="42162BB8" w14:textId="06408A6B"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rStyle w:val="Textoennegrita"/>
          <w:rFonts w:eastAsia="MS ????"/>
          <w:b w:val="0"/>
          <w:i/>
          <w:color w:val="000000"/>
          <w:szCs w:val="16"/>
          <w:shd w:val="clear" w:color="auto" w:fill="FFFFFF"/>
          <w:lang w:val="en-US"/>
        </w:rPr>
        <w:t>Case of Gudiel Álvarez et al. ("Diario Militar") v. Guatemala. Merits, reparations and costs.</w:t>
      </w:r>
      <w:r w:rsidRPr="00CE23AE">
        <w:rPr>
          <w:rStyle w:val="Textoennegrita"/>
          <w:rFonts w:eastAsia="MS ????"/>
          <w:b w:val="0"/>
          <w:color w:val="000000"/>
          <w:szCs w:val="16"/>
          <w:shd w:val="clear" w:color="auto" w:fill="FFFFFF"/>
          <w:lang w:val="en-US"/>
        </w:rPr>
        <w:t xml:space="preserve"> Judgment of November 20, 2012. Series C No. 253, para. 34, and</w:t>
      </w:r>
      <w:r w:rsidRPr="00CE23AE">
        <w:rPr>
          <w:szCs w:val="16"/>
          <w:lang w:val="en-US"/>
        </w:rPr>
        <w:t xml:space="preserve"> </w:t>
      </w:r>
      <w:r w:rsidRPr="00CE23AE">
        <w:rPr>
          <w:i/>
          <w:spacing w:val="-4"/>
          <w:szCs w:val="16"/>
          <w:lang w:val="en-US"/>
        </w:rPr>
        <w:t xml:space="preserve">Case of the Punta Piedra Garifuna Community and its members v. Honduras. Preliminary objections, merits, reparations and costs. </w:t>
      </w:r>
      <w:r w:rsidRPr="00CE23AE">
        <w:rPr>
          <w:spacing w:val="-4"/>
          <w:szCs w:val="16"/>
          <w:lang w:val="en-US"/>
        </w:rPr>
        <w:t>Judgment of October 8, 2015. Series C No. 304, para. 67</w:t>
      </w:r>
      <w:r w:rsidRPr="00CE23AE">
        <w:rPr>
          <w:i/>
          <w:spacing w:val="-4"/>
          <w:szCs w:val="16"/>
          <w:lang w:val="en-US"/>
        </w:rPr>
        <w:t>.</w:t>
      </w:r>
    </w:p>
  </w:footnote>
  <w:footnote w:id="25">
    <w:p w14:paraId="67980383" w14:textId="6A2115B9"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rStyle w:val="Textoennegrita"/>
          <w:rFonts w:eastAsia="MS ????"/>
          <w:b w:val="0"/>
          <w:i/>
          <w:color w:val="000000"/>
          <w:szCs w:val="16"/>
          <w:shd w:val="clear" w:color="auto" w:fill="FFFFFF"/>
          <w:lang w:val="en-US"/>
        </w:rPr>
        <w:t>Case of the “Five Pensioners” v. Peru. Merits, reparations and costs</w:t>
      </w:r>
      <w:r w:rsidRPr="00CE23AE">
        <w:rPr>
          <w:rStyle w:val="Textoennegrita"/>
          <w:rFonts w:eastAsia="MS ????"/>
          <w:b w:val="0"/>
          <w:color w:val="000000"/>
          <w:szCs w:val="16"/>
          <w:shd w:val="clear" w:color="auto" w:fill="FFFFFF"/>
          <w:lang w:val="en-US"/>
        </w:rPr>
        <w:t>. Judgment of February 28, 2003. Series C No. 98</w:t>
      </w:r>
      <w:r w:rsidRPr="00CE23AE">
        <w:rPr>
          <w:szCs w:val="16"/>
          <w:lang w:val="en-US"/>
        </w:rPr>
        <w:t xml:space="preserve">, para. 153, and </w:t>
      </w:r>
      <w:r w:rsidRPr="00CE23AE">
        <w:rPr>
          <w:i/>
          <w:spacing w:val="-4"/>
          <w:szCs w:val="16"/>
          <w:lang w:val="en-US"/>
        </w:rPr>
        <w:t>Case of the Punta Piedra Garifuna Community and its members v. Honduras, supra</w:t>
      </w:r>
      <w:r w:rsidRPr="00CE23AE">
        <w:rPr>
          <w:spacing w:val="-4"/>
          <w:szCs w:val="16"/>
          <w:lang w:val="en-US"/>
        </w:rPr>
        <w:t>, para. 67</w:t>
      </w:r>
      <w:r w:rsidRPr="00CE23AE">
        <w:rPr>
          <w:i/>
          <w:spacing w:val="-4"/>
          <w:szCs w:val="16"/>
          <w:lang w:val="en-US"/>
        </w:rPr>
        <w:t>.</w:t>
      </w:r>
    </w:p>
  </w:footnote>
  <w:footnote w:id="26">
    <w:p w14:paraId="4DCBB858" w14:textId="124B432F"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rStyle w:val="Textoennegrita"/>
          <w:rFonts w:eastAsia="MS ????"/>
          <w:b w:val="0"/>
          <w:i/>
          <w:color w:val="000000"/>
          <w:szCs w:val="16"/>
          <w:shd w:val="clear" w:color="auto" w:fill="FFFFFF"/>
          <w:lang w:val="en-US"/>
        </w:rPr>
        <w:t>Case of the “Five Pensioners” v. Peru, supra</w:t>
      </w:r>
      <w:r w:rsidRPr="00CE23AE">
        <w:rPr>
          <w:szCs w:val="16"/>
          <w:lang w:val="en-US"/>
        </w:rPr>
        <w:t xml:space="preserve">, para. 154, and </w:t>
      </w:r>
      <w:r w:rsidRPr="00CE23AE">
        <w:rPr>
          <w:i/>
          <w:spacing w:val="-4"/>
          <w:szCs w:val="16"/>
          <w:lang w:val="en-US"/>
        </w:rPr>
        <w:t>Case of the Punta Piedra Garifuna Community and its members v. Honduras, supra</w:t>
      </w:r>
      <w:r w:rsidRPr="00CE23AE">
        <w:rPr>
          <w:spacing w:val="-4"/>
          <w:szCs w:val="16"/>
          <w:lang w:val="en-US"/>
        </w:rPr>
        <w:t>, para. 67</w:t>
      </w:r>
      <w:r w:rsidRPr="00CE23AE">
        <w:rPr>
          <w:i/>
          <w:spacing w:val="-4"/>
          <w:szCs w:val="16"/>
          <w:lang w:val="en-US"/>
        </w:rPr>
        <w:t>.</w:t>
      </w:r>
    </w:p>
  </w:footnote>
  <w:footnote w:id="27">
    <w:p w14:paraId="1B6BD632" w14:textId="6C5D27E8"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 Case of the “Mapiripán Massacre” v. Colombia. Merits, reparations and costs</w:t>
      </w:r>
      <w:r w:rsidRPr="00CE23AE">
        <w:rPr>
          <w:szCs w:val="16"/>
          <w:lang w:val="en-US"/>
        </w:rPr>
        <w:t xml:space="preserve">. Judgment of September 15, 2005, para. 58, and </w:t>
      </w:r>
      <w:r w:rsidRPr="00CE23AE">
        <w:rPr>
          <w:i/>
          <w:szCs w:val="16"/>
          <w:lang w:val="en-US"/>
        </w:rPr>
        <w:t>Case of Rodríguez Vera et al. (Disappeared from the Palace of Justice) v. Colombia</w:t>
      </w:r>
      <w:r w:rsidRPr="00CE23AE">
        <w:rPr>
          <w:szCs w:val="16"/>
          <w:lang w:val="en-US"/>
        </w:rPr>
        <w:t xml:space="preserve">, </w:t>
      </w:r>
      <w:r w:rsidRPr="00CE23AE">
        <w:rPr>
          <w:bCs/>
          <w:i/>
          <w:spacing w:val="-4"/>
          <w:szCs w:val="16"/>
          <w:lang w:val="en-US"/>
        </w:rPr>
        <w:t xml:space="preserve">Preliminary objections, merits, reparations and costs. </w:t>
      </w:r>
      <w:r w:rsidRPr="00CE23AE">
        <w:rPr>
          <w:bCs/>
          <w:spacing w:val="-4"/>
          <w:szCs w:val="16"/>
          <w:lang w:val="en-US"/>
        </w:rPr>
        <w:t>Judgment of November 14, 2014. Series C No. 287,</w:t>
      </w:r>
      <w:r w:rsidRPr="00CE23AE">
        <w:rPr>
          <w:bCs/>
          <w:i/>
          <w:spacing w:val="-4"/>
          <w:szCs w:val="16"/>
          <w:lang w:val="en-US"/>
        </w:rPr>
        <w:t xml:space="preserve"> </w:t>
      </w:r>
      <w:r w:rsidRPr="00CE23AE">
        <w:rPr>
          <w:szCs w:val="16"/>
          <w:lang w:val="en-US"/>
        </w:rPr>
        <w:t>para. 47.</w:t>
      </w:r>
    </w:p>
  </w:footnote>
  <w:footnote w:id="28">
    <w:p w14:paraId="130507EB" w14:textId="421E6C9B" w:rsidR="00673461" w:rsidRPr="00CE23AE" w:rsidRDefault="00673461" w:rsidP="007B1AC9">
      <w:pPr>
        <w:tabs>
          <w:tab w:val="left" w:pos="540"/>
        </w:tabs>
        <w:autoSpaceDE w:val="0"/>
        <w:autoSpaceDN w:val="0"/>
        <w:spacing w:before="120" w:after="120"/>
        <w:rPr>
          <w:spacing w:val="-4"/>
          <w:sz w:val="16"/>
          <w:szCs w:val="16"/>
          <w:lang w:val="en-US"/>
        </w:rPr>
      </w:pPr>
      <w:r w:rsidRPr="00CE23AE">
        <w:rPr>
          <w:rStyle w:val="Refdenotaalpie"/>
          <w:spacing w:val="-4"/>
          <w:sz w:val="16"/>
          <w:szCs w:val="16"/>
          <w:lang w:val="en-US"/>
        </w:rPr>
        <w:footnoteRef/>
      </w:r>
      <w:r w:rsidRPr="00CE23AE">
        <w:rPr>
          <w:spacing w:val="-4"/>
          <w:sz w:val="16"/>
          <w:szCs w:val="16"/>
          <w:lang w:val="en-US"/>
        </w:rPr>
        <w:t xml:space="preserve"> </w:t>
      </w:r>
      <w:r w:rsidRPr="00CE23AE">
        <w:rPr>
          <w:spacing w:val="-4"/>
          <w:sz w:val="16"/>
          <w:szCs w:val="16"/>
          <w:lang w:val="en-US"/>
        </w:rPr>
        <w:tab/>
      </w:r>
      <w:r w:rsidRPr="00CE23AE">
        <w:rPr>
          <w:i/>
          <w:iCs/>
          <w:spacing w:val="-4"/>
          <w:sz w:val="16"/>
          <w:szCs w:val="16"/>
          <w:lang w:val="en-US"/>
        </w:rPr>
        <w:t>Cf. Case of the Barrios Family v. Venezuela. Merits, reparations and costs</w:t>
      </w:r>
      <w:r w:rsidRPr="00CE23AE">
        <w:rPr>
          <w:spacing w:val="-4"/>
          <w:sz w:val="16"/>
          <w:szCs w:val="16"/>
          <w:lang w:val="en-US"/>
        </w:rPr>
        <w:t xml:space="preserve">. Judgment of November 24, 2011. Series C No. 237, footnote 214, and </w:t>
      </w:r>
      <w:r w:rsidRPr="00CE23AE">
        <w:rPr>
          <w:bCs/>
          <w:i/>
          <w:spacing w:val="-4"/>
          <w:sz w:val="16"/>
          <w:szCs w:val="16"/>
          <w:lang w:val="en-US"/>
        </w:rPr>
        <w:t xml:space="preserve">Case of the Human Rights Defender et al. v. Guatemala. Preliminary objections, merits, reparations and costs. </w:t>
      </w:r>
      <w:r w:rsidRPr="00CE23AE">
        <w:rPr>
          <w:bCs/>
          <w:spacing w:val="-4"/>
          <w:sz w:val="16"/>
          <w:szCs w:val="16"/>
          <w:lang w:val="en-US"/>
        </w:rPr>
        <w:t>Judgment of August 28, 2014. Series C No. 283</w:t>
      </w:r>
      <w:r w:rsidRPr="00CE23AE">
        <w:rPr>
          <w:spacing w:val="-4"/>
          <w:sz w:val="16"/>
          <w:szCs w:val="16"/>
          <w:lang w:val="en-US"/>
        </w:rPr>
        <w:t>, para. 47.</w:t>
      </w:r>
    </w:p>
  </w:footnote>
  <w:footnote w:id="29">
    <w:p w14:paraId="430D8E59" w14:textId="585EA6B2" w:rsidR="00673461" w:rsidRPr="00CE23AE" w:rsidRDefault="00673461" w:rsidP="007B1AC9">
      <w:pPr>
        <w:tabs>
          <w:tab w:val="left" w:pos="540"/>
        </w:tabs>
        <w:autoSpaceDE w:val="0"/>
        <w:autoSpaceDN w:val="0"/>
        <w:spacing w:before="120" w:after="120"/>
        <w:rPr>
          <w:spacing w:val="-4"/>
          <w:sz w:val="16"/>
          <w:szCs w:val="16"/>
          <w:lang w:val="en-US"/>
        </w:rPr>
      </w:pPr>
      <w:r w:rsidRPr="00CE23AE">
        <w:rPr>
          <w:rStyle w:val="Refdenotaalpie"/>
          <w:spacing w:val="-4"/>
          <w:sz w:val="16"/>
          <w:szCs w:val="16"/>
          <w:lang w:val="en-US"/>
        </w:rPr>
        <w:footnoteRef/>
      </w:r>
      <w:r w:rsidRPr="00CE23AE">
        <w:rPr>
          <w:spacing w:val="-4"/>
          <w:sz w:val="16"/>
          <w:szCs w:val="16"/>
          <w:lang w:val="en-US"/>
        </w:rPr>
        <w:t xml:space="preserve"> </w:t>
      </w:r>
      <w:r w:rsidRPr="00CE23AE">
        <w:rPr>
          <w:spacing w:val="-4"/>
          <w:sz w:val="16"/>
          <w:szCs w:val="16"/>
          <w:lang w:val="en-US"/>
        </w:rPr>
        <w:tab/>
      </w:r>
      <w:r w:rsidRPr="00CE23AE">
        <w:rPr>
          <w:i/>
          <w:iCs/>
          <w:spacing w:val="-4"/>
          <w:sz w:val="16"/>
          <w:szCs w:val="16"/>
          <w:lang w:val="en-US"/>
        </w:rPr>
        <w:t xml:space="preserve">Cf. </w:t>
      </w:r>
      <w:r w:rsidRPr="00CE23AE">
        <w:rPr>
          <w:i/>
          <w:spacing w:val="-4"/>
          <w:sz w:val="16"/>
          <w:szCs w:val="16"/>
          <w:lang w:val="en-US"/>
        </w:rPr>
        <w:t>Case of</w:t>
      </w:r>
      <w:r w:rsidRPr="00CE23AE">
        <w:rPr>
          <w:spacing w:val="-4"/>
          <w:sz w:val="16"/>
          <w:szCs w:val="16"/>
          <w:lang w:val="en-US"/>
        </w:rPr>
        <w:t xml:space="preserve"> </w:t>
      </w:r>
      <w:r w:rsidRPr="00CE23AE">
        <w:rPr>
          <w:i/>
          <w:spacing w:val="-4"/>
          <w:sz w:val="16"/>
          <w:szCs w:val="16"/>
          <w:lang w:val="en-US"/>
        </w:rPr>
        <w:t>the Ituango Massacres v. Colombia. Preliminary objection, merits, reparations and costs</w:t>
      </w:r>
      <w:r w:rsidRPr="00CE23AE">
        <w:rPr>
          <w:spacing w:val="-4"/>
          <w:sz w:val="16"/>
          <w:szCs w:val="16"/>
          <w:lang w:val="en-US"/>
        </w:rPr>
        <w:t xml:space="preserve">. Judgment of July 1, 2006. Series C No. 148, para. 98, and </w:t>
      </w:r>
      <w:r w:rsidRPr="00CE23AE">
        <w:rPr>
          <w:bCs/>
          <w:i/>
          <w:spacing w:val="-4"/>
          <w:sz w:val="16"/>
          <w:szCs w:val="16"/>
          <w:lang w:val="en-US"/>
        </w:rPr>
        <w:t>Case of the Human Rights Defender et al. v. Guatemala, supra</w:t>
      </w:r>
      <w:r w:rsidRPr="00CE23AE">
        <w:rPr>
          <w:spacing w:val="-4"/>
          <w:sz w:val="16"/>
          <w:szCs w:val="16"/>
          <w:lang w:val="en-US"/>
        </w:rPr>
        <w:t>, para. 47.</w:t>
      </w:r>
    </w:p>
  </w:footnote>
  <w:footnote w:id="30">
    <w:p w14:paraId="7A1ACD36" w14:textId="543CB7A0" w:rsidR="00673461" w:rsidRPr="00CE23AE" w:rsidRDefault="00673461" w:rsidP="007B1AC9">
      <w:pPr>
        <w:pStyle w:val="Textonotapie"/>
        <w:tabs>
          <w:tab w:val="left" w:pos="540"/>
        </w:tabs>
        <w:rPr>
          <w:szCs w:val="16"/>
          <w:lang w:val="en-US" w:bidi="en-US"/>
        </w:rPr>
      </w:pPr>
      <w:r w:rsidRPr="00CE23AE">
        <w:rPr>
          <w:rStyle w:val="Refdenotaalpie"/>
          <w:spacing w:val="-4"/>
          <w:szCs w:val="16"/>
          <w:lang w:val="en-US"/>
        </w:rPr>
        <w:footnoteRef/>
      </w:r>
      <w:r w:rsidRPr="00CE23AE">
        <w:rPr>
          <w:szCs w:val="16"/>
          <w:lang w:val="en-US"/>
        </w:rPr>
        <w:t xml:space="preserve"> </w:t>
      </w:r>
      <w:r w:rsidRPr="00CE23AE">
        <w:rPr>
          <w:szCs w:val="16"/>
          <w:lang w:val="en-US" w:bidi="en-US"/>
        </w:rPr>
        <w:tab/>
      </w:r>
      <w:r w:rsidRPr="00CE23AE">
        <w:rPr>
          <w:i/>
          <w:szCs w:val="16"/>
          <w:lang w:val="en-US"/>
        </w:rPr>
        <w:t>Mutatis mutandis</w:t>
      </w:r>
      <w:r w:rsidRPr="00CE23AE">
        <w:rPr>
          <w:szCs w:val="16"/>
          <w:lang w:val="en-US"/>
        </w:rPr>
        <w:t xml:space="preserve">, under the Court’s previous Rules of Procedure, </w:t>
      </w:r>
      <w:r w:rsidRPr="00CE23AE">
        <w:rPr>
          <w:i/>
          <w:szCs w:val="16"/>
          <w:lang w:val="en-US"/>
        </w:rPr>
        <w:t>Case of Radilla Pacheco v. Mexico. Preliminary objections, merits, reparations and costs.</w:t>
      </w:r>
      <w:r w:rsidRPr="00CE23AE">
        <w:rPr>
          <w:szCs w:val="16"/>
          <w:lang w:val="en-US"/>
        </w:rPr>
        <w:t xml:space="preserve"> Judgment of November 23, 2009. Series C No. 209, para. 110, and </w:t>
      </w:r>
      <w:r w:rsidRPr="00CE23AE">
        <w:rPr>
          <w:i/>
          <w:szCs w:val="16"/>
          <w:lang w:val="en-US"/>
        </w:rPr>
        <w:t>Case of the Human Rights Defender et al. v. Guatemala, supra</w:t>
      </w:r>
      <w:r w:rsidRPr="00CE23AE">
        <w:rPr>
          <w:szCs w:val="16"/>
          <w:lang w:val="en-US"/>
        </w:rPr>
        <w:t>, para. 47.</w:t>
      </w:r>
    </w:p>
  </w:footnote>
  <w:footnote w:id="31">
    <w:p w14:paraId="713F8B7F" w14:textId="58A8BB29" w:rsidR="00673461" w:rsidRPr="00CE23AE" w:rsidRDefault="00673461" w:rsidP="007B1AC9">
      <w:pPr>
        <w:pStyle w:val="Textonotapie"/>
        <w:tabs>
          <w:tab w:val="left" w:pos="540"/>
        </w:tabs>
        <w:rPr>
          <w:b/>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Brief of the State of October 1, 2014 (evidence file, folios 1614 and 1615); brief of the State of July 22, 2014 (evidence file, folio 1671), and photographs of the unveiling of the plaque (evidence file, folio 1725).</w:t>
      </w:r>
    </w:p>
  </w:footnote>
  <w:footnote w:id="32">
    <w:p w14:paraId="2DD78325" w14:textId="13BA4570"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Brief of the State of September 29, 2014 (evidence file, folio 1608).</w:t>
      </w:r>
    </w:p>
  </w:footnote>
  <w:footnote w:id="33">
    <w:p w14:paraId="3FCEED98" w14:textId="46BEADB2"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Copy of the photograph of the plaque (evidence file, folio 1602).</w:t>
      </w:r>
    </w:p>
  </w:footnote>
  <w:footnote w:id="34">
    <w:p w14:paraId="007DC12E" w14:textId="29C35F36"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The communiqué indicated that: “[t]he Ecuadorian State, sovereignly decides to accept the observations and recommendations of Merits Report No. 81/13, of the Inter-American Commission on Human Rights, adopted in session No. 1961 of November 4, 2013, and records in this communiqué its public apology to Lt. Homero Flor,” and copied the text of the plaque. </w:t>
      </w:r>
      <w:r w:rsidRPr="00CE23AE">
        <w:rPr>
          <w:i/>
          <w:szCs w:val="16"/>
          <w:lang w:val="en-US"/>
        </w:rPr>
        <w:t>Cf.</w:t>
      </w:r>
      <w:r w:rsidRPr="00CE23AE">
        <w:rPr>
          <w:szCs w:val="16"/>
          <w:lang w:val="en-US"/>
        </w:rPr>
        <w:t xml:space="preserve"> Communiqué of the Ministry of National Defense of August 13, 2013 (evidence file, folio 1602).</w:t>
      </w:r>
    </w:p>
  </w:footnote>
  <w:footnote w:id="35">
    <w:p w14:paraId="7368B6D5" w14:textId="41D1138C" w:rsidR="00673461" w:rsidRPr="00CE23AE" w:rsidRDefault="00673461" w:rsidP="00A538B7">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Regarding the publications offered, see: brief of the State of July 28, 2014 (evidence file, folio 1750), brief of the State of June 25, 2014 (evidence file, folio 1820), and brief of the State of August 18, 2014 (evidence file, folio 1689). Regarding possible compensation, during a working meeting, the State advised that “the parties have agreed on the two items of the State’s proposal of July 25, 2014, equivalent to the payment of two amounts: (1) for pecuniary damage the sum of US$330,169.25, and (2) for non-pecuniary damage US$339,221.20; amounting to a total of US$659,380.45.” Brief of the State of February 11, 2014 (evidence file, folio 2046); brief of the State of June 9, 2014 (evidence file, folio 1966); brief of the State of July 25, 2014 (evidence file, folios 1757 and 1758); brief of the State of August 11, 2014 (evidence file, folio 1734); brief of the State of September 9, 2014 (evidence file, folio 1652), and minutes of working meeting of July 30, 2014 (evidence file, folio 1567). The State also forwarded calculations made by Army authorities on the loss of earnings and proposals for compensation. </w:t>
      </w:r>
      <w:r w:rsidRPr="00CE23AE">
        <w:rPr>
          <w:i/>
          <w:szCs w:val="16"/>
          <w:lang w:val="en-US"/>
        </w:rPr>
        <w:t>Cf.</w:t>
      </w:r>
      <w:r w:rsidRPr="00CE23AE">
        <w:rPr>
          <w:rFonts w:eastAsiaTheme="minorHAnsi" w:cstheme="minorBidi"/>
          <w:szCs w:val="16"/>
          <w:lang w:val="en-US" w:eastAsia="en-US"/>
        </w:rPr>
        <w:t xml:space="preserve"> </w:t>
      </w:r>
      <w:r w:rsidRPr="00CE23AE">
        <w:rPr>
          <w:szCs w:val="16"/>
          <w:lang w:val="en-US"/>
        </w:rPr>
        <w:t>Brief of the Ecuadorian Army of September 18, 2013, to the General Coordinator of the Legal Services Department of the Ministry of National Defense (evidence file, folios 2022 and 1981). Regarding the guarantees of non-repetition, it referred to measures “to ensure that individuals employed in the Armed Forces or any other department of the Ecuadorian Army are not discriminated against based on their actual or perceived sexual orientation”; “to provide human rights training to the Armed Forces on human rights law, regulations and international standards,” and “to guarantee the right to due process of soldiers tried by courts in disciplinary proceedings, including the right to an impartial judge or court.” Brief of the State of January 17, 2014 (evidence file, folios 2009 to 2020); brief of the State of February 11, 2014 (evidence file, folios 2051 to 2059); brief of the State of June 25, 2014 (evidence file, folio 1818); brief of the State of October 1, 2014 (evidence file, folios 1616 and 1617), and brief of the State of September 29, 2014 (evidence file, folio 1606). Regarding the measures to investigate the facts and to eliminate the military proceedings against Mr. Flor Freire from his military record, see,</w:t>
      </w:r>
      <w:r w:rsidRPr="00CE23AE">
        <w:rPr>
          <w:i/>
          <w:szCs w:val="16"/>
          <w:lang w:val="en-US"/>
        </w:rPr>
        <w:t xml:space="preserve"> </w:t>
      </w:r>
      <w:r w:rsidRPr="00CE23AE">
        <w:rPr>
          <w:szCs w:val="16"/>
          <w:lang w:val="en-US"/>
        </w:rPr>
        <w:t>brief of the State of June 9, 2014 (evidence file, folio 1969).</w:t>
      </w:r>
    </w:p>
  </w:footnote>
  <w:footnote w:id="36">
    <w:p w14:paraId="133B0145" w14:textId="222B031B" w:rsidR="00673461" w:rsidRPr="00CE23AE" w:rsidRDefault="00673461" w:rsidP="00A538B7">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Brief of the State of June 9, 2014 (evidence file, folio 1970).</w:t>
      </w:r>
    </w:p>
  </w:footnote>
  <w:footnote w:id="37">
    <w:p w14:paraId="59AC64B2" w14:textId="628ECBB2" w:rsidR="00673461" w:rsidRPr="00CE23AE" w:rsidRDefault="00673461" w:rsidP="00A538B7">
      <w:pPr>
        <w:tabs>
          <w:tab w:val="left" w:pos="540"/>
        </w:tabs>
        <w:autoSpaceDE w:val="0"/>
        <w:autoSpaceDN w:val="0"/>
        <w:spacing w:before="120" w:after="120"/>
        <w:rPr>
          <w:sz w:val="16"/>
          <w:szCs w:val="16"/>
          <w:lang w:val="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t xml:space="preserve">This article establishes that </w:t>
      </w:r>
      <w:r w:rsidRPr="00CE23AE">
        <w:rPr>
          <w:rFonts w:eastAsia="Verdana" w:cs="Verdana"/>
          <w:spacing w:val="2"/>
          <w:sz w:val="16"/>
          <w:szCs w:val="16"/>
          <w:lang w:val="en-US"/>
        </w:rPr>
        <w:t>“[</w:t>
      </w:r>
      <w:r w:rsidRPr="00CE23AE">
        <w:rPr>
          <w:rFonts w:cs="Verdana"/>
          <w:sz w:val="16"/>
          <w:szCs w:val="16"/>
          <w:lang w:val="en-US" w:bidi="mni-IN"/>
        </w:rPr>
        <w:t>I]f the respondent informs the Court of its acquiescence, in whole or in part, to the claims made in the submission of the case or in the brief of the presumed victims or their representatives, the Court shall decide at the appropriate procedural moment, after hearing the opinions of the other parties to the case, whether to accept such acquiescence, and rule upon its juridical effects.</w:t>
      </w:r>
      <w:r w:rsidRPr="00CE23AE">
        <w:rPr>
          <w:rFonts w:eastAsia="Verdana" w:cs="Verdana"/>
          <w:spacing w:val="2"/>
          <w:sz w:val="16"/>
          <w:szCs w:val="16"/>
          <w:lang w:val="en-US"/>
        </w:rPr>
        <w:t>”</w:t>
      </w:r>
    </w:p>
  </w:footnote>
  <w:footnote w:id="38">
    <w:p w14:paraId="459FD615" w14:textId="2708DC7D" w:rsidR="00673461" w:rsidRPr="00CE23AE" w:rsidRDefault="00673461" w:rsidP="00A538B7">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 Case of Acevedo Buendía et al. (“Discharged and Retired Employees of the Comptroller’s Office”) v. Peru. Preliminary objection, merits, reparations and costs.</w:t>
      </w:r>
      <w:r w:rsidRPr="00CE23AE">
        <w:rPr>
          <w:szCs w:val="16"/>
          <w:lang w:val="en-US"/>
        </w:rPr>
        <w:t xml:space="preserve"> Judgment of July 1, 2009. Series C No. 198, para. 59.</w:t>
      </w:r>
    </w:p>
  </w:footnote>
  <w:footnote w:id="39">
    <w:p w14:paraId="1FE4C02B" w14:textId="1AD536CB" w:rsidR="00673461" w:rsidRPr="00CE23AE" w:rsidRDefault="00673461" w:rsidP="00A538B7">
      <w:pPr>
        <w:pStyle w:val="Textonotapie"/>
        <w:tabs>
          <w:tab w:val="left" w:pos="540"/>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Case of Myrna Mack Chang v. Guatemala. Merits, reparations and costs. </w:t>
      </w:r>
      <w:r w:rsidRPr="00CE23AE">
        <w:rPr>
          <w:szCs w:val="16"/>
          <w:lang w:val="en-US"/>
        </w:rPr>
        <w:t xml:space="preserve">Judgment of November 25, 2003. Series C No. 101, para. 105, and </w:t>
      </w:r>
      <w:r w:rsidRPr="00CE23AE">
        <w:rPr>
          <w:i/>
          <w:szCs w:val="16"/>
          <w:lang w:val="en-US"/>
        </w:rPr>
        <w:t>Case of Argüelles et al. v. Argentina. Preliminary objections, merits, reparations and costs</w:t>
      </w:r>
      <w:r w:rsidRPr="00CE23AE">
        <w:rPr>
          <w:szCs w:val="16"/>
          <w:lang w:val="en-US"/>
        </w:rPr>
        <w:t>. Judgment of November 20, 2014. Series C No. 288, para. 53.</w:t>
      </w:r>
    </w:p>
  </w:footnote>
  <w:footnote w:id="40">
    <w:p w14:paraId="25ACF19D" w14:textId="3EDFC942" w:rsidR="00673461" w:rsidRPr="00CE23AE" w:rsidRDefault="00673461" w:rsidP="00A538B7">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Gelman v. Uruguay. Merits and reparations.</w:t>
      </w:r>
      <w:r w:rsidRPr="00CE23AE">
        <w:rPr>
          <w:szCs w:val="16"/>
          <w:lang w:val="en-US"/>
        </w:rPr>
        <w:t xml:space="preserve"> Judgment of February 24, 2011 Series C No.221, para. 28, and </w:t>
      </w:r>
      <w:r w:rsidRPr="00CE23AE">
        <w:rPr>
          <w:i/>
          <w:szCs w:val="16"/>
          <w:lang w:val="en-US"/>
        </w:rPr>
        <w:t>Case of Duque v. Colombia. Preliminary objections, merits, reparations and costs</w:t>
      </w:r>
      <w:r w:rsidRPr="00CE23AE">
        <w:rPr>
          <w:szCs w:val="16"/>
          <w:lang w:val="en-US"/>
        </w:rPr>
        <w:t>. Judgment of February 26, 2016. Series C No. 310, para. 61.</w:t>
      </w:r>
    </w:p>
  </w:footnote>
  <w:footnote w:id="41">
    <w:p w14:paraId="76BDCC27" w14:textId="1BD8CA65" w:rsidR="00673461" w:rsidRPr="00CE23AE" w:rsidRDefault="00673461" w:rsidP="007B1AC9">
      <w:pPr>
        <w:pStyle w:val="PrrafodeSentencia"/>
        <w:numPr>
          <w:ilvl w:val="0"/>
          <w:numId w:val="0"/>
        </w:numPr>
        <w:tabs>
          <w:tab w:val="clear" w:pos="567"/>
          <w:tab w:val="left" w:pos="540"/>
        </w:tabs>
        <w:spacing w:before="120" w:after="120"/>
        <w:rPr>
          <w:sz w:val="16"/>
          <w:szCs w:val="16"/>
          <w:lang w:val="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t xml:space="preserve">Article 50 of the American Convention authorizes the Commission to make “such proposals and recommendations as it sees fit” in the Merits Report, while Article 51 establishes a period of three months for the Commission to evaluate, </w:t>
      </w:r>
      <w:r w:rsidRPr="00CE23AE">
        <w:rPr>
          <w:i/>
          <w:iCs/>
          <w:sz w:val="16"/>
          <w:szCs w:val="16"/>
          <w:lang w:val="en-US"/>
        </w:rPr>
        <w:t>inter alia</w:t>
      </w:r>
      <w:r w:rsidRPr="00CE23AE">
        <w:rPr>
          <w:sz w:val="16"/>
          <w:szCs w:val="16"/>
          <w:lang w:val="en-US"/>
        </w:rPr>
        <w:t>, whether the matter has been settled or whether to submit it to the Court. In addition, the Commission’s Rules of Procedure establish that when transmitting the report to the State “it shall set a deadline by which the State in question must report on the measures adopted to comply with the recommendations.” Also, Article 45 of those Rules of Procedure establishes that “[i]f the State in question has accepted the jurisdiction of the Inter-American Court in accordance with Article 62 of the American Convention, and the Commission considers that the State has not complied with the recommendations of the report approved in accordance with Article 50 of the American Convention, it shall refer the case to the Court, unless there is a reasoned decision by an absolute majority of the members of the Commission to the contrary.” Rules of Procedure of the Inter-American Commission adopted by the Commission at its 137th regular session held from October 28 to November 13, 2009, and amended on September 2, 2011, and during the 147th regular session held from March 8 to 22, 2013, for entry into force on August 1, 2013, Arts. 44(2) and 45(1).</w:t>
      </w:r>
    </w:p>
  </w:footnote>
  <w:footnote w:id="42">
    <w:p w14:paraId="6A4DF63E" w14:textId="6EDEE912" w:rsidR="00673461" w:rsidRPr="00CE23AE" w:rsidRDefault="00673461" w:rsidP="007B1AC9">
      <w:pPr>
        <w:pStyle w:val="Textonotapie"/>
        <w:tabs>
          <w:tab w:val="left" w:pos="540"/>
        </w:tabs>
        <w:rPr>
          <w:szCs w:val="16"/>
          <w:lang w:val="es-CR"/>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Case of Pacheco Teruel et al. v. Honduras. Merits, reparations and costs. </w:t>
      </w:r>
      <w:r w:rsidRPr="00CE23AE">
        <w:rPr>
          <w:szCs w:val="16"/>
          <w:lang w:val="en-US"/>
        </w:rPr>
        <w:t xml:space="preserve">Judgment of April 27, 2012 Series C No. 241, paras. 18 and 19, and </w:t>
      </w:r>
      <w:r w:rsidRPr="00CE23AE">
        <w:rPr>
          <w:rStyle w:val="Textoennegrita"/>
          <w:rFonts w:eastAsia="MS ????"/>
          <w:b w:val="0"/>
          <w:i/>
          <w:color w:val="000000"/>
          <w:szCs w:val="16"/>
          <w:shd w:val="clear" w:color="auto" w:fill="FFFFFF"/>
          <w:lang w:val="en-US"/>
        </w:rPr>
        <w:t xml:space="preserve">Case of García Cruz and Sánchez Silvestre v. Mexico. Merits, reparations and costs. </w:t>
      </w:r>
      <w:r w:rsidRPr="00CE23AE">
        <w:rPr>
          <w:rStyle w:val="Textoennegrita"/>
          <w:rFonts w:eastAsia="MS ????"/>
          <w:b w:val="0"/>
          <w:color w:val="000000"/>
          <w:szCs w:val="16"/>
          <w:shd w:val="clear" w:color="auto" w:fill="FFFFFF"/>
          <w:lang w:val="en-US"/>
        </w:rPr>
        <w:t xml:space="preserve">Judgment of November 26, 2013. Series C No. 273, para. </w:t>
      </w:r>
      <w:r w:rsidRPr="00CE23AE">
        <w:rPr>
          <w:rStyle w:val="Textoennegrita"/>
          <w:rFonts w:eastAsia="MS ????"/>
          <w:b w:val="0"/>
          <w:color w:val="000000"/>
          <w:szCs w:val="16"/>
          <w:shd w:val="clear" w:color="auto" w:fill="FFFFFF"/>
          <w:lang w:val="es-CR"/>
        </w:rPr>
        <w:t>22.</w:t>
      </w:r>
    </w:p>
  </w:footnote>
  <w:footnote w:id="43">
    <w:p w14:paraId="4BEC8EF3" w14:textId="1F373FFB"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s-CR"/>
        </w:rPr>
        <w:t xml:space="preserve"> </w:t>
      </w:r>
      <w:r w:rsidRPr="00CE23AE">
        <w:rPr>
          <w:szCs w:val="16"/>
          <w:lang w:val="es-CR"/>
        </w:rPr>
        <w:tab/>
      </w:r>
      <w:r w:rsidRPr="00CE23AE">
        <w:rPr>
          <w:i/>
          <w:szCs w:val="16"/>
          <w:lang w:val="es-CR"/>
        </w:rPr>
        <w:t>Cf. Case of Argüelles et al. v. Argentina, supra</w:t>
      </w:r>
      <w:r w:rsidRPr="00CE23AE">
        <w:rPr>
          <w:szCs w:val="16"/>
          <w:lang w:val="es-CR"/>
        </w:rPr>
        <w:t xml:space="preserve">, para. </w:t>
      </w:r>
      <w:r w:rsidRPr="00CE23AE">
        <w:rPr>
          <w:szCs w:val="16"/>
          <w:lang w:val="en-US"/>
        </w:rPr>
        <w:t>56.</w:t>
      </w:r>
    </w:p>
  </w:footnote>
  <w:footnote w:id="44">
    <w:p w14:paraId="001893C2" w14:textId="6DC39439" w:rsidR="00673461" w:rsidRPr="00CE23AE" w:rsidRDefault="00673461" w:rsidP="007B1AC9">
      <w:pPr>
        <w:pStyle w:val="Textonotapie"/>
        <w:tabs>
          <w:tab w:val="left" w:pos="540"/>
        </w:tabs>
        <w:rPr>
          <w:rFonts w:cs="Verdana"/>
          <w:sz w:val="20"/>
          <w:lang w:val="en-US" w:bidi="mni-IN"/>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t>This article establishes that “[</w:t>
      </w:r>
      <w:r w:rsidRPr="00CE23AE">
        <w:rPr>
          <w:rFonts w:cs="Verdana"/>
          <w:szCs w:val="16"/>
          <w:lang w:val="en-US" w:bidi="mni-IN"/>
        </w:rPr>
        <w:t>I]f the respondent informs the Court of its acceptance of the facts or its total or partial acquiescence to the claims stated in the submission of the case or in the brief submitted by the alleged victims or their representatives, the Court shall decide, having heard the opinions of the other parties to the proceedings, and at the appropriate procedural moment, whether to accept that acquiescence, and shall rule upon its juridical effects.”</w:t>
      </w:r>
    </w:p>
  </w:footnote>
  <w:footnote w:id="45">
    <w:p w14:paraId="4D34E5BB" w14:textId="30008F53"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The purpose of these statements was established in the order of the President of December 16, 2015 (</w:t>
      </w:r>
      <w:r w:rsidRPr="00CE23AE">
        <w:rPr>
          <w:i/>
          <w:szCs w:val="16"/>
          <w:lang w:val="en-US"/>
        </w:rPr>
        <w:t>supra</w:t>
      </w:r>
      <w:r w:rsidRPr="00CE23AE">
        <w:rPr>
          <w:szCs w:val="16"/>
          <w:lang w:val="en-US"/>
        </w:rPr>
        <w:t xml:space="preserve"> nota </w:t>
      </w:r>
      <w:r w:rsidRPr="00CE23AE">
        <w:rPr>
          <w:szCs w:val="16"/>
          <w:lang w:val="en-US"/>
        </w:rPr>
        <w:fldChar w:fldCharType="begin"/>
      </w:r>
      <w:r w:rsidRPr="00CE23AE">
        <w:rPr>
          <w:szCs w:val="16"/>
          <w:lang w:val="en-US"/>
        </w:rPr>
        <w:instrText xml:space="preserve"> NOTEREF _Ref447186150 \h  \* MERGEFORMAT </w:instrText>
      </w:r>
      <w:r w:rsidRPr="00CE23AE">
        <w:rPr>
          <w:szCs w:val="16"/>
          <w:lang w:val="en-US"/>
        </w:rPr>
      </w:r>
      <w:r w:rsidRPr="00CE23AE">
        <w:rPr>
          <w:szCs w:val="16"/>
          <w:lang w:val="en-US"/>
        </w:rPr>
        <w:fldChar w:fldCharType="separate"/>
      </w:r>
      <w:r w:rsidRPr="00CE23AE">
        <w:rPr>
          <w:szCs w:val="16"/>
          <w:lang w:val="en-US"/>
        </w:rPr>
        <w:t>6</w:t>
      </w:r>
      <w:r w:rsidRPr="00CE23AE">
        <w:rPr>
          <w:szCs w:val="16"/>
          <w:lang w:val="en-US"/>
        </w:rPr>
        <w:fldChar w:fldCharType="end"/>
      </w:r>
      <w:r w:rsidRPr="00CE23AE">
        <w:rPr>
          <w:szCs w:val="16"/>
          <w:lang w:val="en-US"/>
        </w:rPr>
        <w:t xml:space="preserve">). </w:t>
      </w:r>
    </w:p>
  </w:footnote>
  <w:footnote w:id="46">
    <w:p w14:paraId="015E0E87" w14:textId="569B7CC5"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s-CR"/>
        </w:rPr>
        <w:t xml:space="preserve"> </w:t>
      </w:r>
      <w:r w:rsidRPr="00CE23AE">
        <w:rPr>
          <w:szCs w:val="16"/>
          <w:lang w:val="es-CR"/>
        </w:rPr>
        <w:tab/>
      </w:r>
      <w:r w:rsidRPr="00CE23AE">
        <w:rPr>
          <w:i/>
          <w:szCs w:val="16"/>
          <w:lang w:val="es-CR"/>
        </w:rPr>
        <w:t>Cf. Case of Velásquez Rodríguez v. Honduras. Merits, supra</w:t>
      </w:r>
      <w:r w:rsidRPr="00CE23AE">
        <w:rPr>
          <w:spacing w:val="-4"/>
          <w:szCs w:val="16"/>
          <w:lang w:val="es-CR"/>
        </w:rPr>
        <w:t xml:space="preserve">, </w:t>
      </w:r>
      <w:r w:rsidRPr="00CE23AE">
        <w:rPr>
          <w:szCs w:val="16"/>
          <w:lang w:val="es-CR"/>
        </w:rPr>
        <w:t xml:space="preserve">para. 140, and </w:t>
      </w:r>
      <w:r w:rsidRPr="00CE23AE">
        <w:rPr>
          <w:rStyle w:val="Textoennegrita"/>
          <w:rFonts w:eastAsia="MS ????"/>
          <w:b w:val="0"/>
          <w:i/>
          <w:color w:val="000000"/>
          <w:szCs w:val="16"/>
          <w:shd w:val="clear" w:color="auto" w:fill="FFFFFF"/>
          <w:lang w:val="es-CR"/>
        </w:rPr>
        <w:t>Case of Tenorio Roca et al. v. Peru, supra</w:t>
      </w:r>
      <w:r w:rsidRPr="00CE23AE">
        <w:rPr>
          <w:rStyle w:val="Textoennegrita"/>
          <w:rFonts w:eastAsia="MS ????"/>
          <w:b w:val="0"/>
          <w:color w:val="000000"/>
          <w:szCs w:val="16"/>
          <w:shd w:val="clear" w:color="auto" w:fill="FFFFFF"/>
          <w:lang w:val="es-CR"/>
        </w:rPr>
        <w:t>,</w:t>
      </w:r>
      <w:r w:rsidRPr="00CE23AE">
        <w:rPr>
          <w:rStyle w:val="Textoennegrita"/>
          <w:rFonts w:eastAsia="MS ????"/>
          <w:b w:val="0"/>
          <w:i/>
          <w:color w:val="000000"/>
          <w:szCs w:val="16"/>
          <w:shd w:val="clear" w:color="auto" w:fill="FFFFFF"/>
          <w:lang w:val="es-CR"/>
        </w:rPr>
        <w:t xml:space="preserve"> </w:t>
      </w:r>
      <w:r w:rsidRPr="00CE23AE">
        <w:rPr>
          <w:spacing w:val="-4"/>
          <w:szCs w:val="16"/>
          <w:lang w:val="es-CR"/>
        </w:rPr>
        <w:t xml:space="preserve">para. </w:t>
      </w:r>
      <w:r w:rsidRPr="00CE23AE">
        <w:rPr>
          <w:spacing w:val="-4"/>
          <w:szCs w:val="16"/>
          <w:lang w:val="en-US"/>
        </w:rPr>
        <w:t>36.</w:t>
      </w:r>
    </w:p>
  </w:footnote>
  <w:footnote w:id="47">
    <w:p w14:paraId="125EE4E4" w14:textId="3E7F6F53" w:rsidR="00673461" w:rsidRPr="00CE23AE" w:rsidRDefault="00673461" w:rsidP="007B1AC9">
      <w:pPr>
        <w:pStyle w:val="Textonotapie"/>
        <w:tabs>
          <w:tab w:val="left" w:pos="540"/>
        </w:tabs>
        <w:rPr>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t xml:space="preserve">Similarly, see, </w:t>
      </w:r>
      <w:r w:rsidRPr="00CE23AE">
        <w:rPr>
          <w:i/>
          <w:iCs/>
          <w:spacing w:val="-4"/>
          <w:szCs w:val="16"/>
          <w:lang w:val="en-US"/>
        </w:rPr>
        <w:t xml:space="preserve">Case of Abrill Alosilla et al. v. Peru. Merits, reparations and costs, </w:t>
      </w:r>
      <w:r w:rsidRPr="00CE23AE">
        <w:rPr>
          <w:iCs/>
          <w:spacing w:val="-4"/>
          <w:szCs w:val="16"/>
          <w:lang w:val="en-US"/>
        </w:rPr>
        <w:t>Judgment of March 4, 2011. Series C No. 223, para. 39</w:t>
      </w:r>
      <w:r w:rsidRPr="00CE23AE">
        <w:rPr>
          <w:spacing w:val="-4"/>
          <w:szCs w:val="16"/>
          <w:lang w:val="en-US"/>
        </w:rPr>
        <w:t xml:space="preserve">, and </w:t>
      </w:r>
      <w:r w:rsidRPr="00CE23AE">
        <w:rPr>
          <w:rStyle w:val="Textoennegrita"/>
          <w:rFonts w:eastAsia="MS ????"/>
          <w:b w:val="0"/>
          <w:i/>
          <w:color w:val="000000"/>
          <w:szCs w:val="16"/>
          <w:shd w:val="clear" w:color="auto" w:fill="FFFFFF"/>
          <w:lang w:val="en-US"/>
        </w:rPr>
        <w:t>Case of Quispialaya Vilcapoma v. Peru. Preliminary objections, merits, reparations and costs.</w:t>
      </w:r>
      <w:r w:rsidRPr="00CE23AE">
        <w:rPr>
          <w:rStyle w:val="Textoennegrita"/>
          <w:rFonts w:eastAsia="MS ????"/>
          <w:b w:val="0"/>
          <w:color w:val="000000"/>
          <w:szCs w:val="16"/>
          <w:shd w:val="clear" w:color="auto" w:fill="FFFFFF"/>
          <w:lang w:val="en-US"/>
        </w:rPr>
        <w:t xml:space="preserve"> Judgment of November 23, 2015. Series C No. 308</w:t>
      </w:r>
      <w:r w:rsidRPr="00CE23AE">
        <w:rPr>
          <w:spacing w:val="-4"/>
          <w:szCs w:val="16"/>
          <w:lang w:val="en-US"/>
        </w:rPr>
        <w:t>,</w:t>
      </w:r>
      <w:r w:rsidRPr="00CE23AE">
        <w:rPr>
          <w:i/>
          <w:iCs/>
          <w:spacing w:val="-4"/>
          <w:szCs w:val="16"/>
          <w:lang w:val="en-US"/>
        </w:rPr>
        <w:t xml:space="preserve"> </w:t>
      </w:r>
      <w:r w:rsidRPr="00CE23AE">
        <w:rPr>
          <w:iCs/>
          <w:spacing w:val="-4"/>
          <w:szCs w:val="16"/>
          <w:lang w:val="en-US"/>
        </w:rPr>
        <w:t>para. 40</w:t>
      </w:r>
      <w:r w:rsidRPr="00CE23AE">
        <w:rPr>
          <w:i/>
          <w:iCs/>
          <w:spacing w:val="-4"/>
          <w:szCs w:val="16"/>
          <w:lang w:val="en-US"/>
        </w:rPr>
        <w:t>.</w:t>
      </w:r>
    </w:p>
  </w:footnote>
  <w:footnote w:id="48">
    <w:p w14:paraId="5D7FA963" w14:textId="1C087299"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Specifically, the President asked the State to forward: </w:t>
      </w:r>
      <w:r w:rsidRPr="00CE23AE">
        <w:rPr>
          <w:rFonts w:eastAsiaTheme="minorHAnsi" w:cstheme="minorBidi"/>
          <w:szCs w:val="16"/>
          <w:lang w:val="en-US" w:eastAsia="en-US"/>
        </w:rPr>
        <w:t xml:space="preserve">“Domestic case law from the constitutional and/or the contentious administrative jurisdiction on the reincorporation of personnel into </w:t>
      </w:r>
      <w:r w:rsidRPr="00CE23AE">
        <w:rPr>
          <w:szCs w:val="16"/>
          <w:lang w:val="en-US"/>
        </w:rPr>
        <w:t xml:space="preserve">the Armed Forces a long time after they have been discharged from this institution, as well as any other pertinent information or relevant clarifications. In this regard, the Secretariat stressed that Leonardo Jaramillo, the expert witness proposed by the State, indicated that there are ‘cases of reincorporation into the forces after different periods of time, including some fairly extended periods.’ However, he did not provide details or explain the circumstances. However, the State was particularly asked to forward a copy of [specific domestic] judicial decisions.”  </w:t>
      </w:r>
    </w:p>
  </w:footnote>
  <w:footnote w:id="49">
    <w:p w14:paraId="05921B67" w14:textId="364A5BB3"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the White Van” (Paniagua Morales et al.) v. Guatemala. Merits</w:t>
      </w:r>
      <w:r w:rsidRPr="00CE23AE">
        <w:rPr>
          <w:szCs w:val="16"/>
          <w:lang w:val="en-US"/>
        </w:rPr>
        <w:t xml:space="preserve">. Judgment of March 8, 1998. Series C No 37, para. 69 al 76, and </w:t>
      </w:r>
      <w:r w:rsidRPr="00CE23AE">
        <w:rPr>
          <w:rStyle w:val="Textoennegrita"/>
          <w:rFonts w:eastAsia="MS ????"/>
          <w:b w:val="0"/>
          <w:i/>
          <w:color w:val="000000"/>
          <w:szCs w:val="16"/>
          <w:shd w:val="clear" w:color="auto" w:fill="FFFFFF"/>
          <w:lang w:val="en-US"/>
        </w:rPr>
        <w:t>Case of Maldonado Ordoñez v. Guatemala. Preliminary objection, merits, reparations and costs.</w:t>
      </w:r>
      <w:r w:rsidRPr="00CE23AE">
        <w:rPr>
          <w:rStyle w:val="Textoennegrita"/>
          <w:rFonts w:eastAsia="MS ????"/>
          <w:b w:val="0"/>
          <w:color w:val="000000"/>
          <w:szCs w:val="16"/>
          <w:shd w:val="clear" w:color="auto" w:fill="FFFFFF"/>
          <w:lang w:val="en-US"/>
        </w:rPr>
        <w:t xml:space="preserve"> Judgment of May 3, 2016. Series C No. 311</w:t>
      </w:r>
      <w:r w:rsidRPr="00CE23AE">
        <w:rPr>
          <w:bCs/>
          <w:szCs w:val="16"/>
          <w:lang w:val="en-US"/>
        </w:rPr>
        <w:t>, para. 31.</w:t>
      </w:r>
    </w:p>
  </w:footnote>
  <w:footnote w:id="50">
    <w:p w14:paraId="5131E920" w14:textId="69DD5FD6"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the White Van” (Paniagua Morales et al.) v. Guatemala. Merits</w:t>
      </w:r>
      <w:r w:rsidRPr="00CE23AE">
        <w:rPr>
          <w:szCs w:val="16"/>
          <w:lang w:val="en-US"/>
        </w:rPr>
        <w:t xml:space="preserve">, </w:t>
      </w:r>
      <w:r w:rsidRPr="00CE23AE">
        <w:rPr>
          <w:i/>
          <w:szCs w:val="16"/>
          <w:lang w:val="en-US"/>
        </w:rPr>
        <w:t>supra</w:t>
      </w:r>
      <w:r w:rsidRPr="00CE23AE">
        <w:rPr>
          <w:szCs w:val="16"/>
          <w:lang w:val="en-US"/>
        </w:rPr>
        <w:t xml:space="preserve">, para. 69 to 76, and </w:t>
      </w:r>
      <w:r w:rsidRPr="00CE23AE">
        <w:rPr>
          <w:rStyle w:val="Textoennegrita"/>
          <w:rFonts w:eastAsia="MS ????"/>
          <w:b w:val="0"/>
          <w:i/>
          <w:color w:val="000000"/>
          <w:szCs w:val="16"/>
          <w:shd w:val="clear" w:color="auto" w:fill="FFFFFF"/>
          <w:lang w:val="en-US"/>
        </w:rPr>
        <w:t>Case of Tenorio Roca et al. v. Peru, supra</w:t>
      </w:r>
      <w:r w:rsidRPr="00CE23AE">
        <w:rPr>
          <w:rStyle w:val="Textoennegrita"/>
          <w:rFonts w:eastAsia="MS ????"/>
          <w:b w:val="0"/>
          <w:color w:val="000000"/>
          <w:szCs w:val="16"/>
          <w:shd w:val="clear" w:color="auto" w:fill="FFFFFF"/>
          <w:lang w:val="en-US"/>
        </w:rPr>
        <w:t>,</w:t>
      </w:r>
      <w:r w:rsidRPr="00CE23AE">
        <w:rPr>
          <w:rStyle w:val="Textoennegrita"/>
          <w:rFonts w:eastAsia="MS ????"/>
          <w:b w:val="0"/>
          <w:i/>
          <w:color w:val="000000"/>
          <w:szCs w:val="16"/>
          <w:shd w:val="clear" w:color="auto" w:fill="FFFFFF"/>
          <w:lang w:val="en-US"/>
        </w:rPr>
        <w:t xml:space="preserve"> </w:t>
      </w:r>
      <w:r w:rsidRPr="00CE23AE">
        <w:rPr>
          <w:spacing w:val="-4"/>
          <w:szCs w:val="16"/>
          <w:lang w:val="en-US"/>
        </w:rPr>
        <w:t>para. 45.</w:t>
      </w:r>
    </w:p>
  </w:footnote>
  <w:footnote w:id="51">
    <w:p w14:paraId="02C95F00" w14:textId="6E723D7B"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Loayza Tamayo v. Peru. Merits.</w:t>
      </w:r>
      <w:r w:rsidRPr="00CE23AE">
        <w:rPr>
          <w:szCs w:val="16"/>
          <w:lang w:val="en-US"/>
        </w:rPr>
        <w:t xml:space="preserve"> Judgment of September 17, 1997. Series C No 33, para. 43, and </w:t>
      </w:r>
      <w:r w:rsidRPr="00CE23AE">
        <w:rPr>
          <w:rStyle w:val="Textoennegrita"/>
          <w:rFonts w:eastAsia="MS ????"/>
          <w:b w:val="0"/>
          <w:i/>
          <w:color w:val="000000"/>
          <w:szCs w:val="16"/>
          <w:shd w:val="clear" w:color="auto" w:fill="FFFFFF"/>
          <w:lang w:val="en-US"/>
        </w:rPr>
        <w:t>Case of Tenorio Roca et al. v. Peru, supra</w:t>
      </w:r>
      <w:r w:rsidRPr="00CE23AE">
        <w:rPr>
          <w:rStyle w:val="Textoennegrita"/>
          <w:rFonts w:eastAsia="MS ????"/>
          <w:b w:val="0"/>
          <w:color w:val="000000"/>
          <w:szCs w:val="16"/>
          <w:shd w:val="clear" w:color="auto" w:fill="FFFFFF"/>
          <w:lang w:val="en-US"/>
        </w:rPr>
        <w:t>,</w:t>
      </w:r>
      <w:r w:rsidRPr="00CE23AE">
        <w:rPr>
          <w:rStyle w:val="Textoennegrita"/>
          <w:rFonts w:eastAsia="MS ????"/>
          <w:b w:val="0"/>
          <w:i/>
          <w:color w:val="000000"/>
          <w:szCs w:val="16"/>
          <w:shd w:val="clear" w:color="auto" w:fill="FFFFFF"/>
          <w:lang w:val="en-US"/>
        </w:rPr>
        <w:t xml:space="preserve"> </w:t>
      </w:r>
      <w:r w:rsidRPr="00CE23AE">
        <w:rPr>
          <w:spacing w:val="-4"/>
          <w:szCs w:val="16"/>
          <w:lang w:val="en-US"/>
        </w:rPr>
        <w:t>para. 46.</w:t>
      </w:r>
    </w:p>
  </w:footnote>
  <w:footnote w:id="52">
    <w:p w14:paraId="5BFBD77B" w14:textId="3F3A3326"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Certificate issued by the Personnel Manager of the Ground Forces dated February 5, 2001 (evidence file, folio 2); General Command of the Ground Forces, record of Homero Flor Freire (evidence file, folio 2539).</w:t>
      </w:r>
    </w:p>
  </w:footnote>
  <w:footnote w:id="53">
    <w:p w14:paraId="67865EBA" w14:textId="28639582"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Certificate issued by the Personnel Manager of the Ground Forces dated February 5, 2001 (evidence file, folio 2); General Command of the Ground Forces, record of Homero Flor Freire (evidence file, folio 2539).</w:t>
      </w:r>
    </w:p>
  </w:footnote>
  <w:footnote w:id="54">
    <w:p w14:paraId="28ECE5A1" w14:textId="0F4D5191"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Statement of Mr. Flor Freire during the public hearing held before the Court in this case. </w:t>
      </w:r>
    </w:p>
  </w:footnote>
  <w:footnote w:id="55">
    <w:p w14:paraId="23322616" w14:textId="18E62A4D"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Statement of Mr. Flor Freire during the public hearing held before the Court in this case. </w:t>
      </w:r>
    </w:p>
  </w:footnote>
  <w:footnote w:id="56">
    <w:p w14:paraId="55EBD03D" w14:textId="76B25247"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Statement of Mr. Flor Freire during the public hearing held before the Court in this case. Despite the foregoing, in his statement during the summary procedure, Mr. Flor Freire explained that he “did not leave the [soldier] in the Guardhouse because the guards in the Guardhouse were of a lower rank; therefore, [he had taken] him in order to supervise him fully.”  Ruling of the Court of Law (evidence file, folio 2585).</w:t>
      </w:r>
    </w:p>
  </w:footnote>
  <w:footnote w:id="57">
    <w:p w14:paraId="52A0A17B" w14:textId="421233BE"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Statement of Mr. Flor Freire during the public hearing held before the Court in this case.</w:t>
      </w:r>
    </w:p>
  </w:footnote>
  <w:footnote w:id="58">
    <w:p w14:paraId="775FC60B" w14:textId="10092D6F" w:rsidR="00673461" w:rsidRPr="00CE23AE" w:rsidRDefault="00673461" w:rsidP="007B1AC9">
      <w:pPr>
        <w:pStyle w:val="Textonotapie"/>
        <w:tabs>
          <w:tab w:val="left" w:pos="540"/>
        </w:tabs>
        <w:rPr>
          <w:szCs w:val="16"/>
          <w:lang w:val="en-US"/>
        </w:rPr>
      </w:pPr>
      <w:r w:rsidRPr="00CE23AE">
        <w:rPr>
          <w:szCs w:val="16"/>
          <w:vertAlign w:val="superscript"/>
          <w:lang w:val="en-US"/>
        </w:rPr>
        <w:footnoteRef/>
      </w:r>
      <w:r w:rsidRPr="00CE23AE">
        <w:rPr>
          <w:szCs w:val="16"/>
          <w:lang w:val="en-US"/>
        </w:rPr>
        <w:t xml:space="preserve"> </w:t>
      </w:r>
      <w:r w:rsidRPr="00CE23AE">
        <w:rPr>
          <w:szCs w:val="16"/>
          <w:lang w:val="en-US"/>
        </w:rPr>
        <w:tab/>
        <w:t xml:space="preserve">Statement of Mr. Flor Freire during the public hearing held before the Court in this case, and application for constitutional amparo filed by Homero Flor Freire with the Civil Judge on January 23, 2001 (evidence file, folio 12). Also, </w:t>
      </w:r>
      <w:r w:rsidRPr="00CE23AE">
        <w:rPr>
          <w:i/>
          <w:szCs w:val="16"/>
          <w:lang w:val="en-US"/>
        </w:rPr>
        <w:t xml:space="preserve">cf. </w:t>
      </w:r>
      <w:r w:rsidRPr="00CE23AE">
        <w:rPr>
          <w:szCs w:val="16"/>
          <w:lang w:val="en-US"/>
        </w:rPr>
        <w:t>ruling issued by the Sixth Civil Court of Pichincha on July 18, 2001 (evidence file, folio 2608), and report provided by Homero Flor to Intelligence Group No. 4 on the events that occurred during the night of November 18 and the early morning hours of November 19, 2000 (evidence file, folio 3422).</w:t>
      </w:r>
    </w:p>
  </w:footnote>
  <w:footnote w:id="59">
    <w:p w14:paraId="303D9673" w14:textId="7B17DB4B"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 xml:space="preserve">Statement of Mr. Flor Freire during the public hearing held before the Court in this case. </w:t>
      </w:r>
    </w:p>
  </w:footnote>
  <w:footnote w:id="60">
    <w:p w14:paraId="06D3CF8A" w14:textId="4B624E93"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Ruling issued by the Sixth Civil Court of Pichincha on July 18, 2001 (evidence file, folio 2608).</w:t>
      </w:r>
    </w:p>
  </w:footnote>
  <w:footnote w:id="61">
    <w:p w14:paraId="06CD924A" w14:textId="09DACE94"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 xml:space="preserve">Report on the events that occurred during the night of November 18 and the early morning hours of November 19, 2000, provided by Homero Flor to Intelligence Group No. 4 (evidence file, folios 3420 to 3429), and </w:t>
      </w:r>
      <w:r w:rsidRPr="00CE23AE">
        <w:rPr>
          <w:rFonts w:eastAsia="Calibri"/>
          <w:szCs w:val="16"/>
          <w:lang w:val="en-US"/>
        </w:rPr>
        <w:t xml:space="preserve">Unsworn statement of Homero Flor Freire before the First Criminal Court of the Fourth Military Zone, November 24, 2000 </w:t>
      </w:r>
      <w:r w:rsidRPr="00CE23AE">
        <w:rPr>
          <w:szCs w:val="16"/>
          <w:lang w:val="en-US"/>
        </w:rPr>
        <w:t>(evidence file, folio 2551).</w:t>
      </w:r>
    </w:p>
  </w:footnote>
  <w:footnote w:id="62">
    <w:p w14:paraId="1771DA5B" w14:textId="7620AA1A"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rFonts w:eastAsia="Calibri"/>
          <w:szCs w:val="16"/>
          <w:lang w:val="en-US"/>
        </w:rPr>
        <w:t xml:space="preserve">Unsworn statement of Homero Flor Freire before the First Criminal Court of the Fourth Military Zone, November 24, 2000 </w:t>
      </w:r>
      <w:r w:rsidRPr="00CE23AE">
        <w:rPr>
          <w:szCs w:val="16"/>
          <w:lang w:val="en-US"/>
        </w:rPr>
        <w:t xml:space="preserve">(evidence file, folios 2555 to 2557). In particular, Mr. Flor Freire indicated that the second day after the events, the Commander of the Fourth Military Zone said to him, </w:t>
      </w:r>
      <w:r w:rsidRPr="00CE23AE">
        <w:rPr>
          <w:i/>
          <w:iCs/>
          <w:szCs w:val="16"/>
          <w:lang w:val="en-US"/>
        </w:rPr>
        <w:t>inter alia:</w:t>
      </w:r>
      <w:r w:rsidRPr="00CE23AE">
        <w:rPr>
          <w:szCs w:val="16"/>
          <w:lang w:val="en-US"/>
        </w:rPr>
        <w:t xml:space="preserve"> “it would be better for him and his family if he asked to be placed on paid leave,” which he had subsequently repeated to his parents. Also, according to Mr. Flor Freire, the Commander of the Fourth Military Zone had informed him “of his decision to separate him from his functions.” Ruling issued by the Sixth Civil Court of Pichincha on July 18, 2001 (evidence file, folio 2608).</w:t>
      </w:r>
    </w:p>
  </w:footnote>
  <w:footnote w:id="63">
    <w:p w14:paraId="0475A331" w14:textId="321577EF" w:rsidR="00673461" w:rsidRPr="00CE23AE" w:rsidRDefault="00673461" w:rsidP="00501E56">
      <w:pPr>
        <w:pStyle w:val="Textonotapie"/>
        <w:tabs>
          <w:tab w:val="left" w:pos="540"/>
          <w:tab w:val="left" w:pos="7986"/>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23(3) of the 1998 Ecuadorian Constitution established that: “</w:t>
      </w:r>
      <w:bookmarkStart w:id="211" w:name="_Hlk45546379"/>
      <w:r w:rsidRPr="00CE23AE">
        <w:rPr>
          <w:szCs w:val="16"/>
          <w:lang w:val="en-US"/>
        </w:rPr>
        <w:t xml:space="preserve">Everyone shall be considered equal and shall enjoy the same rights, freedoms and opportunities, without discrimination </w:t>
      </w:r>
      <w:r w:rsidRPr="00CE23AE">
        <w:rPr>
          <w:snapToGrid w:val="0"/>
          <w:spacing w:val="-3"/>
          <w:szCs w:val="16"/>
          <w:lang w:val="en-US"/>
        </w:rPr>
        <w:t>for reasons of birth, age, sex, race, color, social origin, language, religion, political opinion, economic position, sexual orientation, health status, disability, or difference of any other kind</w:t>
      </w:r>
      <w:bookmarkEnd w:id="211"/>
      <w:r w:rsidRPr="00CE23AE">
        <w:rPr>
          <w:snapToGrid w:val="0"/>
          <w:spacing w:val="-3"/>
          <w:szCs w:val="16"/>
          <w:lang w:val="en-US"/>
        </w:rPr>
        <w:t xml:space="preserve">.” </w:t>
      </w:r>
      <w:r w:rsidRPr="00CE23AE">
        <w:rPr>
          <w:szCs w:val="16"/>
          <w:lang w:val="en-US"/>
        </w:rPr>
        <w:t>Article 23(3) of the 1998 Ecuadorian Constitution. Legislative Decree 0, published in Official Record No. 1 of August 11, 1998 (hereinafter “1998 Ecuadorian Constitution</w:t>
      </w:r>
      <w:r w:rsidRPr="00CE23AE">
        <w:rPr>
          <w:rFonts w:eastAsiaTheme="minorHAnsi" w:cs="TimesNewRomanPSMT"/>
          <w:szCs w:val="16"/>
          <w:lang w:val="en-US" w:eastAsia="en-US"/>
        </w:rPr>
        <w:t>”)</w:t>
      </w:r>
      <w:r w:rsidRPr="00CE23AE">
        <w:rPr>
          <w:szCs w:val="16"/>
          <w:lang w:val="en-US"/>
        </w:rPr>
        <w:t xml:space="preserve"> (evidence file, folio 2675).</w:t>
      </w:r>
    </w:p>
  </w:footnote>
  <w:footnote w:id="64">
    <w:p w14:paraId="30022F19" w14:textId="2B3A4B38"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1998 Ecuadorian Constitution (evidence file, folios 2706 and 2707).</w:t>
      </w:r>
    </w:p>
  </w:footnote>
  <w:footnote w:id="65">
    <w:p w14:paraId="5ED59092" w14:textId="4B1D70FA"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67 of the 1998 Military Discipline Regulations, Ministry of National Defense, Ministerial Order No. 144 (hereinafter “1998 Military Discipline Regulations”) (merits file, folio 667).</w:t>
      </w:r>
    </w:p>
  </w:footnote>
  <w:footnote w:id="66">
    <w:p w14:paraId="42181D9C" w14:textId="123AC903"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72 of the 1998 Military Discipline Regulations (merits file, folio 669).</w:t>
      </w:r>
    </w:p>
  </w:footnote>
  <w:footnote w:id="67">
    <w:p w14:paraId="3234CB14" w14:textId="5AC93BF8" w:rsidR="00673461" w:rsidRPr="00CE23AE" w:rsidRDefault="00673461" w:rsidP="007B1AC9">
      <w:pPr>
        <w:pStyle w:val="Textonotapie"/>
        <w:tabs>
          <w:tab w:val="left" w:pos="540"/>
        </w:tabs>
        <w:rPr>
          <w:rFonts w:cs="Helvetica"/>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Article 87(i) of the Law on Armed Forces Personnel establishes that: “A soldier shall be discharged for one of the following reasons: […] (i) </w:t>
      </w:r>
      <w:r w:rsidRPr="00CE23AE">
        <w:rPr>
          <w:rFonts w:cs="Helvetica"/>
          <w:szCs w:val="16"/>
          <w:lang w:val="en-US"/>
        </w:rPr>
        <w:t xml:space="preserve">for the good of the service, due to either the misconduct or professional incompetence of the soldier, characterized as such by the respective Board, pursuant to the provisions of the corresponding regulations, when he does not have a right to be placed on paid leave.” </w:t>
      </w:r>
      <w:r w:rsidRPr="00CE23AE">
        <w:rPr>
          <w:szCs w:val="16"/>
          <w:lang w:val="en-US"/>
        </w:rPr>
        <w:t>Official Record 660, Law on Armed Forces Personnel, published on April 10, 1991 (hereinafter “1991 Law on Armed Forces Personnel</w:t>
      </w:r>
      <w:r w:rsidRPr="00CE23AE">
        <w:rPr>
          <w:rFonts w:eastAsiaTheme="minorHAnsi" w:cs="TimesNewRomanPSMT"/>
          <w:szCs w:val="16"/>
          <w:lang w:val="en-US" w:eastAsia="en-US"/>
        </w:rPr>
        <w:t>”)</w:t>
      </w:r>
      <w:r w:rsidRPr="00CE23AE">
        <w:rPr>
          <w:szCs w:val="16"/>
          <w:lang w:val="en-US"/>
        </w:rPr>
        <w:t xml:space="preserve"> (evidence file, folio 2665). </w:t>
      </w:r>
    </w:p>
  </w:footnote>
  <w:footnote w:id="68">
    <w:p w14:paraId="2E5F9D34" w14:textId="61F0C36B"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1998 Military Discipline Regulations (merits file, folio 676).</w:t>
      </w:r>
    </w:p>
  </w:footnote>
  <w:footnote w:id="69">
    <w:p w14:paraId="0522EED7" w14:textId="12F44A80"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Articles 78 and 87 of the 1998 Military Discipline Regulations (merits file, folios 671 and 672).</w:t>
      </w:r>
    </w:p>
  </w:footnote>
  <w:footnote w:id="70">
    <w:p w14:paraId="283167E1" w14:textId="70802560" w:rsidR="00673461" w:rsidRPr="00CE23AE" w:rsidRDefault="00673461" w:rsidP="007B1AC9">
      <w:pPr>
        <w:pStyle w:val="Textonotapie"/>
        <w:tabs>
          <w:tab w:val="left" w:pos="540"/>
        </w:tabs>
        <w:rPr>
          <w:rFonts w:eastAsiaTheme="minorHAnsi" w:cs="TimesNewRomanPSMT"/>
          <w:szCs w:val="16"/>
          <w:lang w:val="en-US" w:eastAsia="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Ruling of the Court of Law of the Fourth Military Zone of January 19, 2001 (evidence file, folio 2581). According to the information available and the date on which the summary inquiry to investigate Mr. Flore Freire was conducted, it is clear that the norm applied in this case was the Regulations for Processing Summary Inquiries of the Armed Forces, contained in Ministerial Decision 1046, published in Ministerial Order No. 01 of January 1, 1994 (hereinafter “</w:t>
      </w:r>
      <w:r w:rsidRPr="00CE23AE">
        <w:rPr>
          <w:rFonts w:eastAsiaTheme="minorHAnsi" w:cs="TimesNewRomanPSMT"/>
          <w:szCs w:val="16"/>
          <w:lang w:val="en-US" w:eastAsia="en-US"/>
        </w:rPr>
        <w:t>1994 Regulations for Processing Summary Inquiries”)</w:t>
      </w:r>
      <w:r w:rsidRPr="00CE23AE">
        <w:rPr>
          <w:szCs w:val="16"/>
          <w:lang w:val="en-US"/>
        </w:rPr>
        <w:t xml:space="preserve"> (evidence file, folio 1443)</w:t>
      </w:r>
      <w:r w:rsidRPr="00CE23AE">
        <w:rPr>
          <w:rFonts w:eastAsiaTheme="minorHAnsi" w:cs="TimesNewRomanPSMT"/>
          <w:szCs w:val="16"/>
          <w:lang w:val="en-US" w:eastAsia="en-US"/>
        </w:rPr>
        <w:t>. These Regulations were subsequently substituted by new Regulations for Processing Summary Inquiries</w:t>
      </w:r>
      <w:r w:rsidRPr="00CE23AE">
        <w:rPr>
          <w:szCs w:val="16"/>
          <w:lang w:val="en-US"/>
        </w:rPr>
        <w:t xml:space="preserve"> adopted by Decision No. 1088 of the Minister of National Defense and published in Ministerial Order No. 200 of October 20, 2002 (evidence file, folios 1430 to 1432).</w:t>
      </w:r>
    </w:p>
  </w:footnote>
  <w:footnote w:id="71">
    <w:p w14:paraId="0A6AD7F1" w14:textId="4E62E8E2"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2 of the 1994 Regulations for Processing Summary Inquiries (evidence file, folio 1443)</w:t>
      </w:r>
      <w:r w:rsidRPr="00CE23AE">
        <w:rPr>
          <w:rFonts w:eastAsiaTheme="minorHAnsi" w:cs="TimesNewRomanPSMT"/>
          <w:szCs w:val="16"/>
          <w:lang w:val="en-US" w:eastAsia="en-US"/>
        </w:rPr>
        <w:t xml:space="preserve">. </w:t>
      </w:r>
    </w:p>
  </w:footnote>
  <w:footnote w:id="72">
    <w:p w14:paraId="3FEAEAAE" w14:textId="7E1596E3" w:rsidR="00673461" w:rsidRPr="00CE23AE" w:rsidRDefault="00673461" w:rsidP="007B1AC9">
      <w:pPr>
        <w:widowControl/>
        <w:tabs>
          <w:tab w:val="left" w:pos="540"/>
        </w:tabs>
        <w:autoSpaceDE w:val="0"/>
        <w:autoSpaceDN w:val="0"/>
        <w:spacing w:before="120" w:after="120" w:line="240" w:lineRule="auto"/>
        <w:textAlignment w:val="auto"/>
        <w:rPr>
          <w:rFonts w:eastAsiaTheme="minorHAnsi" w:cs="TimesNewRomanPSMT"/>
          <w:sz w:val="16"/>
          <w:szCs w:val="16"/>
          <w:lang w:val="en-US" w:eastAsia="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t>Article 36(b) of the Organic Law of the Armed Forces Justice Service established: “The following are the attributes and obligations of the investigating judges within their respective territorial circumscription: […] (</w:t>
      </w:r>
      <w:r w:rsidRPr="00CE23AE">
        <w:rPr>
          <w:rFonts w:eastAsiaTheme="minorHAnsi" w:cs="TimesNewRomanPSMT"/>
          <w:sz w:val="16"/>
          <w:szCs w:val="16"/>
          <w:lang w:val="en-US" w:eastAsia="en-US"/>
        </w:rPr>
        <w:t xml:space="preserve">b) To process the </w:t>
      </w:r>
      <w:r w:rsidRPr="00CE23AE">
        <w:rPr>
          <w:sz w:val="16"/>
          <w:szCs w:val="16"/>
          <w:lang w:val="en-US"/>
        </w:rPr>
        <w:t>summary inquiries</w:t>
      </w:r>
      <w:r w:rsidRPr="00CE23AE">
        <w:rPr>
          <w:lang w:val="en-US"/>
        </w:rPr>
        <w:t xml:space="preserve"> </w:t>
      </w:r>
      <w:r w:rsidRPr="00CE23AE">
        <w:rPr>
          <w:rFonts w:eastAsiaTheme="minorHAnsi" w:cs="TimesNewRomanPSMT"/>
          <w:sz w:val="16"/>
          <w:szCs w:val="16"/>
          <w:lang w:val="en-US" w:eastAsia="en-US"/>
        </w:rPr>
        <w:t>entrusted to them by the Zone Commander and the preliminary investigations, procedures and other legal tasks required by the military superior officer.”</w:t>
      </w:r>
      <w:r w:rsidRPr="00CE23AE">
        <w:rPr>
          <w:sz w:val="16"/>
          <w:szCs w:val="16"/>
          <w:lang w:val="en-US"/>
        </w:rPr>
        <w:t xml:space="preserve"> Organic Law of the Armed Forces Justice Service (evidence file, folios 2484 and 2485). See also, Article 3 of the 1994 Regulations for Processing Summary Inquiries </w:t>
      </w:r>
      <w:r w:rsidRPr="00CE23AE">
        <w:rPr>
          <w:rFonts w:eastAsiaTheme="minorHAnsi" w:cs="TimesNewRomanPSMT"/>
          <w:sz w:val="16"/>
          <w:szCs w:val="16"/>
          <w:lang w:val="en-US" w:eastAsia="en-US"/>
        </w:rPr>
        <w:t>(evidence file, folios 1443 and 1444).</w:t>
      </w:r>
    </w:p>
  </w:footnote>
  <w:footnote w:id="73">
    <w:p w14:paraId="3239DC8B" w14:textId="35D8D5ED"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rFonts w:eastAsiaTheme="minorHAnsi" w:cs="TimesNewRomanPSMT"/>
          <w:szCs w:val="16"/>
          <w:lang w:val="en-US" w:eastAsia="en-US"/>
        </w:rPr>
        <w:t>Article 3 of the 1994 Regulations for Processing Summary Inquiries (evidence file, folio 1444).</w:t>
      </w:r>
    </w:p>
  </w:footnote>
  <w:footnote w:id="74">
    <w:p w14:paraId="70CE9756" w14:textId="6F4AA34A"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8 of the 1994 Regulations for Processing Summary Inquiries (evidence file, folio 1445).</w:t>
      </w:r>
    </w:p>
  </w:footnote>
  <w:footnote w:id="75">
    <w:p w14:paraId="4090AC16" w14:textId="1EF1F654"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Article 12 of the 1994 Regulations for Processing Summary Inquiries (evidence file, folio 1446).     </w:t>
      </w:r>
    </w:p>
  </w:footnote>
  <w:footnote w:id="76">
    <w:p w14:paraId="0926ACC6" w14:textId="2EA517DE"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Article 13 of the 1994 Regulations for Processing Summary Inquiries (evidence file, folio 1446).        </w:t>
      </w:r>
    </w:p>
  </w:footnote>
  <w:footnote w:id="77">
    <w:p w14:paraId="2BBEE72C" w14:textId="7AEF049C"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rFonts w:eastAsiaTheme="minorHAnsi" w:cs="TimesNewRomanPSMT"/>
          <w:szCs w:val="16"/>
          <w:lang w:val="en-US" w:eastAsia="en-US"/>
        </w:rPr>
        <w:t>Article 21 of the 1994 Regulations for Processing Summary Inquiries (evidence file, folio 1448).</w:t>
      </w:r>
    </w:p>
  </w:footnote>
  <w:footnote w:id="78">
    <w:p w14:paraId="55B74226" w14:textId="535D9D0D"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Article 22.4 of the 1994 Regulations for Processing Summary Inquiries (evidence file, folio 1448). </w:t>
      </w:r>
    </w:p>
  </w:footnote>
  <w:footnote w:id="79">
    <w:p w14:paraId="72718A5D" w14:textId="591C457D"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rFonts w:eastAsiaTheme="minorHAnsi" w:cs="TimesNewRomanPSMT"/>
          <w:szCs w:val="16"/>
          <w:lang w:val="en-US" w:eastAsia="en-US"/>
        </w:rPr>
        <w:t>Article 23 of the 1994 Regulations for Processing Summary Inquiries (evidence file, folio 1448).</w:t>
      </w:r>
    </w:p>
  </w:footnote>
  <w:footnote w:id="80">
    <w:p w14:paraId="08D5F478" w14:textId="77C50BED"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Article 24 of the 1994 Regulations for Processing Summary Inquiries (evidence file, folio 1449). </w:t>
      </w:r>
    </w:p>
  </w:footnote>
  <w:footnote w:id="81">
    <w:p w14:paraId="13105B9D" w14:textId="66531C3C"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rFonts w:eastAsiaTheme="minorHAnsi" w:cs="TimesNewRomanPSMT"/>
          <w:szCs w:val="16"/>
          <w:lang w:val="en-US" w:eastAsia="en-US"/>
        </w:rPr>
        <w:t>Article 25 of the 1994 Regulations for Processing Summary Inquiries (evidence file, folio 1449).</w:t>
      </w:r>
    </w:p>
  </w:footnote>
  <w:footnote w:id="82">
    <w:p w14:paraId="75975C77" w14:textId="45A9BA79" w:rsidR="00673461" w:rsidRPr="00CE23AE" w:rsidRDefault="00673461" w:rsidP="007B1AC9">
      <w:pPr>
        <w:pStyle w:val="Textonotapie"/>
        <w:tabs>
          <w:tab w:val="left" w:pos="540"/>
        </w:tabs>
        <w:rPr>
          <w:rFonts w:eastAsiaTheme="minorHAnsi" w:cs="TimesNewRomanPSMT"/>
          <w:szCs w:val="16"/>
          <w:lang w:val="en-US" w:eastAsia="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Article 29 of the 1994 Regulations for Processing Summary Inquiries </w:t>
      </w:r>
      <w:r w:rsidRPr="00CE23AE">
        <w:rPr>
          <w:rFonts w:eastAsiaTheme="minorHAnsi" w:cs="TimesNewRomanPSMT"/>
          <w:szCs w:val="16"/>
          <w:lang w:val="en-US" w:eastAsia="en-US"/>
        </w:rPr>
        <w:t xml:space="preserve">established that </w:t>
      </w:r>
      <w:r w:rsidRPr="00CE23AE">
        <w:rPr>
          <w:szCs w:val="16"/>
          <w:lang w:val="en-US"/>
        </w:rPr>
        <w:t xml:space="preserve">“[t]he decision issued by the Zone or Brigade Commander may be appealed by the interested party, within thirty days of its issue.” Also, Article 4 of these regulations established that when “the content [of these decisions] is strictly disciplinary for sanctions corresponding to </w:t>
      </w:r>
      <w:r w:rsidRPr="00CE23AE">
        <w:rPr>
          <w:rFonts w:eastAsiaTheme="minorHAnsi" w:cs="TimesNewRomanPSMT"/>
          <w:szCs w:val="16"/>
          <w:lang w:val="en-US" w:eastAsia="en-US"/>
        </w:rPr>
        <w:t xml:space="preserve">offenses with criminal intent or that signify a change in the professional situation of the member of the Armed Forces, such as those that </w:t>
      </w:r>
      <w:r w:rsidRPr="00CE23AE">
        <w:rPr>
          <w:lang w:val="en-US"/>
        </w:rPr>
        <w:t xml:space="preserve">contain discharge, paid leave, or dismissals recommendations, that must be examined by the respective Boards, they may be contested, following the procedures indicated in </w:t>
      </w:r>
      <w:r w:rsidRPr="00CE23AE">
        <w:rPr>
          <w:rFonts w:eastAsiaTheme="minorHAnsi" w:cs="TimesNewRomanPSMT"/>
          <w:szCs w:val="16"/>
          <w:lang w:val="en-US" w:eastAsia="en-US"/>
        </w:rPr>
        <w:t xml:space="preserve">Art. 200 of the Law on Armed Forces Personnel.” 1994 Regulations for Processing Summary Inquiries (evidence file, folios 1444 and 1449). Article 201 of the 1991 Law on Armed Forces Personnel established that “[t]he soldier who is placed on paid leave or passive service or discharged, and considers that this decision is unlawful, may file his complaint before the respective Board within forty-five calendar days of the decision being published in the corresponding general order, decree or resolution. The boards shall decide the complaints filed within thirty days.” 1991 </w:t>
      </w:r>
      <w:r w:rsidRPr="00CE23AE">
        <w:rPr>
          <w:szCs w:val="16"/>
          <w:lang w:val="en-US"/>
        </w:rPr>
        <w:t>Law on Armed Forces Personnel (evidence file, folio 2670).</w:t>
      </w:r>
    </w:p>
  </w:footnote>
  <w:footnote w:id="83">
    <w:p w14:paraId="4AC3378B" w14:textId="746D5DC1" w:rsidR="00673461" w:rsidRPr="00CE23AE" w:rsidRDefault="00673461" w:rsidP="0068143D">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74 of the Law on Armed Forces Personnel: “Being placed on paid leave (</w:t>
      </w:r>
      <w:r w:rsidRPr="00CE23AE">
        <w:rPr>
          <w:i/>
          <w:iCs/>
          <w:szCs w:val="16"/>
          <w:lang w:val="en-US"/>
        </w:rPr>
        <w:t>disponibilidad</w:t>
      </w:r>
      <w:r w:rsidRPr="00CE23AE">
        <w:rPr>
          <w:szCs w:val="16"/>
          <w:lang w:val="en-US"/>
        </w:rPr>
        <w:t>) is the transitory situation in which a soldier is placed, without a command and without any effective position, but without excluding him from the ranks of the permanent Armed Forces, until his discharge is published. This situation means that there is a vacancy in the institution.” Article 86: “Discharge (</w:t>
      </w:r>
      <w:r w:rsidRPr="00CE23AE">
        <w:rPr>
          <w:i/>
          <w:iCs/>
          <w:szCs w:val="16"/>
          <w:lang w:val="en-US"/>
        </w:rPr>
        <w:t>baja</w:t>
      </w:r>
      <w:r w:rsidRPr="00CE23AE">
        <w:rPr>
          <w:szCs w:val="16"/>
          <w:lang w:val="en-US"/>
        </w:rPr>
        <w:t xml:space="preserve">) is the administrative act ordered by the competent authority requiring the soldier’s separation from the permanent Armed Forces, placing him on passive service.” Article 84: “Passive service is the situation of the soldier, owing to his discharge, who does not lose his rank but ceases to belong to the units of the permanent Armed Forces and enters the reserve ranks of the respective Force.” 1991 Law on Armed Forces Personnel (evidence file, folio 2665). </w:t>
      </w:r>
    </w:p>
  </w:footnote>
  <w:footnote w:id="84">
    <w:p w14:paraId="3E36A224" w14:textId="791B0FFD" w:rsidR="00673461" w:rsidRPr="00CE23AE" w:rsidRDefault="00673461" w:rsidP="0068143D">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The Junior and Senior Officers Boards are responsible for regulating the career and professional situation of the junior and senior officers of each Force, subject to the Law on Armed Forces Personnel and the regulatory provisions. In addition, it is for each Board to classify the misconduct, so that the junior or senior office is either placed on paid leave or discharged for the good of the service. </w:t>
      </w:r>
      <w:r w:rsidRPr="00CE23AE">
        <w:rPr>
          <w:i/>
          <w:szCs w:val="16"/>
          <w:lang w:val="en-US"/>
        </w:rPr>
        <w:t>Cf.</w:t>
      </w:r>
      <w:r w:rsidRPr="00CE23AE">
        <w:rPr>
          <w:szCs w:val="16"/>
          <w:lang w:val="en-US"/>
        </w:rPr>
        <w:t xml:space="preserve"> Articles 1 and 6(r) of the Regulations for the Junior and Senior Army Officers Boards, as amended in the temporal framework applicable to this case by Ministerial Decision No. 796, published in Ministerial General Order No. 141 of July 29, 1991 (hereinafter “1991 Regulations for the Junior and Senior Army Officers Boards) (merits file, folios 695 and 696). See also, Article 127(2) of the 1998 Military Discipline Regulations (merits file, folio 677).</w:t>
      </w:r>
    </w:p>
  </w:footnote>
  <w:footnote w:id="85">
    <w:p w14:paraId="50F72654" w14:textId="682675BA" w:rsidR="00673461" w:rsidRPr="00CE23AE" w:rsidRDefault="00673461" w:rsidP="0068143D">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According to article 18 of the Law on Armed Forces Personnel, a lieutenant is a junior officer (evidence file, folios 2662 and 2663).</w:t>
      </w:r>
    </w:p>
  </w:footnote>
  <w:footnote w:id="86">
    <w:p w14:paraId="348649E5" w14:textId="4D440E4F" w:rsidR="00673461" w:rsidRPr="00CE23AE" w:rsidRDefault="00673461" w:rsidP="0068143D">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Articles 7, 74 and 81 of the 1991 Regulations for the Junior and Senior Army Officers Boards (merits file, folios 696, 703 and 704).</w:t>
      </w:r>
    </w:p>
  </w:footnote>
  <w:footnote w:id="87">
    <w:p w14:paraId="1592A9C2" w14:textId="41D96381" w:rsidR="00673461" w:rsidRPr="00CE23AE" w:rsidRDefault="00673461" w:rsidP="0068143D">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Memorandum No. 200159-IV-DE-1 of November 20, 2001, of the Commander of the Fourth Military Zone, “Amazonas” Division (evidence file, folio 1452). </w:t>
      </w:r>
    </w:p>
  </w:footnote>
  <w:footnote w:id="88">
    <w:p w14:paraId="36873A2A" w14:textId="49C0A80F" w:rsidR="00673461" w:rsidRPr="00CE23AE" w:rsidRDefault="00673461" w:rsidP="0068143D">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Memorandum No. 200070-IV-DE-JM-1 issued on November 22, 2000, by the Commander of the Fourth Zone and addressed to the First Criminal Judge of the Fourth Military Zone (evidence file, folio 1291). </w:t>
      </w:r>
    </w:p>
  </w:footnote>
  <w:footnote w:id="89">
    <w:p w14:paraId="7CCF2A0E" w14:textId="7ADD44E1" w:rsidR="00673461" w:rsidRPr="00CE23AE" w:rsidRDefault="00673461" w:rsidP="0068143D">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Order to open the summary inquiry No. 20-2000-IV-DE-JM-1 issued by the First Criminal Court of the Fourth Military Zone on November 22, 2000 (evidence file, folios 1453 and 1454). </w:t>
      </w:r>
    </w:p>
  </w:footnote>
  <w:footnote w:id="90">
    <w:p w14:paraId="328D6242" w14:textId="458D8A6C" w:rsidR="00673461" w:rsidRPr="00CE23AE" w:rsidRDefault="00673461" w:rsidP="0068143D">
      <w:pPr>
        <w:pStyle w:val="Textonotapie"/>
        <w:tabs>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Briefs addressed to the First Criminal Judge of the Court of the Fourth Zone of Amazonas by Mr. Flor Freire (evidence file, folios 1455 to 1459). </w:t>
      </w:r>
    </w:p>
  </w:footnote>
  <w:footnote w:id="91">
    <w:p w14:paraId="74FF4B86" w14:textId="53E155FD" w:rsidR="00673461" w:rsidRPr="00CE23AE" w:rsidRDefault="00673461" w:rsidP="0068143D">
      <w:pPr>
        <w:pStyle w:val="Textonotapie"/>
        <w:tabs>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November 22, 2000, issued by the First Criminal Court of the Fourth Military Zone (evidence file, folio 1461).</w:t>
      </w:r>
    </w:p>
  </w:footnote>
  <w:footnote w:id="92">
    <w:p w14:paraId="010153D0" w14:textId="10C7B014" w:rsidR="00673461" w:rsidRPr="00CE23AE" w:rsidRDefault="00673461" w:rsidP="0068143D">
      <w:pPr>
        <w:pStyle w:val="Textonotapie"/>
        <w:tabs>
          <w:tab w:val="left" w:pos="567"/>
        </w:tabs>
        <w:rPr>
          <w:rFonts w:eastAsia="Calibri"/>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First Criminal Court </w:t>
      </w:r>
      <w:r w:rsidRPr="00CE23AE">
        <w:rPr>
          <w:rFonts w:eastAsia="Calibri"/>
          <w:szCs w:val="16"/>
          <w:lang w:val="en-US"/>
        </w:rPr>
        <w:t xml:space="preserve">of the Fourth Military Zone, Notification to Mr. Flore Freire of November 22, 2000 </w:t>
      </w:r>
      <w:r w:rsidRPr="00CE23AE">
        <w:rPr>
          <w:szCs w:val="16"/>
          <w:lang w:val="en-US"/>
        </w:rPr>
        <w:t>(evidence file, folio 2547), and Order</w:t>
      </w:r>
      <w:r w:rsidRPr="00CE23AE">
        <w:rPr>
          <w:rFonts w:eastAsia="Calibri"/>
          <w:szCs w:val="16"/>
          <w:lang w:val="en-US"/>
        </w:rPr>
        <w:t xml:space="preserve"> issued by the First Criminal Court of the Fourth Military Zone on November 23, 2000 </w:t>
      </w:r>
      <w:r w:rsidRPr="00CE23AE">
        <w:rPr>
          <w:szCs w:val="16"/>
          <w:lang w:val="en-US"/>
        </w:rPr>
        <w:t>(evidence file, folio 2549).</w:t>
      </w:r>
    </w:p>
  </w:footnote>
  <w:footnote w:id="93">
    <w:p w14:paraId="2AF8F6E8" w14:textId="43C28416" w:rsidR="00673461" w:rsidRPr="00CE23AE" w:rsidRDefault="00673461" w:rsidP="0068143D">
      <w:pPr>
        <w:pStyle w:val="Textonotapie"/>
        <w:tabs>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rFonts w:eastAsia="Calibri"/>
          <w:szCs w:val="16"/>
          <w:lang w:val="en-US"/>
        </w:rPr>
        <w:t xml:space="preserve">Unsworn statement of Homero Flor Freire before the First Criminal Judge of the Fourth Military Zone on November 24, 2000 </w:t>
      </w:r>
      <w:r w:rsidRPr="00CE23AE">
        <w:rPr>
          <w:szCs w:val="16"/>
          <w:lang w:val="en-US"/>
        </w:rPr>
        <w:t>(evidence file, folios 2551 to 2557).</w:t>
      </w:r>
    </w:p>
  </w:footnote>
  <w:footnote w:id="94">
    <w:p w14:paraId="2C24D96E" w14:textId="6A3729DA" w:rsidR="00673461" w:rsidRPr="00CE23AE" w:rsidRDefault="00673461" w:rsidP="0068143D">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rFonts w:eastAsia="Calibri"/>
          <w:szCs w:val="16"/>
          <w:lang w:val="en-US"/>
        </w:rPr>
        <w:t xml:space="preserve">Unsworn statement of Homero Flor Freire before the First Criminal Judge of the Fourth Military Zone on November 24, 2000 </w:t>
      </w:r>
      <w:r w:rsidRPr="00CE23AE">
        <w:rPr>
          <w:szCs w:val="16"/>
          <w:lang w:val="en-US"/>
        </w:rPr>
        <w:t>(evidence file, folios 2551 to 2557).</w:t>
      </w:r>
    </w:p>
  </w:footnote>
  <w:footnote w:id="95">
    <w:p w14:paraId="1CB62A51" w14:textId="762C3209" w:rsidR="00673461" w:rsidRPr="00CE23AE" w:rsidRDefault="00673461" w:rsidP="0068143D">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Memorandum 200187-IV-DE-1 of the Commander of the Fourth Military Zone of Amazonas, of December 13, 2000 (evidence file, folio 19).</w:t>
      </w:r>
    </w:p>
  </w:footnote>
  <w:footnote w:id="96">
    <w:p w14:paraId="13821CFD" w14:textId="63932F8C" w:rsidR="00673461" w:rsidRPr="00CE23AE" w:rsidRDefault="00673461" w:rsidP="0068143D">
      <w:pPr>
        <w:pStyle w:val="Textonotapie"/>
        <w:tabs>
          <w:tab w:val="left" w:pos="540"/>
        </w:tabs>
        <w:rPr>
          <w:rFonts w:eastAsia="Calibri"/>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rFonts w:eastAsia="Calibri"/>
          <w:szCs w:val="16"/>
          <w:lang w:val="en-US"/>
        </w:rPr>
        <w:t xml:space="preserve">Order issued by the First Criminal Court of the Fourth Military Zone on December 21, 2000 </w:t>
      </w:r>
      <w:r w:rsidRPr="00CE23AE">
        <w:rPr>
          <w:szCs w:val="16"/>
          <w:lang w:val="en-US"/>
        </w:rPr>
        <w:t>(evidence file, folio 2559).</w:t>
      </w:r>
    </w:p>
  </w:footnote>
  <w:footnote w:id="97">
    <w:p w14:paraId="02DC0F2A" w14:textId="77777777" w:rsidR="00673461" w:rsidRPr="00CE23AE" w:rsidRDefault="00673461" w:rsidP="0068143D">
      <w:pPr>
        <w:pStyle w:val="Textonotapie"/>
        <w:tabs>
          <w:tab w:val="left" w:pos="540"/>
        </w:tabs>
        <w:rPr>
          <w:rFonts w:eastAsia="Calibri"/>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Opinion of the Military Prosecutor of December 28,</w:t>
      </w:r>
      <w:r w:rsidRPr="00CE23AE">
        <w:rPr>
          <w:rFonts w:eastAsia="Calibri"/>
          <w:szCs w:val="16"/>
          <w:lang w:val="en-US"/>
        </w:rPr>
        <w:t xml:space="preserve"> 2000 </w:t>
      </w:r>
      <w:r w:rsidRPr="00CE23AE">
        <w:rPr>
          <w:szCs w:val="16"/>
          <w:lang w:val="en-US"/>
        </w:rPr>
        <w:t>(evidence file, folio 2570).</w:t>
      </w:r>
    </w:p>
  </w:footnote>
  <w:footnote w:id="98">
    <w:p w14:paraId="44B33049" w14:textId="4012B2C4" w:rsidR="00673461" w:rsidRPr="00CE23AE" w:rsidRDefault="00673461" w:rsidP="0068143D">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Draft ruling signed by the First Criminal Judge on January 9, 2001 (evidence file, folio 2579)</w:t>
      </w:r>
    </w:p>
  </w:footnote>
  <w:footnote w:id="99">
    <w:p w14:paraId="2950432A" w14:textId="5EB7F85C" w:rsidR="00673461" w:rsidRPr="00CE23AE" w:rsidRDefault="00673461" w:rsidP="0068143D">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the Court of Law of the Fourth Military Zone on January 19, 2001 (evidence file, folios 2581 to 2588)</w:t>
      </w:r>
    </w:p>
  </w:footnote>
  <w:footnote w:id="100">
    <w:p w14:paraId="1B8F67A4" w14:textId="21DE7B3C" w:rsidR="00673461" w:rsidRPr="00CE23AE" w:rsidRDefault="00673461" w:rsidP="0068143D">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the Court of Law of the Fourth Military Zone on January 19, 2001 (evidence file, folio 2588).</w:t>
      </w:r>
    </w:p>
  </w:footnote>
  <w:footnote w:id="101">
    <w:p w14:paraId="6787AF48" w14:textId="4305824E" w:rsidR="00673461" w:rsidRPr="00CE23AE" w:rsidRDefault="00673461" w:rsidP="008B76F3">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Decision of the Court of Law of the Fourth Military Zone on January 19, 2001 (evidence file, folios 2181 to 2586).</w:t>
      </w:r>
    </w:p>
  </w:footnote>
  <w:footnote w:id="102">
    <w:p w14:paraId="5B5C398B" w14:textId="474DB26E" w:rsidR="00673461" w:rsidRPr="00CE23AE" w:rsidRDefault="00673461" w:rsidP="008B76F3">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the Court of Law of the Fourth Military Zone on January 19, 2001 (evidence file, folios 2587 and 2588).    </w:t>
      </w:r>
    </w:p>
  </w:footnote>
  <w:footnote w:id="103">
    <w:p w14:paraId="7C1861E8" w14:textId="7809D40D" w:rsidR="00673461" w:rsidRPr="00CE23AE" w:rsidRDefault="00673461" w:rsidP="008B76F3">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The Court indicated that it had proved that the said act had been committed owing to the testimony of a Colonel, a Lieutenant and a Second Lieutenant, who gave “their statements […] unequivocally and consistently.” Decision of the Court of Law of the Fourth Military Zone on January 19, 2001 (evidence file, folios 2586 and 2587).</w:t>
      </w:r>
    </w:p>
  </w:footnote>
  <w:footnote w:id="104">
    <w:p w14:paraId="4E710E5F" w14:textId="55A02A04"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Decision of the Court of Law of the Fourth Military Zone on January 19, 2001 (evidence file, folios 2587 and 2588).</w:t>
      </w:r>
    </w:p>
  </w:footnote>
  <w:footnote w:id="105">
    <w:p w14:paraId="62412D8C" w14:textId="3DD86F88" w:rsidR="00673461" w:rsidRPr="00CE23AE" w:rsidRDefault="00673461" w:rsidP="00DD1BDA">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Decision of the Court of Law of the Fourth Military Zone on January 19, 2001 (evidence file, folio 2588).</w:t>
      </w:r>
    </w:p>
  </w:footnote>
  <w:footnote w:id="106">
    <w:p w14:paraId="797D484B" w14:textId="0CE42E8C" w:rsidR="00673461" w:rsidRPr="00CE23AE" w:rsidRDefault="00673461" w:rsidP="00DD1BDA">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the Court of Law of the Fourth Military Zone on January 19, 2001 (evidence file, folio 2588). </w:t>
      </w:r>
    </w:p>
  </w:footnote>
  <w:footnote w:id="107">
    <w:p w14:paraId="564B6FCA" w14:textId="63DC2763" w:rsidR="00673461" w:rsidRPr="00CE23AE" w:rsidRDefault="00673461" w:rsidP="00DD1BDA">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Appeal filed by Mr. Flor Freire before the Judge of the Fourth Military Zone on January 18, 2001 (evidence file, folio 1486).</w:t>
      </w:r>
    </w:p>
  </w:footnote>
  <w:footnote w:id="108">
    <w:p w14:paraId="270C6CAE" w14:textId="37D87D72" w:rsidR="00673461" w:rsidRPr="00CE23AE" w:rsidRDefault="00673461" w:rsidP="00DD1BDA">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the Court of Law of the Fourth Military Zone of January 19, 2001 (evidence file, folio 1415).</w:t>
      </w:r>
    </w:p>
  </w:footnote>
  <w:footnote w:id="109">
    <w:p w14:paraId="22B20FF3" w14:textId="39DB9BCC" w:rsidR="00673461" w:rsidRPr="00CE23AE" w:rsidRDefault="00673461" w:rsidP="00DD1BDA">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Communication </w:t>
      </w:r>
      <w:r w:rsidRPr="00CE23AE">
        <w:rPr>
          <w:rFonts w:eastAsiaTheme="minorHAnsi" w:cs="Arial"/>
          <w:szCs w:val="16"/>
          <w:lang w:val="en-US" w:eastAsia="en-US"/>
        </w:rPr>
        <w:t>No. 16-E1-KO-t-COSBFT-148 of June 7, 2016, of the</w:t>
      </w:r>
      <w:r w:rsidRPr="00CE23AE">
        <w:rPr>
          <w:szCs w:val="16"/>
          <w:lang w:val="en-US"/>
        </w:rPr>
        <w:t xml:space="preserve"> Secretary of the Junior Officers Board</w:t>
      </w:r>
      <w:r w:rsidRPr="00CE23AE">
        <w:rPr>
          <w:rFonts w:eastAsiaTheme="minorHAnsi" w:cs="Arial"/>
          <w:szCs w:val="16"/>
          <w:lang w:val="en-US" w:eastAsia="en-US"/>
        </w:rPr>
        <w:t xml:space="preserve"> addressed to the Commander General of the Armed Forces (evidence file, folios 3514 and 3515).</w:t>
      </w:r>
    </w:p>
  </w:footnote>
  <w:footnote w:id="110">
    <w:p w14:paraId="7B2D20B7" w14:textId="73421541" w:rsidR="00673461" w:rsidRPr="00CE23AE" w:rsidRDefault="00673461" w:rsidP="00DD1BDA">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Memorandum No. 2001-06-COSB of the Junior Officers Board of May 7, 2001 (evidence file, folio 21). According to the Regulations for the Officers Boards, minutes must be kept of the meetings of these boards. However, these minutes do not form part of the summary inquiry procedure; rather the decisions taken are notified by memorandum as verified in this case. </w:t>
      </w:r>
      <w:r w:rsidRPr="00CE23AE">
        <w:rPr>
          <w:i/>
          <w:szCs w:val="16"/>
          <w:lang w:val="en-US"/>
        </w:rPr>
        <w:t>Cf.</w:t>
      </w:r>
      <w:r w:rsidRPr="00CE23AE">
        <w:rPr>
          <w:szCs w:val="16"/>
          <w:lang w:val="en-US"/>
        </w:rPr>
        <w:t xml:space="preserve"> Communication </w:t>
      </w:r>
      <w:r w:rsidRPr="00CE23AE">
        <w:rPr>
          <w:rFonts w:eastAsiaTheme="minorHAnsi" w:cs="Arial"/>
          <w:szCs w:val="16"/>
          <w:lang w:val="en-US" w:eastAsia="en-US"/>
        </w:rPr>
        <w:t xml:space="preserve">No. 16-E1-KO-t-COSBFT-148 of June 7, 2016, </w:t>
      </w:r>
      <w:r w:rsidRPr="00CE23AE">
        <w:rPr>
          <w:szCs w:val="16"/>
          <w:lang w:val="en-US"/>
        </w:rPr>
        <w:t>of the Secretary of the Junior Officers Board</w:t>
      </w:r>
      <w:r w:rsidRPr="00CE23AE">
        <w:rPr>
          <w:rFonts w:eastAsiaTheme="minorHAnsi" w:cs="Arial"/>
          <w:szCs w:val="16"/>
          <w:lang w:val="en-US" w:eastAsia="en-US"/>
        </w:rPr>
        <w:t xml:space="preserve"> addressed to the Commander General of the Armed Forces (evidence file, folio 3515), and </w:t>
      </w:r>
      <w:r w:rsidRPr="00CE23AE">
        <w:rPr>
          <w:szCs w:val="16"/>
          <w:lang w:val="en-US"/>
        </w:rPr>
        <w:t>1991 Regulations for the Junior and Senior Army Officers Boards (merits file, folios 700 and 701). Furthermore, according to the Law on Armed Forces Personnel, being placed on paid leave “is the transitory situation in which a soldier is placed, without a command and without any effective position, but without excluding him from the ranks of the permanent Armed Forces, until his discharge is published.” The said law also established that “the soldier shall have the right to up to six months on paid leave, if he has been on uninterrupted active service for at least five years, and may renounce either all or part of this time and request his immediate discharge.” Articles 74 and 75</w:t>
      </w:r>
      <w:r w:rsidRPr="00CE23AE">
        <w:rPr>
          <w:i/>
          <w:szCs w:val="16"/>
          <w:lang w:val="en-US"/>
        </w:rPr>
        <w:t xml:space="preserve"> </w:t>
      </w:r>
      <w:r w:rsidRPr="00CE23AE">
        <w:rPr>
          <w:iCs/>
          <w:szCs w:val="16"/>
          <w:lang w:val="en-US"/>
        </w:rPr>
        <w:t>of the 1991 Law on</w:t>
      </w:r>
      <w:r w:rsidRPr="00CE23AE">
        <w:rPr>
          <w:szCs w:val="16"/>
          <w:lang w:val="en-US"/>
        </w:rPr>
        <w:t xml:space="preserve"> Armed Forces Personnel (evidence file, folio 2665).</w:t>
      </w:r>
    </w:p>
  </w:footnote>
  <w:footnote w:id="111">
    <w:p w14:paraId="0D4CF65C" w14:textId="4BE66C9E"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Memorandum No. 2001-06-COSB of the Junior Officers Board of the Ground Forces of May 7, 2001 (evidence file, folio 21).</w:t>
      </w:r>
    </w:p>
  </w:footnote>
  <w:footnote w:id="112">
    <w:p w14:paraId="5C93CDDC" w14:textId="504A6926"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Request for reconsideration filed by Mr. Flor Freire before the Commander of the Ground Forces, of May 8, 2001 (evidence file, folio 23).</w:t>
      </w:r>
    </w:p>
  </w:footnote>
  <w:footnote w:id="113">
    <w:p w14:paraId="2D4D51BB" w14:textId="085307D6"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Request for reconsideration filed by Mr. Flor Freire before the Commander of the Ground Forces, of May 8, 2001 (evidence file, folio 23).</w:t>
      </w:r>
    </w:p>
  </w:footnote>
  <w:footnote w:id="114">
    <w:p w14:paraId="0A45407D" w14:textId="182866A4"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This decision was notified to Mr. Flor Freire on June 5, 2001. </w:t>
      </w:r>
      <w:r w:rsidRPr="00CE23AE">
        <w:rPr>
          <w:i/>
          <w:szCs w:val="16"/>
          <w:lang w:val="en-US"/>
        </w:rPr>
        <w:t>Cf.</w:t>
      </w:r>
      <w:r w:rsidRPr="00CE23AE">
        <w:rPr>
          <w:szCs w:val="16"/>
          <w:lang w:val="en-US"/>
        </w:rPr>
        <w:t xml:space="preserve"> Memorandum No. 2001-10-COSB of the Junior Officers Board of the Ground Forces, of June 5, 2001 (evidence file, folio 26). </w:t>
      </w:r>
    </w:p>
  </w:footnote>
  <w:footnote w:id="115">
    <w:p w14:paraId="1DC7AED0" w14:textId="418C1F45"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the Senior Officers Board deciding the appeal. Memorandum No. 210090-COSFT, of July 18, 2001 (evidence file, folio 28).</w:t>
      </w:r>
    </w:p>
  </w:footnote>
  <w:footnote w:id="116">
    <w:p w14:paraId="108A2C45" w14:textId="7675DB0D"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Memorandum No. 210087-COSFT of the Secretary of the Senior Officers Board summoning Homero Flor Freire to appear before the General Committee, and Text of the statement made by Mr. Flor Freire on July 17, 2001 (evidence file, folios 2153 to 2161).</w:t>
      </w:r>
    </w:p>
  </w:footnote>
  <w:footnote w:id="117">
    <w:p w14:paraId="1FD10A37" w14:textId="226165C1"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the Senior Officers Board deciding the appeal. Memorandum No. 210090-COSFT, of July 18, 2001 (evidence file, folio 28). This decision was notified to Mr. Flor Freire the same day.</w:t>
      </w:r>
    </w:p>
  </w:footnote>
  <w:footnote w:id="118">
    <w:p w14:paraId="52E69D88" w14:textId="450B3CAC"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Application for constitutional amparo filed by Mr. Flor Freire with the Sixth Civil Court of Pichincha on January 23, 2001 (evidence file, folios 12 to 17).</w:t>
      </w:r>
    </w:p>
  </w:footnote>
  <w:footnote w:id="119">
    <w:p w14:paraId="74365853" w14:textId="2E00C731"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Application for constitutional amparo filed by Mr. Flor Freire with the Sixth Civil Court of Pichincha on January 23, 2001 (evidence file, folios 15 and 16), and Order of the Sixth Civil Court of Pichincha of January 29, 2001 (evidence file, folio 36).                             </w:t>
      </w:r>
    </w:p>
  </w:footnote>
  <w:footnote w:id="120">
    <w:p w14:paraId="63E753E6" w14:textId="18C48E39"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Application for constitutional amparo filed by Mr. Flor Freire with the Sixth Civil Court of Pichincha on January 23, 2001 (evidence file, folio 15).</w:t>
      </w:r>
    </w:p>
  </w:footnote>
  <w:footnote w:id="121">
    <w:p w14:paraId="3C8A8009" w14:textId="1A795D21" w:rsidR="00673461" w:rsidRPr="00CE23AE" w:rsidRDefault="00673461" w:rsidP="000366A6">
      <w:pPr>
        <w:pStyle w:val="Textonotapie"/>
        <w:tabs>
          <w:tab w:val="left" w:pos="540"/>
          <w:tab w:val="left" w:pos="567"/>
        </w:tabs>
        <w:rPr>
          <w:szCs w:val="16"/>
          <w:lang w:val="en-US"/>
        </w:rPr>
      </w:pPr>
      <w:r w:rsidRPr="00CE23AE">
        <w:rPr>
          <w:rStyle w:val="Refdenotaalpie"/>
          <w:szCs w:val="16"/>
          <w:lang w:val="en-US"/>
        </w:rPr>
        <w:footnoteRef/>
      </w:r>
      <w:r w:rsidRPr="00CE23AE">
        <w:rPr>
          <w:i/>
          <w:szCs w:val="16"/>
          <w:lang w:val="en-US"/>
        </w:rPr>
        <w:t xml:space="preserve"> </w:t>
      </w:r>
      <w:r w:rsidRPr="00CE23AE">
        <w:rPr>
          <w:i/>
          <w:szCs w:val="16"/>
          <w:lang w:val="en-US"/>
        </w:rPr>
        <w:tab/>
        <w:t>Cf.</w:t>
      </w:r>
      <w:r w:rsidRPr="00CE23AE">
        <w:rPr>
          <w:szCs w:val="16"/>
          <w:lang w:val="en-US"/>
        </w:rPr>
        <w:t xml:space="preserve"> Application for constitutional amparo filed by Mr. Flor Freire with the Sixth Civil Court of Pichincha on January 23, 2001 (evidence file, folios 12 and 15).</w:t>
      </w:r>
    </w:p>
  </w:footnote>
  <w:footnote w:id="122">
    <w:p w14:paraId="285EBF2C" w14:textId="54DBDE32" w:rsidR="00673461" w:rsidRPr="00CE23AE" w:rsidRDefault="00673461" w:rsidP="000366A6">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Application for constitutional amparo filed by Mr. Flor Freire with the Sixth Civil Court of Pichincha on January 23, 2001 (evidence file, folio 14).</w:t>
      </w:r>
    </w:p>
  </w:footnote>
  <w:footnote w:id="123">
    <w:p w14:paraId="55D8D605" w14:textId="0C6439E6" w:rsidR="00673461" w:rsidRPr="00CE23AE" w:rsidRDefault="00673461" w:rsidP="000366A6">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Application for constitutional amparo filed by Mr. Flor Freire with the Sixth Civil Court of Pichincha on January 23, 2001 (evidence file, folios 14 and 15).</w:t>
      </w:r>
    </w:p>
  </w:footnote>
  <w:footnote w:id="124">
    <w:p w14:paraId="7A977240" w14:textId="6B8A5AFC" w:rsidR="00673461" w:rsidRPr="00CE23AE" w:rsidRDefault="00673461" w:rsidP="000366A6">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Brief filed by Homero Flor with the Sixth Civil Court of Pichincha of February 6, 2001 (evidence file, folio 32).</w:t>
      </w:r>
    </w:p>
  </w:footnote>
  <w:footnote w:id="125">
    <w:p w14:paraId="1F070BCB" w14:textId="7FD2DCA9" w:rsidR="00673461" w:rsidRPr="00CE23AE" w:rsidRDefault="00673461" w:rsidP="000366A6">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Order of the Sixth Civil Court of Pichincha of January 29, 2001 (evidence file, folio 36).</w:t>
      </w:r>
    </w:p>
  </w:footnote>
  <w:footnote w:id="126">
    <w:p w14:paraId="6C5C3F0A" w14:textId="55066635" w:rsidR="00673461" w:rsidRPr="00CE23AE" w:rsidRDefault="00673461" w:rsidP="000366A6">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Order of the Sixth Civil Court of Pichincha of January 29, 2001 (evidence file, folio 36), and minutes of hearing before the Sixth Civil Court of Pichincha of February 5, 2001 (evidence file, folios 38 and 39).</w:t>
      </w:r>
    </w:p>
  </w:footnote>
  <w:footnote w:id="127">
    <w:p w14:paraId="29EB49BC" w14:textId="08BFFA22" w:rsidR="00673461" w:rsidRPr="00CE23AE" w:rsidRDefault="00673461" w:rsidP="000366A6">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Minutes of hearing before the Sixth Civil Court of Pichincha, of February 5, 2001 (evidence file, folios 38 and 39); brief addressed to the Sixth Civil Court of Pichincha by the Minister of National Defense dated February 8, 2001 (evidence file, folio 41); brief addressed to the Sixth Civil Court of Pichincha by the Legal Adviser to the President dated February 6, 2001 (evidence file, folios 44 to 48); brief addressed to the Sixth Civil Court of Pichincha by the delegate of the Attorney General dated February 6, 2001 (evidence file, folios 49 to 51), and brief addressed to the Sixth Civil Court of Pichincha by the lawyer of the Legal Services Department of the General Command of the Ground Forces (evidence file, folios 523 to 527). </w:t>
      </w:r>
    </w:p>
  </w:footnote>
  <w:footnote w:id="128">
    <w:p w14:paraId="427888BD" w14:textId="08B6FD09" w:rsidR="00673461" w:rsidRPr="00CE23AE" w:rsidRDefault="00673461" w:rsidP="000366A6">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Brief addressed to the Sixth Civil Court of Pichincha by the Legal Adviser to the President dated February 6, 2001 (evidence file, folios 44 to 46). The Legal Adviser to the President of the Republic also argued that the fact that, at that time, Homero Flor Freire had been placed on paid leave, pursuant to article 86 of the Law on Armed Forces Personnel, “did not deprive him of either his rank or salary, [but] placed him in a transitory situation until the pertinent decision was taken.” Brief addressed to the Sixth Civil Court of Pichincha by the Legal Adviser to the President dated February 6, 2001 (evidence file, folio 46).</w:t>
      </w:r>
    </w:p>
  </w:footnote>
  <w:footnote w:id="129">
    <w:p w14:paraId="25229387" w14:textId="3A309EA9"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Brief addressed to the Sixth Civil Court of Pichincha by the Legal Adviser to the President dated February 6, 2001 (evidence file, folio 47); brief addressed to the Sixth Civil Court of Pichincha by the delegate of the Attorney General of February 6, 2001 (evidence file, folio 49), and brief addressed to the Sixth Civil Court of Pichincha by the lawyer of the Legal Services Department of the General Command of the Ground Forces (evidence file, folio 525).</w:t>
      </w:r>
    </w:p>
  </w:footnote>
  <w:footnote w:id="130">
    <w:p w14:paraId="3A8265DB" w14:textId="2CE80D03"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Brief filed by Homero Flor with the Sixth Civil Court of Pichincha on February 6, 2001 (evidence file, folios 32 and 33). This request was also made during the hearing held before the Sixth Civil Court, as recorded in the minutes of the hearing before the Sixth Civil Court of Pichincha of February 5, 2001 (evidence file, folio 39).</w:t>
      </w:r>
    </w:p>
  </w:footnote>
  <w:footnote w:id="131">
    <w:p w14:paraId="378A44CC" w14:textId="1BB408CB"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Brief filed by Homero Flor with the Sixth Civil Court of Pichincha on February 15, 2001 (evidence file, folio 53), and memorandum 2000187-IV-DE-1 of the Commander of the Fourth Military Zone of December 13, 2000 (evidence file, folio 19). </w:t>
      </w:r>
    </w:p>
  </w:footnote>
  <w:footnote w:id="132">
    <w:p w14:paraId="4E7E0F77" w14:textId="1F560566"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Order of the Sixth Civil Court of Pichincha of February 23, 2001 (evidence file, folio 56).</w:t>
      </w:r>
    </w:p>
  </w:footnote>
  <w:footnote w:id="133">
    <w:p w14:paraId="55241B66" w14:textId="272221CB"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Request to annul the order of February 23, 2001, of the Sixth Civil Court of Pichincha, filed by Homero Flor on March 1, 2001 (evidence file, folio 58).</w:t>
      </w:r>
    </w:p>
  </w:footnote>
  <w:footnote w:id="134">
    <w:p w14:paraId="653C09B8" w14:textId="312868B2"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Order of the Sixth Civil Court of Pichincha of March 25, 2001 (evidence file, folio 61).</w:t>
      </w:r>
    </w:p>
  </w:footnote>
  <w:footnote w:id="135">
    <w:p w14:paraId="4B4DC6BD" w14:textId="3E83001C"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Request for urgent measures in the application for constitutional amparo before the Sixth Civil Court of Pichincha, filed by Homero Flor Freire on May 15, 2001 (evidence file, folio 63).</w:t>
      </w:r>
    </w:p>
  </w:footnote>
  <w:footnote w:id="136">
    <w:p w14:paraId="01CE13E9" w14:textId="7D2745CA"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Request filed by Homero Flor with the Sixth Civil Court of Pichincha, dated June 10, 2001 (evidence file, folio 65).</w:t>
      </w:r>
    </w:p>
  </w:footnote>
  <w:footnote w:id="137">
    <w:p w14:paraId="49579049" w14:textId="642452FA"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the Sixth Civil Court of Pichincha of July 18, 2001 (evidence file, folio 2611).</w:t>
      </w:r>
    </w:p>
  </w:footnote>
  <w:footnote w:id="138">
    <w:p w14:paraId="3F471F4E" w14:textId="14DCC5BD"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the Sixth Civil Court of Pichincha of July 18, 2001 (evidence file, folio 2610).</w:t>
      </w:r>
    </w:p>
  </w:footnote>
  <w:footnote w:id="139">
    <w:p w14:paraId="2688C48F" w14:textId="6D0EC412"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Decision of the Sixth Civil Court of Pichincha of July 18, 2001 (evidence file, folios 2610 and 2611).</w:t>
      </w:r>
    </w:p>
  </w:footnote>
  <w:footnote w:id="140">
    <w:p w14:paraId="67E977E4" w14:textId="03C384BF"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Decision of the Sixth Civil Court of Pichincha of July 18, 2001 (evidence file, folio 2611).</w:t>
      </w:r>
    </w:p>
  </w:footnote>
  <w:footnote w:id="141">
    <w:p w14:paraId="02A94CC9" w14:textId="43697961"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Appeal against the decision of July 18, 2001, of the Sixth Civil Court of Pichincha of July 20, 2001 (evidence file, folio 73).</w:t>
      </w:r>
    </w:p>
  </w:footnote>
  <w:footnote w:id="142">
    <w:p w14:paraId="33F35E29" w14:textId="406256E1"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Appeal against the decision of July 18, 2001, of the Sixth Civil Court of Pichincha of July 20, 2001 (evidence file, folio 73).</w:t>
      </w:r>
    </w:p>
  </w:footnote>
  <w:footnote w:id="143">
    <w:p w14:paraId="1A702C02" w14:textId="17ABCB02"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Appeal against the decision of July 18, 2001, of the Sixth Civil Court of Pichincha of July 20, 2001 (evidence file, folio 73).</w:t>
      </w:r>
    </w:p>
  </w:footnote>
  <w:footnote w:id="144">
    <w:p w14:paraId="5C54FC6D" w14:textId="433ED717"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the Sixth Civil Court of Pichincha of August 30, 2001 (evidence file, folio 75).</w:t>
      </w:r>
    </w:p>
  </w:footnote>
  <w:footnote w:id="145">
    <w:p w14:paraId="1F1B7635" w14:textId="7011B65B"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Decision of the Constitutional Court, Second Chamber, of February 4, 2002. Published in Official Record No. 546 of April 2, 2002 (hereinafter “Decision of the Constitutional Court of February 4, 2002”) (evidence file, folio 79).</w:t>
      </w:r>
    </w:p>
  </w:footnote>
  <w:footnote w:id="146">
    <w:p w14:paraId="7B929F59" w14:textId="44F26437"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Decision of the Constitutional Court of February 4, 2002 (evidence file, folio 79).</w:t>
      </w:r>
    </w:p>
  </w:footnote>
  <w:footnote w:id="147">
    <w:p w14:paraId="42F82034" w14:textId="4455F51E"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Decision of the Constitutional Court of February 4, 2002 (evidence file, folio 79).</w:t>
      </w:r>
    </w:p>
  </w:footnote>
  <w:footnote w:id="148">
    <w:p w14:paraId="43F842EE" w14:textId="6C62F3A4"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Decision of the Constitutional Court of February 4, 2002 (evidence file, folios 78 and 79).</w:t>
      </w:r>
    </w:p>
  </w:footnote>
  <w:footnote w:id="149">
    <w:p w14:paraId="262C8EB6" w14:textId="0DE21513"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According to the certificate of the liquidation for length of service issued by the Ministry of National Defense, Mr. Flor Freire was placed on paid leave on July 18, 2001, and, in October 2014, was in a situation of passive service. </w:t>
      </w:r>
      <w:r w:rsidRPr="00CE23AE">
        <w:rPr>
          <w:i/>
          <w:szCs w:val="16"/>
          <w:lang w:val="en-US"/>
        </w:rPr>
        <w:t>Cf.</w:t>
      </w:r>
      <w:r w:rsidRPr="00CE23AE">
        <w:rPr>
          <w:szCs w:val="16"/>
          <w:lang w:val="en-US"/>
        </w:rPr>
        <w:t xml:space="preserve"> Liquidation for Length of Service, No. 0042690, issued on October 17, 2014 (evidence file, folio 1544), and articles 74 and 75 of the 1991 Law on Armed Forces Personnel (evidence file, folio 2665).</w:t>
      </w:r>
    </w:p>
  </w:footnote>
  <w:footnote w:id="150">
    <w:p w14:paraId="166BA553" w14:textId="0185495F"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The Law on Armed Forces Personnel defines “passive service” as “the situation of a soldier, following his discharge, without losing his rank but ceasing to belong to the ranks of the Permanent Armed Forces.” Article 84 of the 1991 Law on Armed Forces Personnel (evidence file, folio 2665).</w:t>
      </w:r>
    </w:p>
  </w:footnote>
  <w:footnote w:id="151">
    <w:p w14:paraId="234EEE89" w14:textId="10D2EF31"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1(1) of the American Convention establishes that; “T</w:t>
      </w:r>
      <w:r w:rsidRPr="00CE23AE">
        <w:rPr>
          <w:spacing w:val="-3"/>
          <w:szCs w:val="16"/>
          <w:lang w:val="en-US"/>
        </w:rPr>
        <w: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CE23AE">
        <w:rPr>
          <w:szCs w:val="16"/>
          <w:lang w:val="en-US"/>
        </w:rPr>
        <w:t>”</w:t>
      </w:r>
    </w:p>
  </w:footnote>
  <w:footnote w:id="152">
    <w:p w14:paraId="2621BA04" w14:textId="6CAC3580" w:rsidR="00673461" w:rsidRPr="00CE23AE" w:rsidRDefault="00673461" w:rsidP="0043680A">
      <w:pPr>
        <w:tabs>
          <w:tab w:val="left" w:pos="480"/>
          <w:tab w:val="left" w:pos="1080"/>
          <w:tab w:val="left" w:pos="1680"/>
          <w:tab w:val="left" w:pos="5400"/>
        </w:tabs>
        <w:suppressAutoHyphens/>
        <w:rPr>
          <w:spacing w:val="-3"/>
          <w:sz w:val="16"/>
          <w:szCs w:val="16"/>
          <w:lang w:val="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t xml:space="preserve">Article 24 of the American Convention stipulates that: “All </w:t>
      </w:r>
      <w:r w:rsidRPr="00CE23AE">
        <w:rPr>
          <w:spacing w:val="-3"/>
          <w:sz w:val="16"/>
          <w:szCs w:val="16"/>
          <w:lang w:val="en-US"/>
        </w:rPr>
        <w:t>persons are equal before the law. Consequently, they are entitled, without discrimination, to equal protection of the law.”</w:t>
      </w:r>
    </w:p>
  </w:footnote>
  <w:footnote w:id="153">
    <w:p w14:paraId="76E9E06D" w14:textId="53C1B5D9"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Case of Atala Riffo and daughters v. Chile. Merits, reparations and costs. </w:t>
      </w:r>
      <w:r w:rsidRPr="00CE23AE">
        <w:rPr>
          <w:szCs w:val="16"/>
          <w:lang w:val="en-US"/>
        </w:rPr>
        <w:t>Judgment of February 24, 2012. Series C No. 239, para. 136.</w:t>
      </w:r>
    </w:p>
  </w:footnote>
  <w:footnote w:id="154">
    <w:p w14:paraId="05539F8D" w14:textId="4789DE9B" w:rsidR="00673461" w:rsidRPr="00CE23AE" w:rsidRDefault="00673461" w:rsidP="007B1AC9">
      <w:pPr>
        <w:pStyle w:val="Textonotapie"/>
        <w:tabs>
          <w:tab w:val="left" w:pos="540"/>
          <w:tab w:val="left" w:pos="567"/>
        </w:tabs>
        <w:rPr>
          <w:lang w:val="en-US"/>
        </w:rPr>
      </w:pPr>
      <w:r w:rsidRPr="00CE23AE">
        <w:rPr>
          <w:rStyle w:val="Refdenotaalpie"/>
          <w:szCs w:val="16"/>
          <w:lang w:val="en-US"/>
        </w:rPr>
        <w:footnoteRef/>
      </w:r>
      <w:r w:rsidRPr="00CE23AE">
        <w:rPr>
          <w:szCs w:val="16"/>
          <w:lang w:val="en-US"/>
        </w:rPr>
        <w:t xml:space="preserve"> </w:t>
      </w:r>
      <w:r w:rsidRPr="00CE23AE">
        <w:rPr>
          <w:szCs w:val="16"/>
          <w:lang w:val="en-US"/>
        </w:rPr>
        <w:tab/>
        <w:t>See, similarly:</w:t>
      </w:r>
      <w:r w:rsidRPr="00CE23AE">
        <w:rPr>
          <w:i/>
          <w:szCs w:val="16"/>
          <w:lang w:val="en-US"/>
        </w:rPr>
        <w:t xml:space="preserve"> </w:t>
      </w:r>
      <w:r w:rsidRPr="00CE23AE">
        <w:rPr>
          <w:szCs w:val="16"/>
          <w:lang w:val="en-US"/>
        </w:rPr>
        <w:t xml:space="preserve">Inter-American Commission on Human Rights. Sexual orientation, gender identity and gender expression: key terms and standards and Permanent Council of the Organization of American States, CP/CAJP/INF.166/12, 2012, Available at: </w:t>
      </w:r>
      <w:hyperlink r:id="rId3" w:history="1">
        <w:r w:rsidRPr="00CE23AE">
          <w:rPr>
            <w:rStyle w:val="Hipervnculo"/>
            <w:lang w:val="en-US"/>
          </w:rPr>
          <w:t>http://www.oas.org/en/sla/dil/docs/cp-cajp-inf_166-12_eng.pdf</w:t>
        </w:r>
      </w:hyperlink>
      <w:r w:rsidRPr="00CE23AE">
        <w:rPr>
          <w:lang w:val="en-US"/>
        </w:rPr>
        <w:t xml:space="preserve">, </w:t>
      </w:r>
      <w:r w:rsidRPr="00CE23AE">
        <w:rPr>
          <w:szCs w:val="16"/>
          <w:lang w:val="en-US"/>
        </w:rPr>
        <w:t>and Judgment C-098/96 of the Colombian Constitutional Court of March 7, 1996, para. 4.</w:t>
      </w:r>
    </w:p>
  </w:footnote>
  <w:footnote w:id="155">
    <w:p w14:paraId="741C918D" w14:textId="62370DF7" w:rsidR="00673461" w:rsidRPr="00CE23AE" w:rsidRDefault="00673461" w:rsidP="00851701">
      <w:pPr>
        <w:tabs>
          <w:tab w:val="left" w:pos="567"/>
        </w:tabs>
        <w:rPr>
          <w:i/>
          <w:sz w:val="16"/>
          <w:szCs w:val="16"/>
          <w:lang w:val="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r>
      <w:r w:rsidRPr="00CE23AE">
        <w:rPr>
          <w:i/>
          <w:sz w:val="16"/>
          <w:szCs w:val="16"/>
          <w:lang w:val="en-US"/>
        </w:rPr>
        <w:t>Cf.</w:t>
      </w:r>
      <w:r w:rsidRPr="00CE23AE">
        <w:rPr>
          <w:sz w:val="16"/>
          <w:szCs w:val="16"/>
          <w:lang w:val="en-US"/>
        </w:rPr>
        <w:t xml:space="preserve"> </w:t>
      </w:r>
      <w:hyperlink r:id="rId4" w:history="1">
        <w:r w:rsidRPr="00CE23AE">
          <w:rPr>
            <w:i/>
            <w:sz w:val="16"/>
            <w:szCs w:val="16"/>
            <w:lang w:val="en-US"/>
          </w:rPr>
          <w:t>Proposed Amendments to the Naturalization Provisions of the Constitution of Costa Rica</w:t>
        </w:r>
      </w:hyperlink>
      <w:r w:rsidRPr="00CE23AE">
        <w:rPr>
          <w:i/>
          <w:sz w:val="16"/>
          <w:szCs w:val="16"/>
          <w:lang w:val="en-US"/>
        </w:rPr>
        <w:t xml:space="preserve">, </w:t>
      </w:r>
      <w:r w:rsidRPr="00CE23AE">
        <w:rPr>
          <w:sz w:val="16"/>
          <w:szCs w:val="16"/>
          <w:lang w:val="en-US"/>
        </w:rPr>
        <w:t xml:space="preserve">Advisory Opinion OC-4/84, January 19, 1984. </w:t>
      </w:r>
      <w:r w:rsidRPr="00CE23AE">
        <w:rPr>
          <w:sz w:val="16"/>
          <w:szCs w:val="16"/>
        </w:rPr>
        <w:t xml:space="preserve">Series A No. 4, para. 55, and </w:t>
      </w:r>
      <w:r w:rsidRPr="00CE23AE">
        <w:rPr>
          <w:i/>
          <w:sz w:val="16"/>
          <w:szCs w:val="16"/>
        </w:rPr>
        <w:t>Case of Duque v. Colombia, supra</w:t>
      </w:r>
      <w:r w:rsidRPr="00CE23AE">
        <w:rPr>
          <w:sz w:val="16"/>
          <w:szCs w:val="16"/>
        </w:rPr>
        <w:t xml:space="preserve">, para. </w:t>
      </w:r>
      <w:r w:rsidRPr="00CE23AE">
        <w:rPr>
          <w:sz w:val="16"/>
          <w:szCs w:val="16"/>
          <w:lang w:val="en-US"/>
        </w:rPr>
        <w:t>91.</w:t>
      </w:r>
    </w:p>
  </w:footnote>
  <w:footnote w:id="156">
    <w:p w14:paraId="0708CA4F" w14:textId="4EAACBEE" w:rsidR="00673461" w:rsidRPr="00CE23AE" w:rsidRDefault="00673461" w:rsidP="007B1AC9">
      <w:pPr>
        <w:pStyle w:val="Textonotapie"/>
        <w:tabs>
          <w:tab w:val="left" w:pos="540"/>
          <w:tab w:val="left" w:pos="567"/>
        </w:tabs>
        <w:rPr>
          <w:rStyle w:val="Refdenotaalpie"/>
          <w:szCs w:val="16"/>
          <w:lang w:val="en-US"/>
        </w:rPr>
      </w:pPr>
      <w:r w:rsidRPr="00CE23AE">
        <w:rPr>
          <w:rStyle w:val="Refdenotaalpie"/>
          <w:szCs w:val="16"/>
          <w:lang w:val="en-US"/>
        </w:rPr>
        <w:footnoteRef/>
      </w:r>
      <w:r w:rsidRPr="00CE23AE">
        <w:rPr>
          <w:szCs w:val="16"/>
          <w:lang w:val="en-US"/>
        </w:rPr>
        <w:tab/>
      </w:r>
      <w:r w:rsidRPr="00CE23AE">
        <w:rPr>
          <w:i/>
          <w:szCs w:val="16"/>
          <w:lang w:val="en-US"/>
        </w:rPr>
        <w:t xml:space="preserve">Cf. </w:t>
      </w:r>
      <w:hyperlink r:id="rId5" w:history="1">
        <w:r w:rsidRPr="00CE23AE">
          <w:rPr>
            <w:i/>
            <w:szCs w:val="16"/>
            <w:lang w:val="en-US"/>
          </w:rPr>
          <w:t>Juridical Condition and Rights of Undocumented Migrants</w:t>
        </w:r>
      </w:hyperlink>
      <w:r w:rsidRPr="00CE23AE">
        <w:rPr>
          <w:i/>
          <w:szCs w:val="16"/>
          <w:lang w:val="en-US"/>
        </w:rPr>
        <w:t xml:space="preserve">. </w:t>
      </w:r>
      <w:r w:rsidRPr="00CE23AE">
        <w:rPr>
          <w:szCs w:val="16"/>
          <w:lang w:val="en-US"/>
        </w:rPr>
        <w:t xml:space="preserve">Advisory Opinion OC-18/03 of September 17, 2003. </w:t>
      </w:r>
      <w:r w:rsidRPr="00CE23AE">
        <w:rPr>
          <w:szCs w:val="16"/>
          <w:lang w:val="es-CR"/>
        </w:rPr>
        <w:t xml:space="preserve">Series A No. 18, para. 101, and </w:t>
      </w:r>
      <w:r w:rsidRPr="00CE23AE">
        <w:rPr>
          <w:i/>
          <w:szCs w:val="16"/>
          <w:lang w:val="es-CR"/>
        </w:rPr>
        <w:t>Case of Duque v. Colombia, supra</w:t>
      </w:r>
      <w:r w:rsidRPr="00CE23AE">
        <w:rPr>
          <w:szCs w:val="16"/>
          <w:lang w:val="es-CR"/>
        </w:rPr>
        <w:t xml:space="preserve">, para. </w:t>
      </w:r>
      <w:r w:rsidRPr="00CE23AE">
        <w:rPr>
          <w:szCs w:val="16"/>
          <w:lang w:val="en-US"/>
        </w:rPr>
        <w:t>91.</w:t>
      </w:r>
    </w:p>
  </w:footnote>
  <w:footnote w:id="157">
    <w:p w14:paraId="7745E461" w14:textId="2268956F" w:rsidR="00673461" w:rsidRPr="00CE23AE" w:rsidRDefault="00673461" w:rsidP="007B1AC9">
      <w:pPr>
        <w:tabs>
          <w:tab w:val="left" w:pos="540"/>
          <w:tab w:val="left" w:pos="567"/>
        </w:tabs>
        <w:autoSpaceDE w:val="0"/>
        <w:autoSpaceDN w:val="0"/>
        <w:spacing w:before="120" w:after="120"/>
        <w:rPr>
          <w:rFonts w:eastAsia="Batang"/>
          <w:sz w:val="16"/>
          <w:szCs w:val="16"/>
          <w:lang w:val="en-US" w:eastAsia="en-US"/>
        </w:rPr>
      </w:pPr>
      <w:r w:rsidRPr="00CE23AE">
        <w:rPr>
          <w:rStyle w:val="Refdenotaalpie"/>
          <w:sz w:val="16"/>
          <w:szCs w:val="16"/>
          <w:lang w:val="en-US"/>
        </w:rPr>
        <w:footnoteRef/>
      </w:r>
      <w:r w:rsidRPr="00CE23AE">
        <w:rPr>
          <w:sz w:val="16"/>
          <w:szCs w:val="16"/>
          <w:lang w:val="en-US"/>
        </w:rPr>
        <w:tab/>
      </w:r>
      <w:r w:rsidRPr="00CE23AE">
        <w:rPr>
          <w:i/>
          <w:sz w:val="16"/>
          <w:szCs w:val="16"/>
          <w:lang w:val="en-US"/>
        </w:rPr>
        <w:t>Cf.</w:t>
      </w:r>
      <w:r w:rsidRPr="00CE23AE">
        <w:rPr>
          <w:rFonts w:eastAsia="MS Gothic"/>
          <w:bCs/>
          <w:i/>
          <w:color w:val="000000"/>
          <w:sz w:val="16"/>
          <w:szCs w:val="16"/>
          <w:lang w:val="en-US"/>
        </w:rPr>
        <w:t xml:space="preserve"> </w:t>
      </w:r>
      <w:r w:rsidRPr="00CE23AE">
        <w:rPr>
          <w:rFonts w:eastAsia="MS Gothic"/>
          <w:bCs/>
          <w:color w:val="000000"/>
          <w:sz w:val="16"/>
          <w:szCs w:val="16"/>
          <w:lang w:val="en-US"/>
        </w:rPr>
        <w:t xml:space="preserve">Advisory Opinion OC-18/03, </w:t>
      </w:r>
      <w:r w:rsidRPr="00CE23AE">
        <w:rPr>
          <w:rFonts w:eastAsia="MS Gothic"/>
          <w:bCs/>
          <w:i/>
          <w:color w:val="000000"/>
          <w:sz w:val="16"/>
          <w:szCs w:val="16"/>
          <w:lang w:val="en-US"/>
        </w:rPr>
        <w:t>supra</w:t>
      </w:r>
      <w:r w:rsidRPr="00CE23AE">
        <w:rPr>
          <w:rFonts w:eastAsia="MS Gothic"/>
          <w:bCs/>
          <w:color w:val="000000"/>
          <w:sz w:val="16"/>
          <w:szCs w:val="16"/>
          <w:lang w:val="en-US"/>
        </w:rPr>
        <w:t xml:space="preserve">, para. 104, and </w:t>
      </w:r>
      <w:r w:rsidRPr="00CE23AE">
        <w:rPr>
          <w:rFonts w:eastAsia="MS Gothic"/>
          <w:bCs/>
          <w:i/>
          <w:color w:val="000000"/>
          <w:sz w:val="16"/>
          <w:szCs w:val="16"/>
          <w:lang w:val="en-US"/>
        </w:rPr>
        <w:t>Case of Duque v. Colombia, supra</w:t>
      </w:r>
      <w:r w:rsidRPr="00CE23AE">
        <w:rPr>
          <w:rFonts w:eastAsia="MS Gothic"/>
          <w:bCs/>
          <w:color w:val="000000"/>
          <w:sz w:val="16"/>
          <w:szCs w:val="16"/>
          <w:lang w:val="en-US"/>
        </w:rPr>
        <w:t>, para. 92. See also, UN, Human Rights Committee. General Comment No. 18, Non-discrimination, CCPR/C/37, November 10, 1989, para. 6.</w:t>
      </w:r>
    </w:p>
  </w:footnote>
  <w:footnote w:id="158">
    <w:p w14:paraId="4F575978" w14:textId="06540B33" w:rsidR="00673461" w:rsidRPr="00CE23AE" w:rsidRDefault="00673461" w:rsidP="007B1AC9">
      <w:pPr>
        <w:pStyle w:val="Textonotapie"/>
        <w:tabs>
          <w:tab w:val="left" w:pos="540"/>
          <w:tab w:val="left" w:pos="567"/>
        </w:tabs>
        <w:rPr>
          <w:b/>
          <w:szCs w:val="16"/>
          <w:lang w:val="en-US"/>
        </w:rPr>
      </w:pPr>
      <w:r w:rsidRPr="00CE23AE">
        <w:rPr>
          <w:rStyle w:val="Refdenotaalpie"/>
          <w:szCs w:val="16"/>
          <w:lang w:val="en-US"/>
        </w:rPr>
        <w:footnoteRef/>
      </w:r>
      <w:r w:rsidRPr="00CE23AE">
        <w:rPr>
          <w:szCs w:val="16"/>
          <w:lang w:val="en-US"/>
        </w:rPr>
        <w:tab/>
      </w:r>
      <w:r w:rsidRPr="00CE23AE">
        <w:rPr>
          <w:i/>
          <w:szCs w:val="16"/>
          <w:lang w:val="en-US"/>
        </w:rPr>
        <w:t xml:space="preserve">Cf. </w:t>
      </w:r>
      <w:r w:rsidRPr="00CE23AE">
        <w:rPr>
          <w:szCs w:val="16"/>
          <w:lang w:val="en-US"/>
        </w:rPr>
        <w:t xml:space="preserve">Advisory Opinion OC-4/84, </w:t>
      </w:r>
      <w:r w:rsidRPr="00CE23AE">
        <w:rPr>
          <w:i/>
          <w:szCs w:val="16"/>
          <w:lang w:val="en-US"/>
        </w:rPr>
        <w:t>supra,</w:t>
      </w:r>
      <w:r w:rsidRPr="00CE23AE">
        <w:rPr>
          <w:szCs w:val="16"/>
          <w:lang w:val="en-US"/>
        </w:rPr>
        <w:t xml:space="preserve"> para. 53, and </w:t>
      </w:r>
      <w:r w:rsidRPr="00CE23AE">
        <w:rPr>
          <w:i/>
          <w:szCs w:val="16"/>
          <w:lang w:val="en-US"/>
        </w:rPr>
        <w:t>Case of Duque v. Colombia, supra</w:t>
      </w:r>
      <w:r w:rsidRPr="00CE23AE">
        <w:rPr>
          <w:szCs w:val="16"/>
          <w:lang w:val="en-US"/>
        </w:rPr>
        <w:t>, para. 93.</w:t>
      </w:r>
    </w:p>
  </w:footnote>
  <w:footnote w:id="159">
    <w:p w14:paraId="65103093" w14:textId="303D8BCB" w:rsidR="00673461" w:rsidRPr="00CE23AE" w:rsidRDefault="00673461" w:rsidP="007B1AC9">
      <w:pPr>
        <w:pStyle w:val="Textonotapie"/>
        <w:tabs>
          <w:tab w:val="left" w:pos="540"/>
          <w:tab w:val="left" w:pos="567"/>
        </w:tabs>
        <w:rPr>
          <w:i/>
          <w:color w:val="008080"/>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 xml:space="preserve">Advisory Opinion OC-4/84, </w:t>
      </w:r>
      <w:r w:rsidRPr="00CE23AE">
        <w:rPr>
          <w:i/>
          <w:szCs w:val="16"/>
          <w:lang w:val="en-US"/>
        </w:rPr>
        <w:t>supra</w:t>
      </w:r>
      <w:r w:rsidRPr="00CE23AE">
        <w:rPr>
          <w:szCs w:val="16"/>
          <w:lang w:val="en-US"/>
        </w:rPr>
        <w:t xml:space="preserve">, para. 53, and </w:t>
      </w:r>
      <w:r w:rsidRPr="00CE23AE">
        <w:rPr>
          <w:i/>
          <w:szCs w:val="16"/>
          <w:lang w:val="en-US"/>
        </w:rPr>
        <w:t>Case of Duque v. Colombia, supra</w:t>
      </w:r>
      <w:r w:rsidRPr="00CE23AE">
        <w:rPr>
          <w:szCs w:val="16"/>
          <w:lang w:val="en-US"/>
        </w:rPr>
        <w:t>, para. 93.</w:t>
      </w:r>
    </w:p>
  </w:footnote>
  <w:footnote w:id="160">
    <w:p w14:paraId="39246B64" w14:textId="6AE241F9" w:rsidR="00673461" w:rsidRPr="00CE23AE" w:rsidRDefault="00673461" w:rsidP="007B1AC9">
      <w:pPr>
        <w:pStyle w:val="Textonotapie"/>
        <w:tabs>
          <w:tab w:val="left" w:pos="540"/>
          <w:tab w:val="left" w:pos="567"/>
        </w:tabs>
        <w:rPr>
          <w:rFonts w:cs="Arial"/>
          <w:i/>
          <w:iCs/>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 xml:space="preserve">Advisory Opinion OC-18/03, </w:t>
      </w:r>
      <w:r w:rsidRPr="00CE23AE">
        <w:rPr>
          <w:i/>
          <w:szCs w:val="16"/>
          <w:lang w:val="en-US"/>
        </w:rPr>
        <w:t>supra</w:t>
      </w:r>
      <w:r w:rsidRPr="00CE23AE">
        <w:rPr>
          <w:szCs w:val="16"/>
          <w:lang w:val="en-US"/>
        </w:rPr>
        <w:t xml:space="preserve">, para. </w:t>
      </w:r>
      <w:r w:rsidRPr="00CE23AE">
        <w:rPr>
          <w:rFonts w:cs="Arial"/>
          <w:szCs w:val="16"/>
          <w:lang w:val="en-US"/>
        </w:rPr>
        <w:t xml:space="preserve"> 85</w:t>
      </w:r>
      <w:r w:rsidRPr="00CE23AE">
        <w:rPr>
          <w:szCs w:val="16"/>
          <w:lang w:val="en-US"/>
        </w:rPr>
        <w:t xml:space="preserve">, and </w:t>
      </w:r>
      <w:r w:rsidRPr="00CE23AE">
        <w:rPr>
          <w:i/>
          <w:szCs w:val="16"/>
          <w:lang w:val="en-US"/>
        </w:rPr>
        <w:t>Case of Duque v. Colombia, supra</w:t>
      </w:r>
      <w:r w:rsidRPr="00CE23AE">
        <w:rPr>
          <w:szCs w:val="16"/>
          <w:lang w:val="en-US"/>
        </w:rPr>
        <w:t>, para. 93.</w:t>
      </w:r>
    </w:p>
  </w:footnote>
  <w:footnote w:id="161">
    <w:p w14:paraId="4538BC10" w14:textId="6603DFC4"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 xml:space="preserve">Advisory Opinion OC-18/03, </w:t>
      </w:r>
      <w:r w:rsidRPr="00CE23AE">
        <w:rPr>
          <w:i/>
          <w:szCs w:val="16"/>
          <w:lang w:val="en-US"/>
        </w:rPr>
        <w:t>supra</w:t>
      </w:r>
      <w:r w:rsidRPr="00CE23AE">
        <w:rPr>
          <w:szCs w:val="16"/>
          <w:lang w:val="en-US"/>
        </w:rPr>
        <w:t>, para.</w:t>
      </w:r>
      <w:r w:rsidRPr="00CE23AE">
        <w:rPr>
          <w:rFonts w:cs="Arial"/>
          <w:szCs w:val="16"/>
          <w:lang w:val="en-US"/>
        </w:rPr>
        <w:t xml:space="preserve"> 85</w:t>
      </w:r>
      <w:r w:rsidRPr="00CE23AE">
        <w:rPr>
          <w:szCs w:val="16"/>
          <w:lang w:val="en-US"/>
        </w:rPr>
        <w:t xml:space="preserve">, and </w:t>
      </w:r>
      <w:r w:rsidRPr="00CE23AE">
        <w:rPr>
          <w:i/>
          <w:szCs w:val="16"/>
          <w:lang w:val="en-US"/>
        </w:rPr>
        <w:t>Case of Duque v. Colombia, supra</w:t>
      </w:r>
      <w:r w:rsidRPr="00CE23AE">
        <w:rPr>
          <w:szCs w:val="16"/>
          <w:lang w:val="en-US"/>
        </w:rPr>
        <w:t>, para. 93.</w:t>
      </w:r>
    </w:p>
  </w:footnote>
  <w:footnote w:id="162">
    <w:p w14:paraId="2C937865" w14:textId="141ADD13" w:rsidR="00673461" w:rsidRPr="00CE23AE" w:rsidRDefault="00673461" w:rsidP="007B1AC9">
      <w:pPr>
        <w:pStyle w:val="Textonotapie"/>
        <w:tabs>
          <w:tab w:val="left" w:pos="540"/>
          <w:tab w:val="left" w:pos="567"/>
        </w:tabs>
        <w:rPr>
          <w:rFonts w:eastAsia="Batang"/>
          <w:i/>
          <w:szCs w:val="16"/>
          <w:lang w:val="en-US"/>
        </w:rPr>
      </w:pPr>
      <w:r w:rsidRPr="00CE23AE">
        <w:rPr>
          <w:rStyle w:val="Refdenotaalpie"/>
          <w:rFonts w:eastAsia="Batang"/>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Advisory Opinion OC-4/84, </w:t>
      </w:r>
      <w:r w:rsidRPr="00CE23AE">
        <w:rPr>
          <w:i/>
          <w:szCs w:val="16"/>
          <w:lang w:val="en-US"/>
        </w:rPr>
        <w:t>supra</w:t>
      </w:r>
      <w:r w:rsidRPr="00CE23AE">
        <w:rPr>
          <w:szCs w:val="16"/>
          <w:lang w:val="en-US"/>
        </w:rPr>
        <w:t xml:space="preserve">, paras. 53 and 54, and </w:t>
      </w:r>
      <w:r w:rsidRPr="00CE23AE">
        <w:rPr>
          <w:i/>
          <w:szCs w:val="16"/>
          <w:lang w:val="en-US"/>
        </w:rPr>
        <w:t>Case of Duque v. Colombia, supra</w:t>
      </w:r>
      <w:r w:rsidRPr="00CE23AE">
        <w:rPr>
          <w:szCs w:val="16"/>
          <w:lang w:val="en-US"/>
        </w:rPr>
        <w:t>, para. 94.</w:t>
      </w:r>
    </w:p>
  </w:footnote>
  <w:footnote w:id="163">
    <w:p w14:paraId="307E9894" w14:textId="02F0F3B7" w:rsidR="00673461" w:rsidRPr="00CE23AE" w:rsidRDefault="00673461" w:rsidP="007B1AC9">
      <w:pPr>
        <w:pStyle w:val="Textonotapie"/>
        <w:tabs>
          <w:tab w:val="left" w:pos="540"/>
          <w:tab w:val="left" w:pos="567"/>
        </w:tabs>
        <w:rPr>
          <w:rFonts w:cs="Vrinda"/>
          <w:b/>
          <w:spacing w:val="-4"/>
          <w:szCs w:val="16"/>
          <w:lang w:val="en-US"/>
        </w:rPr>
      </w:pPr>
      <w:r w:rsidRPr="00CE23AE">
        <w:rPr>
          <w:rStyle w:val="Refdenotaalpie"/>
          <w:rFonts w:eastAsia="Batang" w:cs="Vrinda"/>
          <w:spacing w:val="-4"/>
          <w:szCs w:val="16"/>
          <w:lang w:val="en-US"/>
        </w:rPr>
        <w:footnoteRef/>
      </w:r>
      <w:r w:rsidRPr="00CE23AE">
        <w:rPr>
          <w:rFonts w:cs="Vrinda"/>
          <w:b/>
          <w:spacing w:val="-4"/>
          <w:szCs w:val="16"/>
          <w:lang w:val="en-US"/>
        </w:rPr>
        <w:t xml:space="preserve"> </w:t>
      </w:r>
      <w:r w:rsidRPr="00CE23AE">
        <w:rPr>
          <w:rFonts w:cs="Vrinda"/>
          <w:b/>
          <w:spacing w:val="-4"/>
          <w:szCs w:val="16"/>
          <w:lang w:val="en-US"/>
        </w:rPr>
        <w:tab/>
      </w:r>
      <w:r w:rsidRPr="00CE23AE">
        <w:rPr>
          <w:rFonts w:cs="Vrinda"/>
          <w:i/>
          <w:spacing w:val="-4"/>
          <w:szCs w:val="16"/>
          <w:lang w:val="en-US"/>
        </w:rPr>
        <w:t xml:space="preserve">Cf. Case of Yatama v. </w:t>
      </w:r>
      <w:r w:rsidRPr="00CE23AE">
        <w:rPr>
          <w:i/>
          <w:szCs w:val="16"/>
          <w:lang w:val="en-US"/>
        </w:rPr>
        <w:t>Nicaragua</w:t>
      </w:r>
      <w:r w:rsidRPr="00CE23AE">
        <w:rPr>
          <w:rStyle w:val="Textoennegrita"/>
          <w:rFonts w:cs="Vrinda"/>
          <w:b w:val="0"/>
          <w:i/>
          <w:color w:val="000000"/>
          <w:spacing w:val="-4"/>
          <w:szCs w:val="16"/>
          <w:lang w:val="en-US"/>
        </w:rPr>
        <w:t>. Preliminary objections, merits, reparations and costs.</w:t>
      </w:r>
      <w:r w:rsidRPr="00CE23AE">
        <w:rPr>
          <w:rFonts w:cs="Vrinda"/>
          <w:b/>
          <w:spacing w:val="-4"/>
          <w:szCs w:val="16"/>
          <w:lang w:val="en-US"/>
        </w:rPr>
        <w:t xml:space="preserve"> </w:t>
      </w:r>
      <w:r w:rsidRPr="00CE23AE">
        <w:rPr>
          <w:rFonts w:cs="Vrinda"/>
          <w:spacing w:val="-4"/>
          <w:szCs w:val="16"/>
          <w:lang w:val="en-US"/>
        </w:rPr>
        <w:t>Judgment of June 23, 2005.</w:t>
      </w:r>
      <w:r w:rsidRPr="00CE23AE">
        <w:rPr>
          <w:rStyle w:val="Textoennegrita"/>
          <w:rFonts w:cs="Vrinda"/>
          <w:color w:val="000000"/>
          <w:spacing w:val="-4"/>
          <w:szCs w:val="16"/>
          <w:lang w:val="en-US"/>
        </w:rPr>
        <w:t xml:space="preserve"> </w:t>
      </w:r>
      <w:r w:rsidRPr="00CE23AE">
        <w:rPr>
          <w:rStyle w:val="Textoennegrita"/>
          <w:rFonts w:cs="Vrinda"/>
          <w:b w:val="0"/>
          <w:color w:val="000000"/>
          <w:spacing w:val="-4"/>
          <w:szCs w:val="16"/>
          <w:lang w:val="en-US"/>
        </w:rPr>
        <w:t>Series C No. 127</w:t>
      </w:r>
      <w:r w:rsidRPr="00CE23AE">
        <w:rPr>
          <w:rFonts w:cs="Vrinda"/>
          <w:spacing w:val="-4"/>
          <w:szCs w:val="16"/>
          <w:lang w:val="en-US"/>
        </w:rPr>
        <w:t xml:space="preserve">, para. 186, and </w:t>
      </w:r>
      <w:r w:rsidRPr="00CE23AE">
        <w:rPr>
          <w:i/>
          <w:szCs w:val="16"/>
          <w:lang w:val="en-US"/>
        </w:rPr>
        <w:t>Case of Duque v. Colombia, supra</w:t>
      </w:r>
      <w:r w:rsidRPr="00CE23AE">
        <w:rPr>
          <w:szCs w:val="16"/>
          <w:lang w:val="en-US"/>
        </w:rPr>
        <w:t>, para. 94.</w:t>
      </w:r>
    </w:p>
  </w:footnote>
  <w:footnote w:id="164">
    <w:p w14:paraId="03B03019" w14:textId="1213E619" w:rsidR="00673461" w:rsidRPr="00CE23AE" w:rsidRDefault="00673461" w:rsidP="007B1AC9">
      <w:pPr>
        <w:pStyle w:val="Textonotapie"/>
        <w:tabs>
          <w:tab w:val="left" w:pos="540"/>
          <w:tab w:val="left" w:pos="567"/>
        </w:tabs>
        <w:rPr>
          <w:szCs w:val="16"/>
          <w:lang w:val="en-US"/>
        </w:rPr>
      </w:pPr>
      <w:r w:rsidRPr="00CE23AE">
        <w:rPr>
          <w:rStyle w:val="Refdenotaalpie"/>
          <w:rFonts w:eastAsia="Batang"/>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 xml:space="preserve">Case of Apitz Barbera et al. (“First Contentious Administrative Court”) v. Venezuela. Preliminary objection, merits, reparations and costs. </w:t>
      </w:r>
      <w:r w:rsidRPr="00CE23AE">
        <w:rPr>
          <w:szCs w:val="16"/>
          <w:lang w:val="en-US"/>
        </w:rPr>
        <w:t xml:space="preserve">Judgment of August 5, 2008. Series C No. 182, para. 209, and </w:t>
      </w:r>
      <w:r w:rsidRPr="00CE23AE">
        <w:rPr>
          <w:i/>
          <w:szCs w:val="16"/>
          <w:lang w:val="en-US"/>
        </w:rPr>
        <w:t>Case of Duque v. Colombia, supra</w:t>
      </w:r>
      <w:r w:rsidRPr="00CE23AE">
        <w:rPr>
          <w:szCs w:val="16"/>
          <w:lang w:val="en-US"/>
        </w:rPr>
        <w:t>, para. 94.</w:t>
      </w:r>
    </w:p>
  </w:footnote>
  <w:footnote w:id="165">
    <w:p w14:paraId="1931E9C1" w14:textId="0907C111"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1998 Military Discipline Regulations, Ministry of National Defense, Ministerial General Order No. 144 (merits file, folio 667). </w:t>
      </w:r>
    </w:p>
  </w:footnote>
  <w:footnote w:id="166">
    <w:p w14:paraId="2AE14D35" w14:textId="742CD24C"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1998 Military Discipline Regulations, Ministry of National Defense, Ministerial General Order No. 144, art. 72 (merits file, folio 669).</w:t>
      </w:r>
    </w:p>
  </w:footnote>
  <w:footnote w:id="167">
    <w:p w14:paraId="205BB7A8" w14:textId="2E1EF2F3" w:rsidR="00673461" w:rsidRPr="00CE23AE" w:rsidRDefault="00673461" w:rsidP="00C820FA">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1998 Military Discipline Regulations, Ministry of National Defense, Ministerial General Order No. 144, art. 117 (merits file, folio 676). Article 87(i) of the Law on Armed Forces Personnel establishes that:</w:t>
      </w:r>
      <w:r w:rsidRPr="00CE23AE">
        <w:rPr>
          <w:rFonts w:eastAsiaTheme="minorHAnsi"/>
          <w:szCs w:val="16"/>
          <w:lang w:val="en-US"/>
        </w:rPr>
        <w:t xml:space="preserve"> </w:t>
      </w:r>
      <w:r w:rsidRPr="00CE23AE">
        <w:rPr>
          <w:szCs w:val="16"/>
          <w:lang w:val="en-US"/>
        </w:rPr>
        <w:t xml:space="preserve">“A soldier shall be discharged for one of the following reasons: […] (i) </w:t>
      </w:r>
      <w:r w:rsidRPr="00CE23AE">
        <w:rPr>
          <w:rFonts w:cs="Helvetica"/>
          <w:szCs w:val="16"/>
          <w:lang w:val="en-US"/>
        </w:rPr>
        <w:t xml:space="preserve">for the good of the service, due either to the misconduct or professional incompetence of the soldier, characterized as such by the respective Board, pursuant to the provisions of the corresponding regulations, when he does not have a right to </w:t>
      </w:r>
      <w:r w:rsidRPr="00CE23AE">
        <w:rPr>
          <w:szCs w:val="16"/>
          <w:lang w:val="en-US"/>
        </w:rPr>
        <w:t>paid leave.” 1991 Law on Armed Forces Personnel (evidence file, folio 2665).</w:t>
      </w:r>
    </w:p>
  </w:footnote>
  <w:footnote w:id="168">
    <w:p w14:paraId="79A173DB" w14:textId="56F3ED46"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According to the representative “unlawful sexual acts” “refer to heterosexual sexual relations outside of marriage.” Brief of June 5, 2008, submitted to the Commission (evidence file, folio 333). </w:t>
      </w:r>
    </w:p>
  </w:footnote>
  <w:footnote w:id="169">
    <w:p w14:paraId="41E691DE" w14:textId="1BE50B9B" w:rsidR="00673461" w:rsidRPr="00CE23AE" w:rsidRDefault="00673461" w:rsidP="007B1AC9">
      <w:pPr>
        <w:pStyle w:val="Textonotapie"/>
        <w:tabs>
          <w:tab w:val="left" w:pos="540"/>
          <w:tab w:val="left" w:pos="567"/>
        </w:tabs>
        <w:rPr>
          <w:b/>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Merits Report (merits file, folio 38); pleadings and motions brief (merits file, folios 91 and 92), and answering brief (merits file, folios 178 and 179).</w:t>
      </w:r>
    </w:p>
  </w:footnote>
  <w:footnote w:id="170">
    <w:p w14:paraId="4576CE7C" w14:textId="63AB4662"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Atala Riffo and daughters v. Chile, supra</w:t>
      </w:r>
      <w:r w:rsidRPr="00CE23AE">
        <w:rPr>
          <w:szCs w:val="16"/>
          <w:lang w:val="en-US"/>
        </w:rPr>
        <w:t>, para. 93,</w:t>
      </w:r>
      <w:r w:rsidRPr="00CE23AE">
        <w:rPr>
          <w:rFonts w:cs="Vrinda"/>
          <w:spacing w:val="-4"/>
          <w:szCs w:val="16"/>
          <w:lang w:val="en-US"/>
        </w:rPr>
        <w:t xml:space="preserve"> and </w:t>
      </w:r>
      <w:r w:rsidRPr="00CE23AE">
        <w:rPr>
          <w:i/>
          <w:szCs w:val="16"/>
          <w:lang w:val="en-US"/>
        </w:rPr>
        <w:t>Case of Duque v. Colombia, supra</w:t>
      </w:r>
      <w:r w:rsidRPr="00CE23AE">
        <w:rPr>
          <w:szCs w:val="16"/>
          <w:lang w:val="en-US"/>
        </w:rPr>
        <w:t>, para. 104.</w:t>
      </w:r>
    </w:p>
  </w:footnote>
  <w:footnote w:id="171">
    <w:p w14:paraId="79DC46E8" w14:textId="2CCEA92B" w:rsidR="00673461" w:rsidRPr="00CE23AE" w:rsidRDefault="00673461" w:rsidP="007B1AC9">
      <w:pPr>
        <w:pStyle w:val="Textonotapie"/>
        <w:tabs>
          <w:tab w:val="left" w:pos="540"/>
          <w:tab w:val="left" w:pos="567"/>
        </w:tabs>
        <w:rPr>
          <w:b/>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Atala Riffo and daughters v. Chile, supra</w:t>
      </w:r>
      <w:r w:rsidRPr="00CE23AE">
        <w:rPr>
          <w:szCs w:val="16"/>
          <w:lang w:val="en-US"/>
        </w:rPr>
        <w:t xml:space="preserve">, paras. 83 to 91, and </w:t>
      </w:r>
      <w:r w:rsidRPr="00CE23AE">
        <w:rPr>
          <w:i/>
          <w:szCs w:val="16"/>
          <w:lang w:val="en-US"/>
        </w:rPr>
        <w:t>Case of Duque v. Colombia, supra</w:t>
      </w:r>
      <w:r w:rsidRPr="00CE23AE">
        <w:rPr>
          <w:szCs w:val="16"/>
          <w:lang w:val="en-US"/>
        </w:rPr>
        <w:t>, para. 104.</w:t>
      </w:r>
    </w:p>
  </w:footnote>
  <w:footnote w:id="172">
    <w:p w14:paraId="129926A6" w14:textId="7656AA7B" w:rsidR="00673461" w:rsidRPr="00CE23AE" w:rsidRDefault="00673461" w:rsidP="007B1AC9">
      <w:pPr>
        <w:pStyle w:val="Textonotapie"/>
        <w:tabs>
          <w:tab w:val="left" w:pos="540"/>
          <w:tab w:val="left" w:pos="567"/>
        </w:tabs>
        <w:rPr>
          <w:i/>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Atala Riffo and daughters v. Chile, supra</w:t>
      </w:r>
      <w:r w:rsidRPr="00CE23AE">
        <w:rPr>
          <w:szCs w:val="16"/>
          <w:lang w:val="en-US"/>
        </w:rPr>
        <w:t xml:space="preserve">, para.133. </w:t>
      </w:r>
    </w:p>
  </w:footnote>
  <w:footnote w:id="173">
    <w:p w14:paraId="186C653B" w14:textId="3E5A0FA3" w:rsidR="00673461" w:rsidRPr="00CE23AE" w:rsidRDefault="00673461" w:rsidP="007B1AC9">
      <w:pPr>
        <w:pStyle w:val="Textonotapie"/>
        <w:tabs>
          <w:tab w:val="left" w:pos="540"/>
          <w:tab w:val="left" w:pos="567"/>
        </w:tabs>
        <w:rPr>
          <w:szCs w:val="16"/>
          <w:lang w:val="es-CR"/>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Case of Perozo et al. v. Venezuela. Preliminary objections, merits, reparations and costs. </w:t>
      </w:r>
      <w:r w:rsidRPr="00CE23AE">
        <w:rPr>
          <w:szCs w:val="16"/>
          <w:lang w:val="en-US"/>
        </w:rPr>
        <w:t xml:space="preserve">Judgment of January 28, 2009. Series C No. 195, para. 380, and </w:t>
      </w:r>
      <w:r w:rsidRPr="00CE23AE">
        <w:rPr>
          <w:i/>
          <w:szCs w:val="16"/>
          <w:lang w:val="en-US"/>
        </w:rPr>
        <w:t>Case of Ríos et al. v. Venezuela</w:t>
      </w:r>
      <w:r w:rsidRPr="00CE23AE">
        <w:rPr>
          <w:szCs w:val="16"/>
          <w:lang w:val="en-US"/>
        </w:rPr>
        <w:t xml:space="preserve">. </w:t>
      </w:r>
      <w:r w:rsidRPr="00CE23AE">
        <w:rPr>
          <w:i/>
          <w:szCs w:val="16"/>
          <w:lang w:val="en-US"/>
        </w:rPr>
        <w:t>Preliminary objections, merits, reparations and costs</w:t>
      </w:r>
      <w:r w:rsidRPr="00CE23AE">
        <w:rPr>
          <w:szCs w:val="16"/>
          <w:lang w:val="en-US"/>
        </w:rPr>
        <w:t xml:space="preserve">. Judgment of January 28, 2009. Series C No. 194, para. </w:t>
      </w:r>
      <w:r w:rsidRPr="00CE23AE">
        <w:rPr>
          <w:szCs w:val="16"/>
          <w:lang w:val="es-CR"/>
        </w:rPr>
        <w:t xml:space="preserve">349. </w:t>
      </w:r>
    </w:p>
  </w:footnote>
  <w:footnote w:id="174">
    <w:p w14:paraId="11744162" w14:textId="223A44C7" w:rsidR="00673461" w:rsidRPr="00CE23AE" w:rsidRDefault="00673461" w:rsidP="007B1AC9">
      <w:pPr>
        <w:tabs>
          <w:tab w:val="left" w:pos="540"/>
          <w:tab w:val="left" w:pos="567"/>
        </w:tabs>
        <w:spacing w:before="120" w:after="120" w:line="240" w:lineRule="auto"/>
        <w:rPr>
          <w:b/>
          <w:sz w:val="16"/>
          <w:szCs w:val="16"/>
        </w:rPr>
      </w:pPr>
      <w:r w:rsidRPr="00CE23AE">
        <w:rPr>
          <w:rStyle w:val="Refdenotaalpie"/>
          <w:rFonts w:eastAsia="Calibri"/>
          <w:sz w:val="16"/>
          <w:szCs w:val="16"/>
          <w:lang w:val="en-US"/>
        </w:rPr>
        <w:footnoteRef/>
      </w:r>
      <w:r w:rsidRPr="00CE23AE">
        <w:rPr>
          <w:sz w:val="16"/>
          <w:szCs w:val="16"/>
        </w:rPr>
        <w:t xml:space="preserve">  </w:t>
      </w:r>
      <w:r w:rsidRPr="00CE23AE">
        <w:rPr>
          <w:sz w:val="16"/>
          <w:szCs w:val="16"/>
        </w:rPr>
        <w:tab/>
      </w:r>
      <w:r w:rsidRPr="00CE23AE">
        <w:rPr>
          <w:i/>
          <w:sz w:val="16"/>
          <w:szCs w:val="16"/>
        </w:rPr>
        <w:t>Mutatis mutandis, Case of Perozo et al. v. Venezuela, supra</w:t>
      </w:r>
      <w:r w:rsidRPr="00CE23AE">
        <w:rPr>
          <w:sz w:val="16"/>
          <w:szCs w:val="16"/>
        </w:rPr>
        <w:t xml:space="preserve">, para. 158, and </w:t>
      </w:r>
      <w:r w:rsidRPr="00CE23AE">
        <w:rPr>
          <w:i/>
          <w:sz w:val="16"/>
          <w:szCs w:val="16"/>
        </w:rPr>
        <w:t>Case of Ríos et al. v. Venezuela, supra</w:t>
      </w:r>
      <w:r w:rsidRPr="00CE23AE">
        <w:rPr>
          <w:sz w:val="16"/>
          <w:szCs w:val="16"/>
        </w:rPr>
        <w:t xml:space="preserve">, para. 146. </w:t>
      </w:r>
      <w:r w:rsidRPr="00CE23AE">
        <w:rPr>
          <w:b/>
          <w:sz w:val="16"/>
          <w:szCs w:val="16"/>
        </w:rPr>
        <w:t xml:space="preserve"> </w:t>
      </w:r>
    </w:p>
  </w:footnote>
  <w:footnote w:id="175">
    <w:p w14:paraId="33FD01E0" w14:textId="6D08614D" w:rsidR="00673461" w:rsidRPr="00CE23AE" w:rsidRDefault="00673461" w:rsidP="007B1AC9">
      <w:pPr>
        <w:pStyle w:val="Textonotapie"/>
        <w:tabs>
          <w:tab w:val="left" w:pos="540"/>
          <w:tab w:val="left" w:pos="567"/>
        </w:tabs>
        <w:rPr>
          <w:szCs w:val="16"/>
          <w:lang w:val="en-US"/>
        </w:rPr>
      </w:pPr>
      <w:r w:rsidRPr="00CE23AE">
        <w:rPr>
          <w:rStyle w:val="Refdenotaalpie"/>
          <w:rFonts w:eastAsia="MS ????"/>
          <w:szCs w:val="16"/>
          <w:lang w:val="en-US"/>
        </w:rPr>
        <w:footnoteRef/>
      </w:r>
      <w:r w:rsidRPr="00CE23AE">
        <w:rPr>
          <w:szCs w:val="16"/>
          <w:lang w:val="es-CR"/>
        </w:rPr>
        <w:t xml:space="preserve"> </w:t>
      </w:r>
      <w:r w:rsidRPr="00CE23AE">
        <w:rPr>
          <w:szCs w:val="16"/>
          <w:lang w:val="es-CR"/>
        </w:rPr>
        <w:tab/>
      </w:r>
      <w:r w:rsidRPr="00CE23AE">
        <w:rPr>
          <w:i/>
          <w:szCs w:val="16"/>
          <w:lang w:val="es-CR"/>
        </w:rPr>
        <w:t>Mutatis mutandis, Case of Perozo et al. v. Venezuela, supra</w:t>
      </w:r>
      <w:r w:rsidRPr="00CE23AE">
        <w:rPr>
          <w:szCs w:val="16"/>
          <w:lang w:val="es-CR"/>
        </w:rPr>
        <w:t xml:space="preserve">, para. 158, and </w:t>
      </w:r>
      <w:r w:rsidRPr="00CE23AE">
        <w:rPr>
          <w:i/>
          <w:szCs w:val="16"/>
          <w:lang w:val="es-CR"/>
        </w:rPr>
        <w:t>Case of Ríos et al. v. Venezuela</w:t>
      </w:r>
      <w:r w:rsidRPr="00CE23AE">
        <w:rPr>
          <w:szCs w:val="16"/>
          <w:lang w:val="es-CR"/>
        </w:rPr>
        <w:t xml:space="preserve">, </w:t>
      </w:r>
      <w:r w:rsidRPr="00CE23AE">
        <w:rPr>
          <w:i/>
          <w:szCs w:val="16"/>
          <w:lang w:val="es-CR"/>
        </w:rPr>
        <w:t>supra</w:t>
      </w:r>
      <w:r w:rsidRPr="00CE23AE">
        <w:rPr>
          <w:szCs w:val="16"/>
          <w:lang w:val="es-CR"/>
        </w:rPr>
        <w:t xml:space="preserve">, para. </w:t>
      </w:r>
      <w:r w:rsidRPr="00CE23AE">
        <w:rPr>
          <w:szCs w:val="16"/>
          <w:lang w:val="en-US"/>
        </w:rPr>
        <w:t xml:space="preserve">146. </w:t>
      </w:r>
      <w:r w:rsidRPr="00CE23AE">
        <w:rPr>
          <w:b/>
          <w:szCs w:val="16"/>
          <w:lang w:val="en-US"/>
        </w:rPr>
        <w:t xml:space="preserve">   </w:t>
      </w:r>
    </w:p>
  </w:footnote>
  <w:footnote w:id="176">
    <w:p w14:paraId="38A90BE3" w14:textId="1E700008" w:rsidR="00673461" w:rsidRPr="00CE23AE" w:rsidRDefault="00673461" w:rsidP="00D5223B">
      <w:pPr>
        <w:tabs>
          <w:tab w:val="left" w:pos="540"/>
          <w:tab w:val="left" w:pos="567"/>
        </w:tabs>
        <w:spacing w:before="120" w:after="120"/>
        <w:rPr>
          <w:rFonts w:eastAsiaTheme="minorHAnsi" w:cs="Arial"/>
          <w:sz w:val="16"/>
          <w:szCs w:val="16"/>
          <w:lang w:val="en-US" w:eastAsia="en-US"/>
        </w:rPr>
      </w:pPr>
      <w:r w:rsidRPr="00CE23AE">
        <w:rPr>
          <w:rStyle w:val="Refdenotaalpie"/>
          <w:rFonts w:eastAsia="MS ????"/>
          <w:sz w:val="16"/>
          <w:szCs w:val="16"/>
          <w:lang w:val="en-US"/>
        </w:rPr>
        <w:footnoteRef/>
      </w:r>
      <w:r w:rsidRPr="00CE23AE">
        <w:rPr>
          <w:sz w:val="16"/>
          <w:szCs w:val="16"/>
          <w:lang w:val="en-US"/>
        </w:rPr>
        <w:t xml:space="preserve"> </w:t>
      </w:r>
      <w:r w:rsidRPr="00CE23AE">
        <w:rPr>
          <w:sz w:val="16"/>
          <w:szCs w:val="16"/>
          <w:lang w:val="en-US"/>
        </w:rPr>
        <w:tab/>
      </w:r>
      <w:r w:rsidRPr="00CE23AE">
        <w:rPr>
          <w:rFonts w:eastAsiaTheme="minorHAnsi" w:cstheme="minorBidi"/>
          <w:i/>
          <w:sz w:val="16"/>
          <w:szCs w:val="16"/>
          <w:lang w:val="en-US" w:eastAsia="en-US"/>
        </w:rPr>
        <w:t xml:space="preserve">Cf. </w:t>
      </w:r>
      <w:r w:rsidRPr="00CE23AE">
        <w:rPr>
          <w:rFonts w:eastAsiaTheme="minorHAnsi" w:cs="Arial"/>
          <w:sz w:val="16"/>
          <w:szCs w:val="16"/>
          <w:lang w:val="en-US" w:eastAsia="en-US"/>
        </w:rPr>
        <w:t xml:space="preserve">Committee on Economic, Social and Cultural Rights, </w:t>
      </w:r>
      <w:r w:rsidRPr="00CE23AE">
        <w:rPr>
          <w:rFonts w:eastAsiaTheme="minorHAnsi" w:cs="Arial"/>
          <w:i/>
          <w:sz w:val="16"/>
          <w:szCs w:val="16"/>
          <w:lang w:val="en-US" w:eastAsia="en-US"/>
        </w:rPr>
        <w:t>General Comment No. 20. Non-discrimination and economic, social and cultural rights (art, 2, para. 2 of the International Covenant on</w:t>
      </w:r>
      <w:r w:rsidRPr="00CE23AE">
        <w:rPr>
          <w:rFonts w:eastAsiaTheme="minorHAnsi" w:cs="Arial"/>
          <w:i/>
          <w:iCs/>
          <w:sz w:val="16"/>
          <w:szCs w:val="16"/>
          <w:lang w:val="en-US" w:eastAsia="en-US"/>
        </w:rPr>
        <w:t xml:space="preserve"> Economic, Social and Cultural Rights</w:t>
      </w:r>
      <w:r w:rsidRPr="00CE23AE">
        <w:rPr>
          <w:rFonts w:eastAsiaTheme="minorHAnsi" w:cs="Arial"/>
          <w:i/>
          <w:sz w:val="16"/>
          <w:szCs w:val="16"/>
          <w:lang w:val="en-US" w:eastAsia="en-US"/>
        </w:rPr>
        <w:t xml:space="preserve">), </w:t>
      </w:r>
      <w:r w:rsidRPr="00CE23AE">
        <w:rPr>
          <w:rFonts w:eastAsiaTheme="minorHAnsi" w:cs="Arial"/>
          <w:sz w:val="16"/>
          <w:szCs w:val="16"/>
          <w:lang w:val="en-US" w:eastAsia="en-US"/>
        </w:rPr>
        <w:t>para. 16,</w:t>
      </w:r>
      <w:r w:rsidRPr="00CE23AE">
        <w:rPr>
          <w:rFonts w:eastAsiaTheme="minorHAnsi" w:cs="Arial"/>
          <w:i/>
          <w:sz w:val="16"/>
          <w:szCs w:val="16"/>
          <w:lang w:val="en-US" w:eastAsia="en-US"/>
        </w:rPr>
        <w:t xml:space="preserve"> </w:t>
      </w:r>
      <w:r w:rsidRPr="00CE23AE">
        <w:rPr>
          <w:rFonts w:eastAsiaTheme="minorHAnsi" w:cs="Arial"/>
          <w:sz w:val="16"/>
          <w:szCs w:val="16"/>
          <w:lang w:val="en-US" w:eastAsia="en-US"/>
        </w:rPr>
        <w:t xml:space="preserve">E/C.12/GC/20. Available at: </w:t>
      </w:r>
      <w:hyperlink r:id="rId6" w:history="1">
        <w:r w:rsidRPr="00CE23AE">
          <w:rPr>
            <w:rStyle w:val="Hipervnculo"/>
            <w:rFonts w:eastAsiaTheme="minorHAnsi" w:cs="Arial"/>
            <w:sz w:val="16"/>
            <w:szCs w:val="16"/>
            <w:lang w:val="en-US" w:eastAsia="en-US"/>
          </w:rPr>
          <w:t>https://undocs.org/E/C.12/GC/20</w:t>
        </w:r>
      </w:hyperlink>
      <w:r w:rsidRPr="00CE23AE">
        <w:rPr>
          <w:rFonts w:eastAsiaTheme="minorHAnsi" w:cs="Arial"/>
          <w:sz w:val="16"/>
          <w:szCs w:val="16"/>
          <w:lang w:val="en-US" w:eastAsia="en-US"/>
        </w:rPr>
        <w:t>.</w:t>
      </w:r>
    </w:p>
  </w:footnote>
  <w:footnote w:id="177">
    <w:p w14:paraId="3A0E4DF4" w14:textId="5FA8FD10" w:rsidR="00673461" w:rsidRPr="00CE23AE" w:rsidRDefault="00673461" w:rsidP="007B1AC9">
      <w:pPr>
        <w:pStyle w:val="Textonotapie"/>
        <w:tabs>
          <w:tab w:val="left" w:pos="540"/>
          <w:tab w:val="left" w:pos="567"/>
        </w:tabs>
        <w:rPr>
          <w:rFonts w:eastAsiaTheme="minorHAnsi" w:cstheme="minorBidi"/>
          <w:szCs w:val="16"/>
          <w:lang w:val="en-US" w:eastAsia="en-US"/>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r>
      <w:r w:rsidRPr="00CE23AE">
        <w:rPr>
          <w:rFonts w:eastAsiaTheme="minorHAnsi" w:cstheme="minorBidi"/>
          <w:szCs w:val="16"/>
          <w:lang w:val="en-US" w:eastAsia="en-US"/>
        </w:rPr>
        <w:t xml:space="preserve">See, for example, the Inter-American Convention on the Elimination of All Forms of Discrimination against Persons with Disabilities, Article I; Resolution 275 on Protection against Violence and other Human Rights Violations against Persons on the basis of their real or imputed Sexual Orientation or Gender Identity of the African Commission on Human and Peoples’ Rights, para. 4, May 12, 2014. Available at: </w:t>
      </w:r>
      <w:hyperlink r:id="rId7" w:history="1">
        <w:r w:rsidRPr="00CE23AE">
          <w:rPr>
            <w:rStyle w:val="Hipervnculo"/>
            <w:rFonts w:eastAsiaTheme="minorHAnsi" w:cstheme="minorBidi"/>
            <w:szCs w:val="16"/>
            <w:lang w:val="en-US" w:eastAsia="en-US"/>
          </w:rPr>
          <w:t>http://www.achpr.org/sessions/55th/resolutions/275/</w:t>
        </w:r>
      </w:hyperlink>
      <w:r w:rsidRPr="00CE23AE">
        <w:rPr>
          <w:rFonts w:eastAsiaTheme="minorHAnsi" w:cstheme="minorBidi"/>
          <w:szCs w:val="16"/>
          <w:lang w:val="en-US" w:eastAsia="en-US"/>
        </w:rPr>
        <w:t xml:space="preserve">. The concept was also included in the Report of the United Nations High Commissioner for Human Rights, “Discrimination and violence against individuals based on their sexual orientation and gender identity,” A/HRC/C/29/23, of May 4, 2015, para. 17. Available at: </w:t>
      </w:r>
      <w:hyperlink r:id="rId8" w:history="1">
        <w:r w:rsidRPr="00CE23AE">
          <w:rPr>
            <w:rStyle w:val="Hipervnculo"/>
            <w:rFonts w:eastAsiaTheme="minorHAnsi" w:cstheme="minorBidi"/>
            <w:szCs w:val="16"/>
            <w:lang w:val="en-US" w:eastAsia="en-US"/>
          </w:rPr>
          <w:t>http://www.ohchr.org/EN/HRBodies/HRC/RegularSessions/Session29/Pages/ListReports.aspx</w:t>
        </w:r>
      </w:hyperlink>
      <w:r w:rsidRPr="00CE23AE">
        <w:rPr>
          <w:rFonts w:eastAsiaTheme="minorHAnsi" w:cstheme="minorBidi"/>
          <w:szCs w:val="16"/>
          <w:lang w:val="en-US" w:eastAsia="en-US"/>
        </w:rPr>
        <w:t xml:space="preserve">. </w:t>
      </w:r>
    </w:p>
  </w:footnote>
  <w:footnote w:id="178">
    <w:p w14:paraId="51D160DB" w14:textId="1B087F9A" w:rsidR="00673461" w:rsidRPr="00CE23AE" w:rsidRDefault="00673461" w:rsidP="00F43E64">
      <w:pPr>
        <w:pStyle w:val="Ttulo3"/>
        <w:ind w:left="0"/>
        <w:rPr>
          <w:rFonts w:ascii="Times New Roman" w:hAnsi="Times New Roman"/>
          <w:b w:val="0"/>
          <w:bCs/>
          <w:sz w:val="16"/>
          <w:szCs w:val="16"/>
          <w:lang w:val="en-US" w:eastAsia="en-US"/>
        </w:rPr>
      </w:pPr>
      <w:r w:rsidRPr="00CE23AE">
        <w:rPr>
          <w:rStyle w:val="Refdenotaalpie"/>
          <w:rFonts w:eastAsia="MS ????"/>
          <w:b w:val="0"/>
          <w:bCs/>
          <w:sz w:val="16"/>
          <w:szCs w:val="16"/>
          <w:lang w:val="en-US"/>
        </w:rPr>
        <w:footnoteRef/>
      </w:r>
      <w:r w:rsidRPr="00CE23AE">
        <w:rPr>
          <w:b w:val="0"/>
          <w:bCs/>
          <w:sz w:val="16"/>
          <w:szCs w:val="16"/>
          <w:lang w:val="fr-FR"/>
        </w:rPr>
        <w:t xml:space="preserve"> </w:t>
      </w:r>
      <w:r w:rsidRPr="00CE23AE">
        <w:rPr>
          <w:b w:val="0"/>
          <w:bCs/>
          <w:sz w:val="16"/>
          <w:szCs w:val="16"/>
          <w:lang w:val="fr-FR"/>
        </w:rPr>
        <w:tab/>
      </w:r>
      <w:r w:rsidRPr="00CE23AE">
        <w:rPr>
          <w:rFonts w:eastAsiaTheme="minorHAnsi" w:cstheme="minorBidi"/>
          <w:b w:val="0"/>
          <w:bCs/>
          <w:sz w:val="16"/>
          <w:szCs w:val="16"/>
          <w:lang w:val="fr-FR" w:eastAsia="en-US"/>
        </w:rPr>
        <w:t xml:space="preserve">See, for example, Canada, Case of </w:t>
      </w:r>
      <w:r w:rsidRPr="00CE23AE">
        <w:rPr>
          <w:rFonts w:eastAsiaTheme="minorHAnsi" w:cstheme="minorBidi"/>
          <w:b w:val="0"/>
          <w:bCs/>
          <w:i/>
          <w:sz w:val="16"/>
          <w:szCs w:val="16"/>
          <w:lang w:val="fr-FR" w:eastAsia="en-US"/>
        </w:rPr>
        <w:t>Quebec (</w:t>
      </w:r>
      <w:r w:rsidRPr="00CE23AE">
        <w:rPr>
          <w:b w:val="0"/>
          <w:bCs/>
          <w:i/>
          <w:iCs/>
          <w:sz w:val="16"/>
          <w:szCs w:val="16"/>
          <w:lang w:val="fr-FR"/>
        </w:rPr>
        <w:t>Commission des droits de la personne et des droits de la jeunesse) v. Communauté urbaine de Montréal</w:t>
      </w:r>
      <w:r w:rsidRPr="00CE23AE">
        <w:rPr>
          <w:b w:val="0"/>
          <w:bCs/>
          <w:sz w:val="16"/>
          <w:szCs w:val="16"/>
          <w:lang w:val="fr-FR"/>
        </w:rPr>
        <w:t xml:space="preserve">. </w:t>
      </w:r>
      <w:r w:rsidRPr="00CE23AE">
        <w:rPr>
          <w:rFonts w:eastAsiaTheme="minorHAnsi" w:cstheme="minorBidi"/>
          <w:b w:val="0"/>
          <w:bCs/>
          <w:sz w:val="16"/>
          <w:szCs w:val="16"/>
          <w:lang w:val="en-US" w:eastAsia="en-US"/>
        </w:rPr>
        <w:t xml:space="preserve">No. 2000 SCC 27, Supreme Court of Canada, May 3, 2000, para. 56; </w:t>
      </w:r>
      <w:r w:rsidRPr="00CE23AE">
        <w:rPr>
          <w:rFonts w:cs="Arial"/>
          <w:b w:val="0"/>
          <w:bCs/>
          <w:sz w:val="16"/>
          <w:szCs w:val="16"/>
          <w:shd w:val="clear" w:color="auto" w:fill="FFFFFF"/>
          <w:lang w:val="en-US"/>
        </w:rPr>
        <w:t>United States of America, The Americans with Disabilities Act (ADA) 1990, section 12102; France, 1994 Criminal Code of France, articles 132-77 and 225-1, and the United Kingdom: 1995 Disability Discrimination Act, amended in 2003, section 3B.</w:t>
      </w:r>
    </w:p>
  </w:footnote>
  <w:footnote w:id="179">
    <w:p w14:paraId="687D9BE1" w14:textId="3DD3C2DB" w:rsidR="00673461" w:rsidRPr="00CE23AE" w:rsidRDefault="00673461" w:rsidP="007B1AC9">
      <w:pPr>
        <w:pStyle w:val="Textonotapie"/>
        <w:tabs>
          <w:tab w:val="left" w:pos="540"/>
          <w:tab w:val="left" w:pos="567"/>
        </w:tabs>
        <w:rPr>
          <w:bCs/>
          <w:i/>
          <w:szCs w:val="16"/>
          <w:lang w:val="en-US"/>
        </w:rPr>
      </w:pPr>
      <w:r w:rsidRPr="00CE23AE">
        <w:rPr>
          <w:rStyle w:val="Refdenotaalpie"/>
          <w:rFonts w:eastAsia="MS ????"/>
          <w:bCs/>
          <w:szCs w:val="16"/>
          <w:lang w:val="en-US"/>
        </w:rPr>
        <w:footnoteRef/>
      </w:r>
      <w:r w:rsidRPr="00CE23AE">
        <w:rPr>
          <w:bCs/>
          <w:szCs w:val="16"/>
          <w:lang w:val="en-US"/>
        </w:rPr>
        <w:t xml:space="preserve"> </w:t>
      </w:r>
      <w:r w:rsidRPr="00CE23AE">
        <w:rPr>
          <w:bCs/>
          <w:szCs w:val="16"/>
          <w:lang w:val="en-US"/>
        </w:rPr>
        <w:tab/>
      </w:r>
      <w:r w:rsidRPr="00CE23AE">
        <w:rPr>
          <w:bCs/>
          <w:i/>
          <w:szCs w:val="16"/>
          <w:lang w:val="en-US"/>
        </w:rPr>
        <w:t xml:space="preserve">Cf. </w:t>
      </w:r>
      <w:r w:rsidRPr="00CE23AE">
        <w:rPr>
          <w:bCs/>
          <w:szCs w:val="16"/>
          <w:lang w:val="en-US"/>
        </w:rPr>
        <w:t>ECHR,</w:t>
      </w:r>
      <w:r w:rsidRPr="00CE23AE">
        <w:rPr>
          <w:bCs/>
          <w:i/>
          <w:szCs w:val="16"/>
          <w:lang w:val="en-US"/>
        </w:rPr>
        <w:t xml:space="preserve"> Case of Dudgeon v. The </w:t>
      </w:r>
      <w:r w:rsidRPr="00CE23AE">
        <w:rPr>
          <w:rFonts w:cs="Arial"/>
          <w:bCs/>
          <w:szCs w:val="16"/>
          <w:shd w:val="clear" w:color="auto" w:fill="FFFFFF"/>
          <w:lang w:val="en-US"/>
        </w:rPr>
        <w:t>United Kingdom</w:t>
      </w:r>
      <w:r w:rsidRPr="00CE23AE">
        <w:rPr>
          <w:bCs/>
          <w:szCs w:val="16"/>
          <w:lang w:val="en-US"/>
        </w:rPr>
        <w:t xml:space="preserve">, Application No. 7525/76, Judgment of October 22, 1981, paras. 60 and 61. </w:t>
      </w:r>
      <w:r w:rsidRPr="00CE23AE">
        <w:rPr>
          <w:bCs/>
          <w:iCs/>
          <w:szCs w:val="16"/>
          <w:lang w:val="en-US"/>
        </w:rPr>
        <w:t>See also,</w:t>
      </w:r>
      <w:r w:rsidRPr="00CE23AE">
        <w:rPr>
          <w:bCs/>
          <w:i/>
          <w:szCs w:val="16"/>
          <w:lang w:val="en-US"/>
        </w:rPr>
        <w:t xml:space="preserve"> Case of A.D.T. v. The </w:t>
      </w:r>
      <w:r w:rsidRPr="00CE23AE">
        <w:rPr>
          <w:rFonts w:cs="Arial"/>
          <w:bCs/>
          <w:szCs w:val="16"/>
          <w:shd w:val="clear" w:color="auto" w:fill="FFFFFF"/>
          <w:lang w:val="en-US"/>
        </w:rPr>
        <w:t>United Kingdom</w:t>
      </w:r>
      <w:r w:rsidRPr="00CE23AE">
        <w:rPr>
          <w:bCs/>
          <w:szCs w:val="16"/>
          <w:lang w:val="en-US"/>
        </w:rPr>
        <w:t>, Application No. 35765/97, Judgment of July 31, 2000, paras. 37 and 38.</w:t>
      </w:r>
    </w:p>
  </w:footnote>
  <w:footnote w:id="180">
    <w:p w14:paraId="35D1FD47" w14:textId="7C4078F6" w:rsidR="00673461" w:rsidRPr="00CE23AE" w:rsidRDefault="00673461" w:rsidP="007B1AC9">
      <w:pPr>
        <w:pStyle w:val="Textonotapie"/>
        <w:tabs>
          <w:tab w:val="left" w:pos="540"/>
          <w:tab w:val="left" w:pos="567"/>
        </w:tabs>
        <w:rPr>
          <w:b/>
          <w:szCs w:val="16"/>
          <w:lang w:val="en-US"/>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 xml:space="preserve">Human Rights Committee, </w:t>
      </w:r>
      <w:r w:rsidRPr="00CE23AE">
        <w:rPr>
          <w:i/>
          <w:szCs w:val="16"/>
          <w:lang w:val="en-US"/>
        </w:rPr>
        <w:t>Toonen v. Australia</w:t>
      </w:r>
      <w:r w:rsidRPr="00CE23AE">
        <w:rPr>
          <w:szCs w:val="16"/>
          <w:lang w:val="en-US"/>
        </w:rPr>
        <w:t>, Communication No. 488/1992. Decision of March 31, 1994, paras. 8.3 to 8.6. See also,</w:t>
      </w:r>
      <w:r w:rsidRPr="00CE23AE">
        <w:rPr>
          <w:i/>
          <w:szCs w:val="16"/>
          <w:lang w:val="en-US"/>
        </w:rPr>
        <w:t xml:space="preserve"> </w:t>
      </w:r>
      <w:r w:rsidRPr="00CE23AE">
        <w:rPr>
          <w:szCs w:val="16"/>
          <w:lang w:val="en-US"/>
        </w:rPr>
        <w:t xml:space="preserve">Constitutional Court of South Africa, </w:t>
      </w:r>
      <w:r w:rsidRPr="00CE23AE">
        <w:rPr>
          <w:i/>
          <w:szCs w:val="16"/>
          <w:lang w:val="en-US"/>
        </w:rPr>
        <w:t xml:space="preserve">Case of the National Coalition for Gay and Lesbian Equality and Another v. Ministry of Justice and Others, </w:t>
      </w:r>
      <w:r w:rsidRPr="00CE23AE">
        <w:rPr>
          <w:szCs w:val="16"/>
          <w:lang w:val="en-US"/>
        </w:rPr>
        <w:t>Case of CCT11/98, Judgment of October 9, 1998, para. 26(b).</w:t>
      </w:r>
    </w:p>
  </w:footnote>
  <w:footnote w:id="181">
    <w:p w14:paraId="53EE4DE8" w14:textId="72F425D3" w:rsidR="00673461" w:rsidRPr="00CE23AE" w:rsidRDefault="00673461" w:rsidP="007B1AC9">
      <w:pPr>
        <w:pStyle w:val="Textonotapie"/>
        <w:tabs>
          <w:tab w:val="left" w:pos="540"/>
          <w:tab w:val="left" w:pos="567"/>
        </w:tabs>
        <w:rPr>
          <w:szCs w:val="16"/>
          <w:lang w:val="en-US"/>
        </w:rPr>
      </w:pPr>
      <w:r w:rsidRPr="00CE23AE">
        <w:rPr>
          <w:rStyle w:val="Refdenotaalpie"/>
          <w:rFonts w:eastAsia="Calibri"/>
          <w:szCs w:val="16"/>
          <w:lang w:val="en-US"/>
        </w:rPr>
        <w:footnoteRef/>
      </w:r>
      <w:r w:rsidRPr="00CE23AE">
        <w:rPr>
          <w:szCs w:val="16"/>
          <w:lang w:val="en-US"/>
        </w:rPr>
        <w:t xml:space="preserve"> </w:t>
      </w:r>
      <w:r w:rsidRPr="00CE23AE">
        <w:rPr>
          <w:szCs w:val="16"/>
          <w:lang w:val="en-US"/>
        </w:rPr>
        <w:tab/>
        <w:t>The International Labour Organization (ILO), the United Nations High Commissioner for Human Rights (UNHCHR), the United Nations Development Programme (UNDP), the United Nations Education, Scientific and Cultural Organization (UNESCO), the United Nations Population Fund (UNFPA), the United Nations High Commissioner for Refugees (UNHCR), the United Nations International Children’s Fund (UNICEF), the United Nations Office on Drugs and Crime (UNODC), t</w:t>
      </w:r>
      <w:r w:rsidRPr="00CE23AE">
        <w:rPr>
          <w:lang w:val="en-US"/>
        </w:rPr>
        <w:t>he United Nations Entity for Gender Equality and the Empowerment of Women (UN Women), the World Food Programme (WFP), the World Health Organization (WHO), and the Joint United Nations Programme on HIV and AIDS (UNAIDS).</w:t>
      </w:r>
    </w:p>
  </w:footnote>
  <w:footnote w:id="182">
    <w:p w14:paraId="782F9133" w14:textId="289B6F77" w:rsidR="00673461" w:rsidRPr="00CE23AE" w:rsidRDefault="00673461" w:rsidP="007B1AC9">
      <w:pPr>
        <w:pStyle w:val="Textonotapie"/>
        <w:tabs>
          <w:tab w:val="left" w:pos="540"/>
          <w:tab w:val="left" w:pos="567"/>
        </w:tabs>
        <w:rPr>
          <w:szCs w:val="16"/>
          <w:lang w:val="en-US"/>
        </w:rPr>
      </w:pPr>
      <w:r w:rsidRPr="00CE23AE">
        <w:rPr>
          <w:rStyle w:val="Refdenotaalpie"/>
          <w:rFonts w:eastAsia="Calibri"/>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 xml:space="preserve">United Nations entities call on States to act urgently to end violence and discrimination against lesbian, gay, bisexual, transgender and intersex (LGBTI) adults, adolescents and children (September 2015). Available at: </w:t>
      </w:r>
      <w:hyperlink r:id="rId9" w:history="1">
        <w:r w:rsidRPr="00CE23AE">
          <w:rPr>
            <w:rStyle w:val="Hipervnculo"/>
            <w:szCs w:val="16"/>
            <w:lang w:val="en-US"/>
          </w:rPr>
          <w:t>http://www.ohchr.org/Documents/Issues/Discrimination/Joint_LGBTI_Statement_ENG.PDF</w:t>
        </w:r>
      </w:hyperlink>
      <w:r w:rsidRPr="00CE23AE">
        <w:rPr>
          <w:szCs w:val="16"/>
          <w:lang w:val="en-US"/>
        </w:rPr>
        <w:t xml:space="preserve"> </w:t>
      </w:r>
    </w:p>
  </w:footnote>
  <w:footnote w:id="183">
    <w:p w14:paraId="53E23C26" w14:textId="7D1C790C" w:rsidR="00673461" w:rsidRPr="00CE23AE" w:rsidRDefault="00673461" w:rsidP="007B1AC9">
      <w:pPr>
        <w:pStyle w:val="Textonotapie"/>
        <w:tabs>
          <w:tab w:val="left" w:pos="540"/>
          <w:tab w:val="left" w:pos="567"/>
        </w:tabs>
        <w:rPr>
          <w:szCs w:val="16"/>
          <w:lang w:val="en-US"/>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r>
      <w:r w:rsidRPr="00CE23AE">
        <w:rPr>
          <w:rFonts w:eastAsiaTheme="minorHAnsi" w:cstheme="minorBidi"/>
          <w:szCs w:val="16"/>
          <w:lang w:val="en-US" w:eastAsia="en-US"/>
        </w:rPr>
        <w:t xml:space="preserve">United Nations High Commissioner for Human Rights, “Discrimination and violence against individuals based on their sexual orientation and gender identity,” </w:t>
      </w:r>
      <w:r w:rsidRPr="00CE23AE">
        <w:rPr>
          <w:szCs w:val="16"/>
          <w:lang w:val="en-US"/>
        </w:rPr>
        <w:t>A/HRC/19/41, November 17, 2011, para. 40.</w:t>
      </w:r>
    </w:p>
  </w:footnote>
  <w:footnote w:id="184">
    <w:p w14:paraId="292A69EE" w14:textId="3325BB17"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 Case of Vélez Restrepo and family members v. Colombia. Preliminary objection, merits, reparations and costs.</w:t>
      </w:r>
      <w:r w:rsidRPr="00CE23AE">
        <w:rPr>
          <w:szCs w:val="16"/>
          <w:lang w:val="en-US"/>
        </w:rPr>
        <w:t xml:space="preserve"> Judgment of September 3, 2012. Series C No. 248, para. 241, and </w:t>
      </w:r>
      <w:r w:rsidRPr="00CE23AE">
        <w:rPr>
          <w:rFonts w:eastAsiaTheme="majorEastAsia"/>
          <w:bCs/>
          <w:i/>
          <w:szCs w:val="16"/>
          <w:lang w:val="en-US"/>
        </w:rPr>
        <w:t>Case of Rodríguez Vera et al. (Disappeared from the Palace of Justice) v. Colombia, supra</w:t>
      </w:r>
      <w:r w:rsidRPr="00CE23AE">
        <w:rPr>
          <w:bCs/>
          <w:szCs w:val="16"/>
          <w:lang w:val="en-US"/>
        </w:rPr>
        <w:t>, para. 444.</w:t>
      </w:r>
    </w:p>
  </w:footnote>
  <w:footnote w:id="185">
    <w:p w14:paraId="5B2E870E" w14:textId="14787FB3" w:rsidR="00673461" w:rsidRPr="00CE23AE" w:rsidRDefault="00673461" w:rsidP="007B1AC9">
      <w:pPr>
        <w:tabs>
          <w:tab w:val="left" w:pos="540"/>
          <w:tab w:val="left" w:pos="567"/>
        </w:tabs>
        <w:spacing w:before="120" w:after="120"/>
        <w:rPr>
          <w:sz w:val="16"/>
          <w:szCs w:val="16"/>
          <w:lang w:val="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t>See, for example,</w:t>
      </w:r>
      <w:r w:rsidRPr="00CE23AE">
        <w:rPr>
          <w:i/>
          <w:sz w:val="16"/>
          <w:szCs w:val="16"/>
          <w:lang w:val="en-US"/>
        </w:rPr>
        <w:t xml:space="preserve"> </w:t>
      </w:r>
      <w:r w:rsidRPr="00CE23AE">
        <w:rPr>
          <w:sz w:val="16"/>
          <w:szCs w:val="16"/>
          <w:lang w:val="en-US"/>
        </w:rPr>
        <w:t>Human Rights Committee. General Comment No. 31,</w:t>
      </w:r>
      <w:r w:rsidRPr="00CE23AE">
        <w:rPr>
          <w:sz w:val="16"/>
          <w:szCs w:val="16"/>
          <w:lang w:val="en-US" w:eastAsia="x-none"/>
        </w:rPr>
        <w:t xml:space="preserve"> “</w:t>
      </w:r>
      <w:r w:rsidRPr="00CE23AE">
        <w:rPr>
          <w:sz w:val="16"/>
          <w:szCs w:val="16"/>
          <w:lang w:val="en-US"/>
        </w:rPr>
        <w:t>The Nature of the General Legal Obligation Imposed on States Parties to the Covenant</w:t>
      </w:r>
      <w:r w:rsidRPr="00CE23AE">
        <w:rPr>
          <w:sz w:val="16"/>
          <w:szCs w:val="16"/>
          <w:lang w:val="en-US" w:eastAsia="x-none"/>
        </w:rPr>
        <w:t>,” CCPR/C/21/Rev.1/Add.13</w:t>
      </w:r>
      <w:r w:rsidRPr="00CE23AE">
        <w:rPr>
          <w:sz w:val="16"/>
          <w:szCs w:val="16"/>
          <w:lang w:val="en-US"/>
        </w:rPr>
        <w:t xml:space="preserve">, </w:t>
      </w:r>
      <w:r w:rsidRPr="00CE23AE">
        <w:rPr>
          <w:sz w:val="16"/>
          <w:szCs w:val="16"/>
          <w:lang w:val="en-US" w:eastAsia="x-none"/>
        </w:rPr>
        <w:t>May 26, 2004</w:t>
      </w:r>
      <w:r w:rsidRPr="00CE23AE">
        <w:rPr>
          <w:sz w:val="16"/>
          <w:szCs w:val="16"/>
          <w:lang w:val="en-US"/>
        </w:rPr>
        <w:t xml:space="preserve">, para. 5; Committee on Economic, Social and Cultural Rights for the International Covenant on Economic, Social and Cultural Rights, General Comment No. 20, “Non-discrimination in economic, social and cultural rights (art. 2, para. 2 of the International Covenant on Economic, Social and Cultural Rights), E/C.12/GC/20, </w:t>
      </w:r>
      <w:r w:rsidRPr="00CE23AE">
        <w:rPr>
          <w:sz w:val="16"/>
          <w:szCs w:val="16"/>
          <w:lang w:val="en-US" w:eastAsia="x-none"/>
        </w:rPr>
        <w:t>July 2, 2009</w:t>
      </w:r>
      <w:r w:rsidRPr="00CE23AE">
        <w:rPr>
          <w:sz w:val="16"/>
          <w:szCs w:val="16"/>
          <w:lang w:val="en-US"/>
        </w:rPr>
        <w:t>, paras. 7 and 17</w:t>
      </w:r>
      <w:r w:rsidRPr="00CE23AE">
        <w:rPr>
          <w:rStyle w:val="Textoennegrita"/>
          <w:rFonts w:eastAsiaTheme="majorEastAsia"/>
          <w:b w:val="0"/>
          <w:sz w:val="16"/>
          <w:szCs w:val="16"/>
          <w:shd w:val="clear" w:color="auto" w:fill="FFFFFF"/>
          <w:lang w:val="en-US"/>
        </w:rPr>
        <w:t xml:space="preserve">, and </w:t>
      </w:r>
      <w:r w:rsidRPr="00CE23AE">
        <w:rPr>
          <w:sz w:val="16"/>
          <w:szCs w:val="16"/>
          <w:lang w:val="en-US"/>
        </w:rPr>
        <w:t xml:space="preserve">Committee on Economic, Social and Cultural Rights, </w:t>
      </w:r>
      <w:r w:rsidRPr="00CE23AE">
        <w:rPr>
          <w:rStyle w:val="Textoennegrita"/>
          <w:rFonts w:eastAsiaTheme="majorEastAsia"/>
          <w:b w:val="0"/>
          <w:sz w:val="16"/>
          <w:szCs w:val="16"/>
          <w:shd w:val="clear" w:color="auto" w:fill="FFFFFF"/>
          <w:lang w:val="en-US"/>
        </w:rPr>
        <w:t xml:space="preserve">General Comment 13, “The right to education (art. 13 of the Covenant)”, E/C.12/1999/10, December 8, 1999, </w:t>
      </w:r>
      <w:r w:rsidRPr="00CE23AE">
        <w:rPr>
          <w:sz w:val="16"/>
          <w:szCs w:val="16"/>
          <w:lang w:val="en-US"/>
        </w:rPr>
        <w:t>para. 31.</w:t>
      </w:r>
    </w:p>
  </w:footnote>
  <w:footnote w:id="186">
    <w:p w14:paraId="23001BC0" w14:textId="57483694"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Case of Atala Riffo and daughters v. Chile, supra</w:t>
      </w:r>
      <w:r w:rsidRPr="00CE23AE">
        <w:rPr>
          <w:szCs w:val="16"/>
          <w:lang w:val="en-US"/>
        </w:rPr>
        <w:t xml:space="preserve">, para. 92, and </w:t>
      </w:r>
      <w:r w:rsidRPr="00CE23AE">
        <w:rPr>
          <w:i/>
          <w:szCs w:val="16"/>
          <w:lang w:val="en-US"/>
        </w:rPr>
        <w:t>Case of Duque v. Colombia, supra</w:t>
      </w:r>
      <w:r w:rsidRPr="00CE23AE">
        <w:rPr>
          <w:szCs w:val="16"/>
          <w:lang w:val="en-US"/>
        </w:rPr>
        <w:t>, para. 123.</w:t>
      </w:r>
    </w:p>
  </w:footnote>
  <w:footnote w:id="187">
    <w:p w14:paraId="56354B4C" w14:textId="29305B5E" w:rsidR="00673461" w:rsidRPr="00CE23AE" w:rsidRDefault="00673461" w:rsidP="00FC3FD2">
      <w:pPr>
        <w:tabs>
          <w:tab w:val="left" w:pos="540"/>
        </w:tabs>
        <w:rPr>
          <w:sz w:val="16"/>
          <w:szCs w:val="16"/>
          <w:lang w:val="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r>
      <w:r w:rsidRPr="00CE23AE">
        <w:rPr>
          <w:rFonts w:cs="Arial"/>
          <w:sz w:val="16"/>
          <w:szCs w:val="16"/>
          <w:lang w:val="en-US" w:eastAsia="es-ES"/>
        </w:rPr>
        <w:t xml:space="preserve">In this regard, article 23.25 of the Constitution established “[t]he right to take free and responsible decisions on sexual life,” while article </w:t>
      </w:r>
      <w:r w:rsidRPr="00CE23AE">
        <w:rPr>
          <w:rFonts w:eastAsiaTheme="minorHAnsi"/>
          <w:sz w:val="16"/>
          <w:szCs w:val="16"/>
          <w:lang w:val="en-US" w:eastAsia="en-US"/>
        </w:rPr>
        <w:t>23.3 of this instrument established that: “Without prejudice to the rights established in this Constitution and in the international instruments in force, the State shall recognize and shall guarantee the following rights to everyone</w:t>
      </w:r>
      <w:r w:rsidRPr="00CE23AE">
        <w:rPr>
          <w:rFonts w:cs="Arial"/>
          <w:sz w:val="16"/>
          <w:szCs w:val="16"/>
          <w:lang w:val="en-US" w:eastAsia="es-ES"/>
        </w:rPr>
        <w:t xml:space="preserve">: […] Equality before the law. </w:t>
      </w:r>
      <w:r w:rsidRPr="00CE23AE">
        <w:rPr>
          <w:sz w:val="16"/>
          <w:szCs w:val="16"/>
          <w:lang w:val="en-US"/>
        </w:rPr>
        <w:t xml:space="preserve">Everyone shall be considered equal and shall enjoy the same rights, freedom and opportunities, without discrimination </w:t>
      </w:r>
      <w:r w:rsidRPr="00CE23AE">
        <w:rPr>
          <w:snapToGrid w:val="0"/>
          <w:spacing w:val="-3"/>
          <w:sz w:val="16"/>
          <w:szCs w:val="16"/>
          <w:lang w:val="en-US"/>
        </w:rPr>
        <w:t xml:space="preserve">for reasons of </w:t>
      </w:r>
      <w:r w:rsidRPr="00CE23AE">
        <w:rPr>
          <w:rFonts w:cs="Arial"/>
          <w:sz w:val="16"/>
          <w:szCs w:val="16"/>
          <w:lang w:val="en-US" w:eastAsia="es-ES"/>
        </w:rPr>
        <w:t>birth, age, sex, race,</w:t>
      </w:r>
      <w:r w:rsidRPr="00CE23AE">
        <w:rPr>
          <w:rFonts w:cs="Arial"/>
          <w:szCs w:val="16"/>
          <w:lang w:val="en-US" w:eastAsia="es-ES"/>
        </w:rPr>
        <w:t xml:space="preserve"> </w:t>
      </w:r>
      <w:r w:rsidRPr="00CE23AE">
        <w:rPr>
          <w:snapToGrid w:val="0"/>
          <w:spacing w:val="-3"/>
          <w:sz w:val="16"/>
          <w:szCs w:val="16"/>
          <w:lang w:val="en-US"/>
        </w:rPr>
        <w:t xml:space="preserve">color, social origin, language, religion, political opinion, economic position, </w:t>
      </w:r>
      <w:r w:rsidRPr="00CE23AE">
        <w:rPr>
          <w:i/>
          <w:iCs/>
          <w:snapToGrid w:val="0"/>
          <w:spacing w:val="-3"/>
          <w:sz w:val="16"/>
          <w:szCs w:val="16"/>
          <w:u w:val="single"/>
          <w:lang w:val="en-US"/>
        </w:rPr>
        <w:t>sexual orientation,</w:t>
      </w:r>
      <w:r w:rsidRPr="00CE23AE">
        <w:rPr>
          <w:snapToGrid w:val="0"/>
          <w:spacing w:val="-3"/>
          <w:sz w:val="16"/>
          <w:szCs w:val="16"/>
          <w:lang w:val="en-US"/>
        </w:rPr>
        <w:t xml:space="preserve"> health status, disability, or difference of any other kind</w:t>
      </w:r>
      <w:r w:rsidRPr="00CE23AE">
        <w:rPr>
          <w:rFonts w:cs="Arial"/>
          <w:sz w:val="16"/>
          <w:szCs w:val="16"/>
          <w:lang w:val="en-US" w:eastAsia="es-ES"/>
        </w:rPr>
        <w:t xml:space="preserve">” (underlining and italics added). 1998 </w:t>
      </w:r>
      <w:r w:rsidRPr="00CE23AE">
        <w:rPr>
          <w:sz w:val="16"/>
          <w:szCs w:val="16"/>
          <w:lang w:val="en-US"/>
        </w:rPr>
        <w:t>Constitution of the Republic of Ecuador, Article 23, paras. 3 and 25 (evidence file, folios 2675 and 2676).</w:t>
      </w:r>
    </w:p>
  </w:footnote>
  <w:footnote w:id="188">
    <w:p w14:paraId="55968570" w14:textId="422D4E51" w:rsidR="00673461" w:rsidRPr="00CE23AE" w:rsidRDefault="00673461" w:rsidP="007B1AC9">
      <w:pPr>
        <w:pStyle w:val="Textonotapie"/>
        <w:tabs>
          <w:tab w:val="left" w:pos="540"/>
          <w:tab w:val="left" w:pos="567"/>
        </w:tabs>
        <w:rPr>
          <w:rFonts w:cs="Vrinda"/>
          <w:spacing w:val="-4"/>
          <w:szCs w:val="16"/>
          <w:lang w:val="en-US"/>
        </w:rPr>
      </w:pPr>
      <w:r w:rsidRPr="00CE23AE">
        <w:rPr>
          <w:rStyle w:val="Refdenotaalpie"/>
          <w:rFonts w:cs="Vrinda"/>
          <w:spacing w:val="-4"/>
          <w:szCs w:val="16"/>
          <w:lang w:val="en-US"/>
        </w:rPr>
        <w:footnoteRef/>
      </w:r>
      <w:r w:rsidRPr="00CE23AE">
        <w:rPr>
          <w:rFonts w:cs="Vrinda"/>
          <w:spacing w:val="-4"/>
          <w:szCs w:val="16"/>
          <w:lang w:val="en-US"/>
        </w:rPr>
        <w:t xml:space="preserve"> </w:t>
      </w:r>
      <w:r w:rsidRPr="00CE23AE">
        <w:rPr>
          <w:rFonts w:cs="Vrinda"/>
          <w:spacing w:val="-4"/>
          <w:szCs w:val="16"/>
          <w:lang w:val="en-US"/>
        </w:rPr>
        <w:tab/>
      </w:r>
      <w:r w:rsidRPr="00CE23AE">
        <w:rPr>
          <w:rFonts w:cs="Vrinda"/>
          <w:i/>
          <w:spacing w:val="-4"/>
          <w:szCs w:val="16"/>
          <w:lang w:val="en-US"/>
        </w:rPr>
        <w:t xml:space="preserve">Cf. </w:t>
      </w:r>
      <w:r w:rsidRPr="00CE23AE">
        <w:rPr>
          <w:bCs/>
          <w:i/>
          <w:szCs w:val="16"/>
          <w:lang w:val="en-US"/>
        </w:rPr>
        <w:t>Juridical Status and Human Rights of the Child</w:t>
      </w:r>
      <w:r w:rsidRPr="00CE23AE">
        <w:rPr>
          <w:i/>
          <w:szCs w:val="16"/>
          <w:lang w:val="en-US"/>
        </w:rPr>
        <w:t xml:space="preserve">. </w:t>
      </w:r>
      <w:r w:rsidRPr="00CE23AE">
        <w:rPr>
          <w:szCs w:val="16"/>
          <w:lang w:val="en-US"/>
        </w:rPr>
        <w:t xml:space="preserve">Advisory Opinion OC-17/02 of August 28, 2002. </w:t>
      </w:r>
      <w:r w:rsidRPr="00CE23AE">
        <w:rPr>
          <w:szCs w:val="16"/>
          <w:lang w:val="es-CR"/>
        </w:rPr>
        <w:t>Series A No. 17</w:t>
      </w:r>
      <w:r w:rsidRPr="00CE23AE">
        <w:rPr>
          <w:i/>
          <w:szCs w:val="16"/>
          <w:lang w:val="es-CR"/>
        </w:rPr>
        <w:t xml:space="preserve">, </w:t>
      </w:r>
      <w:r w:rsidRPr="00CE23AE">
        <w:rPr>
          <w:bCs/>
          <w:szCs w:val="16"/>
          <w:lang w:val="es-CR"/>
        </w:rPr>
        <w:t>para.</w:t>
      </w:r>
      <w:r w:rsidRPr="00CE23AE">
        <w:rPr>
          <w:bCs/>
          <w:i/>
          <w:szCs w:val="16"/>
          <w:lang w:val="es-CR"/>
        </w:rPr>
        <w:t xml:space="preserve"> </w:t>
      </w:r>
      <w:r w:rsidRPr="00CE23AE">
        <w:rPr>
          <w:rFonts w:cs="Vrinda"/>
          <w:spacing w:val="-4"/>
          <w:szCs w:val="16"/>
          <w:lang w:val="es-CR"/>
        </w:rPr>
        <w:t xml:space="preserve">46, and </w:t>
      </w:r>
      <w:r w:rsidRPr="00CE23AE">
        <w:rPr>
          <w:i/>
          <w:szCs w:val="16"/>
          <w:lang w:val="es-CR"/>
        </w:rPr>
        <w:t>Case of Duque v. Colombia, supra</w:t>
      </w:r>
      <w:r w:rsidRPr="00CE23AE">
        <w:rPr>
          <w:szCs w:val="16"/>
          <w:lang w:val="es-CR"/>
        </w:rPr>
        <w:t xml:space="preserve">, para. </w:t>
      </w:r>
      <w:r w:rsidRPr="00CE23AE">
        <w:rPr>
          <w:szCs w:val="16"/>
          <w:lang w:val="en-US"/>
        </w:rPr>
        <w:t>106.</w:t>
      </w:r>
    </w:p>
  </w:footnote>
  <w:footnote w:id="189">
    <w:p w14:paraId="0A8A09EF" w14:textId="3BAC07BA" w:rsidR="00673461" w:rsidRPr="00CE23AE" w:rsidRDefault="00673461" w:rsidP="007B1AC9">
      <w:pPr>
        <w:pStyle w:val="Textonotapie"/>
        <w:tabs>
          <w:tab w:val="left" w:pos="540"/>
          <w:tab w:val="left" w:pos="567"/>
        </w:tabs>
        <w:rPr>
          <w:rFonts w:cs="Vrinda"/>
          <w:spacing w:val="-4"/>
          <w:szCs w:val="16"/>
          <w:lang w:val="es-CR"/>
        </w:rPr>
      </w:pPr>
      <w:r w:rsidRPr="00CE23AE">
        <w:rPr>
          <w:rStyle w:val="Refdenotaalpie"/>
          <w:rFonts w:cs="Vrinda"/>
          <w:spacing w:val="-4"/>
          <w:szCs w:val="16"/>
          <w:lang w:val="en-US"/>
        </w:rPr>
        <w:footnoteRef/>
      </w:r>
      <w:r w:rsidRPr="00CE23AE">
        <w:rPr>
          <w:rFonts w:cs="Vrinda"/>
          <w:spacing w:val="-4"/>
          <w:szCs w:val="16"/>
          <w:lang w:val="en-US"/>
        </w:rPr>
        <w:t xml:space="preserve"> </w:t>
      </w:r>
      <w:r w:rsidRPr="00CE23AE">
        <w:rPr>
          <w:rFonts w:cs="Vrinda"/>
          <w:spacing w:val="-4"/>
          <w:szCs w:val="16"/>
          <w:lang w:val="en-US"/>
        </w:rPr>
        <w:tab/>
      </w:r>
      <w:r w:rsidRPr="00CE23AE">
        <w:rPr>
          <w:rFonts w:cs="Vrinda"/>
          <w:i/>
          <w:spacing w:val="-4"/>
          <w:szCs w:val="16"/>
          <w:lang w:val="en-US"/>
        </w:rPr>
        <w:t xml:space="preserve">Cf. </w:t>
      </w:r>
      <w:r w:rsidRPr="00CE23AE">
        <w:rPr>
          <w:rStyle w:val="Textoennegrita"/>
          <w:rFonts w:eastAsia="MS Gothic" w:cs="Vrinda"/>
          <w:b w:val="0"/>
          <w:i/>
          <w:color w:val="000000"/>
          <w:spacing w:val="-4"/>
          <w:szCs w:val="16"/>
          <w:lang w:val="en-US"/>
        </w:rPr>
        <w:t>Case of Norín Catrimán (Leaders, members and activist of the Mapuche Indigenous People) et al. v. Chile</w:t>
      </w:r>
      <w:r w:rsidRPr="00CE23AE">
        <w:rPr>
          <w:rFonts w:cs="Vrinda"/>
          <w:i/>
          <w:spacing w:val="-4"/>
          <w:szCs w:val="16"/>
          <w:lang w:val="en-US"/>
        </w:rPr>
        <w:t xml:space="preserve">. Merits, reparations and costs. </w:t>
      </w:r>
      <w:r w:rsidRPr="00CE23AE">
        <w:rPr>
          <w:rFonts w:cs="Vrinda"/>
          <w:spacing w:val="-4"/>
          <w:szCs w:val="16"/>
          <w:lang w:val="en-US"/>
        </w:rPr>
        <w:t>Judgment of May 29, 2014. Series C No. 279</w:t>
      </w:r>
      <w:r w:rsidRPr="00CE23AE">
        <w:rPr>
          <w:rFonts w:cs="Vrinda"/>
          <w:i/>
          <w:spacing w:val="-4"/>
          <w:szCs w:val="16"/>
          <w:lang w:val="en-US"/>
        </w:rPr>
        <w:t xml:space="preserve">, </w:t>
      </w:r>
      <w:r w:rsidRPr="00CE23AE">
        <w:rPr>
          <w:rFonts w:cs="Vrinda"/>
          <w:spacing w:val="-4"/>
          <w:szCs w:val="16"/>
          <w:lang w:val="en-US"/>
        </w:rPr>
        <w:t xml:space="preserve">para. </w:t>
      </w:r>
      <w:r w:rsidRPr="00CE23AE">
        <w:rPr>
          <w:rFonts w:cs="Vrinda"/>
          <w:spacing w:val="-4"/>
          <w:szCs w:val="16"/>
          <w:lang w:val="es-CR"/>
        </w:rPr>
        <w:t xml:space="preserve">200, and </w:t>
      </w:r>
      <w:r w:rsidRPr="00CE23AE">
        <w:rPr>
          <w:i/>
          <w:szCs w:val="16"/>
          <w:lang w:val="es-CR"/>
        </w:rPr>
        <w:t>Case of Duque v. Colombia, supra</w:t>
      </w:r>
      <w:r w:rsidRPr="00CE23AE">
        <w:rPr>
          <w:szCs w:val="16"/>
          <w:lang w:val="es-CR"/>
        </w:rPr>
        <w:t>, para. 106.</w:t>
      </w:r>
    </w:p>
  </w:footnote>
  <w:footnote w:id="190">
    <w:p w14:paraId="6CABCD0B" w14:textId="52E6B10E"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i/>
          <w:szCs w:val="16"/>
          <w:lang w:val="es-CR"/>
        </w:rPr>
        <w:t xml:space="preserve"> </w:t>
      </w:r>
      <w:r w:rsidRPr="00CE23AE">
        <w:rPr>
          <w:i/>
          <w:szCs w:val="16"/>
          <w:lang w:val="es-CR"/>
        </w:rPr>
        <w:tab/>
        <w:t>Cf.</w:t>
      </w:r>
      <w:r w:rsidRPr="00CE23AE">
        <w:rPr>
          <w:szCs w:val="16"/>
          <w:lang w:val="es-CR"/>
        </w:rPr>
        <w:t xml:space="preserve"> </w:t>
      </w:r>
      <w:r w:rsidRPr="00CE23AE">
        <w:rPr>
          <w:i/>
          <w:szCs w:val="16"/>
          <w:lang w:val="es-CR"/>
        </w:rPr>
        <w:t>Case of Gonzales Lluy et al. v. Ecuador, supra</w:t>
      </w:r>
      <w:r w:rsidRPr="00CE23AE">
        <w:rPr>
          <w:szCs w:val="16"/>
          <w:lang w:val="es-CR"/>
        </w:rPr>
        <w:t xml:space="preserve">, para. </w:t>
      </w:r>
      <w:r w:rsidRPr="00CE23AE">
        <w:rPr>
          <w:szCs w:val="16"/>
          <w:lang w:val="en-US"/>
        </w:rPr>
        <w:t xml:space="preserve">257, and </w:t>
      </w:r>
      <w:r w:rsidRPr="00CE23AE">
        <w:rPr>
          <w:i/>
          <w:szCs w:val="16"/>
          <w:lang w:val="en-US"/>
        </w:rPr>
        <w:t>Case of Duque v. Colombia, supra</w:t>
      </w:r>
      <w:r w:rsidRPr="00CE23AE">
        <w:rPr>
          <w:szCs w:val="16"/>
          <w:lang w:val="en-US"/>
        </w:rPr>
        <w:t>, para. 106.</w:t>
      </w:r>
    </w:p>
  </w:footnote>
  <w:footnote w:id="191">
    <w:p w14:paraId="15E61A2E" w14:textId="4D77A5F6"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Atala Riffo and daughters v. Chile, supra</w:t>
      </w:r>
      <w:r w:rsidRPr="00CE23AE">
        <w:rPr>
          <w:szCs w:val="16"/>
          <w:lang w:val="en-US"/>
        </w:rPr>
        <w:t>, para.</w:t>
      </w:r>
      <w:r w:rsidRPr="00CE23AE" w:rsidDel="00CB26D3">
        <w:rPr>
          <w:i/>
          <w:szCs w:val="16"/>
          <w:lang w:val="en-US"/>
        </w:rPr>
        <w:t xml:space="preserve"> </w:t>
      </w:r>
      <w:r w:rsidRPr="00CE23AE">
        <w:rPr>
          <w:szCs w:val="16"/>
          <w:lang w:val="en-US"/>
        </w:rPr>
        <w:t>125.</w:t>
      </w:r>
    </w:p>
  </w:footnote>
  <w:footnote w:id="192">
    <w:p w14:paraId="378721DD" w14:textId="5AB06A0E" w:rsidR="00673461" w:rsidRPr="00CE23AE" w:rsidRDefault="00673461" w:rsidP="007B1AC9">
      <w:pPr>
        <w:pStyle w:val="Textocomentario"/>
        <w:tabs>
          <w:tab w:val="left" w:pos="540"/>
          <w:tab w:val="left" w:pos="567"/>
        </w:tabs>
        <w:spacing w:before="120" w:after="120"/>
        <w:jc w:val="both"/>
        <w:rPr>
          <w:rFonts w:ascii="Verdana" w:hAnsi="Verdana"/>
          <w:sz w:val="16"/>
          <w:szCs w:val="16"/>
          <w:lang w:val="en-US"/>
        </w:rPr>
      </w:pPr>
      <w:r w:rsidRPr="00CE23AE">
        <w:rPr>
          <w:rStyle w:val="Refdenotaalpie"/>
          <w:rFonts w:ascii="Verdana" w:hAnsi="Verdana"/>
          <w:sz w:val="16"/>
          <w:szCs w:val="16"/>
          <w:lang w:val="en-US"/>
        </w:rPr>
        <w:footnoteRef/>
      </w:r>
      <w:r w:rsidRPr="00CE23AE">
        <w:rPr>
          <w:rFonts w:ascii="Verdana" w:hAnsi="Verdana"/>
          <w:sz w:val="16"/>
          <w:szCs w:val="16"/>
          <w:lang w:val="en-US"/>
        </w:rPr>
        <w:t xml:space="preserve"> </w:t>
      </w:r>
      <w:r w:rsidRPr="00CE23AE">
        <w:rPr>
          <w:rFonts w:ascii="Verdana" w:hAnsi="Verdana"/>
          <w:sz w:val="16"/>
          <w:szCs w:val="16"/>
          <w:lang w:val="en-US"/>
        </w:rPr>
        <w:tab/>
        <w:t xml:space="preserve">OAS, General Assembly. Resolution on human rights, sexual orientation and gender identity and expression, OAS AG/Res 2807, June 6, 2013, operative paragraph 1. Available at: </w:t>
      </w:r>
      <w:hyperlink r:id="rId10" w:history="1">
        <w:r w:rsidRPr="00CE23AE">
          <w:rPr>
            <w:rStyle w:val="Hipervnculo"/>
            <w:rFonts w:ascii="Verdana" w:hAnsi="Verdana"/>
            <w:sz w:val="16"/>
            <w:szCs w:val="16"/>
            <w:lang w:val="en-US"/>
          </w:rPr>
          <w:t>http://www.oas.org/es/sla/ddi/docs/AG-RES_2807_XLIII-O-13.pdf</w:t>
        </w:r>
      </w:hyperlink>
      <w:r w:rsidRPr="00CE23AE">
        <w:rPr>
          <w:rStyle w:val="Hipervnculo"/>
          <w:rFonts w:ascii="Verdana" w:hAnsi="Verdana"/>
          <w:color w:val="auto"/>
          <w:sz w:val="16"/>
          <w:szCs w:val="16"/>
          <w:u w:val="none"/>
          <w:lang w:val="en-US"/>
        </w:rPr>
        <w:t xml:space="preserve">, and </w:t>
      </w:r>
      <w:r w:rsidRPr="00CE23AE">
        <w:rPr>
          <w:rFonts w:ascii="Verdana" w:hAnsi="Verdana"/>
          <w:sz w:val="16"/>
          <w:szCs w:val="16"/>
          <w:lang w:val="en-US"/>
        </w:rPr>
        <w:t xml:space="preserve">Resolution on human rights, sexual orientation and gender identity and expression, OAS AG/Res 2863, June 5, 2014, operative paragraph 1. Available at: </w:t>
      </w:r>
      <w:hyperlink r:id="rId11" w:history="1">
        <w:r w:rsidRPr="00CE23AE">
          <w:rPr>
            <w:rStyle w:val="Hipervnculo"/>
            <w:rFonts w:ascii="Verdana" w:hAnsi="Verdana"/>
            <w:sz w:val="16"/>
            <w:szCs w:val="16"/>
            <w:lang w:val="en-US"/>
          </w:rPr>
          <w:t>https://www.oas.org/es/cidh/lgtbi/docs/AG-RES2863-XLIV-O-14esp.pdf</w:t>
        </w:r>
      </w:hyperlink>
      <w:r w:rsidRPr="00CE23AE">
        <w:rPr>
          <w:rStyle w:val="Hipervnculo"/>
          <w:rFonts w:ascii="Verdana" w:hAnsi="Verdana"/>
          <w:sz w:val="16"/>
          <w:szCs w:val="16"/>
          <w:lang w:val="en-US"/>
        </w:rPr>
        <w:t>.</w:t>
      </w:r>
      <w:r w:rsidRPr="00CE23AE">
        <w:rPr>
          <w:rFonts w:ascii="Verdana" w:hAnsi="Verdana"/>
          <w:sz w:val="16"/>
          <w:szCs w:val="16"/>
          <w:lang w:val="en-US"/>
        </w:rPr>
        <w:t xml:space="preserve"> In 2012, the General Assembly adopted another resolution with the same text without including the phrase “gender expression” as a category protected against acts of discrimination. </w:t>
      </w:r>
      <w:r w:rsidRPr="00CE23AE">
        <w:rPr>
          <w:rFonts w:ascii="Verdana" w:hAnsi="Verdana"/>
          <w:i/>
          <w:sz w:val="16"/>
          <w:szCs w:val="16"/>
          <w:lang w:val="en-US"/>
        </w:rPr>
        <w:t>Cf.</w:t>
      </w:r>
      <w:r w:rsidRPr="00CE23AE">
        <w:rPr>
          <w:rFonts w:ascii="Verdana" w:hAnsi="Verdana"/>
          <w:sz w:val="16"/>
          <w:szCs w:val="16"/>
          <w:lang w:val="en-US"/>
        </w:rPr>
        <w:t xml:space="preserve"> OAS, General Assembly. Resolution on human rights, sexual orientation and gender identity. OAS AG/RES 2721, June 4, 2012. Available at: </w:t>
      </w:r>
      <w:hyperlink r:id="rId12" w:history="1">
        <w:r w:rsidRPr="00CE23AE">
          <w:rPr>
            <w:rStyle w:val="Hipervnculo"/>
            <w:rFonts w:ascii="Verdana" w:hAnsi="Verdana"/>
            <w:sz w:val="16"/>
            <w:szCs w:val="16"/>
            <w:lang w:val="en-US"/>
          </w:rPr>
          <w:t>http://www.oas.org/es/sla/ddi/docs/AG-RES_2721_XLII-O-12_esp.pdf</w:t>
        </w:r>
      </w:hyperlink>
      <w:r w:rsidRPr="00CE23AE">
        <w:rPr>
          <w:rStyle w:val="Hipervnculo"/>
          <w:rFonts w:ascii="Verdana" w:hAnsi="Verdana"/>
          <w:color w:val="auto"/>
          <w:sz w:val="16"/>
          <w:szCs w:val="16"/>
          <w:u w:val="none"/>
          <w:lang w:val="en-US"/>
        </w:rPr>
        <w:t>. These resolutions of the General Assembly were the result of an evolution that began in 2008 with</w:t>
      </w:r>
      <w:r w:rsidRPr="00CE23AE">
        <w:rPr>
          <w:rFonts w:ascii="Verdana" w:hAnsi="Verdana"/>
          <w:sz w:val="16"/>
          <w:szCs w:val="16"/>
          <w:lang w:val="en-US"/>
        </w:rPr>
        <w:t xml:space="preserve"> Resolution 2435 in which the State</w:t>
      </w:r>
      <w:r w:rsidR="00E54BCC" w:rsidRPr="00CE23AE">
        <w:rPr>
          <w:rFonts w:ascii="Verdana" w:hAnsi="Verdana"/>
          <w:sz w:val="16"/>
          <w:szCs w:val="16"/>
          <w:lang w:val="en-US"/>
        </w:rPr>
        <w:t>s</w:t>
      </w:r>
      <w:r w:rsidRPr="00CE23AE">
        <w:rPr>
          <w:rFonts w:ascii="Verdana" w:hAnsi="Verdana"/>
          <w:sz w:val="16"/>
          <w:szCs w:val="16"/>
          <w:lang w:val="en-US"/>
        </w:rPr>
        <w:t xml:space="preserve"> indicated “concern due to acts of violence and related human rights violations committed against individuals owing to their sexual orientation and gender identity.”</w:t>
      </w:r>
      <w:r w:rsidRPr="00CE23AE">
        <w:rPr>
          <w:rStyle w:val="Hipervnculo"/>
          <w:rFonts w:ascii="Verdana" w:hAnsi="Verdana"/>
          <w:color w:val="auto"/>
          <w:sz w:val="16"/>
          <w:szCs w:val="16"/>
          <w:u w:val="none"/>
          <w:lang w:val="en-US"/>
        </w:rPr>
        <w:t xml:space="preserve"> The following year, the Assembly issued </w:t>
      </w:r>
      <w:r w:rsidRPr="00CE23AE">
        <w:rPr>
          <w:rFonts w:ascii="Verdana" w:hAnsi="Verdana"/>
          <w:sz w:val="16"/>
          <w:szCs w:val="16"/>
          <w:lang w:val="en-US"/>
        </w:rPr>
        <w:t xml:space="preserve">Resolution 2504 in which it expressly condemned </w:t>
      </w:r>
      <w:r w:rsidR="00E54BCC" w:rsidRPr="00CE23AE">
        <w:rPr>
          <w:rFonts w:ascii="Verdana" w:hAnsi="Verdana"/>
          <w:sz w:val="16"/>
          <w:szCs w:val="16"/>
          <w:lang w:val="en-US"/>
        </w:rPr>
        <w:t>“</w:t>
      </w:r>
      <w:r w:rsidRPr="00CE23AE">
        <w:rPr>
          <w:rFonts w:ascii="Verdana" w:hAnsi="Verdana"/>
          <w:sz w:val="16"/>
          <w:szCs w:val="16"/>
          <w:lang w:val="en-US"/>
        </w:rPr>
        <w:t xml:space="preserve">acts of violence and related human rights violations </w:t>
      </w:r>
      <w:r w:rsidR="00E54BCC" w:rsidRPr="00CE23AE">
        <w:rPr>
          <w:rFonts w:ascii="Verdana" w:hAnsi="Verdana"/>
          <w:sz w:val="16"/>
          <w:szCs w:val="16"/>
          <w:lang w:val="en-US"/>
        </w:rPr>
        <w:t>committed</w:t>
      </w:r>
      <w:r w:rsidRPr="00CE23AE">
        <w:rPr>
          <w:rFonts w:ascii="Verdana" w:hAnsi="Verdana"/>
          <w:sz w:val="16"/>
          <w:szCs w:val="16"/>
          <w:lang w:val="en-US"/>
        </w:rPr>
        <w:t xml:space="preserve"> against individuals </w:t>
      </w:r>
      <w:r w:rsidR="00E54BCC" w:rsidRPr="00CE23AE">
        <w:rPr>
          <w:rFonts w:ascii="Verdana" w:hAnsi="Verdana"/>
          <w:sz w:val="16"/>
          <w:szCs w:val="16"/>
          <w:lang w:val="en-US"/>
        </w:rPr>
        <w:t>because of</w:t>
      </w:r>
      <w:r w:rsidRPr="00CE23AE">
        <w:rPr>
          <w:rFonts w:ascii="Verdana" w:hAnsi="Verdana"/>
          <w:sz w:val="16"/>
          <w:szCs w:val="16"/>
          <w:lang w:val="en-US"/>
        </w:rPr>
        <w:t xml:space="preserve"> their sexual orientation and gender identity.</w:t>
      </w:r>
      <w:r w:rsidR="00E54BCC" w:rsidRPr="00CE23AE">
        <w:rPr>
          <w:rFonts w:ascii="Verdana" w:hAnsi="Verdana"/>
          <w:sz w:val="16"/>
          <w:szCs w:val="16"/>
          <w:lang w:val="en-US"/>
        </w:rPr>
        <w:t>”</w:t>
      </w:r>
      <w:r w:rsidRPr="00CE23AE">
        <w:rPr>
          <w:rFonts w:ascii="Verdana" w:hAnsi="Verdana"/>
          <w:sz w:val="16"/>
          <w:szCs w:val="16"/>
          <w:lang w:val="en-US"/>
        </w:rPr>
        <w:t xml:space="preserve"> In 2010, in Resolution 2600, it reiterated the condemnation of the previous year and also urged State</w:t>
      </w:r>
      <w:r w:rsidR="00E54BCC" w:rsidRPr="00CE23AE">
        <w:rPr>
          <w:rFonts w:ascii="Verdana" w:hAnsi="Verdana"/>
          <w:sz w:val="16"/>
          <w:szCs w:val="16"/>
          <w:lang w:val="en-US"/>
        </w:rPr>
        <w:t>s</w:t>
      </w:r>
      <w:r w:rsidRPr="00CE23AE">
        <w:rPr>
          <w:rFonts w:ascii="Verdana" w:hAnsi="Verdana"/>
          <w:sz w:val="16"/>
          <w:szCs w:val="16"/>
          <w:lang w:val="en-US"/>
        </w:rPr>
        <w:t xml:space="preserve"> </w:t>
      </w:r>
      <w:r w:rsidR="00CE23AE" w:rsidRPr="00CE23AE">
        <w:rPr>
          <w:rFonts w:ascii="Verdana" w:hAnsi="Verdana"/>
          <w:sz w:val="16"/>
          <w:szCs w:val="16"/>
          <w:lang w:val="en-US"/>
        </w:rPr>
        <w:t>“</w:t>
      </w:r>
      <w:r w:rsidRPr="00CE23AE">
        <w:rPr>
          <w:rFonts w:ascii="Verdana" w:hAnsi="Verdana"/>
          <w:sz w:val="16"/>
          <w:szCs w:val="16"/>
          <w:lang w:val="en-US"/>
        </w:rPr>
        <w:t>to investigate such</w:t>
      </w:r>
      <w:r w:rsidR="00E54BCC" w:rsidRPr="00CE23AE">
        <w:rPr>
          <w:rFonts w:ascii="Verdana" w:hAnsi="Verdana"/>
          <w:sz w:val="16"/>
          <w:szCs w:val="16"/>
          <w:lang w:val="en-US"/>
        </w:rPr>
        <w:t xml:space="preserve"> acts and</w:t>
      </w:r>
      <w:r w:rsidRPr="00CE23AE">
        <w:rPr>
          <w:rFonts w:ascii="Verdana" w:hAnsi="Verdana"/>
          <w:sz w:val="16"/>
          <w:szCs w:val="16"/>
          <w:lang w:val="en-US"/>
        </w:rPr>
        <w:t xml:space="preserve"> violations and to ensure that </w:t>
      </w:r>
      <w:r w:rsidR="00E54BCC" w:rsidRPr="00CE23AE">
        <w:rPr>
          <w:rFonts w:ascii="Verdana" w:hAnsi="Verdana"/>
          <w:sz w:val="16"/>
          <w:szCs w:val="16"/>
          <w:lang w:val="en-US"/>
        </w:rPr>
        <w:t>the perpetrators</w:t>
      </w:r>
      <w:r w:rsidRPr="00CE23AE">
        <w:rPr>
          <w:rFonts w:ascii="Verdana" w:hAnsi="Verdana"/>
          <w:sz w:val="16"/>
          <w:szCs w:val="16"/>
          <w:lang w:val="en-US"/>
        </w:rPr>
        <w:t xml:space="preserve"> </w:t>
      </w:r>
      <w:r w:rsidR="00E54BCC" w:rsidRPr="00CE23AE">
        <w:rPr>
          <w:rFonts w:ascii="Verdana" w:hAnsi="Verdana"/>
          <w:sz w:val="16"/>
          <w:szCs w:val="16"/>
          <w:lang w:val="en-US"/>
        </w:rPr>
        <w:t>are brought to justice.</w:t>
      </w:r>
      <w:r w:rsidR="00CE23AE" w:rsidRPr="00CE23AE">
        <w:rPr>
          <w:rFonts w:ascii="Verdana" w:hAnsi="Verdana"/>
          <w:sz w:val="16"/>
          <w:szCs w:val="16"/>
          <w:lang w:val="en-US"/>
        </w:rPr>
        <w:t>”</w:t>
      </w:r>
      <w:r w:rsidRPr="00CE23AE">
        <w:rPr>
          <w:rFonts w:ascii="Verdana" w:hAnsi="Verdana"/>
          <w:sz w:val="16"/>
          <w:szCs w:val="16"/>
          <w:lang w:val="en-US"/>
        </w:rPr>
        <w:t xml:space="preserve"> Subsequently, Resolution 2653 of 2011 added to the precedents established, </w:t>
      </w:r>
      <w:r w:rsidR="00E54BCC" w:rsidRPr="00CE23AE">
        <w:rPr>
          <w:rFonts w:ascii="Verdana" w:hAnsi="Verdana"/>
          <w:sz w:val="16"/>
          <w:szCs w:val="16"/>
          <w:lang w:val="en-US"/>
        </w:rPr>
        <w:t xml:space="preserve">urging </w:t>
      </w:r>
      <w:r w:rsidRPr="00CE23AE">
        <w:rPr>
          <w:rFonts w:ascii="Verdana" w:hAnsi="Verdana"/>
          <w:sz w:val="16"/>
          <w:szCs w:val="16"/>
          <w:lang w:val="en-US"/>
        </w:rPr>
        <w:t>State</w:t>
      </w:r>
      <w:r w:rsidR="00E54BCC" w:rsidRPr="00CE23AE">
        <w:rPr>
          <w:rFonts w:ascii="Verdana" w:hAnsi="Verdana"/>
          <w:sz w:val="16"/>
          <w:szCs w:val="16"/>
          <w:lang w:val="en-US"/>
        </w:rPr>
        <w:t>s,</w:t>
      </w:r>
      <w:r w:rsidRPr="00CE23AE">
        <w:rPr>
          <w:rFonts w:ascii="Verdana" w:hAnsi="Verdana"/>
          <w:sz w:val="16"/>
          <w:szCs w:val="16"/>
          <w:lang w:val="en-US"/>
        </w:rPr>
        <w:t xml:space="preserve"> </w:t>
      </w:r>
      <w:r w:rsidR="00E54BCC" w:rsidRPr="00CE23AE">
        <w:rPr>
          <w:rFonts w:ascii="Verdana" w:hAnsi="Verdana"/>
          <w:sz w:val="16"/>
          <w:szCs w:val="16"/>
          <w:lang w:val="en-US"/>
        </w:rPr>
        <w:t>“</w:t>
      </w:r>
      <w:r w:rsidRPr="00CE23AE">
        <w:rPr>
          <w:rFonts w:ascii="Verdana" w:hAnsi="Verdana"/>
          <w:sz w:val="16"/>
          <w:szCs w:val="16"/>
          <w:lang w:val="en-US"/>
        </w:rPr>
        <w:t>within the parameters of the</w:t>
      </w:r>
      <w:r w:rsidR="00E54BCC" w:rsidRPr="00CE23AE">
        <w:rPr>
          <w:rFonts w:ascii="Verdana" w:hAnsi="Verdana"/>
          <w:sz w:val="16"/>
          <w:szCs w:val="16"/>
          <w:lang w:val="en-US"/>
        </w:rPr>
        <w:t xml:space="preserve"> legal</w:t>
      </w:r>
      <w:r w:rsidRPr="00CE23AE">
        <w:rPr>
          <w:rFonts w:ascii="Verdana" w:hAnsi="Verdana"/>
          <w:sz w:val="16"/>
          <w:szCs w:val="16"/>
          <w:lang w:val="en-US"/>
        </w:rPr>
        <w:t xml:space="preserve"> institutions of </w:t>
      </w:r>
      <w:r w:rsidR="00E54BCC" w:rsidRPr="00CE23AE">
        <w:rPr>
          <w:rFonts w:ascii="Verdana" w:hAnsi="Verdana"/>
          <w:sz w:val="16"/>
          <w:szCs w:val="16"/>
          <w:lang w:val="en-US"/>
        </w:rPr>
        <w:t>their</w:t>
      </w:r>
      <w:r w:rsidRPr="00CE23AE">
        <w:rPr>
          <w:rFonts w:ascii="Verdana" w:hAnsi="Verdana"/>
          <w:sz w:val="16"/>
          <w:szCs w:val="16"/>
          <w:lang w:val="en-US"/>
        </w:rPr>
        <w:t xml:space="preserve"> domestic</w:t>
      </w:r>
      <w:r w:rsidR="00E54BCC" w:rsidRPr="00CE23AE">
        <w:rPr>
          <w:rFonts w:ascii="Verdana" w:hAnsi="Verdana"/>
          <w:sz w:val="16"/>
          <w:szCs w:val="16"/>
          <w:lang w:val="en-US"/>
        </w:rPr>
        <w:t xml:space="preserve"> systems, to adopt the necessary measures to prevent, punish and eradicate such discrimination.” </w:t>
      </w:r>
      <w:r w:rsidRPr="00CE23AE">
        <w:rPr>
          <w:rFonts w:ascii="Verdana" w:hAnsi="Verdana"/>
          <w:i/>
          <w:sz w:val="16"/>
          <w:szCs w:val="16"/>
          <w:lang w:val="en-US"/>
        </w:rPr>
        <w:t>Cf.</w:t>
      </w:r>
      <w:r w:rsidRPr="00CE23AE">
        <w:rPr>
          <w:rFonts w:ascii="Verdana" w:hAnsi="Verdana"/>
          <w:sz w:val="16"/>
          <w:szCs w:val="16"/>
          <w:lang w:val="en-US"/>
        </w:rPr>
        <w:t xml:space="preserve"> OAS, General Assembly. Resolution on human rights, sexual orientation and gender identity. OAS AG/RES 2435, June 3, 2008. Available at: </w:t>
      </w:r>
      <w:hyperlink r:id="rId13" w:history="1">
        <w:r w:rsidRPr="00CE23AE">
          <w:rPr>
            <w:rStyle w:val="Hipervnculo"/>
            <w:rFonts w:ascii="Verdana" w:hAnsi="Verdana"/>
            <w:sz w:val="16"/>
            <w:szCs w:val="16"/>
            <w:lang w:val="en-US"/>
          </w:rPr>
          <w:t>http://www.oas.org/es/sla/ddi/docs/AG-RES_2435_XXXVIII-O-08.pdf</w:t>
        </w:r>
      </w:hyperlink>
      <w:r w:rsidRPr="00CE23AE">
        <w:rPr>
          <w:rStyle w:val="Hipervnculo"/>
          <w:rFonts w:ascii="Verdana" w:hAnsi="Verdana"/>
          <w:sz w:val="16"/>
          <w:szCs w:val="16"/>
          <w:lang w:val="en-US"/>
        </w:rPr>
        <w:t xml:space="preserve">; </w:t>
      </w:r>
      <w:r w:rsidRPr="00CE23AE">
        <w:rPr>
          <w:rFonts w:ascii="Verdana" w:hAnsi="Verdana"/>
          <w:sz w:val="16"/>
          <w:szCs w:val="16"/>
          <w:lang w:val="en-US"/>
        </w:rPr>
        <w:t xml:space="preserve">Resolution on human rights, sexual orientation and gender identity, OAS AG/RES 2504, June 4, 2009. Available at: </w:t>
      </w:r>
      <w:hyperlink r:id="rId14" w:history="1">
        <w:r w:rsidRPr="00CE23AE">
          <w:rPr>
            <w:rStyle w:val="Hipervnculo"/>
            <w:rFonts w:ascii="Verdana" w:hAnsi="Verdana"/>
            <w:sz w:val="16"/>
            <w:szCs w:val="16"/>
            <w:lang w:val="en-US"/>
          </w:rPr>
          <w:t>http://www.oas.org/es/sla/ddi/docs/AG-RES_2504_XXXIX-O-09.pdf</w:t>
        </w:r>
      </w:hyperlink>
      <w:r w:rsidRPr="00CE23AE">
        <w:rPr>
          <w:rStyle w:val="Hipervnculo"/>
          <w:rFonts w:ascii="Verdana" w:hAnsi="Verdana"/>
          <w:sz w:val="16"/>
          <w:szCs w:val="16"/>
          <w:lang w:val="en-US"/>
        </w:rPr>
        <w:t xml:space="preserve">; </w:t>
      </w:r>
      <w:r w:rsidRPr="00CE23AE">
        <w:rPr>
          <w:rFonts w:ascii="Verdana" w:hAnsi="Verdana"/>
          <w:sz w:val="16"/>
          <w:szCs w:val="16"/>
          <w:lang w:val="en-US"/>
        </w:rPr>
        <w:t xml:space="preserve">Resolution on human rights, sexual orientation and gender identity, OAS AG/RES 2600, June 8, 2010. Available at: </w:t>
      </w:r>
      <w:hyperlink r:id="rId15" w:history="1">
        <w:r w:rsidRPr="00CE23AE">
          <w:rPr>
            <w:rStyle w:val="Hipervnculo"/>
            <w:rFonts w:ascii="Verdana" w:hAnsi="Verdana"/>
            <w:sz w:val="16"/>
            <w:szCs w:val="16"/>
            <w:lang w:val="en-US"/>
          </w:rPr>
          <w:t>http://www.oas.org/es/sla/ddi/docs/AG-RES_2600_XL-O-10_esp.pdf</w:t>
        </w:r>
      </w:hyperlink>
      <w:r w:rsidRPr="00CE23AE">
        <w:rPr>
          <w:rStyle w:val="Hipervnculo"/>
          <w:rFonts w:ascii="Verdana" w:hAnsi="Verdana"/>
          <w:sz w:val="16"/>
          <w:szCs w:val="16"/>
          <w:lang w:val="en-US"/>
        </w:rPr>
        <w:t xml:space="preserve">; </w:t>
      </w:r>
      <w:r w:rsidRPr="00CE23AE">
        <w:rPr>
          <w:rFonts w:ascii="Verdana" w:hAnsi="Verdana"/>
          <w:sz w:val="16"/>
          <w:szCs w:val="16"/>
          <w:lang w:val="en-US"/>
        </w:rPr>
        <w:t xml:space="preserve">Resolution on human rights, sexual orientation and gender identity, OAS AG/RES 2653, June 7, 2011. Available at: </w:t>
      </w:r>
      <w:hyperlink r:id="rId16" w:history="1">
        <w:r w:rsidRPr="00CE23AE">
          <w:rPr>
            <w:rStyle w:val="Hipervnculo"/>
            <w:rFonts w:ascii="Verdana" w:hAnsi="Verdana"/>
            <w:sz w:val="16"/>
            <w:szCs w:val="16"/>
            <w:lang w:val="en-US"/>
          </w:rPr>
          <w:t>http://www.oas.org/es/sla/ddi/docs/AG-RES_2653_XLI-O-11_esp.pdf</w:t>
        </w:r>
      </w:hyperlink>
      <w:r w:rsidRPr="00CE23AE">
        <w:rPr>
          <w:rStyle w:val="Hipervnculo"/>
          <w:rFonts w:ascii="Verdana" w:hAnsi="Verdana"/>
          <w:sz w:val="16"/>
          <w:szCs w:val="16"/>
          <w:lang w:val="en-US"/>
        </w:rPr>
        <w:t>.</w:t>
      </w:r>
    </w:p>
  </w:footnote>
  <w:footnote w:id="193">
    <w:p w14:paraId="562AFC3E" w14:textId="7E95C1D9" w:rsidR="00673461" w:rsidRPr="00CE23AE" w:rsidRDefault="00673461" w:rsidP="007B1AC9">
      <w:pPr>
        <w:pStyle w:val="Textonotapie"/>
        <w:tabs>
          <w:tab w:val="left" w:pos="540"/>
          <w:tab w:val="left" w:pos="567"/>
        </w:tabs>
        <w:rPr>
          <w:rFonts w:eastAsiaTheme="minorHAnsi" w:cs="Kuenstler480BT-Roman"/>
          <w:szCs w:val="16"/>
          <w:lang w:val="en-US" w:eastAsia="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rFonts w:eastAsiaTheme="minorHAnsi" w:cs="Kuenstler480BT-Roman"/>
          <w:i/>
          <w:szCs w:val="16"/>
          <w:lang w:val="en-US" w:eastAsia="en-US"/>
        </w:rPr>
        <w:t>Cf.</w:t>
      </w:r>
      <w:r w:rsidRPr="00CE23AE">
        <w:rPr>
          <w:rFonts w:eastAsiaTheme="minorEastAsia"/>
          <w:i/>
          <w:szCs w:val="16"/>
          <w:lang w:val="en-US" w:eastAsia="en-US"/>
        </w:rPr>
        <w:t xml:space="preserve"> </w:t>
      </w:r>
      <w:r w:rsidRPr="00CE23AE">
        <w:rPr>
          <w:rFonts w:eastAsiaTheme="minorEastAsia"/>
          <w:szCs w:val="16"/>
          <w:lang w:val="en-US" w:eastAsia="en-US"/>
        </w:rPr>
        <w:t xml:space="preserve">ECHR, </w:t>
      </w:r>
      <w:r w:rsidRPr="00CE23AE">
        <w:rPr>
          <w:rFonts w:eastAsiaTheme="minorHAnsi" w:cs="Kuenstler480BT-Roman"/>
          <w:i/>
          <w:szCs w:val="16"/>
          <w:lang w:val="en-US" w:eastAsia="en-US"/>
        </w:rPr>
        <w:t>Lustig-Prean and Beckett v. The United Kingdom.</w:t>
      </w:r>
      <w:r w:rsidRPr="00CE23AE">
        <w:rPr>
          <w:rFonts w:eastAsiaTheme="minorHAnsi" w:cs="Kuenstler480BT-Roman"/>
          <w:szCs w:val="16"/>
          <w:lang w:val="en-US" w:eastAsia="en-US"/>
        </w:rPr>
        <w:t xml:space="preserve"> Nos. 31417/96 and 32377/96.</w:t>
      </w:r>
      <w:r w:rsidRPr="00CE23AE">
        <w:rPr>
          <w:rFonts w:eastAsiaTheme="minorHAnsi" w:cs="Kuenstler480BT-Roman"/>
          <w:i/>
          <w:szCs w:val="16"/>
          <w:lang w:val="en-US" w:eastAsia="en-US"/>
        </w:rPr>
        <w:t xml:space="preserve"> </w:t>
      </w:r>
      <w:r w:rsidRPr="00CE23AE">
        <w:rPr>
          <w:rFonts w:eastAsiaTheme="minorHAnsi" w:cs="Kuenstler480BT-Roman"/>
          <w:szCs w:val="16"/>
          <w:lang w:val="en-US" w:eastAsia="en-US"/>
        </w:rPr>
        <w:t xml:space="preserve">Judgment of September 27, 1999, paras. 64 and 98; </w:t>
      </w:r>
      <w:r w:rsidRPr="00CE23AE">
        <w:rPr>
          <w:rFonts w:eastAsiaTheme="minorHAnsi" w:cs="Kuenstler480BT-Roman"/>
          <w:i/>
          <w:szCs w:val="16"/>
          <w:lang w:val="en-US" w:eastAsia="en-US"/>
        </w:rPr>
        <w:t>Smith and Grady v. The United Kingdom.</w:t>
      </w:r>
      <w:r w:rsidRPr="00CE23AE">
        <w:rPr>
          <w:rFonts w:eastAsiaTheme="minorHAnsi" w:cs="Kuenstler480BT-Roman"/>
          <w:szCs w:val="16"/>
          <w:lang w:val="en-US" w:eastAsia="en-US"/>
        </w:rPr>
        <w:t xml:space="preserve"> Nos. 33985/96 and 33986/96. Judgment September 27, 1999, paras. 71 and 105; </w:t>
      </w:r>
      <w:r w:rsidRPr="00CE23AE">
        <w:rPr>
          <w:rFonts w:eastAsiaTheme="minorHAnsi" w:cs="Kuenstler480BT-Roman"/>
          <w:i/>
          <w:szCs w:val="16"/>
          <w:lang w:val="en-US" w:eastAsia="en-US"/>
        </w:rPr>
        <w:t>Perkins and R. v. The United Kingdom</w:t>
      </w:r>
      <w:r w:rsidRPr="00CE23AE">
        <w:rPr>
          <w:rFonts w:eastAsiaTheme="minorHAnsi" w:cs="Kuenstler480BT-Roman"/>
          <w:szCs w:val="16"/>
          <w:lang w:val="en-US" w:eastAsia="en-US"/>
        </w:rPr>
        <w:t xml:space="preserve">. Nos. 43208/98 and 44875/98. Judgment of October 22, 2002, paras. 38 to 41, and   </w:t>
      </w:r>
      <w:r w:rsidRPr="00CE23AE">
        <w:rPr>
          <w:rFonts w:eastAsiaTheme="minorHAnsi" w:cs="Kuenstler480BT-Roman"/>
          <w:i/>
          <w:szCs w:val="16"/>
          <w:lang w:val="en-US" w:eastAsia="en-US"/>
        </w:rPr>
        <w:t>Beck, Copp and Bazeley v. The United Kingdom</w:t>
      </w:r>
      <w:r w:rsidRPr="00CE23AE">
        <w:rPr>
          <w:rFonts w:eastAsiaTheme="minorHAnsi" w:cs="Kuenstler480BT-Roman"/>
          <w:szCs w:val="16"/>
          <w:lang w:val="en-US" w:eastAsia="en-US"/>
        </w:rPr>
        <w:t>.</w:t>
      </w:r>
      <w:r w:rsidRPr="00CE23AE">
        <w:rPr>
          <w:szCs w:val="16"/>
          <w:lang w:val="en-US"/>
        </w:rPr>
        <w:t xml:space="preserve"> </w:t>
      </w:r>
      <w:r w:rsidRPr="00CE23AE">
        <w:rPr>
          <w:rFonts w:eastAsiaTheme="minorHAnsi" w:cs="Kuenstler480BT-Roman"/>
          <w:szCs w:val="16"/>
          <w:lang w:val="en-US" w:eastAsia="en-US"/>
        </w:rPr>
        <w:t>Nos. 48535/99, 48536/99 and 48537/99. Judgment of October 22, 2002, paras. 51 to 53.</w:t>
      </w:r>
    </w:p>
  </w:footnote>
  <w:footnote w:id="194">
    <w:p w14:paraId="4A1BB203" w14:textId="0852021B"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 xml:space="preserve">European Committee on Social Rights, Conclusion 2012 – Turkey – Article 1-2, December 7, 2012. Available at: </w:t>
      </w:r>
      <w:hyperlink r:id="rId17" w:history="1">
        <w:r w:rsidRPr="00CE23AE">
          <w:rPr>
            <w:rStyle w:val="Hipervnculo"/>
            <w:szCs w:val="16"/>
            <w:lang w:val="en-US"/>
          </w:rPr>
          <w:t>http://hudoc.esc.coe.int/eng/?i=2012/def/TUR/1/2/FR</w:t>
        </w:r>
      </w:hyperlink>
      <w:r w:rsidRPr="00CE23AE">
        <w:rPr>
          <w:szCs w:val="16"/>
          <w:lang w:val="en-US"/>
        </w:rPr>
        <w:t xml:space="preserve">; </w:t>
      </w:r>
      <w:r w:rsidRPr="00CE23AE">
        <w:rPr>
          <w:rFonts w:eastAsiaTheme="minorHAnsi" w:cstheme="minorBidi"/>
          <w:szCs w:val="16"/>
          <w:lang w:val="en-US" w:eastAsia="en-US"/>
        </w:rPr>
        <w:t>Council of Europe: “Recommendation CM/Rec (2010)4 of the Committee of Ministers to member states on human rights of members of the armed forces”, February 24, 2010. Available at:</w:t>
      </w:r>
      <w:hyperlink r:id="rId18" w:history="1">
        <w:r w:rsidRPr="00CE23AE">
          <w:rPr>
            <w:rStyle w:val="Hipervnculo"/>
            <w:szCs w:val="16"/>
            <w:lang w:val="en-US"/>
          </w:rPr>
          <w:t>http://www.coe.int/t/dghl/standardsetting/hrpolicy/Other_Committees/DH-DEV-FA_docs/CM_Rec_20104 Armed forces_ en.pdf</w:t>
        </w:r>
      </w:hyperlink>
      <w:r w:rsidRPr="00CE23AE">
        <w:rPr>
          <w:szCs w:val="16"/>
          <w:lang w:val="en-US"/>
        </w:rPr>
        <w:t xml:space="preserve">, and Steering Committee for Human Rights, Explanatory memorandum on the </w:t>
      </w:r>
      <w:r w:rsidRPr="00CE23AE">
        <w:rPr>
          <w:rFonts w:eastAsiaTheme="minorHAnsi" w:cstheme="minorBidi"/>
          <w:szCs w:val="16"/>
          <w:lang w:val="en-US" w:eastAsia="en-US"/>
        </w:rPr>
        <w:t>Recommendation CM/Rec (2010)4 of the Committee of Ministers to member states on human rights of members of the armed forces</w:t>
      </w:r>
      <w:r w:rsidRPr="00CE23AE">
        <w:rPr>
          <w:szCs w:val="16"/>
          <w:lang w:val="en-US"/>
        </w:rPr>
        <w:t xml:space="preserve">. February 24, 2010. Available at: </w:t>
      </w:r>
      <w:hyperlink r:id="rId19" w:history="1">
        <w:r w:rsidRPr="00CE23AE">
          <w:rPr>
            <w:rStyle w:val="Hipervnculo"/>
            <w:szCs w:val="16"/>
            <w:lang w:val="en-US"/>
          </w:rPr>
          <w:t>https://www.coe.int/t/dghl/standardsetting/hrpolicy/Other_Committees/DH-DEV-FA_docs/EM_rec_2010_4_ Armedforces_en.pdf</w:t>
        </w:r>
      </w:hyperlink>
      <w:r w:rsidRPr="00CE23AE">
        <w:rPr>
          <w:szCs w:val="16"/>
          <w:lang w:val="en-US"/>
        </w:rPr>
        <w:t xml:space="preserve">. </w:t>
      </w:r>
    </w:p>
  </w:footnote>
  <w:footnote w:id="195">
    <w:p w14:paraId="2388EE9D" w14:textId="1E79AA0B" w:rsidR="00673461" w:rsidRPr="00CE23AE" w:rsidRDefault="00673461" w:rsidP="007B1AC9">
      <w:pPr>
        <w:pStyle w:val="Textonotapie"/>
        <w:tabs>
          <w:tab w:val="left" w:pos="540"/>
          <w:tab w:val="left" w:pos="567"/>
        </w:tabs>
        <w:rPr>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Council of Europe. Directive 2000/78/EC</w:t>
      </w:r>
      <w:r w:rsidRPr="00CE23AE">
        <w:rPr>
          <w:b/>
          <w:bCs/>
          <w:szCs w:val="16"/>
          <w:lang w:val="en-US"/>
        </w:rPr>
        <w:t xml:space="preserve"> </w:t>
      </w:r>
      <w:r w:rsidRPr="00CE23AE">
        <w:rPr>
          <w:rStyle w:val="Textoennegrita"/>
          <w:rFonts w:eastAsia="Calibri"/>
          <w:b w:val="0"/>
          <w:bCs w:val="0"/>
          <w:lang w:val="en-US"/>
        </w:rPr>
        <w:t>of 27 November 2000 establishing a general framework for equal treatment in employment and occupation</w:t>
      </w:r>
      <w:r w:rsidRPr="00CE23AE">
        <w:rPr>
          <w:szCs w:val="16"/>
          <w:lang w:val="en-US"/>
        </w:rPr>
        <w:t xml:space="preserve"> Available at: </w:t>
      </w:r>
      <w:hyperlink r:id="rId20" w:history="1">
        <w:r w:rsidRPr="00CE23AE">
          <w:rPr>
            <w:rStyle w:val="Hipervnculo"/>
            <w:szCs w:val="16"/>
            <w:lang w:val="en-US"/>
          </w:rPr>
          <w:t>https://eur-lex.europa.eu/legal-content/EN/TXT/HTML/?uri=CELEX: 32000L0078&amp;from=EN</w:t>
        </w:r>
      </w:hyperlink>
      <w:r w:rsidRPr="00CE23AE">
        <w:rPr>
          <w:szCs w:val="16"/>
          <w:lang w:val="en-US"/>
        </w:rPr>
        <w:t xml:space="preserve">.  </w:t>
      </w:r>
    </w:p>
  </w:footnote>
  <w:footnote w:id="196">
    <w:p w14:paraId="183527A2" w14:textId="02FAD27C"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NATO, Equal opportunity and diversity policy, 2003, article 2(2). Available at: </w:t>
      </w:r>
      <w:hyperlink r:id="rId21" w:history="1">
        <w:r w:rsidRPr="00CE23AE">
          <w:rPr>
            <w:rStyle w:val="Hipervnculo"/>
            <w:szCs w:val="16"/>
            <w:lang w:val="en-US"/>
          </w:rPr>
          <w:t>http://www.nato.int/nato_static/ assets/pdf/pdf_topics/20100625_IS_IMS_EqualOpportunitiesPolicy.pdf</w:t>
        </w:r>
      </w:hyperlink>
      <w:r w:rsidRPr="00CE23AE">
        <w:rPr>
          <w:szCs w:val="16"/>
          <w:lang w:val="en-US"/>
        </w:rPr>
        <w:t>.</w:t>
      </w:r>
    </w:p>
  </w:footnote>
  <w:footnote w:id="197">
    <w:p w14:paraId="6BB639E0" w14:textId="48065265"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This penalty was established in the Argentine Code of Military Justice. Law No. 14,029, which was derogated by Law No. 26,394 of 2008.</w:t>
      </w:r>
    </w:p>
  </w:footnote>
  <w:footnote w:id="198">
    <w:p w14:paraId="48D737BE" w14:textId="2B500295"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 xml:space="preserve">Preventive Medicine Regulations of the Armed Forces of Chile of July 14, 1982, article 101, and Decree No. 554 of September 12, 2012, which derogated provisions that it indicated were contrary to Law 20,609 establishing measures against discrimination. </w:t>
      </w:r>
    </w:p>
  </w:footnote>
  <w:footnote w:id="199">
    <w:p w14:paraId="0382471F" w14:textId="3E37AA51" w:rsidR="00673461" w:rsidRPr="00CE23AE" w:rsidRDefault="00673461" w:rsidP="007B1AC9">
      <w:pPr>
        <w:pStyle w:val="Textonotapie"/>
        <w:tabs>
          <w:tab w:val="left" w:pos="540"/>
          <w:tab w:val="left" w:pos="567"/>
        </w:tabs>
        <w:rPr>
          <w:i/>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 xml:space="preserve">The White House, </w:t>
      </w:r>
      <w:r w:rsidRPr="00CE23AE">
        <w:rPr>
          <w:i/>
          <w:szCs w:val="16"/>
          <w:lang w:val="en-US"/>
        </w:rPr>
        <w:t>The President Signs Repeal of “Don’t Ask Don’t Tell”: “Out of Many, We Are One</w:t>
      </w:r>
      <w:r w:rsidRPr="00CE23AE">
        <w:rPr>
          <w:szCs w:val="16"/>
          <w:lang w:val="en-US"/>
        </w:rPr>
        <w:t xml:space="preserve">”, 2010, Available at: </w:t>
      </w:r>
      <w:hyperlink r:id="rId22" w:history="1">
        <w:r w:rsidRPr="00CE23AE">
          <w:rPr>
            <w:rStyle w:val="Hipervnculo"/>
            <w:szCs w:val="16"/>
            <w:lang w:val="en-US"/>
          </w:rPr>
          <w:t>https://www.whitehouse.gov/blog/2010/12/22/president-signs-repeal-dont-ask-dont-tell-out-many-we-are-one</w:t>
        </w:r>
      </w:hyperlink>
    </w:p>
  </w:footnote>
  <w:footnote w:id="200">
    <w:p w14:paraId="37EF3499" w14:textId="7413752E"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Thus, for example, judgment T-097/94 indicated that “the condition of homosexual, in itself, cannot be a motive for exclusion from the armed forces.” Colombian Constitution Court. Judgment T-097 of March 7, 1994.</w:t>
      </w:r>
    </w:p>
  </w:footnote>
  <w:footnote w:id="201">
    <w:p w14:paraId="6EC19E3B" w14:textId="049C752A" w:rsidR="00673461" w:rsidRPr="00CE23AE" w:rsidRDefault="00673461" w:rsidP="007B1AC9">
      <w:pPr>
        <w:widowControl/>
        <w:shd w:val="clear" w:color="auto" w:fill="FFFFFF"/>
        <w:tabs>
          <w:tab w:val="left" w:pos="540"/>
          <w:tab w:val="left" w:pos="567"/>
        </w:tabs>
        <w:adjustRightInd/>
        <w:spacing w:before="120" w:after="120" w:line="240" w:lineRule="auto"/>
        <w:ind w:right="48"/>
        <w:rPr>
          <w:sz w:val="16"/>
          <w:szCs w:val="16"/>
          <w:lang w:val="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t>The Constitutional Court also indicated that “[r]egarding the former, that is the stigmatization of the homosexual, the article includes a clear discrimination because it penalizes only and exclusively those who fall within this condition, as if the sexual option, whatever it is, may be considered a reason to penalize someone. Regarding the latter – the violation of the individual’s most intimate sphere – it is evident that the breadth and lack of precision of the verb “to exercise,” added to the fact that the disciplinary regime extends offenses against military honor to activities carried out outside the service […], leads to the assumption that the said prohibition encompasses all expressions of the homosexual option, even the most private or discreet in which an officer or junior officer may engage in private.” Colombian Constitution Court. Judgment C-507/99 of July 14, 1999.</w:t>
      </w:r>
    </w:p>
  </w:footnote>
  <w:footnote w:id="202">
    <w:p w14:paraId="14E036AC" w14:textId="0D134D71"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Colombian Constitution Court. Judgment C-507/99 of July 14, 1999.</w:t>
      </w:r>
    </w:p>
  </w:footnote>
  <w:footnote w:id="203">
    <w:p w14:paraId="789E13E9" w14:textId="5105A652"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Colombian Constitution Court. Judgment C-507/99 of July 14, 1999.</w:t>
      </w:r>
    </w:p>
  </w:footnote>
  <w:footnote w:id="204">
    <w:p w14:paraId="636ED105" w14:textId="7E8175E5"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i/>
          <w:szCs w:val="16"/>
          <w:lang w:val="en-US"/>
        </w:rPr>
        <w:tab/>
      </w:r>
      <w:r w:rsidRPr="00CE23AE">
        <w:rPr>
          <w:color w:val="000000"/>
          <w:szCs w:val="16"/>
          <w:lang w:val="en-US"/>
        </w:rPr>
        <w:t>Decree Law No. 23214 adopting the “Code of Military Justice” of July 24, 1980, art. 269.</w:t>
      </w:r>
    </w:p>
  </w:footnote>
  <w:footnote w:id="205">
    <w:p w14:paraId="2D55A4EE" w14:textId="55A2133D" w:rsidR="00673461" w:rsidRPr="00CE23AE" w:rsidRDefault="00673461" w:rsidP="007B1AC9">
      <w:pPr>
        <w:pStyle w:val="Textonotapie"/>
        <w:tabs>
          <w:tab w:val="left" w:pos="540"/>
          <w:tab w:val="left" w:pos="567"/>
        </w:tabs>
        <w:rPr>
          <w:color w:val="FF0000"/>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Federal Supreme Court of Brazil. ‘ADPF 291 – </w:t>
      </w:r>
      <w:r w:rsidRPr="00CE23AE">
        <w:rPr>
          <w:bCs/>
          <w:szCs w:val="16"/>
          <w:lang w:val="en-US"/>
        </w:rPr>
        <w:t>Action on non-compliance with a fundamental precept</w:t>
      </w:r>
      <w:r w:rsidRPr="00CE23AE">
        <w:rPr>
          <w:szCs w:val="16"/>
          <w:lang w:val="en-US"/>
        </w:rPr>
        <w:t>, Judgment of October 28, 2015.</w:t>
      </w:r>
      <w:r w:rsidRPr="00CE23AE">
        <w:rPr>
          <w:color w:val="FF0000"/>
          <w:szCs w:val="16"/>
          <w:lang w:val="en-US"/>
        </w:rPr>
        <w:t xml:space="preserve"> </w:t>
      </w:r>
    </w:p>
  </w:footnote>
  <w:footnote w:id="206">
    <w:p w14:paraId="49A4F875" w14:textId="38AEA927" w:rsidR="00673461" w:rsidRPr="00CE23AE" w:rsidRDefault="00673461" w:rsidP="007B1AC9">
      <w:pPr>
        <w:tabs>
          <w:tab w:val="left" w:pos="540"/>
          <w:tab w:val="left" w:pos="567"/>
        </w:tabs>
        <w:spacing w:before="120" w:after="120"/>
        <w:rPr>
          <w:b/>
          <w:bCs/>
          <w:sz w:val="16"/>
          <w:szCs w:val="16"/>
          <w:lang w:val="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r>
      <w:r w:rsidRPr="00CE23AE">
        <w:rPr>
          <w:bCs/>
          <w:sz w:val="16"/>
          <w:szCs w:val="16"/>
          <w:lang w:val="en-US"/>
        </w:rPr>
        <w:t>Federal Supreme Court of Brazil. Action on non-compliance with a fundamental precept, Federal District 291. Opinion of the Rapporteur Justice Roberto Barroso. Entire contents of the agreement. October 28, 2015, pp. 2, 19, and 30.</w:t>
      </w:r>
    </w:p>
  </w:footnote>
  <w:footnote w:id="207">
    <w:p w14:paraId="58DC6A9B" w14:textId="0CFC82C1"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color w:val="000000"/>
          <w:szCs w:val="16"/>
          <w:lang w:val="en-US"/>
        </w:rPr>
        <w:t xml:space="preserve">Article 269 of Decree Law No. 23214, Peruvian Code of Military Justice. </w:t>
      </w:r>
    </w:p>
  </w:footnote>
  <w:footnote w:id="208">
    <w:p w14:paraId="1AF2AECD" w14:textId="3D0AF6B7"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Constitutional Court of Peru. Judgment of June 9, 2004. </w:t>
      </w:r>
      <w:r w:rsidRPr="00CE23AE">
        <w:rPr>
          <w:szCs w:val="16"/>
          <w:lang w:val="es-CR"/>
        </w:rPr>
        <w:t xml:space="preserve">File No. 0023-2003-AI/TC, para. </w:t>
      </w:r>
      <w:r w:rsidRPr="00CE23AE">
        <w:rPr>
          <w:szCs w:val="16"/>
          <w:lang w:val="en-US"/>
        </w:rPr>
        <w:t>87.</w:t>
      </w:r>
    </w:p>
  </w:footnote>
  <w:footnote w:id="209">
    <w:p w14:paraId="6B28B6ED" w14:textId="11D54442"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2 of the Convention establishes that: “[w]</w:t>
      </w:r>
      <w:r w:rsidRPr="00CE23AE">
        <w:rPr>
          <w:spacing w:val="-3"/>
          <w:szCs w:val="16"/>
          <w:lang w:val="en-US"/>
        </w:rPr>
        <w:t>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r w:rsidRPr="00CE23AE">
        <w:rPr>
          <w:szCs w:val="16"/>
          <w:lang w:val="en-US"/>
        </w:rPr>
        <w:t>”</w:t>
      </w:r>
    </w:p>
  </w:footnote>
  <w:footnote w:id="210">
    <w:p w14:paraId="13FE94BE" w14:textId="1F9BFF7B" w:rsidR="00673461" w:rsidRPr="00CE23AE" w:rsidRDefault="00673461" w:rsidP="007B1AC9">
      <w:pPr>
        <w:tabs>
          <w:tab w:val="left" w:pos="540"/>
          <w:tab w:val="left" w:pos="567"/>
        </w:tabs>
        <w:autoSpaceDE w:val="0"/>
        <w:autoSpaceDN w:val="0"/>
        <w:spacing w:before="120" w:after="120"/>
        <w:rPr>
          <w:rFonts w:cs="Verdana"/>
          <w:i/>
          <w:spacing w:val="-4"/>
          <w:sz w:val="16"/>
          <w:szCs w:val="16"/>
          <w:lang w:val="en-US"/>
        </w:rPr>
      </w:pPr>
      <w:r w:rsidRPr="00CE23AE">
        <w:rPr>
          <w:rStyle w:val="Refdenotaalpie"/>
          <w:rFonts w:eastAsia="Calibri"/>
          <w:spacing w:val="-4"/>
          <w:sz w:val="16"/>
          <w:szCs w:val="16"/>
          <w:lang w:val="en-US"/>
        </w:rPr>
        <w:footnoteRef/>
      </w:r>
      <w:r w:rsidRPr="00CE23AE">
        <w:rPr>
          <w:spacing w:val="-4"/>
          <w:sz w:val="16"/>
          <w:szCs w:val="16"/>
          <w:lang w:val="en-US"/>
        </w:rPr>
        <w:t xml:space="preserve"> </w:t>
      </w:r>
      <w:r w:rsidRPr="00CE23AE">
        <w:rPr>
          <w:spacing w:val="-4"/>
          <w:sz w:val="16"/>
          <w:szCs w:val="16"/>
          <w:lang w:val="en-US"/>
        </w:rPr>
        <w:tab/>
      </w:r>
      <w:r w:rsidRPr="00CE23AE">
        <w:rPr>
          <w:i/>
          <w:spacing w:val="-4"/>
          <w:sz w:val="16"/>
          <w:szCs w:val="16"/>
          <w:lang w:val="en-US"/>
        </w:rPr>
        <w:t>Cf. Case of Gangaram Panday v. Suriname. Preliminary objections</w:t>
      </w:r>
      <w:r w:rsidRPr="00CE23AE">
        <w:rPr>
          <w:spacing w:val="-4"/>
          <w:sz w:val="16"/>
          <w:szCs w:val="16"/>
          <w:lang w:val="en-US"/>
        </w:rPr>
        <w:t xml:space="preserve">. Judgment of December 4, 1991. </w:t>
      </w:r>
      <w:r w:rsidRPr="00CE23AE">
        <w:rPr>
          <w:spacing w:val="-4"/>
          <w:sz w:val="16"/>
          <w:szCs w:val="16"/>
        </w:rPr>
        <w:t xml:space="preserve">Series C No. 12, para. 50, and </w:t>
      </w:r>
      <w:r w:rsidRPr="00CE23AE">
        <w:rPr>
          <w:i/>
          <w:spacing w:val="-4"/>
          <w:sz w:val="16"/>
          <w:szCs w:val="16"/>
        </w:rPr>
        <w:t>Case of Quispialaya Vilcapoma v. Peru, supra</w:t>
      </w:r>
      <w:r w:rsidRPr="00CE23AE">
        <w:rPr>
          <w:spacing w:val="-4"/>
          <w:sz w:val="16"/>
          <w:szCs w:val="16"/>
        </w:rPr>
        <w:t xml:space="preserve">, para. </w:t>
      </w:r>
      <w:r w:rsidRPr="00CE23AE">
        <w:rPr>
          <w:spacing w:val="-4"/>
          <w:sz w:val="16"/>
          <w:szCs w:val="16"/>
          <w:lang w:val="en-US"/>
        </w:rPr>
        <w:t>219.</w:t>
      </w:r>
    </w:p>
  </w:footnote>
  <w:footnote w:id="211">
    <w:p w14:paraId="289CED0E" w14:textId="080430DA"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2008 Military Discipline Regulations, Ministry of National Defense, Ministerial General Order No. 243 (evidence file, folios 2505 and 2800).</w:t>
      </w:r>
    </w:p>
  </w:footnote>
  <w:footnote w:id="212">
    <w:p w14:paraId="4041E334" w14:textId="115110A8"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t>Article 9 of the American Convention establishes that: “</w:t>
      </w:r>
      <w:r w:rsidRPr="00CE23AE">
        <w:rPr>
          <w:spacing w:val="-3"/>
          <w:szCs w:val="16"/>
          <w:lang w:val="en-US"/>
        </w:rPr>
        <w:t>No one shall be convicted of any act or omission that did not constitute a criminal offense, under the applicable law, at the time it was committed.  A heavier penalty shall not be imposed than the one that was applicable at the time the criminal offense was committed.  If subsequent to the commission of the offense the law provides for the imposition of a lighter punishment, the guilty person shall benefit therefrom.</w:t>
      </w:r>
      <w:r w:rsidRPr="00CE23AE">
        <w:rPr>
          <w:szCs w:val="16"/>
          <w:lang w:val="en-US"/>
        </w:rPr>
        <w:t>”</w:t>
      </w:r>
    </w:p>
  </w:footnote>
  <w:footnote w:id="213">
    <w:p w14:paraId="3AB60D58" w14:textId="51DD8A6D" w:rsidR="00673461" w:rsidRPr="00CE23AE" w:rsidRDefault="00673461" w:rsidP="00AC18A9">
      <w:pPr>
        <w:tabs>
          <w:tab w:val="left" w:pos="480"/>
          <w:tab w:val="left" w:pos="1080"/>
          <w:tab w:val="left" w:pos="1680"/>
          <w:tab w:val="left" w:pos="5400"/>
        </w:tabs>
        <w:suppressAutoHyphens/>
        <w:rPr>
          <w:spacing w:val="-3"/>
          <w:sz w:val="16"/>
          <w:szCs w:val="16"/>
          <w:lang w:val="en-US"/>
        </w:rPr>
      </w:pPr>
      <w:r w:rsidRPr="00CE23AE">
        <w:rPr>
          <w:rStyle w:val="Refdenotaalpie"/>
          <w:rFonts w:eastAsia="MS Gothic"/>
          <w:sz w:val="16"/>
          <w:szCs w:val="16"/>
          <w:lang w:val="en-US"/>
        </w:rPr>
        <w:footnoteRef/>
      </w:r>
      <w:r w:rsidRPr="00CE23AE">
        <w:rPr>
          <w:sz w:val="16"/>
          <w:szCs w:val="16"/>
          <w:lang w:val="en-US"/>
        </w:rPr>
        <w:t xml:space="preserve"> </w:t>
      </w:r>
      <w:r w:rsidRPr="00CE23AE">
        <w:rPr>
          <w:sz w:val="16"/>
          <w:szCs w:val="16"/>
          <w:lang w:val="en-US"/>
        </w:rPr>
        <w:tab/>
        <w:t xml:space="preserve">Article 11 of the American Convention stipulates: “1. </w:t>
      </w:r>
      <w:r w:rsidRPr="00CE23AE">
        <w:rPr>
          <w:spacing w:val="-3"/>
          <w:sz w:val="16"/>
          <w:szCs w:val="16"/>
          <w:lang w:val="en-US"/>
        </w:rPr>
        <w:t>Everyone has the right to have his honor respected and his dignity recognized. 2. No one may be the object of arbitrary or abusive interference with his private life, his family, his home, or his correspondence, or of unlawful attacks on his honor or reputation. 3. Everyone has the right to the protection of the law against such interference or attacks</w:t>
      </w:r>
      <w:r w:rsidRPr="00CE23AE">
        <w:rPr>
          <w:sz w:val="16"/>
          <w:szCs w:val="16"/>
          <w:lang w:val="en-US"/>
        </w:rPr>
        <w:t>.</w:t>
      </w:r>
    </w:p>
  </w:footnote>
  <w:footnote w:id="214">
    <w:p w14:paraId="286CE4CD" w14:textId="6BC18E93" w:rsidR="00673461" w:rsidRPr="00CE23AE" w:rsidRDefault="00673461" w:rsidP="007B1AC9">
      <w:pPr>
        <w:pStyle w:val="Textonotapie"/>
        <w:tabs>
          <w:tab w:val="left" w:pos="540"/>
          <w:tab w:val="left" w:pos="567"/>
        </w:tabs>
        <w:rPr>
          <w:bCs/>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bCs/>
          <w:i/>
          <w:szCs w:val="16"/>
          <w:lang w:val="en-US"/>
        </w:rPr>
        <w:t>Case of the “Five Pensioners” v. Peru, supra</w:t>
      </w:r>
      <w:r w:rsidRPr="00CE23AE">
        <w:rPr>
          <w:bCs/>
          <w:szCs w:val="16"/>
          <w:lang w:val="en-US"/>
        </w:rPr>
        <w:t xml:space="preserve">, para. 155, and </w:t>
      </w:r>
      <w:r w:rsidRPr="00CE23AE">
        <w:rPr>
          <w:bCs/>
          <w:i/>
          <w:szCs w:val="16"/>
          <w:lang w:val="en-US"/>
        </w:rPr>
        <w:t>Case of Wong Ho Wing v. Peru. Preliminary objection, merits, reparations and costs</w:t>
      </w:r>
      <w:r w:rsidRPr="00CE23AE">
        <w:rPr>
          <w:bCs/>
          <w:szCs w:val="16"/>
          <w:lang w:val="en-US"/>
        </w:rPr>
        <w:t>. Judgment of June 30, 2015. Series C No. 297, para. 35.</w:t>
      </w:r>
    </w:p>
  </w:footnote>
  <w:footnote w:id="215">
    <w:p w14:paraId="74926423" w14:textId="3FA14325" w:rsidR="00673461" w:rsidRPr="00CE23AE" w:rsidRDefault="00673461" w:rsidP="000056E4">
      <w:pPr>
        <w:pStyle w:val="Textonotapie"/>
        <w:tabs>
          <w:tab w:val="left" w:pos="540"/>
          <w:tab w:val="left" w:pos="7700"/>
        </w:tabs>
        <w:rPr>
          <w:bCs/>
          <w:iCs/>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516 of the Ecuadorian Criminal Code stipulates that:</w:t>
      </w:r>
      <w:r w:rsidRPr="00CE23AE">
        <w:rPr>
          <w:b/>
          <w:bCs/>
          <w:iCs/>
          <w:szCs w:val="16"/>
          <w:lang w:val="en-US"/>
        </w:rPr>
        <w:t xml:space="preserve"> </w:t>
      </w:r>
      <w:r w:rsidRPr="00CE23AE">
        <w:rPr>
          <w:bCs/>
          <w:iCs/>
          <w:szCs w:val="16"/>
          <w:lang w:val="en-US"/>
        </w:rPr>
        <w:t xml:space="preserve">“[Para. 1] In cases of homosexuality, which do not constitute a violation, the two co-defendants shall be penalized with four to eight years’ imprisonment. </w:t>
      </w:r>
      <w:r w:rsidRPr="00CE23AE">
        <w:rPr>
          <w:iCs/>
          <w:szCs w:val="16"/>
          <w:lang w:val="en-US"/>
        </w:rPr>
        <w:t>[Para. 2] When the homosexuality is committed by the father or other ascendant on the son or other descendant, the punishment shall be eight to twelve years’ imprisonment and deprivation of the rights and prerogatives that the Civil Code grants over the person and possessions of the son. [Para. 3] If the act has been committed by ministers of religion, schoolteachers, professors of colleges or other institutions on persons entrusted to their care and guidance, the punishment shall be eight to twelve years’ imprisonment</w:t>
      </w:r>
      <w:r w:rsidRPr="00CE23AE">
        <w:rPr>
          <w:bCs/>
          <w:iCs/>
          <w:szCs w:val="16"/>
          <w:lang w:val="en-US"/>
        </w:rPr>
        <w:t>.</w:t>
      </w:r>
      <w:r w:rsidRPr="00CE23AE">
        <w:rPr>
          <w:iCs/>
          <w:szCs w:val="16"/>
          <w:lang w:val="en-US"/>
        </w:rPr>
        <w:t xml:space="preserve">” A judgment of the Constitutional Court of November 26,1997, declared the first paragraph of this article unconstitutional (merits file, folios 713 to 715). </w:t>
      </w:r>
    </w:p>
  </w:footnote>
  <w:footnote w:id="216">
    <w:p w14:paraId="2F18807C" w14:textId="2CA46369"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 Case of Baena Ricardo et al. v. Panama. Merits, reparations and costs</w:t>
      </w:r>
      <w:r w:rsidRPr="00CE23AE">
        <w:rPr>
          <w:szCs w:val="16"/>
          <w:lang w:val="en-US"/>
        </w:rPr>
        <w:t xml:space="preserve">. Judgment of February 2, 2001. Series C No. 72, para. 107, and </w:t>
      </w:r>
      <w:r w:rsidRPr="00CE23AE">
        <w:rPr>
          <w:bCs/>
          <w:i/>
          <w:szCs w:val="16"/>
          <w:lang w:val="en-US"/>
        </w:rPr>
        <w:t>Case of Mohamed v. Argentina. Preliminary objection, merits, reparations and costs</w:t>
      </w:r>
      <w:r w:rsidRPr="00CE23AE">
        <w:rPr>
          <w:bCs/>
          <w:szCs w:val="16"/>
          <w:lang w:val="en-US"/>
        </w:rPr>
        <w:t>. Judgment of November 23, 2012. Series C No. 255, para. 130.</w:t>
      </w:r>
    </w:p>
  </w:footnote>
  <w:footnote w:id="217">
    <w:p w14:paraId="5A05F2EE" w14:textId="4523C26C"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Cf. Case of Baena Ricardo et al. v. Panama. Merits, reparations and costs, supra</w:t>
      </w:r>
      <w:r w:rsidRPr="00CE23AE">
        <w:rPr>
          <w:szCs w:val="16"/>
          <w:lang w:val="en-US"/>
        </w:rPr>
        <w:t xml:space="preserve">, para. 106, and </w:t>
      </w:r>
      <w:r w:rsidRPr="00CE23AE">
        <w:rPr>
          <w:i/>
          <w:szCs w:val="16"/>
          <w:lang w:val="en-US"/>
        </w:rPr>
        <w:t>Case of López Lone et al. v. Honduras, supra</w:t>
      </w:r>
      <w:r w:rsidRPr="00CE23AE">
        <w:rPr>
          <w:szCs w:val="16"/>
          <w:lang w:val="en-US"/>
        </w:rPr>
        <w:t>, para. 257.</w:t>
      </w:r>
    </w:p>
  </w:footnote>
  <w:footnote w:id="218">
    <w:p w14:paraId="31458528" w14:textId="32DA4F15"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Cf. Case of Baena Ricardo et al. v. Panama. Merits, reparations and costs, supra</w:t>
      </w:r>
      <w:r w:rsidRPr="00CE23AE">
        <w:rPr>
          <w:szCs w:val="16"/>
          <w:lang w:val="en-US"/>
        </w:rPr>
        <w:t>,</w:t>
      </w:r>
      <w:r w:rsidRPr="00CE23AE">
        <w:rPr>
          <w:i/>
          <w:szCs w:val="16"/>
          <w:lang w:val="en-US"/>
        </w:rPr>
        <w:t xml:space="preserve"> </w:t>
      </w:r>
      <w:r w:rsidRPr="00CE23AE">
        <w:rPr>
          <w:szCs w:val="16"/>
          <w:lang w:val="en-US"/>
        </w:rPr>
        <w:t xml:space="preserve">para. 106, and </w:t>
      </w:r>
      <w:r w:rsidRPr="00CE23AE">
        <w:rPr>
          <w:i/>
          <w:szCs w:val="16"/>
          <w:lang w:val="en-US"/>
        </w:rPr>
        <w:t>Case of López Lone et al. v. Honduras, supra</w:t>
      </w:r>
      <w:r w:rsidRPr="00CE23AE">
        <w:rPr>
          <w:szCs w:val="16"/>
          <w:lang w:val="en-US"/>
        </w:rPr>
        <w:t>, para. 257.</w:t>
      </w:r>
    </w:p>
  </w:footnote>
  <w:footnote w:id="219">
    <w:p w14:paraId="53120A33" w14:textId="585E6FF7"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Cf. Case of Baena Ricardo et al. v. Panama. Merits, reparations and costs, supra</w:t>
      </w:r>
      <w:r w:rsidRPr="00CE23AE">
        <w:rPr>
          <w:szCs w:val="16"/>
          <w:lang w:val="en-US"/>
        </w:rPr>
        <w:t xml:space="preserve">, para. 106, and </w:t>
      </w:r>
      <w:r w:rsidRPr="00CE23AE">
        <w:rPr>
          <w:i/>
          <w:szCs w:val="16"/>
          <w:lang w:val="en-US"/>
        </w:rPr>
        <w:t>Case of López Lone et al. v. Honduras, supra</w:t>
      </w:r>
      <w:r w:rsidRPr="00CE23AE">
        <w:rPr>
          <w:szCs w:val="16"/>
          <w:lang w:val="en-US"/>
        </w:rPr>
        <w:t>, para. 257.</w:t>
      </w:r>
    </w:p>
  </w:footnote>
  <w:footnote w:id="220">
    <w:p w14:paraId="761E28FB" w14:textId="51118116"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 Case of Baena Ricardo et al. v. Panama. Merits, reparations and costs, supra</w:t>
      </w:r>
      <w:r w:rsidRPr="00CE23AE">
        <w:rPr>
          <w:szCs w:val="16"/>
          <w:lang w:val="en-US"/>
        </w:rPr>
        <w:t xml:space="preserve">, para. 106, and </w:t>
      </w:r>
      <w:r w:rsidRPr="00CE23AE">
        <w:rPr>
          <w:i/>
          <w:szCs w:val="16"/>
          <w:lang w:val="en-US"/>
        </w:rPr>
        <w:t>Case of López Lone et al. v. Honduras, supra</w:t>
      </w:r>
      <w:r w:rsidRPr="00CE23AE">
        <w:rPr>
          <w:szCs w:val="16"/>
          <w:lang w:val="en-US"/>
        </w:rPr>
        <w:t xml:space="preserve">, para. 257. </w:t>
      </w:r>
    </w:p>
  </w:footnote>
  <w:footnote w:id="221">
    <w:p w14:paraId="7E1718F2" w14:textId="789C4C3D" w:rsidR="00673461" w:rsidRPr="00CE23AE" w:rsidRDefault="00673461" w:rsidP="007B1AC9">
      <w:pPr>
        <w:pStyle w:val="Textonotapie"/>
        <w:tabs>
          <w:tab w:val="left" w:pos="540"/>
          <w:tab w:val="left" w:pos="567"/>
        </w:tabs>
        <w:rPr>
          <w:spacing w:val="-4"/>
          <w:szCs w:val="16"/>
          <w:lang w:val="es-CR"/>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zCs w:val="16"/>
          <w:lang w:val="en-US"/>
        </w:rPr>
        <w:t>Cf. Case of López Lone et al. v. Honduras, supra</w:t>
      </w:r>
      <w:r w:rsidRPr="00CE23AE">
        <w:rPr>
          <w:szCs w:val="16"/>
          <w:lang w:val="en-US"/>
        </w:rPr>
        <w:t xml:space="preserve">, para. 257, and </w:t>
      </w:r>
      <w:r w:rsidRPr="00CE23AE">
        <w:rPr>
          <w:i/>
          <w:iCs/>
          <w:szCs w:val="16"/>
          <w:lang w:val="en-US"/>
        </w:rPr>
        <w:t>mutatis mutandis, Case of Fontevecchia and D’Amico v. Argentina. Merits, reparations and costs</w:t>
      </w:r>
      <w:r w:rsidRPr="00CE23AE">
        <w:rPr>
          <w:iCs/>
          <w:szCs w:val="16"/>
          <w:lang w:val="en-US"/>
        </w:rPr>
        <w:t xml:space="preserve">. Judgment of November 29, 2011. Series C No. 238, para. </w:t>
      </w:r>
      <w:r w:rsidRPr="00CE23AE">
        <w:rPr>
          <w:iCs/>
          <w:szCs w:val="16"/>
          <w:lang w:val="es-CR"/>
        </w:rPr>
        <w:t>89.</w:t>
      </w:r>
    </w:p>
  </w:footnote>
  <w:footnote w:id="222">
    <w:p w14:paraId="5724EE2E" w14:textId="5F0F590E" w:rsidR="00673461" w:rsidRPr="00CE23AE" w:rsidRDefault="00673461" w:rsidP="007B1AC9">
      <w:pPr>
        <w:pStyle w:val="Textonotapie"/>
        <w:tabs>
          <w:tab w:val="left" w:pos="540"/>
          <w:tab w:val="left" w:pos="567"/>
        </w:tabs>
        <w:rPr>
          <w:iCs/>
          <w:szCs w:val="16"/>
          <w:lang w:val="en-US"/>
        </w:rPr>
      </w:pPr>
      <w:r w:rsidRPr="00CE23AE">
        <w:rPr>
          <w:rStyle w:val="Refdenotaalpie"/>
          <w:rFonts w:eastAsia="MS Gothic"/>
          <w:szCs w:val="16"/>
          <w:lang w:val="en-US"/>
        </w:rPr>
        <w:footnoteRef/>
      </w:r>
      <w:r w:rsidRPr="00CE23AE">
        <w:rPr>
          <w:szCs w:val="16"/>
          <w:lang w:val="es-CR"/>
        </w:rPr>
        <w:t xml:space="preserve"> </w:t>
      </w:r>
      <w:r w:rsidRPr="00CE23AE">
        <w:rPr>
          <w:szCs w:val="16"/>
          <w:lang w:val="es-CR"/>
        </w:rPr>
        <w:tab/>
      </w:r>
      <w:r w:rsidRPr="00CE23AE">
        <w:rPr>
          <w:i/>
          <w:szCs w:val="16"/>
          <w:lang w:val="es-CR"/>
        </w:rPr>
        <w:t>Cf. Case of López Lone et al. v. Honduras, supra</w:t>
      </w:r>
      <w:r w:rsidRPr="00CE23AE">
        <w:rPr>
          <w:szCs w:val="16"/>
          <w:lang w:val="es-CR"/>
        </w:rPr>
        <w:t xml:space="preserve">, para. </w:t>
      </w:r>
      <w:r w:rsidRPr="00CE23AE">
        <w:rPr>
          <w:szCs w:val="16"/>
          <w:lang w:val="en-US"/>
        </w:rPr>
        <w:t>257.</w:t>
      </w:r>
    </w:p>
  </w:footnote>
  <w:footnote w:id="223">
    <w:p w14:paraId="1FEEB04C" w14:textId="764E47AC"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t xml:space="preserve">Article 87(i) of the Law on Armed Forces Personnel established that: “A soldier shall be discharged for one of the following reasons: […] i) </w:t>
      </w:r>
      <w:r w:rsidRPr="00CE23AE">
        <w:rPr>
          <w:rFonts w:cs="Helvetica"/>
          <w:szCs w:val="16"/>
          <w:lang w:val="en-US"/>
        </w:rPr>
        <w:t xml:space="preserve">for the good of the service, due either to the misconduct or professional incompetence of the soldier, characterized as such by the respective Board, pursuant to the provisions of the corresponding regulations, when he does not have a right to paid leave. 1991 </w:t>
      </w:r>
      <w:r w:rsidRPr="00CE23AE">
        <w:rPr>
          <w:szCs w:val="16"/>
          <w:lang w:val="en-US"/>
        </w:rPr>
        <w:t>Law on Armed Forces Personnel (evidence file, folio 2665).</w:t>
      </w:r>
    </w:p>
  </w:footnote>
  <w:footnote w:id="224">
    <w:p w14:paraId="213C96A3" w14:textId="075A549E"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López Lone et al. v. Honduras, supra</w:t>
      </w:r>
      <w:r w:rsidRPr="00CE23AE">
        <w:rPr>
          <w:szCs w:val="16"/>
          <w:lang w:val="en-US"/>
        </w:rPr>
        <w:t>, para. 272.</w:t>
      </w:r>
    </w:p>
  </w:footnote>
  <w:footnote w:id="225">
    <w:p w14:paraId="2C6BBC5D" w14:textId="438E633F" w:rsidR="00673461" w:rsidRPr="00CE23AE" w:rsidRDefault="00673461" w:rsidP="00AC18A9">
      <w:pPr>
        <w:pStyle w:val="Textonotapie"/>
        <w:tabs>
          <w:tab w:val="left" w:pos="540"/>
          <w:tab w:val="left" w:pos="567"/>
          <w:tab w:val="left" w:pos="3420"/>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t>Article 24(1) of the 1998 Constitution of Ecuador established that: “[n]o one may be prosecuted for an act or omission that, when it was committed, was not legally defined as an offense of a criminal, administrative or other nature, and no sanction shall be applied that is not established in the Constitution or by law.” 1998 Ecuadorian Constitution (evidence file, folio 2676).</w:t>
      </w:r>
    </w:p>
  </w:footnote>
  <w:footnote w:id="226">
    <w:p w14:paraId="3C260AC3" w14:textId="3A5D4C1C"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t xml:space="preserve">See, </w:t>
      </w:r>
      <w:r w:rsidRPr="00CE23AE">
        <w:rPr>
          <w:i/>
          <w:iCs/>
          <w:szCs w:val="16"/>
          <w:lang w:val="en-US"/>
        </w:rPr>
        <w:t>inter alia,</w:t>
      </w:r>
      <w:r w:rsidRPr="00CE23AE">
        <w:rPr>
          <w:szCs w:val="16"/>
          <w:lang w:val="en-US"/>
        </w:rPr>
        <w:t xml:space="preserve"> the Preamble to the American Convention on Human Rights and the </w:t>
      </w:r>
      <w:r w:rsidRPr="00CE23AE">
        <w:rPr>
          <w:i/>
          <w:szCs w:val="16"/>
          <w:lang w:val="en-US"/>
        </w:rPr>
        <w:t>Case of García Ibarra et al. v. Ecuador. Preliminary objections, merits, reparations and costs</w:t>
      </w:r>
      <w:r w:rsidRPr="00CE23AE">
        <w:rPr>
          <w:szCs w:val="16"/>
          <w:lang w:val="en-US"/>
        </w:rPr>
        <w:t>. Judgment of November 17, 2015. Series C No. 306, para. 17.</w:t>
      </w:r>
    </w:p>
  </w:footnote>
  <w:footnote w:id="227">
    <w:p w14:paraId="1A779F8D" w14:textId="72A26EC3" w:rsidR="00673461" w:rsidRPr="00CE23AE" w:rsidRDefault="00673461" w:rsidP="007B1AC9">
      <w:pPr>
        <w:pStyle w:val="Textonotapie"/>
        <w:tabs>
          <w:tab w:val="left" w:pos="540"/>
          <w:tab w:val="left" w:pos="567"/>
        </w:tabs>
        <w:rPr>
          <w:szCs w:val="16"/>
          <w:lang w:val="es-CR"/>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hyperlink r:id="rId23" w:history="1">
        <w:r w:rsidRPr="00CE23AE">
          <w:rPr>
            <w:i/>
            <w:szCs w:val="16"/>
            <w:lang w:val="en-US"/>
          </w:rPr>
          <w:t>International Responsibility for the Promulgation and Enforcement of Laws in violation of the Convention (Arts. 1 and 2 of the American Convention on Human Rights)</w:t>
        </w:r>
      </w:hyperlink>
      <w:r w:rsidRPr="00CE23AE">
        <w:rPr>
          <w:i/>
          <w:szCs w:val="16"/>
          <w:lang w:val="en-US"/>
        </w:rPr>
        <w:t xml:space="preserve">, </w:t>
      </w:r>
      <w:r w:rsidRPr="00CE23AE">
        <w:rPr>
          <w:szCs w:val="16"/>
          <w:lang w:val="en-US"/>
        </w:rPr>
        <w:t xml:space="preserve">Advisory Opinion OC-14/94, December 9, 1994. </w:t>
      </w:r>
      <w:r w:rsidRPr="00CE23AE">
        <w:rPr>
          <w:szCs w:val="16"/>
          <w:lang w:val="es-CR"/>
        </w:rPr>
        <w:t>Series A No. 14, para. 34.</w:t>
      </w:r>
    </w:p>
  </w:footnote>
  <w:footnote w:id="228">
    <w:p w14:paraId="7A30AD59" w14:textId="4C37F263"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s-CR"/>
        </w:rPr>
        <w:t xml:space="preserve"> </w:t>
      </w:r>
      <w:r w:rsidRPr="00CE23AE">
        <w:rPr>
          <w:szCs w:val="16"/>
          <w:lang w:val="es-CR"/>
        </w:rPr>
        <w:tab/>
      </w:r>
      <w:r w:rsidRPr="00CE23AE">
        <w:rPr>
          <w:i/>
          <w:szCs w:val="16"/>
          <w:lang w:val="es-CR"/>
        </w:rPr>
        <w:t xml:space="preserve">Cf. </w:t>
      </w:r>
      <w:r w:rsidRPr="00CE23AE">
        <w:rPr>
          <w:szCs w:val="16"/>
          <w:lang w:val="es-CR"/>
        </w:rPr>
        <w:t xml:space="preserve">Advisory Opinion OC-14/94, </w:t>
      </w:r>
      <w:r w:rsidRPr="00CE23AE">
        <w:rPr>
          <w:i/>
          <w:szCs w:val="16"/>
          <w:lang w:val="es-CR"/>
        </w:rPr>
        <w:t>supra</w:t>
      </w:r>
      <w:r w:rsidRPr="00CE23AE">
        <w:rPr>
          <w:szCs w:val="16"/>
          <w:lang w:val="es-CR"/>
        </w:rPr>
        <w:t xml:space="preserve">, para. </w:t>
      </w:r>
      <w:r w:rsidRPr="00CE23AE">
        <w:rPr>
          <w:szCs w:val="16"/>
          <w:lang w:val="en-US"/>
        </w:rPr>
        <w:t>34.</w:t>
      </w:r>
    </w:p>
  </w:footnote>
  <w:footnote w:id="229">
    <w:p w14:paraId="38773A53" w14:textId="5833DF9C" w:rsidR="00673461" w:rsidRPr="00CE23AE" w:rsidRDefault="00673461" w:rsidP="007B1AC9">
      <w:pPr>
        <w:pStyle w:val="Textonotapie"/>
        <w:tabs>
          <w:tab w:val="left" w:pos="540"/>
          <w:tab w:val="left" w:pos="567"/>
        </w:tabs>
        <w:rPr>
          <w:color w:val="FF0000"/>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i/>
          <w:spacing w:val="-4"/>
          <w:szCs w:val="16"/>
          <w:lang w:val="en-US"/>
        </w:rPr>
        <w:t>Case of Chocrón Chocrón v. Venezuela. Preliminary objection, merits, reparations and costs</w:t>
      </w:r>
      <w:r w:rsidRPr="00CE23AE">
        <w:rPr>
          <w:spacing w:val="-4"/>
          <w:szCs w:val="16"/>
          <w:lang w:val="en-US"/>
        </w:rPr>
        <w:t xml:space="preserve">. Judgment of July 1, 2011. Series C No. 227, para. 120, and </w:t>
      </w:r>
      <w:r w:rsidRPr="00CE23AE">
        <w:rPr>
          <w:bCs/>
          <w:i/>
          <w:szCs w:val="16"/>
          <w:lang w:val="en-US"/>
        </w:rPr>
        <w:t>Case of López Lone et al. v. Honduras, supra</w:t>
      </w:r>
      <w:r w:rsidRPr="00CE23AE">
        <w:rPr>
          <w:bCs/>
          <w:szCs w:val="16"/>
          <w:lang w:val="en-US"/>
        </w:rPr>
        <w:t xml:space="preserve">, paras. 267 and 273. </w:t>
      </w:r>
    </w:p>
  </w:footnote>
  <w:footnote w:id="230">
    <w:p w14:paraId="36C0DED7" w14:textId="77777777" w:rsidR="00673461" w:rsidRPr="00CE23AE" w:rsidRDefault="00673461" w:rsidP="0009196A">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bCs/>
          <w:i/>
          <w:szCs w:val="16"/>
          <w:lang w:val="en-US"/>
        </w:rPr>
        <w:t>Case of López Lone et al. v. Honduras, supra</w:t>
      </w:r>
      <w:r w:rsidRPr="00CE23AE">
        <w:rPr>
          <w:bCs/>
          <w:szCs w:val="16"/>
          <w:lang w:val="en-US"/>
        </w:rPr>
        <w:t>, paras. 257.</w:t>
      </w:r>
    </w:p>
  </w:footnote>
  <w:footnote w:id="231">
    <w:p w14:paraId="0F30A0AE" w14:textId="680718FD" w:rsidR="00673461" w:rsidRPr="00CE23AE" w:rsidRDefault="00673461" w:rsidP="007B1AC9">
      <w:pPr>
        <w:tabs>
          <w:tab w:val="left" w:pos="540"/>
          <w:tab w:val="left" w:pos="567"/>
        </w:tabs>
        <w:autoSpaceDE w:val="0"/>
        <w:autoSpaceDN w:val="0"/>
        <w:spacing w:before="120" w:after="120" w:line="240" w:lineRule="auto"/>
        <w:rPr>
          <w:rFonts w:cs="TimesNewRomanPSMT"/>
          <w:sz w:val="16"/>
          <w:szCs w:val="16"/>
          <w:lang w:val="en-US"/>
        </w:rPr>
      </w:pPr>
      <w:r w:rsidRPr="00CE23AE">
        <w:rPr>
          <w:rStyle w:val="Refdenotaalpie"/>
          <w:rFonts w:eastAsia="MS Gothic"/>
          <w:sz w:val="16"/>
          <w:szCs w:val="16"/>
          <w:lang w:val="en-US"/>
        </w:rPr>
        <w:footnoteRef/>
      </w:r>
      <w:r w:rsidRPr="00CE23AE">
        <w:rPr>
          <w:sz w:val="16"/>
          <w:szCs w:val="16"/>
          <w:lang w:val="en-US"/>
        </w:rPr>
        <w:t xml:space="preserve"> </w:t>
      </w:r>
      <w:r w:rsidRPr="00CE23AE">
        <w:rPr>
          <w:sz w:val="16"/>
          <w:szCs w:val="16"/>
          <w:lang w:val="en-US"/>
        </w:rPr>
        <w:tab/>
        <w:t xml:space="preserve">Among the reasons for the alleged violation of Article 11 of the Convention, the representative also argued that the disciplinary sanction had led to Mr. Flor Freire’s divorce and the rupture of his ties to his daughter, and had affected him personally. However, these arguments do not form part of the </w:t>
      </w:r>
      <w:r w:rsidRPr="00CE23AE">
        <w:rPr>
          <w:rFonts w:cs="TimesNewRomanPSMT"/>
          <w:sz w:val="16"/>
          <w:szCs w:val="16"/>
          <w:lang w:val="en-US"/>
        </w:rPr>
        <w:t>factual framework described by the Commission in its Merits Report, so the Court will not take them into consideration.</w:t>
      </w:r>
    </w:p>
  </w:footnote>
  <w:footnote w:id="232">
    <w:p w14:paraId="5790F419" w14:textId="37E15244" w:rsidR="00673461" w:rsidRPr="00CE23AE" w:rsidRDefault="00673461" w:rsidP="007B1AC9">
      <w:pPr>
        <w:pStyle w:val="Textonotapie"/>
        <w:tabs>
          <w:tab w:val="left" w:pos="540"/>
          <w:tab w:val="left" w:pos="567"/>
        </w:tabs>
        <w:rPr>
          <w:spacing w:val="-2"/>
          <w:szCs w:val="16"/>
          <w:lang w:val="en-US"/>
        </w:rPr>
      </w:pPr>
      <w:r w:rsidRPr="00CE23AE">
        <w:rPr>
          <w:rStyle w:val="Refdenotaalpie"/>
          <w:rFonts w:eastAsia="Calibri"/>
          <w:szCs w:val="16"/>
          <w:lang w:val="en-US"/>
        </w:rPr>
        <w:footnoteRef/>
      </w:r>
      <w:r w:rsidRPr="00CE23AE">
        <w:rPr>
          <w:spacing w:val="-2"/>
          <w:szCs w:val="16"/>
          <w:lang w:val="en-US"/>
        </w:rPr>
        <w:t xml:space="preserve"> </w:t>
      </w:r>
      <w:r w:rsidRPr="00CE23AE">
        <w:rPr>
          <w:spacing w:val="-2"/>
          <w:szCs w:val="16"/>
          <w:lang w:val="en-US"/>
        </w:rPr>
        <w:tab/>
      </w:r>
      <w:r w:rsidRPr="00CE23AE">
        <w:rPr>
          <w:i/>
          <w:spacing w:val="-2"/>
          <w:szCs w:val="16"/>
          <w:lang w:val="en-US"/>
        </w:rPr>
        <w:t>Cf.</w:t>
      </w:r>
      <w:r w:rsidRPr="00CE23AE">
        <w:rPr>
          <w:spacing w:val="-2"/>
          <w:szCs w:val="16"/>
          <w:lang w:val="en-US"/>
        </w:rPr>
        <w:t xml:space="preserve"> </w:t>
      </w:r>
      <w:r w:rsidRPr="00CE23AE">
        <w:rPr>
          <w:i/>
          <w:iCs/>
          <w:spacing w:val="-2"/>
          <w:szCs w:val="16"/>
          <w:lang w:val="en-US"/>
        </w:rPr>
        <w:t>Case of Tristán Donoso v. Panama. Preliminary objection, merits, reparations and costs</w:t>
      </w:r>
      <w:r w:rsidRPr="00CE23AE">
        <w:rPr>
          <w:spacing w:val="-2"/>
          <w:szCs w:val="16"/>
          <w:lang w:val="en-US"/>
        </w:rPr>
        <w:t xml:space="preserve">. Judgment of January 27, 2009. Series C No. 193, para. 57, and </w:t>
      </w:r>
      <w:r w:rsidRPr="00CE23AE">
        <w:rPr>
          <w:bCs/>
          <w:i/>
          <w:iCs/>
          <w:spacing w:val="-2"/>
          <w:szCs w:val="16"/>
          <w:lang w:val="en-US"/>
        </w:rPr>
        <w:t xml:space="preserve">Case of the Santo Domingo Massacre v. Colombia. Preliminary objections, merits and reparations. </w:t>
      </w:r>
      <w:r w:rsidRPr="00CE23AE">
        <w:rPr>
          <w:bCs/>
          <w:iCs/>
          <w:spacing w:val="-2"/>
          <w:szCs w:val="16"/>
          <w:lang w:val="en-US"/>
        </w:rPr>
        <w:t>Judgment of November 30, 2012. Series C No. 259</w:t>
      </w:r>
      <w:r w:rsidRPr="00CE23AE">
        <w:rPr>
          <w:spacing w:val="-2"/>
          <w:szCs w:val="16"/>
          <w:lang w:val="en-US"/>
        </w:rPr>
        <w:t>, para. 286.</w:t>
      </w:r>
    </w:p>
  </w:footnote>
  <w:footnote w:id="233">
    <w:p w14:paraId="6F825F70" w14:textId="0472D7F2" w:rsidR="00673461" w:rsidRPr="00CE23AE" w:rsidRDefault="00673461" w:rsidP="007B1AC9">
      <w:pPr>
        <w:pStyle w:val="Textonotapie"/>
        <w:tabs>
          <w:tab w:val="left" w:pos="540"/>
        </w:tabs>
        <w:rPr>
          <w:szCs w:val="16"/>
          <w:lang w:val="en-US"/>
        </w:rPr>
      </w:pPr>
      <w:r w:rsidRPr="00CE23AE">
        <w:rPr>
          <w:rStyle w:val="Refdenotaalpie"/>
          <w:rFonts w:eastAsia="Calibri"/>
          <w:szCs w:val="16"/>
          <w:lang w:val="en-US"/>
        </w:rPr>
        <w:footnoteRef/>
      </w:r>
      <w:r w:rsidRPr="00CE23AE">
        <w:rPr>
          <w:szCs w:val="16"/>
          <w:lang w:val="en-US"/>
        </w:rPr>
        <w:t xml:space="preserve"> </w:t>
      </w:r>
      <w:r w:rsidRPr="00CE23AE">
        <w:rPr>
          <w:szCs w:val="16"/>
          <w:lang w:val="en-US"/>
        </w:rPr>
        <w:tab/>
        <w:t xml:space="preserve">During the public hearing, Mr. Flor Freire stated the following: “[a]s a result of my discharge from the army for misconduct, I went to look for work […]. But when I went for interviews, I was asked why I had left the Ecuadorian army; that was the crucial part of my life because, on the one hand, I had to tell the truth of what had happened and, on the other, I knew that if I told the truth I would not get the job, because mentioning issues of security and that a lieutenant had been discharged for misconduct, everyone understood that the misconduct referred to the fact that I was supposedly an arms-trafficker, sold weapons, was insubordinate, arrogant, a nuisance, or any other situation, anything rather than that I was falsely accused of being gay. When they called the Armed Forces – and the Ecuadorian State can confirm this – and asked the Human Resources Department why Lieutenant Homero Flor had left the army, they were told that it was due to misconduct, they did not even say that owing to a supposed sexual orientation other than heterosexual, but rather for misconduct. This destroyed my professional aspirations; meant that I only remained in the job for one month, two months […] I became a burden for my family; I used to support my mother and was proud to give her my salary, because they say that a good son gives his first salary to his mother and the other salaries he administers to procure benefits.” Statement of Mr. Flor Freire during the public hearing held before the Court in this case.  </w:t>
      </w:r>
    </w:p>
  </w:footnote>
  <w:footnote w:id="234">
    <w:p w14:paraId="2D272BB5" w14:textId="30CF69CD"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8(1) of the American Convention establishes that: “</w:t>
      </w:r>
      <w:r w:rsidRPr="00CE23AE">
        <w:rPr>
          <w:spacing w:val="-3"/>
          <w:szCs w:val="16"/>
          <w:lang w:val="en-U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CE23AE">
        <w:rPr>
          <w:szCs w:val="16"/>
          <w:lang w:val="en-US"/>
        </w:rPr>
        <w:t>”</w:t>
      </w:r>
    </w:p>
  </w:footnote>
  <w:footnote w:id="235">
    <w:p w14:paraId="52C49525" w14:textId="0F3F63AA"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25(1) of the American Convention establishes that: “</w:t>
      </w:r>
      <w:r w:rsidRPr="00CE23AE">
        <w:rPr>
          <w:spacing w:val="-3"/>
          <w:szCs w:val="16"/>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CE23AE">
        <w:rPr>
          <w:szCs w:val="16"/>
          <w:lang w:val="en-US"/>
        </w:rPr>
        <w:t>”</w:t>
      </w:r>
    </w:p>
  </w:footnote>
  <w:footnote w:id="236">
    <w:p w14:paraId="74DBB779" w14:textId="2888C056"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In its Merits Report, the Commission related the alleged violation of the obligation to provide reasoning established in Article 8(1) of the Convention to Article 2 (Domestic Legal Effects) of this instrument. However, it did not provide specific arguments in this regard or reiterate this claim in its final written observations. Therefore, in this judgment, the Court will not refer to an alleged violation of Article 2 of the Convention in relation to the obligation to provide reasoning. </w:t>
      </w:r>
    </w:p>
  </w:footnote>
  <w:footnote w:id="237">
    <w:p w14:paraId="57F114C5" w14:textId="553521E9" w:rsidR="00673461" w:rsidRPr="00CE23AE" w:rsidRDefault="00673461" w:rsidP="007B1AC9">
      <w:pPr>
        <w:pStyle w:val="Textonotapie"/>
        <w:tabs>
          <w:tab w:val="left" w:pos="540"/>
        </w:tabs>
        <w:rPr>
          <w:bCs/>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i/>
          <w:iCs/>
          <w:szCs w:val="16"/>
          <w:lang w:val="en-US"/>
        </w:rPr>
        <w:t xml:space="preserve">Case of the Constitutional Court v. Peru. Merits, reparations and costs. </w:t>
      </w:r>
      <w:r w:rsidRPr="00CE23AE">
        <w:rPr>
          <w:szCs w:val="16"/>
          <w:lang w:val="en-US"/>
        </w:rPr>
        <w:t xml:space="preserve">Judgment of January 31, 2001. </w:t>
      </w:r>
      <w:r w:rsidRPr="00CE23AE">
        <w:rPr>
          <w:szCs w:val="16"/>
          <w:lang w:val="es-CR"/>
        </w:rPr>
        <w:t>Series C No. 71</w:t>
      </w:r>
      <w:r w:rsidRPr="00CE23AE">
        <w:rPr>
          <w:iCs/>
          <w:szCs w:val="16"/>
          <w:lang w:val="es-CR"/>
        </w:rPr>
        <w:t xml:space="preserve">, </w:t>
      </w:r>
      <w:r w:rsidRPr="00CE23AE">
        <w:rPr>
          <w:szCs w:val="16"/>
          <w:lang w:val="es-CR"/>
        </w:rPr>
        <w:t>para. 69</w:t>
      </w:r>
      <w:r w:rsidRPr="00CE23AE">
        <w:rPr>
          <w:bCs/>
          <w:szCs w:val="16"/>
          <w:lang w:val="es-CR"/>
        </w:rPr>
        <w:t xml:space="preserve">, and </w:t>
      </w:r>
      <w:r w:rsidRPr="00CE23AE">
        <w:rPr>
          <w:bCs/>
          <w:i/>
          <w:szCs w:val="16"/>
          <w:lang w:val="es-CR"/>
        </w:rPr>
        <w:t>Case of Maldonado Ordoñez v. Guatemala, supra</w:t>
      </w:r>
      <w:r w:rsidRPr="00CE23AE">
        <w:rPr>
          <w:bCs/>
          <w:szCs w:val="16"/>
          <w:lang w:val="es-CR"/>
        </w:rPr>
        <w:t xml:space="preserve">, para. </w:t>
      </w:r>
      <w:r w:rsidRPr="00CE23AE">
        <w:rPr>
          <w:bCs/>
          <w:szCs w:val="16"/>
          <w:lang w:val="en-US"/>
        </w:rPr>
        <w:t>71.</w:t>
      </w:r>
    </w:p>
  </w:footnote>
  <w:footnote w:id="238">
    <w:p w14:paraId="56B6A9EC" w14:textId="0606F3B8" w:rsidR="00673461" w:rsidRPr="00CE23AE" w:rsidRDefault="00673461" w:rsidP="007B1AC9">
      <w:pPr>
        <w:tabs>
          <w:tab w:val="left" w:pos="540"/>
        </w:tabs>
        <w:spacing w:before="120" w:after="120"/>
        <w:rPr>
          <w:bCs/>
          <w:color w:val="000000"/>
          <w:sz w:val="16"/>
          <w:szCs w:val="16"/>
          <w:shd w:val="clear" w:color="auto" w:fill="FFFFFF"/>
          <w:lang w:val="en-US"/>
        </w:rPr>
      </w:pPr>
      <w:r w:rsidRPr="00CE23AE">
        <w:rPr>
          <w:rStyle w:val="Refdenotaalpie"/>
          <w:rFonts w:eastAsia="MS Gothic"/>
          <w:sz w:val="16"/>
          <w:szCs w:val="16"/>
          <w:lang w:val="en-US"/>
        </w:rPr>
        <w:footnoteRef/>
      </w:r>
      <w:r w:rsidRPr="00CE23AE">
        <w:rPr>
          <w:sz w:val="16"/>
          <w:szCs w:val="16"/>
          <w:lang w:val="en-US"/>
        </w:rPr>
        <w:t xml:space="preserve"> </w:t>
      </w:r>
      <w:r w:rsidRPr="00CE23AE">
        <w:rPr>
          <w:sz w:val="16"/>
          <w:szCs w:val="16"/>
          <w:lang w:val="en-US"/>
        </w:rPr>
        <w:tab/>
      </w:r>
      <w:r w:rsidRPr="00CE23AE">
        <w:rPr>
          <w:i/>
          <w:sz w:val="16"/>
          <w:szCs w:val="16"/>
          <w:lang w:val="en-US"/>
        </w:rPr>
        <w:t>Cf.</w:t>
      </w:r>
      <w:r w:rsidRPr="00CE23AE">
        <w:rPr>
          <w:sz w:val="16"/>
          <w:szCs w:val="16"/>
          <w:lang w:val="en-US"/>
        </w:rPr>
        <w:t xml:space="preserve"> </w:t>
      </w:r>
      <w:r w:rsidRPr="00CE23AE">
        <w:rPr>
          <w:rStyle w:val="Textoennegrita"/>
          <w:b w:val="0"/>
          <w:i/>
          <w:color w:val="000000"/>
          <w:sz w:val="16"/>
          <w:szCs w:val="16"/>
          <w:shd w:val="clear" w:color="auto" w:fill="FFFFFF"/>
          <w:lang w:val="en-US"/>
        </w:rPr>
        <w:t>Case of Claude Reyes et al. v. Chile. Merits, reparations and costs</w:t>
      </w:r>
      <w:r w:rsidRPr="00CE23AE">
        <w:rPr>
          <w:rStyle w:val="Textoennegrita"/>
          <w:b w:val="0"/>
          <w:color w:val="000000"/>
          <w:sz w:val="16"/>
          <w:szCs w:val="16"/>
          <w:shd w:val="clear" w:color="auto" w:fill="FFFFFF"/>
          <w:lang w:val="en-US"/>
        </w:rPr>
        <w:t>. Judgment of September 19, 2006. Series C No. 151,</w:t>
      </w:r>
      <w:r w:rsidRPr="00CE23AE">
        <w:rPr>
          <w:i/>
          <w:sz w:val="16"/>
          <w:szCs w:val="16"/>
          <w:lang w:val="en-US"/>
        </w:rPr>
        <w:t xml:space="preserve"> </w:t>
      </w:r>
      <w:r w:rsidRPr="00CE23AE">
        <w:rPr>
          <w:sz w:val="16"/>
          <w:szCs w:val="16"/>
          <w:lang w:val="en-US"/>
        </w:rPr>
        <w:t>para. 117</w:t>
      </w:r>
      <w:r w:rsidRPr="00CE23AE">
        <w:rPr>
          <w:bCs/>
          <w:sz w:val="16"/>
          <w:szCs w:val="16"/>
          <w:lang w:val="en-US"/>
        </w:rPr>
        <w:t xml:space="preserve">, and </w:t>
      </w:r>
      <w:r w:rsidRPr="00CE23AE">
        <w:rPr>
          <w:bCs/>
          <w:i/>
          <w:sz w:val="16"/>
          <w:szCs w:val="16"/>
          <w:lang w:val="en-US"/>
        </w:rPr>
        <w:t>Case of Maldonado Ordoñez v. Guatemala, supra</w:t>
      </w:r>
      <w:r w:rsidRPr="00CE23AE">
        <w:rPr>
          <w:bCs/>
          <w:sz w:val="16"/>
          <w:szCs w:val="16"/>
          <w:lang w:val="en-US"/>
        </w:rPr>
        <w:t>, para. 72.</w:t>
      </w:r>
      <w:r w:rsidRPr="00CE23AE">
        <w:rPr>
          <w:sz w:val="16"/>
          <w:szCs w:val="16"/>
          <w:lang w:val="en-US"/>
        </w:rPr>
        <w:t xml:space="preserve"> </w:t>
      </w:r>
    </w:p>
  </w:footnote>
  <w:footnote w:id="239">
    <w:p w14:paraId="38A1B334" w14:textId="1A3CF405"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iCs/>
          <w:spacing w:val="-4"/>
          <w:szCs w:val="16"/>
          <w:lang w:val="en-US"/>
        </w:rPr>
        <w:t>Cf.</w:t>
      </w:r>
      <w:r w:rsidRPr="00CE23AE">
        <w:rPr>
          <w:spacing w:val="-4"/>
          <w:szCs w:val="16"/>
          <w:lang w:val="en-US"/>
        </w:rPr>
        <w:t xml:space="preserve"> </w:t>
      </w:r>
      <w:r w:rsidRPr="00CE23AE">
        <w:rPr>
          <w:i/>
          <w:iCs/>
          <w:spacing w:val="-4"/>
          <w:szCs w:val="16"/>
          <w:lang w:val="en-US"/>
        </w:rPr>
        <w:t>Case of the Constitutional Court v. Peru, supra</w:t>
      </w:r>
      <w:r w:rsidRPr="00CE23AE">
        <w:rPr>
          <w:spacing w:val="-4"/>
          <w:szCs w:val="16"/>
          <w:lang w:val="en-US"/>
        </w:rPr>
        <w:t xml:space="preserve">, para. 71, and </w:t>
      </w:r>
      <w:r w:rsidRPr="00CE23AE">
        <w:rPr>
          <w:i/>
          <w:spacing w:val="-4"/>
          <w:szCs w:val="16"/>
          <w:lang w:val="en-US"/>
        </w:rPr>
        <w:t>Case of Maldonado Ordoñez v. Guatemala, supra</w:t>
      </w:r>
      <w:r w:rsidRPr="00CE23AE">
        <w:rPr>
          <w:spacing w:val="-4"/>
          <w:szCs w:val="16"/>
          <w:lang w:val="en-US"/>
        </w:rPr>
        <w:t>, para. 23.</w:t>
      </w:r>
    </w:p>
  </w:footnote>
  <w:footnote w:id="240">
    <w:p w14:paraId="2E649E05" w14:textId="179B50AF"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iCs/>
          <w:spacing w:val="-4"/>
          <w:szCs w:val="16"/>
          <w:lang w:val="en-US"/>
        </w:rPr>
        <w:t>Cf.</w:t>
      </w:r>
      <w:r w:rsidRPr="00CE23AE">
        <w:rPr>
          <w:spacing w:val="-4"/>
          <w:szCs w:val="16"/>
          <w:lang w:val="en-US"/>
        </w:rPr>
        <w:t xml:space="preserve"> </w:t>
      </w:r>
      <w:r w:rsidRPr="00CE23AE">
        <w:rPr>
          <w:rStyle w:val="Textoennegrita"/>
          <w:b w:val="0"/>
          <w:i/>
          <w:color w:val="000000"/>
          <w:szCs w:val="16"/>
          <w:shd w:val="clear" w:color="auto" w:fill="FFFFFF"/>
          <w:lang w:val="en-US"/>
        </w:rPr>
        <w:t>Case of Claude Reyes et al. v. Chile, supra</w:t>
      </w:r>
      <w:r w:rsidRPr="00CE23AE">
        <w:rPr>
          <w:rStyle w:val="Textoennegrita"/>
          <w:b w:val="0"/>
          <w:color w:val="000000"/>
          <w:szCs w:val="16"/>
          <w:shd w:val="clear" w:color="auto" w:fill="FFFFFF"/>
          <w:lang w:val="en-US"/>
        </w:rPr>
        <w:t>,</w:t>
      </w:r>
      <w:r w:rsidRPr="00CE23AE">
        <w:rPr>
          <w:i/>
          <w:szCs w:val="16"/>
          <w:lang w:val="en-US"/>
        </w:rPr>
        <w:t xml:space="preserve"> </w:t>
      </w:r>
      <w:r w:rsidRPr="00CE23AE">
        <w:rPr>
          <w:spacing w:val="-4"/>
          <w:szCs w:val="16"/>
          <w:lang w:val="en-US"/>
        </w:rPr>
        <w:t xml:space="preserve">para. 119, and </w:t>
      </w:r>
      <w:r w:rsidRPr="00CE23AE">
        <w:rPr>
          <w:rStyle w:val="Textoennegrita"/>
          <w:rFonts w:eastAsia="MS ????"/>
          <w:b w:val="0"/>
          <w:i/>
          <w:color w:val="000000"/>
          <w:szCs w:val="16"/>
          <w:shd w:val="clear" w:color="auto" w:fill="FFFFFF"/>
          <w:lang w:val="en-US"/>
        </w:rPr>
        <w:t>Case of López Lone et al. v. Honduras, supra</w:t>
      </w:r>
      <w:r w:rsidRPr="00CE23AE">
        <w:rPr>
          <w:rStyle w:val="Textoennegrita"/>
          <w:rFonts w:eastAsia="MS ????"/>
          <w:b w:val="0"/>
          <w:color w:val="000000"/>
          <w:szCs w:val="16"/>
          <w:shd w:val="clear" w:color="auto" w:fill="FFFFFF"/>
          <w:lang w:val="en-US"/>
        </w:rPr>
        <w:t>, para. 207.</w:t>
      </w:r>
    </w:p>
  </w:footnote>
  <w:footnote w:id="241">
    <w:p w14:paraId="3DF21458" w14:textId="70722A9C" w:rsidR="00673461" w:rsidRPr="00CE23AE" w:rsidRDefault="00673461" w:rsidP="007B1AC9">
      <w:pPr>
        <w:pStyle w:val="Textonotapie"/>
        <w:tabs>
          <w:tab w:val="left" w:pos="540"/>
          <w:tab w:val="left" w:pos="567"/>
        </w:tabs>
        <w:rPr>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pacing w:val="-4"/>
          <w:szCs w:val="16"/>
          <w:lang w:val="en-US"/>
        </w:rPr>
        <w:t>Mutatis Mutandis,</w:t>
      </w:r>
      <w:r w:rsidRPr="00CE23AE">
        <w:rPr>
          <w:spacing w:val="-4"/>
          <w:szCs w:val="16"/>
          <w:lang w:val="en-US"/>
        </w:rPr>
        <w:t xml:space="preserve"> </w:t>
      </w:r>
      <w:r w:rsidRPr="00CE23AE">
        <w:rPr>
          <w:i/>
          <w:spacing w:val="-4"/>
          <w:szCs w:val="16"/>
          <w:lang w:val="en-US"/>
        </w:rPr>
        <w:t>Case of Apitz Barbera et al. (“First Contentious Administrative Court”) v. Venezuela, supra</w:t>
      </w:r>
      <w:r w:rsidRPr="00CE23AE">
        <w:rPr>
          <w:spacing w:val="-4"/>
          <w:szCs w:val="16"/>
          <w:lang w:val="en-US"/>
        </w:rPr>
        <w:t xml:space="preserve">, para. 56, and </w:t>
      </w:r>
      <w:r w:rsidRPr="00CE23AE">
        <w:rPr>
          <w:rStyle w:val="Textoennegrita"/>
          <w:rFonts w:eastAsia="MS ????"/>
          <w:b w:val="0"/>
          <w:i/>
          <w:color w:val="000000"/>
          <w:szCs w:val="16"/>
          <w:shd w:val="clear" w:color="auto" w:fill="FFFFFF"/>
          <w:lang w:val="en-US"/>
        </w:rPr>
        <w:t>Case of López Lone et al. v. Honduras, supra</w:t>
      </w:r>
      <w:r w:rsidRPr="00CE23AE">
        <w:rPr>
          <w:rStyle w:val="Textoennegrita"/>
          <w:rFonts w:eastAsia="MS ????"/>
          <w:b w:val="0"/>
          <w:color w:val="000000"/>
          <w:szCs w:val="16"/>
          <w:shd w:val="clear" w:color="auto" w:fill="FFFFFF"/>
          <w:lang w:val="en-US"/>
        </w:rPr>
        <w:t>, para. 233.</w:t>
      </w:r>
    </w:p>
  </w:footnote>
  <w:footnote w:id="242">
    <w:p w14:paraId="0B034319" w14:textId="41CF50A6" w:rsidR="00673461" w:rsidRPr="00CE23AE" w:rsidRDefault="00673461" w:rsidP="007B1AC9">
      <w:pPr>
        <w:pStyle w:val="Textonotapie"/>
        <w:tabs>
          <w:tab w:val="left" w:pos="540"/>
          <w:tab w:val="left" w:pos="567"/>
        </w:tabs>
        <w:rPr>
          <w:rStyle w:val="nfasis"/>
          <w:lang w:val="en-US"/>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pacing w:val="-4"/>
          <w:szCs w:val="16"/>
          <w:lang w:val="en-US"/>
        </w:rPr>
        <w:t>Mutatis mutandis,</w:t>
      </w:r>
      <w:r w:rsidRPr="00CE23AE">
        <w:rPr>
          <w:spacing w:val="-4"/>
          <w:szCs w:val="16"/>
          <w:lang w:val="en-US"/>
        </w:rPr>
        <w:t xml:space="preserve"> </w:t>
      </w:r>
      <w:r w:rsidRPr="00CE23AE">
        <w:rPr>
          <w:i/>
          <w:spacing w:val="-4"/>
          <w:szCs w:val="16"/>
          <w:lang w:val="en-US"/>
        </w:rPr>
        <w:t>Case of Apitz Barbera et al. (“First Contentious Administrative Court”) v. Venezuela, supra</w:t>
      </w:r>
      <w:r w:rsidRPr="00CE23AE">
        <w:rPr>
          <w:spacing w:val="-4"/>
          <w:szCs w:val="16"/>
          <w:lang w:val="en-US"/>
        </w:rPr>
        <w:t xml:space="preserve">, para. 56, and </w:t>
      </w:r>
      <w:r w:rsidRPr="00CE23AE">
        <w:rPr>
          <w:rStyle w:val="Textoennegrita"/>
          <w:rFonts w:eastAsia="MS ????"/>
          <w:b w:val="0"/>
          <w:i/>
          <w:color w:val="000000"/>
          <w:szCs w:val="16"/>
          <w:shd w:val="clear" w:color="auto" w:fill="FFFFFF"/>
          <w:lang w:val="en-US"/>
        </w:rPr>
        <w:t>Case of López Lone et al. v. Honduras, supra</w:t>
      </w:r>
      <w:r w:rsidRPr="00CE23AE">
        <w:rPr>
          <w:rStyle w:val="Textoennegrita"/>
          <w:rFonts w:eastAsia="MS ????"/>
          <w:b w:val="0"/>
          <w:color w:val="000000"/>
          <w:szCs w:val="16"/>
          <w:shd w:val="clear" w:color="auto" w:fill="FFFFFF"/>
          <w:lang w:val="en-US"/>
        </w:rPr>
        <w:t>, para. 233.</w:t>
      </w:r>
    </w:p>
  </w:footnote>
  <w:footnote w:id="243">
    <w:p w14:paraId="1731C25E" w14:textId="664E0E33" w:rsidR="00673461" w:rsidRPr="00CE23AE" w:rsidRDefault="00673461" w:rsidP="007B1AC9">
      <w:pPr>
        <w:pStyle w:val="Textonotapie"/>
        <w:tabs>
          <w:tab w:val="left" w:pos="540"/>
          <w:tab w:val="left" w:pos="567"/>
        </w:tabs>
        <w:rPr>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pacing w:val="-4"/>
          <w:szCs w:val="16"/>
          <w:lang w:val="en-US"/>
        </w:rPr>
        <w:t>Mutatis mutandis,</w:t>
      </w:r>
      <w:r w:rsidRPr="00CE23AE">
        <w:rPr>
          <w:spacing w:val="-4"/>
          <w:szCs w:val="16"/>
          <w:lang w:val="en-US"/>
        </w:rPr>
        <w:t xml:space="preserve"> </w:t>
      </w:r>
      <w:r w:rsidRPr="00CE23AE">
        <w:rPr>
          <w:i/>
          <w:spacing w:val="-4"/>
          <w:szCs w:val="16"/>
          <w:lang w:val="en-US"/>
        </w:rPr>
        <w:t>Case of Apitz Barbera et al. (“First Contentious Administrative Court”) v. Venezuela, supra</w:t>
      </w:r>
      <w:r w:rsidRPr="00CE23AE">
        <w:rPr>
          <w:spacing w:val="-4"/>
          <w:szCs w:val="16"/>
          <w:lang w:val="en-US"/>
        </w:rPr>
        <w:t xml:space="preserve">, para. 56, and </w:t>
      </w:r>
      <w:r w:rsidRPr="00CE23AE">
        <w:rPr>
          <w:rStyle w:val="Textoennegrita"/>
          <w:rFonts w:eastAsia="MS ????"/>
          <w:b w:val="0"/>
          <w:i/>
          <w:color w:val="000000"/>
          <w:szCs w:val="16"/>
          <w:shd w:val="clear" w:color="auto" w:fill="FFFFFF"/>
          <w:lang w:val="en-US"/>
        </w:rPr>
        <w:t>Case of López Lone et al. v. Honduras, supra</w:t>
      </w:r>
      <w:r w:rsidRPr="00CE23AE">
        <w:rPr>
          <w:rStyle w:val="Textoennegrita"/>
          <w:rFonts w:eastAsia="MS ????"/>
          <w:b w:val="0"/>
          <w:color w:val="000000"/>
          <w:szCs w:val="16"/>
          <w:shd w:val="clear" w:color="auto" w:fill="FFFFFF"/>
          <w:lang w:val="en-US"/>
        </w:rPr>
        <w:t xml:space="preserve">, para. 233, </w:t>
      </w:r>
      <w:r w:rsidRPr="00CE23AE">
        <w:rPr>
          <w:spacing w:val="-4"/>
          <w:szCs w:val="16"/>
          <w:lang w:val="en-US"/>
        </w:rPr>
        <w:t xml:space="preserve">citing: ECHR, </w:t>
      </w:r>
      <w:r w:rsidRPr="00CE23AE">
        <w:rPr>
          <w:i/>
          <w:spacing w:val="-4"/>
          <w:szCs w:val="16"/>
          <w:lang w:val="en-US"/>
        </w:rPr>
        <w:t>Case of Piersack v. Belgium,</w:t>
      </w:r>
      <w:r w:rsidRPr="00CE23AE">
        <w:rPr>
          <w:spacing w:val="-4"/>
          <w:szCs w:val="16"/>
          <w:lang w:val="en-US"/>
        </w:rPr>
        <w:t xml:space="preserve"> No. 8692/79. Judgment of October 1, 1982, and </w:t>
      </w:r>
      <w:r w:rsidRPr="00CE23AE">
        <w:rPr>
          <w:i/>
          <w:spacing w:val="-4"/>
          <w:szCs w:val="16"/>
          <w:lang w:val="en-US"/>
        </w:rPr>
        <w:t>Case of De Cubber v. Belgium</w:t>
      </w:r>
      <w:r w:rsidRPr="00CE23AE">
        <w:rPr>
          <w:spacing w:val="-4"/>
          <w:szCs w:val="16"/>
          <w:lang w:val="en-US"/>
        </w:rPr>
        <w:t>, No. 9186/80.</w:t>
      </w:r>
      <w:r w:rsidRPr="00CE23AE">
        <w:rPr>
          <w:i/>
          <w:spacing w:val="-4"/>
          <w:szCs w:val="16"/>
          <w:lang w:val="en-US"/>
        </w:rPr>
        <w:t xml:space="preserve"> </w:t>
      </w:r>
      <w:r w:rsidRPr="00CE23AE">
        <w:rPr>
          <w:spacing w:val="-4"/>
          <w:szCs w:val="16"/>
          <w:lang w:val="en-US"/>
        </w:rPr>
        <w:t>Judgment of October 26, 1984.</w:t>
      </w:r>
    </w:p>
  </w:footnote>
  <w:footnote w:id="244">
    <w:p w14:paraId="6AFA5109" w14:textId="72F1B8E8" w:rsidR="00673461" w:rsidRPr="00CE23AE" w:rsidRDefault="00673461" w:rsidP="007B1AC9">
      <w:pPr>
        <w:pStyle w:val="Textonotapie"/>
        <w:tabs>
          <w:tab w:val="left" w:pos="540"/>
          <w:tab w:val="left" w:pos="567"/>
        </w:tabs>
        <w:rPr>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t>Principle 2 of the United Nations Basic Principles on the Independence of the Judiciary (adopted by the Seventh United Nations Congress on the Prevention of Crime and the Treatment of Offenders held at Milan from August 26 to September 6, 1985, and endorsed by General Assembly resolutions 40/32 of November 29, 1985, and 40/146 of December 13, 1985).</w:t>
      </w:r>
    </w:p>
  </w:footnote>
  <w:footnote w:id="245">
    <w:p w14:paraId="2003ABA6" w14:textId="2551F6B6" w:rsidR="00673461" w:rsidRPr="00CE23AE" w:rsidRDefault="00673461" w:rsidP="007B1AC9">
      <w:pPr>
        <w:pStyle w:val="Textonotapie"/>
        <w:tabs>
          <w:tab w:val="left" w:pos="540"/>
          <w:tab w:val="left" w:pos="567"/>
        </w:tabs>
        <w:rPr>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pacing w:val="-4"/>
          <w:szCs w:val="16"/>
          <w:lang w:val="en-US"/>
        </w:rPr>
        <w:t>Cf. Case of Apitz Barbera et al. (“First Contentious Administrative Court”) v. Venezuela, supra</w:t>
      </w:r>
      <w:r w:rsidRPr="00CE23AE">
        <w:rPr>
          <w:spacing w:val="-4"/>
          <w:szCs w:val="16"/>
          <w:lang w:val="en-US"/>
        </w:rPr>
        <w:t xml:space="preserve">, para. 56, and </w:t>
      </w:r>
      <w:r w:rsidRPr="00CE23AE">
        <w:rPr>
          <w:rStyle w:val="Textoennegrita"/>
          <w:rFonts w:eastAsia="MS ????"/>
          <w:b w:val="0"/>
          <w:i/>
          <w:color w:val="000000"/>
          <w:szCs w:val="16"/>
          <w:shd w:val="clear" w:color="auto" w:fill="FFFFFF"/>
          <w:lang w:val="en-US"/>
        </w:rPr>
        <w:t>Case of Duque v. Colombia, supra</w:t>
      </w:r>
      <w:r w:rsidRPr="00CE23AE">
        <w:rPr>
          <w:rStyle w:val="Textoennegrita"/>
          <w:rFonts w:eastAsia="MS ????"/>
          <w:b w:val="0"/>
          <w:color w:val="000000"/>
          <w:szCs w:val="16"/>
          <w:shd w:val="clear" w:color="auto" w:fill="FFFFFF"/>
          <w:lang w:val="en-US"/>
        </w:rPr>
        <w:t>, para. 162.</w:t>
      </w:r>
    </w:p>
  </w:footnote>
  <w:footnote w:id="246">
    <w:p w14:paraId="47DCD001" w14:textId="2BD76148"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Preliminary report presented by GIM-4 “Amazonas” to the Commander of the Fourth Military Zone on the incident in Lieutenant Homero Flor’s room on November 19, 2000 (evidence file, folios 1298 and 1299).</w:t>
      </w:r>
    </w:p>
  </w:footnote>
  <w:footnote w:id="247">
    <w:p w14:paraId="7D2481E3" w14:textId="019E4C4C"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Among the questions posed to the State in order to obtain helpful information, it was specifically asked the following: (i) “On November 20, 2000, Mr. Flor Freire was separated from his functions in the Ecuadorian Ground Forces by the Commander of the Fourth Military Zone, Amazonas Division (by Memorandum No. 200159-IV-DE-1 provided as part of the file of the procedure before the Commission): What were the legal grounds or the norm on which this initial action of the Commander of the Fourth Military Zone was based? Was this the normal procedure, even before the conclusion of the summary inquiry procedure?” and (ii) What were the legal grounds for the Commander of the Fourth Military Zone, Amazonas Division, to require Mr. Flor Freire </w:t>
      </w:r>
      <w:r w:rsidRPr="00CE23AE">
        <w:rPr>
          <w:lang w:val="en-US"/>
        </w:rPr>
        <w:t>“to surrender his responsibilities and to present himself at the HD-IV to provide his services,”</w:t>
      </w:r>
      <w:r w:rsidRPr="00CE23AE">
        <w:rPr>
          <w:szCs w:val="16"/>
          <w:lang w:val="en-US"/>
        </w:rPr>
        <w:t xml:space="preserve"> on December 13, 2000 (in Memorandum 2000187-IV-DE-1, provided as annex 4 to the Merits Report of the Inter-American Commission), since the summary inquiry procedure against him had not yet been concluded? Was this the normal procedure?”</w:t>
      </w:r>
    </w:p>
  </w:footnote>
  <w:footnote w:id="248">
    <w:p w14:paraId="7C97E543" w14:textId="37D3B24A" w:rsidR="00673461" w:rsidRPr="00CE23AE" w:rsidRDefault="00673461" w:rsidP="007B1AC9">
      <w:pPr>
        <w:widowControl/>
        <w:tabs>
          <w:tab w:val="left" w:pos="540"/>
          <w:tab w:val="left" w:pos="567"/>
        </w:tabs>
        <w:autoSpaceDE w:val="0"/>
        <w:autoSpaceDN w:val="0"/>
        <w:spacing w:before="120" w:after="120" w:line="240" w:lineRule="auto"/>
        <w:textAlignment w:val="auto"/>
        <w:rPr>
          <w:rFonts w:eastAsiaTheme="minorHAnsi"/>
          <w:sz w:val="16"/>
          <w:szCs w:val="16"/>
          <w:lang w:val="en-US" w:eastAsia="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t xml:space="preserve">This article established that </w:t>
      </w:r>
      <w:r w:rsidRPr="00CE23AE">
        <w:rPr>
          <w:rFonts w:eastAsiaTheme="minorHAnsi"/>
          <w:sz w:val="16"/>
          <w:szCs w:val="16"/>
          <w:lang w:val="en-US" w:eastAsia="en-US"/>
        </w:rPr>
        <w:t>“[c]ommand is the power that allows a soldier to exercise authority over his junior officers pursuant to the norms established in the pertinent laws and regulations.” 1991 Law on Armed Forces Personnel (evidence file, folio 2663).</w:t>
      </w:r>
    </w:p>
  </w:footnote>
  <w:footnote w:id="249">
    <w:p w14:paraId="6A4328A8" w14:textId="3D277297"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Brief of the State of May 30, 2016, in response to the request for helpful information (merits file, folio 976). </w:t>
      </w:r>
    </w:p>
  </w:footnote>
  <w:footnote w:id="250">
    <w:p w14:paraId="2D7BB5D6" w14:textId="060AC260"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Brief of the State of May 30, 2016, in response to the request for helpful information (merits file, folios 976 and 977)</w:t>
      </w:r>
    </w:p>
  </w:footnote>
  <w:footnote w:id="251">
    <w:p w14:paraId="7DFB8F6E" w14:textId="689F2A52"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Brief of the State of May 30, 2016, in response to the request for helpful information (merits file, folios 977 and 978)</w:t>
      </w:r>
    </w:p>
  </w:footnote>
  <w:footnote w:id="252">
    <w:p w14:paraId="36BA741C" w14:textId="2A350E1D"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According to the State, Mr. Flor Freire remained on active service until January 18, 2002, when his discharge went into effect as a result of the final decision of the Senior Officers Board (</w:t>
      </w:r>
      <w:r w:rsidRPr="00CE23AE">
        <w:rPr>
          <w:i/>
          <w:szCs w:val="16"/>
          <w:lang w:val="en-US"/>
        </w:rPr>
        <w:t>supra</w:t>
      </w:r>
      <w:r w:rsidRPr="00CE23AE">
        <w:rPr>
          <w:szCs w:val="16"/>
          <w:lang w:val="en-US"/>
        </w:rPr>
        <w:t xml:space="preserve"> para.</w:t>
      </w:r>
      <w:r w:rsidRPr="00CE23AE">
        <w:rPr>
          <w:b/>
          <w:szCs w:val="16"/>
          <w:lang w:val="en-US"/>
        </w:rPr>
        <w:t xml:space="preserve"> </w:t>
      </w:r>
      <w:r w:rsidRPr="00CE23AE">
        <w:rPr>
          <w:szCs w:val="16"/>
          <w:lang w:val="en-US"/>
        </w:rPr>
        <w:fldChar w:fldCharType="begin"/>
      </w:r>
      <w:r w:rsidRPr="00CE23AE">
        <w:rPr>
          <w:szCs w:val="16"/>
          <w:lang w:val="en-US"/>
        </w:rPr>
        <w:instrText xml:space="preserve"> REF _Ref454892889 \r \h  \* MERGEFORMAT </w:instrText>
      </w:r>
      <w:r w:rsidRPr="00CE23AE">
        <w:rPr>
          <w:szCs w:val="16"/>
          <w:lang w:val="en-US"/>
        </w:rPr>
      </w:r>
      <w:r w:rsidRPr="00CE23AE">
        <w:rPr>
          <w:szCs w:val="16"/>
          <w:lang w:val="en-US"/>
        </w:rPr>
        <w:fldChar w:fldCharType="separate"/>
      </w:r>
      <w:r w:rsidRPr="00CE23AE">
        <w:rPr>
          <w:szCs w:val="16"/>
          <w:lang w:val="en-US"/>
        </w:rPr>
        <w:t>100</w:t>
      </w:r>
      <w:r w:rsidRPr="00CE23AE">
        <w:rPr>
          <w:szCs w:val="16"/>
          <w:lang w:val="en-US"/>
        </w:rPr>
        <w:fldChar w:fldCharType="end"/>
      </w:r>
      <w:r w:rsidRPr="00CE23AE">
        <w:rPr>
          <w:szCs w:val="16"/>
          <w:lang w:val="en-US"/>
        </w:rPr>
        <w:t>).</w:t>
      </w:r>
    </w:p>
  </w:footnote>
  <w:footnote w:id="253">
    <w:p w14:paraId="1E6F0D73" w14:textId="2F373320" w:rsidR="00673461" w:rsidRPr="00CE23AE" w:rsidRDefault="00673461" w:rsidP="007B1AC9">
      <w:pPr>
        <w:tabs>
          <w:tab w:val="left" w:pos="540"/>
          <w:tab w:val="left" w:pos="567"/>
        </w:tabs>
        <w:autoSpaceDE w:val="0"/>
        <w:autoSpaceDN w:val="0"/>
        <w:spacing w:before="120" w:after="120"/>
        <w:rPr>
          <w:rFonts w:cs="Verdana"/>
          <w:i/>
          <w:iCs/>
          <w:spacing w:val="-4"/>
          <w:sz w:val="16"/>
          <w:szCs w:val="16"/>
          <w:lang w:val="en-US"/>
        </w:rPr>
      </w:pPr>
      <w:r w:rsidRPr="00CE23AE">
        <w:rPr>
          <w:rStyle w:val="Refdenotaalpie"/>
          <w:spacing w:val="-4"/>
          <w:sz w:val="16"/>
          <w:szCs w:val="16"/>
          <w:lang w:val="en-US"/>
        </w:rPr>
        <w:footnoteRef/>
      </w:r>
      <w:r w:rsidRPr="00CE23AE">
        <w:rPr>
          <w:spacing w:val="-4"/>
          <w:sz w:val="16"/>
          <w:szCs w:val="16"/>
          <w:lang w:val="en-US"/>
        </w:rPr>
        <w:t xml:space="preserve"> </w:t>
      </w:r>
      <w:r w:rsidRPr="00CE23AE">
        <w:rPr>
          <w:spacing w:val="-4"/>
          <w:sz w:val="16"/>
          <w:szCs w:val="16"/>
          <w:lang w:val="en-US"/>
        </w:rPr>
        <w:tab/>
      </w:r>
      <w:r w:rsidRPr="00CE23AE">
        <w:rPr>
          <w:i/>
          <w:spacing w:val="-4"/>
          <w:sz w:val="16"/>
          <w:szCs w:val="16"/>
          <w:lang w:val="en-US"/>
        </w:rPr>
        <w:t>Cf.</w:t>
      </w:r>
      <w:r w:rsidRPr="00CE23AE">
        <w:rPr>
          <w:spacing w:val="-4"/>
          <w:sz w:val="16"/>
          <w:szCs w:val="16"/>
          <w:lang w:val="en-US"/>
        </w:rPr>
        <w:t xml:space="preserve"> </w:t>
      </w:r>
      <w:r w:rsidRPr="00CE23AE">
        <w:rPr>
          <w:rFonts w:cs="Verdana"/>
          <w:i/>
          <w:iCs/>
          <w:spacing w:val="-4"/>
          <w:sz w:val="16"/>
          <w:szCs w:val="16"/>
          <w:lang w:val="en-US"/>
        </w:rPr>
        <w:t>Case of Chaparro Álvarez and Lapo Íñiguez v. Ecuador. Preliminary objections, merits, reparations and costs</w:t>
      </w:r>
      <w:r w:rsidRPr="00CE23AE">
        <w:rPr>
          <w:rFonts w:cs="Verdana"/>
          <w:iCs/>
          <w:spacing w:val="-4"/>
          <w:sz w:val="16"/>
          <w:szCs w:val="16"/>
          <w:lang w:val="en-US"/>
        </w:rPr>
        <w:t>. Judgment of November 21, 2007. Series C No. 170</w:t>
      </w:r>
      <w:r w:rsidRPr="00CE23AE">
        <w:rPr>
          <w:rFonts w:cs="Verdana"/>
          <w:spacing w:val="-4"/>
          <w:sz w:val="16"/>
          <w:szCs w:val="16"/>
          <w:lang w:val="en-US"/>
        </w:rPr>
        <w:t>, para. 107</w:t>
      </w:r>
      <w:r w:rsidRPr="00CE23AE">
        <w:rPr>
          <w:spacing w:val="-4"/>
          <w:sz w:val="16"/>
          <w:szCs w:val="16"/>
          <w:lang w:val="en-US"/>
        </w:rPr>
        <w:t xml:space="preserve">, and </w:t>
      </w:r>
      <w:r w:rsidRPr="00CE23AE">
        <w:rPr>
          <w:rFonts w:cs="Verdana"/>
          <w:bCs/>
          <w:i/>
          <w:spacing w:val="-4"/>
          <w:sz w:val="16"/>
          <w:szCs w:val="16"/>
          <w:lang w:val="en-US"/>
        </w:rPr>
        <w:t>Case of the Landaeta Mejías Brothers et al. v. Venezuela. Preliminary objections, merits, reparations and costs</w:t>
      </w:r>
      <w:r w:rsidRPr="00CE23AE">
        <w:rPr>
          <w:rFonts w:cs="Verdana"/>
          <w:bCs/>
          <w:spacing w:val="-4"/>
          <w:sz w:val="16"/>
          <w:szCs w:val="16"/>
          <w:lang w:val="en-US"/>
        </w:rPr>
        <w:t>. Judgment of August 27, 2014. Series C No. 281, footnote 313.</w:t>
      </w:r>
    </w:p>
  </w:footnote>
  <w:footnote w:id="254">
    <w:p w14:paraId="2563ACAD" w14:textId="459F2576" w:rsidR="00673461" w:rsidRPr="00CE23AE" w:rsidRDefault="00673461" w:rsidP="007B1AC9">
      <w:pPr>
        <w:pStyle w:val="Textonotapie"/>
        <w:tabs>
          <w:tab w:val="left" w:pos="540"/>
          <w:tab w:val="left" w:pos="567"/>
        </w:tabs>
        <w:rPr>
          <w:spacing w:val="-4"/>
          <w:szCs w:val="16"/>
          <w:lang w:val="es-CR"/>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pacing w:val="-4"/>
          <w:szCs w:val="16"/>
          <w:lang w:val="en-US"/>
        </w:rPr>
        <w:t>Cf.</w:t>
      </w:r>
      <w:r w:rsidRPr="00CE23AE">
        <w:rPr>
          <w:spacing w:val="-4"/>
          <w:szCs w:val="16"/>
          <w:lang w:val="en-US"/>
        </w:rPr>
        <w:t xml:space="preserve"> </w:t>
      </w:r>
      <w:r w:rsidRPr="00CE23AE">
        <w:rPr>
          <w:i/>
          <w:spacing w:val="-4"/>
          <w:szCs w:val="16"/>
          <w:lang w:val="en-US"/>
        </w:rPr>
        <w:t xml:space="preserve">Case of Apitz Barbera et al. </w:t>
      </w:r>
      <w:r w:rsidRPr="00CE23AE">
        <w:rPr>
          <w:i/>
          <w:spacing w:val="-4"/>
          <w:szCs w:val="16"/>
          <w:lang w:val="es-CR"/>
        </w:rPr>
        <w:t xml:space="preserve">(“First Contentious Administrative Court”) v. Venezuela, supra, </w:t>
      </w:r>
      <w:r w:rsidRPr="00CE23AE">
        <w:rPr>
          <w:spacing w:val="-4"/>
          <w:szCs w:val="16"/>
          <w:lang w:val="es-CR"/>
        </w:rPr>
        <w:t xml:space="preserve">para. 77, and </w:t>
      </w:r>
      <w:r w:rsidRPr="00CE23AE">
        <w:rPr>
          <w:rFonts w:cs="Verdana"/>
          <w:bCs/>
          <w:i/>
          <w:spacing w:val="-4"/>
          <w:szCs w:val="16"/>
          <w:lang w:val="es-CR"/>
        </w:rPr>
        <w:t>Case of Maldonado Ordoñez v. Guatemala, supra</w:t>
      </w:r>
      <w:r w:rsidRPr="00CE23AE">
        <w:rPr>
          <w:rFonts w:cs="Verdana"/>
          <w:bCs/>
          <w:spacing w:val="-4"/>
          <w:szCs w:val="16"/>
          <w:lang w:val="es-CR"/>
        </w:rPr>
        <w:t>, para. 87.</w:t>
      </w:r>
    </w:p>
  </w:footnote>
  <w:footnote w:id="255">
    <w:p w14:paraId="7BE42FA7" w14:textId="210B7DB7" w:rsidR="00673461" w:rsidRPr="00CE23AE" w:rsidRDefault="00673461" w:rsidP="007B1AC9">
      <w:pPr>
        <w:tabs>
          <w:tab w:val="left" w:pos="540"/>
          <w:tab w:val="left" w:pos="567"/>
        </w:tabs>
        <w:autoSpaceDE w:val="0"/>
        <w:autoSpaceDN w:val="0"/>
        <w:spacing w:before="120" w:after="120"/>
        <w:rPr>
          <w:rFonts w:cs="Verdana"/>
          <w:spacing w:val="-4"/>
          <w:sz w:val="16"/>
          <w:szCs w:val="16"/>
        </w:rPr>
      </w:pPr>
      <w:r w:rsidRPr="00CE23AE">
        <w:rPr>
          <w:rStyle w:val="Refdenotaalpie"/>
          <w:spacing w:val="-4"/>
          <w:sz w:val="16"/>
          <w:szCs w:val="16"/>
          <w:lang w:val="en-US"/>
        </w:rPr>
        <w:footnoteRef/>
      </w:r>
      <w:r w:rsidRPr="00CE23AE">
        <w:rPr>
          <w:spacing w:val="-4"/>
          <w:sz w:val="16"/>
          <w:szCs w:val="16"/>
        </w:rPr>
        <w:t xml:space="preserve"> </w:t>
      </w:r>
      <w:r w:rsidRPr="00CE23AE">
        <w:rPr>
          <w:spacing w:val="-4"/>
          <w:sz w:val="16"/>
          <w:szCs w:val="16"/>
        </w:rPr>
        <w:tab/>
      </w:r>
      <w:r w:rsidRPr="00CE23AE">
        <w:rPr>
          <w:i/>
          <w:spacing w:val="-4"/>
          <w:sz w:val="16"/>
          <w:szCs w:val="16"/>
        </w:rPr>
        <w:t>Cf.</w:t>
      </w:r>
      <w:r w:rsidRPr="00CE23AE">
        <w:rPr>
          <w:rFonts w:cs="Verdana"/>
          <w:i/>
          <w:iCs/>
          <w:spacing w:val="-4"/>
          <w:sz w:val="16"/>
          <w:szCs w:val="16"/>
        </w:rPr>
        <w:t xml:space="preserve"> Case of Yatama v. Nicaragua, supra, </w:t>
      </w:r>
      <w:r w:rsidRPr="00CE23AE">
        <w:rPr>
          <w:rFonts w:cs="Verdana"/>
          <w:spacing w:val="-4"/>
          <w:sz w:val="16"/>
          <w:szCs w:val="16"/>
        </w:rPr>
        <w:t>para. 152</w:t>
      </w:r>
      <w:r w:rsidRPr="00CE23AE">
        <w:rPr>
          <w:i/>
          <w:spacing w:val="-4"/>
          <w:sz w:val="16"/>
          <w:szCs w:val="16"/>
        </w:rPr>
        <w:t xml:space="preserve">, and </w:t>
      </w:r>
      <w:r w:rsidRPr="00CE23AE">
        <w:rPr>
          <w:rFonts w:cs="Verdana"/>
          <w:bCs/>
          <w:i/>
          <w:spacing w:val="-4"/>
          <w:sz w:val="16"/>
          <w:szCs w:val="16"/>
        </w:rPr>
        <w:t>Case of Maldonado Ordoñez v. Guatemala, supra</w:t>
      </w:r>
      <w:r w:rsidRPr="00CE23AE">
        <w:rPr>
          <w:rFonts w:cs="Verdana"/>
          <w:bCs/>
          <w:spacing w:val="-4"/>
          <w:sz w:val="16"/>
          <w:szCs w:val="16"/>
        </w:rPr>
        <w:t>, para. 87.</w:t>
      </w:r>
    </w:p>
  </w:footnote>
  <w:footnote w:id="256">
    <w:p w14:paraId="7C050C74" w14:textId="10CD6D5F" w:rsidR="00673461" w:rsidRPr="00CE23AE" w:rsidRDefault="00673461" w:rsidP="007B1AC9">
      <w:pPr>
        <w:tabs>
          <w:tab w:val="left" w:pos="540"/>
          <w:tab w:val="left" w:pos="567"/>
        </w:tabs>
        <w:autoSpaceDE w:val="0"/>
        <w:autoSpaceDN w:val="0"/>
        <w:spacing w:before="120" w:after="120"/>
        <w:rPr>
          <w:rFonts w:cs="Verdana"/>
          <w:spacing w:val="-4"/>
          <w:sz w:val="16"/>
          <w:szCs w:val="16"/>
          <w:lang w:val="en-US"/>
        </w:rPr>
      </w:pPr>
      <w:r w:rsidRPr="00CE23AE">
        <w:rPr>
          <w:rStyle w:val="Refdenotaalpie"/>
          <w:spacing w:val="-4"/>
          <w:sz w:val="16"/>
          <w:szCs w:val="16"/>
          <w:lang w:val="en-US"/>
        </w:rPr>
        <w:footnoteRef/>
      </w:r>
      <w:r w:rsidRPr="00CE23AE">
        <w:rPr>
          <w:spacing w:val="-4"/>
          <w:sz w:val="16"/>
          <w:szCs w:val="16"/>
        </w:rPr>
        <w:t xml:space="preserve"> </w:t>
      </w:r>
      <w:r w:rsidRPr="00CE23AE">
        <w:rPr>
          <w:spacing w:val="-4"/>
          <w:sz w:val="16"/>
          <w:szCs w:val="16"/>
        </w:rPr>
        <w:tab/>
      </w:r>
      <w:r w:rsidRPr="00CE23AE">
        <w:rPr>
          <w:i/>
          <w:iCs/>
          <w:spacing w:val="-4"/>
          <w:sz w:val="16"/>
          <w:szCs w:val="16"/>
        </w:rPr>
        <w:t xml:space="preserve">Cf. </w:t>
      </w:r>
      <w:r w:rsidRPr="00CE23AE">
        <w:rPr>
          <w:rFonts w:cs="Verdana"/>
          <w:i/>
          <w:iCs/>
          <w:spacing w:val="-4"/>
          <w:sz w:val="16"/>
          <w:szCs w:val="16"/>
        </w:rPr>
        <w:t>Case of Claude Reyes et al. v. Chile, supra</w:t>
      </w:r>
      <w:r w:rsidRPr="00CE23AE">
        <w:rPr>
          <w:rFonts w:cs="Verdana"/>
          <w:spacing w:val="-4"/>
          <w:sz w:val="16"/>
          <w:szCs w:val="16"/>
        </w:rPr>
        <w:t xml:space="preserve">, para. </w:t>
      </w:r>
      <w:r w:rsidRPr="00CE23AE">
        <w:rPr>
          <w:rFonts w:cs="Verdana"/>
          <w:spacing w:val="-4"/>
          <w:sz w:val="16"/>
          <w:szCs w:val="16"/>
          <w:lang w:val="en-US"/>
        </w:rPr>
        <w:t xml:space="preserve">122, and </w:t>
      </w:r>
      <w:r w:rsidRPr="00CE23AE">
        <w:rPr>
          <w:rFonts w:cs="Verdana"/>
          <w:bCs/>
          <w:i/>
          <w:spacing w:val="-4"/>
          <w:sz w:val="16"/>
          <w:szCs w:val="16"/>
          <w:lang w:val="en-US"/>
        </w:rPr>
        <w:t>Case of Maldonado Ordoñez v. Guatemala, supra</w:t>
      </w:r>
      <w:r w:rsidRPr="00CE23AE">
        <w:rPr>
          <w:rFonts w:cs="Verdana"/>
          <w:bCs/>
          <w:spacing w:val="-4"/>
          <w:sz w:val="16"/>
          <w:szCs w:val="16"/>
          <w:lang w:val="en-US"/>
        </w:rPr>
        <w:t>, para. 87.</w:t>
      </w:r>
    </w:p>
  </w:footnote>
  <w:footnote w:id="257">
    <w:p w14:paraId="68BBC8D5" w14:textId="43242A5D" w:rsidR="00673461" w:rsidRPr="00CE23AE" w:rsidRDefault="00673461" w:rsidP="007B1AC9">
      <w:pPr>
        <w:pStyle w:val="Textonotapie"/>
        <w:tabs>
          <w:tab w:val="left" w:pos="540"/>
          <w:tab w:val="left" w:pos="567"/>
          <w:tab w:val="left" w:pos="8085"/>
        </w:tabs>
        <w:rPr>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pacing w:val="-4"/>
          <w:szCs w:val="16"/>
          <w:lang w:val="en-US"/>
        </w:rPr>
        <w:t>Cf.</w:t>
      </w:r>
      <w:r w:rsidRPr="00CE23AE">
        <w:rPr>
          <w:spacing w:val="-4"/>
          <w:szCs w:val="16"/>
          <w:lang w:val="en-US"/>
        </w:rPr>
        <w:t xml:space="preserve"> </w:t>
      </w:r>
      <w:r w:rsidRPr="00CE23AE">
        <w:rPr>
          <w:i/>
          <w:spacing w:val="-4"/>
          <w:szCs w:val="16"/>
          <w:lang w:val="en-US"/>
        </w:rPr>
        <w:t>Case of Apitz Barbera et al. (“First Contentious Administrative Court”) v. Venezuela, supra</w:t>
      </w:r>
      <w:r w:rsidRPr="00CE23AE">
        <w:rPr>
          <w:spacing w:val="-4"/>
          <w:szCs w:val="16"/>
          <w:lang w:val="en-US"/>
        </w:rPr>
        <w:t xml:space="preserve">, para. 78, and </w:t>
      </w:r>
      <w:r w:rsidRPr="00CE23AE">
        <w:rPr>
          <w:i/>
          <w:spacing w:val="-4"/>
          <w:szCs w:val="16"/>
          <w:lang w:val="en-US"/>
        </w:rPr>
        <w:t>Case of Chocrón Chocrón v. Venezuela, supra</w:t>
      </w:r>
      <w:r w:rsidRPr="00CE23AE">
        <w:rPr>
          <w:spacing w:val="-4"/>
          <w:szCs w:val="16"/>
          <w:lang w:val="en-US"/>
        </w:rPr>
        <w:t>, para. 118.</w:t>
      </w:r>
      <w:r w:rsidRPr="00CE23AE">
        <w:rPr>
          <w:rFonts w:cs="Verdana"/>
          <w:bCs/>
          <w:i/>
          <w:spacing w:val="-4"/>
          <w:szCs w:val="16"/>
          <w:lang w:val="en-US"/>
        </w:rPr>
        <w:t xml:space="preserve"> </w:t>
      </w:r>
    </w:p>
  </w:footnote>
  <w:footnote w:id="258">
    <w:p w14:paraId="0714759D" w14:textId="2C428023" w:rsidR="00673461" w:rsidRPr="00CE23AE" w:rsidRDefault="00673461" w:rsidP="007B1AC9">
      <w:pPr>
        <w:pStyle w:val="Textonotapie"/>
        <w:tabs>
          <w:tab w:val="left" w:pos="540"/>
          <w:tab w:val="left" w:pos="567"/>
        </w:tabs>
        <w:rPr>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iCs/>
          <w:spacing w:val="-4"/>
          <w:szCs w:val="16"/>
          <w:lang w:val="en-US"/>
        </w:rPr>
        <w:t xml:space="preserve">Cf. </w:t>
      </w:r>
      <w:r w:rsidRPr="00CE23AE">
        <w:rPr>
          <w:i/>
          <w:spacing w:val="-4"/>
          <w:szCs w:val="16"/>
          <w:lang w:val="en-US"/>
        </w:rPr>
        <w:t xml:space="preserve">Case of Apitz Barbera et al. (“First Contentious Administrative Court”) v. Venezuela, supra, </w:t>
      </w:r>
      <w:r w:rsidRPr="00CE23AE">
        <w:rPr>
          <w:spacing w:val="-4"/>
          <w:szCs w:val="16"/>
          <w:lang w:val="en-US"/>
        </w:rPr>
        <w:t xml:space="preserve">para. 78, and </w:t>
      </w:r>
      <w:r w:rsidRPr="00CE23AE">
        <w:rPr>
          <w:rFonts w:cs="Verdana"/>
          <w:bCs/>
          <w:i/>
          <w:spacing w:val="-4"/>
          <w:szCs w:val="16"/>
          <w:lang w:val="en-US"/>
        </w:rPr>
        <w:t>Case of Maldonado Ordoñez v. Guatemala, supra</w:t>
      </w:r>
      <w:r w:rsidRPr="00CE23AE">
        <w:rPr>
          <w:rFonts w:cs="Verdana"/>
          <w:bCs/>
          <w:spacing w:val="-4"/>
          <w:szCs w:val="16"/>
          <w:lang w:val="en-US"/>
        </w:rPr>
        <w:t>, para. 87.</w:t>
      </w:r>
    </w:p>
  </w:footnote>
  <w:footnote w:id="259">
    <w:p w14:paraId="36F0C088" w14:textId="21FC9ACA" w:rsidR="00673461" w:rsidRPr="00CE23AE" w:rsidRDefault="00673461" w:rsidP="007B1AC9">
      <w:pPr>
        <w:pStyle w:val="Textonotapie"/>
        <w:tabs>
          <w:tab w:val="left" w:pos="540"/>
          <w:tab w:val="left" w:pos="567"/>
        </w:tabs>
        <w:rPr>
          <w:spacing w:val="-4"/>
          <w:szCs w:val="16"/>
          <w:lang w:val="es-CR"/>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pacing w:val="-4"/>
          <w:szCs w:val="16"/>
          <w:lang w:val="en-US"/>
        </w:rPr>
        <w:t>Mutatis mutandis,</w:t>
      </w:r>
      <w:r w:rsidRPr="00CE23AE">
        <w:rPr>
          <w:spacing w:val="-4"/>
          <w:szCs w:val="16"/>
          <w:lang w:val="en-US"/>
        </w:rPr>
        <w:t xml:space="preserve"> </w:t>
      </w:r>
      <w:r w:rsidRPr="00CE23AE">
        <w:rPr>
          <w:i/>
          <w:spacing w:val="-4"/>
          <w:szCs w:val="16"/>
          <w:lang w:val="en-US"/>
        </w:rPr>
        <w:t>Case of Chocrón Chocrón v. Venezuela, supra</w:t>
      </w:r>
      <w:r w:rsidRPr="00CE23AE">
        <w:rPr>
          <w:spacing w:val="-4"/>
          <w:szCs w:val="16"/>
          <w:lang w:val="en-US"/>
        </w:rPr>
        <w:t xml:space="preserve">, para. </w:t>
      </w:r>
      <w:r w:rsidRPr="00CE23AE">
        <w:rPr>
          <w:spacing w:val="-4"/>
          <w:szCs w:val="16"/>
          <w:lang w:val="es-CR"/>
        </w:rPr>
        <w:t xml:space="preserve">120, and </w:t>
      </w:r>
      <w:r w:rsidRPr="00CE23AE">
        <w:rPr>
          <w:rStyle w:val="Textoennegrita"/>
          <w:rFonts w:eastAsia="MS ????"/>
          <w:b w:val="0"/>
          <w:i/>
          <w:color w:val="000000"/>
          <w:szCs w:val="16"/>
          <w:shd w:val="clear" w:color="auto" w:fill="FFFFFF"/>
          <w:lang w:val="es-CR"/>
        </w:rPr>
        <w:t>Case of López Lone et al. v. Honduras, supra</w:t>
      </w:r>
      <w:r w:rsidRPr="00CE23AE">
        <w:rPr>
          <w:rStyle w:val="Textoennegrita"/>
          <w:rFonts w:eastAsia="MS ????"/>
          <w:b w:val="0"/>
          <w:color w:val="000000"/>
          <w:szCs w:val="16"/>
          <w:shd w:val="clear" w:color="auto" w:fill="FFFFFF"/>
          <w:lang w:val="es-CR"/>
        </w:rPr>
        <w:t>, para. 267.</w:t>
      </w:r>
    </w:p>
  </w:footnote>
  <w:footnote w:id="260">
    <w:p w14:paraId="4D16F999" w14:textId="718EDE54" w:rsidR="00673461" w:rsidRPr="00CE23AE" w:rsidRDefault="00673461" w:rsidP="007B1AC9">
      <w:pPr>
        <w:pStyle w:val="Textonotapie"/>
        <w:tabs>
          <w:tab w:val="left" w:pos="540"/>
          <w:tab w:val="left" w:pos="567"/>
        </w:tabs>
        <w:rPr>
          <w:spacing w:val="-4"/>
          <w:szCs w:val="16"/>
          <w:lang w:val="es-CR"/>
        </w:rPr>
      </w:pPr>
      <w:r w:rsidRPr="00CE23AE">
        <w:rPr>
          <w:rStyle w:val="Refdenotaalpie"/>
          <w:spacing w:val="-4"/>
          <w:szCs w:val="16"/>
          <w:lang w:val="en-US"/>
        </w:rPr>
        <w:footnoteRef/>
      </w:r>
      <w:r w:rsidRPr="00CE23AE">
        <w:rPr>
          <w:spacing w:val="-4"/>
          <w:szCs w:val="16"/>
          <w:lang w:val="es-CR"/>
        </w:rPr>
        <w:t xml:space="preserve"> </w:t>
      </w:r>
      <w:r w:rsidRPr="00CE23AE">
        <w:rPr>
          <w:spacing w:val="-4"/>
          <w:szCs w:val="16"/>
          <w:lang w:val="es-CR"/>
        </w:rPr>
        <w:tab/>
      </w:r>
      <w:r w:rsidRPr="00CE23AE">
        <w:rPr>
          <w:i/>
          <w:spacing w:val="-4"/>
          <w:szCs w:val="16"/>
          <w:lang w:val="es-CR"/>
        </w:rPr>
        <w:t>Mutatis mutandis,</w:t>
      </w:r>
      <w:r w:rsidRPr="00CE23AE">
        <w:rPr>
          <w:rFonts w:cs="Verdana"/>
          <w:bCs/>
          <w:spacing w:val="-4"/>
          <w:szCs w:val="16"/>
          <w:lang w:val="es-CR"/>
        </w:rPr>
        <w:t xml:space="preserve"> </w:t>
      </w:r>
      <w:r w:rsidRPr="00CE23AE">
        <w:rPr>
          <w:i/>
          <w:spacing w:val="-4"/>
          <w:szCs w:val="16"/>
          <w:lang w:val="es-CR"/>
        </w:rPr>
        <w:t>Case of Chocrón Chocrón v. Venezuela, supra</w:t>
      </w:r>
      <w:r w:rsidRPr="00CE23AE">
        <w:rPr>
          <w:spacing w:val="-4"/>
          <w:szCs w:val="16"/>
          <w:lang w:val="es-CR"/>
        </w:rPr>
        <w:t xml:space="preserve">, para. 120, and </w:t>
      </w:r>
      <w:r w:rsidRPr="00CE23AE">
        <w:rPr>
          <w:rStyle w:val="Textoennegrita"/>
          <w:rFonts w:eastAsia="MS ????"/>
          <w:b w:val="0"/>
          <w:i/>
          <w:color w:val="000000"/>
          <w:szCs w:val="16"/>
          <w:shd w:val="clear" w:color="auto" w:fill="FFFFFF"/>
          <w:lang w:val="es-CR"/>
        </w:rPr>
        <w:t>Case of López Lone et al. v. Honduras, supra</w:t>
      </w:r>
      <w:r w:rsidRPr="00CE23AE">
        <w:rPr>
          <w:rStyle w:val="Textoennegrita"/>
          <w:rFonts w:eastAsia="MS ????"/>
          <w:b w:val="0"/>
          <w:color w:val="000000"/>
          <w:szCs w:val="16"/>
          <w:shd w:val="clear" w:color="auto" w:fill="FFFFFF"/>
          <w:lang w:val="es-CR"/>
        </w:rPr>
        <w:t>, para. 267.</w:t>
      </w:r>
    </w:p>
  </w:footnote>
  <w:footnote w:id="261">
    <w:p w14:paraId="05723468" w14:textId="7167F686" w:rsidR="00673461" w:rsidRPr="00CE23AE" w:rsidRDefault="00673461" w:rsidP="007B1AC9">
      <w:pPr>
        <w:pStyle w:val="Textonotapie"/>
        <w:tabs>
          <w:tab w:val="left" w:pos="540"/>
          <w:tab w:val="left" w:pos="567"/>
        </w:tabs>
        <w:rPr>
          <w:spacing w:val="-4"/>
          <w:szCs w:val="16"/>
          <w:lang w:val="en-US"/>
        </w:rPr>
      </w:pPr>
      <w:r w:rsidRPr="00CE23AE">
        <w:rPr>
          <w:rStyle w:val="Refdenotaalpie"/>
          <w:spacing w:val="-4"/>
          <w:szCs w:val="16"/>
          <w:lang w:val="en-US"/>
        </w:rPr>
        <w:footnoteRef/>
      </w:r>
      <w:r w:rsidRPr="00CE23AE">
        <w:rPr>
          <w:spacing w:val="-4"/>
          <w:szCs w:val="16"/>
          <w:lang w:val="es-CR"/>
        </w:rPr>
        <w:t xml:space="preserve"> </w:t>
      </w:r>
      <w:r w:rsidRPr="00CE23AE">
        <w:rPr>
          <w:spacing w:val="-4"/>
          <w:szCs w:val="16"/>
          <w:lang w:val="es-CR"/>
        </w:rPr>
        <w:tab/>
      </w:r>
      <w:r w:rsidRPr="00CE23AE">
        <w:rPr>
          <w:i/>
          <w:spacing w:val="-4"/>
          <w:szCs w:val="16"/>
          <w:lang w:val="es-CR"/>
        </w:rPr>
        <w:t>Cf.</w:t>
      </w:r>
      <w:r w:rsidRPr="00CE23AE">
        <w:rPr>
          <w:spacing w:val="-4"/>
          <w:szCs w:val="16"/>
          <w:lang w:val="es-CR"/>
        </w:rPr>
        <w:t xml:space="preserve"> </w:t>
      </w:r>
      <w:r w:rsidRPr="00CE23AE">
        <w:rPr>
          <w:i/>
          <w:spacing w:val="-4"/>
          <w:szCs w:val="16"/>
          <w:lang w:val="es-CR"/>
        </w:rPr>
        <w:t>Case of Chocrón Chocrón v. Venezuela, supra</w:t>
      </w:r>
      <w:r w:rsidRPr="00CE23AE">
        <w:rPr>
          <w:spacing w:val="-4"/>
          <w:szCs w:val="16"/>
          <w:lang w:val="es-CR"/>
        </w:rPr>
        <w:t xml:space="preserve">, para. </w:t>
      </w:r>
      <w:r w:rsidRPr="00CE23AE">
        <w:rPr>
          <w:spacing w:val="-4"/>
          <w:szCs w:val="16"/>
          <w:lang w:val="en-US"/>
        </w:rPr>
        <w:t xml:space="preserve">121, and </w:t>
      </w:r>
      <w:r w:rsidRPr="00CE23AE">
        <w:rPr>
          <w:i/>
          <w:spacing w:val="-4"/>
          <w:szCs w:val="16"/>
          <w:lang w:val="en-US"/>
        </w:rPr>
        <w:t>mutatis mutandis,</w:t>
      </w:r>
      <w:r w:rsidRPr="00CE23AE">
        <w:rPr>
          <w:bCs/>
          <w:i/>
          <w:spacing w:val="-4"/>
          <w:szCs w:val="16"/>
          <w:lang w:val="en-US"/>
        </w:rPr>
        <w:t xml:space="preserve"> Case of Barreto Leiva v. Venezuela.</w:t>
      </w:r>
      <w:r w:rsidRPr="00CE23AE">
        <w:rPr>
          <w:b/>
          <w:bCs/>
          <w:i/>
          <w:spacing w:val="-4"/>
          <w:szCs w:val="16"/>
          <w:lang w:val="en-US"/>
        </w:rPr>
        <w:t> </w:t>
      </w:r>
      <w:r w:rsidRPr="00CE23AE">
        <w:rPr>
          <w:i/>
          <w:spacing w:val="-4"/>
          <w:szCs w:val="16"/>
          <w:lang w:val="en-US"/>
        </w:rPr>
        <w:t xml:space="preserve">Merits, reparations and costs. </w:t>
      </w:r>
      <w:r w:rsidRPr="00CE23AE">
        <w:rPr>
          <w:spacing w:val="-4"/>
          <w:szCs w:val="16"/>
          <w:lang w:val="en-US"/>
        </w:rPr>
        <w:t xml:space="preserve">Judgment of November 17, 2009. Series C No. 206, para. 28. </w:t>
      </w:r>
      <w:r w:rsidRPr="00CE23AE">
        <w:rPr>
          <w:i/>
          <w:spacing w:val="-4"/>
          <w:szCs w:val="16"/>
          <w:lang w:val="en-US"/>
        </w:rPr>
        <w:t xml:space="preserve"> </w:t>
      </w:r>
    </w:p>
  </w:footnote>
  <w:footnote w:id="262">
    <w:p w14:paraId="0C477760" w14:textId="2CD37782"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pacing w:val="-4"/>
          <w:szCs w:val="16"/>
          <w:lang w:val="en-US"/>
        </w:rPr>
        <w:t>Cf.</w:t>
      </w:r>
      <w:r w:rsidRPr="00CE23AE">
        <w:rPr>
          <w:spacing w:val="-4"/>
          <w:szCs w:val="16"/>
          <w:lang w:val="en-US"/>
        </w:rPr>
        <w:t xml:space="preserve"> </w:t>
      </w:r>
      <w:r w:rsidRPr="00CE23AE">
        <w:rPr>
          <w:rFonts w:cs="Verdana"/>
          <w:bCs/>
          <w:i/>
          <w:spacing w:val="-4"/>
          <w:szCs w:val="16"/>
          <w:lang w:val="en-US"/>
        </w:rPr>
        <w:t>Case of Maldonado Ordoñez v. Guatemala, supra</w:t>
      </w:r>
      <w:r w:rsidRPr="00CE23AE">
        <w:rPr>
          <w:rFonts w:cs="Verdana"/>
          <w:bCs/>
          <w:spacing w:val="-4"/>
          <w:szCs w:val="16"/>
          <w:lang w:val="en-US"/>
        </w:rPr>
        <w:t>, paras. 75 and 80.</w:t>
      </w:r>
    </w:p>
  </w:footnote>
  <w:footnote w:id="263">
    <w:p w14:paraId="2CBB4404" w14:textId="4A855CE4"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 Case of Apitz Barbera et al. (“First Contentious Administrative Court”) v. Venezuela, supra</w:t>
      </w:r>
      <w:r w:rsidRPr="00CE23AE">
        <w:rPr>
          <w:szCs w:val="16"/>
          <w:lang w:val="en-US"/>
        </w:rPr>
        <w:t xml:space="preserve">, para. 90, and </w:t>
      </w:r>
      <w:r w:rsidRPr="00CE23AE">
        <w:rPr>
          <w:bCs/>
          <w:i/>
          <w:szCs w:val="16"/>
          <w:lang w:val="en-US"/>
        </w:rPr>
        <w:t>Case of Mémoli v. Argentina. Preliminary objections, merits, reparations and costs</w:t>
      </w:r>
      <w:r w:rsidRPr="00CE23AE">
        <w:rPr>
          <w:bCs/>
          <w:szCs w:val="16"/>
          <w:lang w:val="en-US"/>
        </w:rPr>
        <w:t>. Judgment of August 22, 2013. Series C No. 265</w:t>
      </w:r>
      <w:r w:rsidRPr="00CE23AE">
        <w:rPr>
          <w:szCs w:val="16"/>
          <w:lang w:val="en-US"/>
        </w:rPr>
        <w:t>, para. 40.</w:t>
      </w:r>
    </w:p>
  </w:footnote>
  <w:footnote w:id="264">
    <w:p w14:paraId="272D1264" w14:textId="7AABF360"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Memorandum No. 2001-06-COSB of the Junior Officers Board of the Ground Forces of May 7, 2001 (evidence file, folio 21).</w:t>
      </w:r>
    </w:p>
  </w:footnote>
  <w:footnote w:id="265">
    <w:p w14:paraId="07273E01" w14:textId="4BC90AB1"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Memorandum No. 210090-COSFT of July 18, 2001 (evidence file, folio 28). This decision was notified to Mr. Flor Freire that same day.</w:t>
      </w:r>
    </w:p>
  </w:footnote>
  <w:footnote w:id="266">
    <w:p w14:paraId="07825E45" w14:textId="776A7BCB"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Title IV, Chapter IV of the 1991 Rules of procedure for the Junior and Senior Officers Boards of the Armed Forces (merits file, folios 702 and 703).</w:t>
      </w:r>
    </w:p>
  </w:footnote>
  <w:footnote w:id="267">
    <w:p w14:paraId="2F672F7F" w14:textId="4A33DB8E"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1991 Rules of procedure for the Junior and Senior Army Officers Boards (merits file, folio 699).</w:t>
      </w:r>
    </w:p>
  </w:footnote>
  <w:footnote w:id="268">
    <w:p w14:paraId="2495D7FB" w14:textId="0602CC18"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Communication No. 16-E1-KO-t-COSBFT-148 of June 7, 2016, of the Secretary of the Junior Officers Board addressed to the Commander General of the Armed Forces (evidence file, folio 3515), and </w:t>
      </w:r>
      <w:r w:rsidRPr="00CE23AE">
        <w:rPr>
          <w:i/>
          <w:szCs w:val="16"/>
          <w:lang w:val="en-US"/>
        </w:rPr>
        <w:t>cf.</w:t>
      </w:r>
      <w:r w:rsidRPr="00CE23AE">
        <w:rPr>
          <w:szCs w:val="16"/>
          <w:lang w:val="en-US"/>
        </w:rPr>
        <w:t xml:space="preserve"> article 42 of the 1991 Rules of procedure for the Junior and Senior Officers Boards of the Armed Forces (merits file, folios 700 and 701).</w:t>
      </w:r>
    </w:p>
  </w:footnote>
  <w:footnote w:id="269">
    <w:p w14:paraId="238B7E8B" w14:textId="7F17C5E1"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Appeal filed by Mr. Flor Freire before the Judge of Law of the Fourth Military Zone on January 18, 2001 (evidence file, folio 1486), and text of the statement made by Mr. Flor Freire on July 17, 2001, before the Senior Officers Board (evidence file, folios 2155 to 2161).</w:t>
      </w:r>
    </w:p>
  </w:footnote>
  <w:footnote w:id="270">
    <w:p w14:paraId="637B172D" w14:textId="3617A422" w:rsidR="00673461" w:rsidRPr="00CE23AE" w:rsidRDefault="00673461" w:rsidP="00DC22B6">
      <w:pPr>
        <w:tabs>
          <w:tab w:val="left" w:pos="540"/>
          <w:tab w:val="left" w:pos="567"/>
        </w:tabs>
        <w:spacing w:before="120" w:after="120"/>
        <w:rPr>
          <w:spacing w:val="-4"/>
          <w:sz w:val="16"/>
          <w:szCs w:val="16"/>
          <w:lang w:val="en-US"/>
        </w:rPr>
      </w:pPr>
      <w:r w:rsidRPr="00CE23AE">
        <w:rPr>
          <w:rStyle w:val="Refdenotaalpie"/>
          <w:spacing w:val="-4"/>
          <w:sz w:val="16"/>
          <w:szCs w:val="16"/>
          <w:lang w:val="en-US"/>
        </w:rPr>
        <w:footnoteRef/>
      </w:r>
      <w:r w:rsidRPr="00CE23AE">
        <w:rPr>
          <w:i/>
          <w:spacing w:val="-4"/>
          <w:sz w:val="16"/>
          <w:szCs w:val="16"/>
        </w:rPr>
        <w:t xml:space="preserve"> </w:t>
      </w:r>
      <w:r w:rsidRPr="00CE23AE">
        <w:rPr>
          <w:i/>
          <w:spacing w:val="-4"/>
          <w:sz w:val="16"/>
          <w:szCs w:val="16"/>
        </w:rPr>
        <w:tab/>
        <w:t>Cf.</w:t>
      </w:r>
      <w:r w:rsidRPr="00CE23AE">
        <w:rPr>
          <w:spacing w:val="-4"/>
          <w:sz w:val="16"/>
          <w:szCs w:val="16"/>
        </w:rPr>
        <w:t xml:space="preserve"> </w:t>
      </w:r>
      <w:r w:rsidRPr="00CE23AE">
        <w:rPr>
          <w:bCs/>
          <w:i/>
          <w:spacing w:val="-4"/>
          <w:sz w:val="16"/>
          <w:szCs w:val="16"/>
        </w:rPr>
        <w:t>Case of Velásquez Rodríguez v. Honduras. Merits, supra</w:t>
      </w:r>
      <w:r w:rsidRPr="00CE23AE">
        <w:rPr>
          <w:bCs/>
          <w:spacing w:val="-4"/>
          <w:sz w:val="16"/>
          <w:szCs w:val="16"/>
        </w:rPr>
        <w:t>,</w:t>
      </w:r>
      <w:r w:rsidRPr="00CE23AE">
        <w:rPr>
          <w:spacing w:val="-4"/>
          <w:sz w:val="16"/>
          <w:szCs w:val="16"/>
        </w:rPr>
        <w:t xml:space="preserve"> para. 63, and </w:t>
      </w:r>
      <w:r w:rsidRPr="00CE23AE">
        <w:rPr>
          <w:bCs/>
          <w:i/>
          <w:spacing w:val="-4"/>
          <w:sz w:val="16"/>
          <w:szCs w:val="16"/>
        </w:rPr>
        <w:t>Case of Duque v. Colombia, supra</w:t>
      </w:r>
      <w:r w:rsidRPr="00CE23AE">
        <w:rPr>
          <w:bCs/>
          <w:spacing w:val="-4"/>
          <w:sz w:val="16"/>
          <w:szCs w:val="16"/>
        </w:rPr>
        <w:t xml:space="preserve">, para. </w:t>
      </w:r>
      <w:r w:rsidRPr="00CE23AE">
        <w:rPr>
          <w:bCs/>
          <w:spacing w:val="-4"/>
          <w:sz w:val="16"/>
          <w:szCs w:val="16"/>
          <w:lang w:val="en-US"/>
        </w:rPr>
        <w:t>35</w:t>
      </w:r>
      <w:r w:rsidRPr="00CE23AE">
        <w:rPr>
          <w:bCs/>
          <w:i/>
          <w:spacing w:val="-4"/>
          <w:sz w:val="16"/>
          <w:szCs w:val="16"/>
          <w:lang w:val="en-US"/>
        </w:rPr>
        <w:t>.</w:t>
      </w:r>
    </w:p>
  </w:footnote>
  <w:footnote w:id="271">
    <w:p w14:paraId="58FD8B2F" w14:textId="77BFE192" w:rsidR="00673461" w:rsidRPr="00CE23AE" w:rsidRDefault="00673461" w:rsidP="00DC22B6">
      <w:pPr>
        <w:pStyle w:val="Textonotapie"/>
        <w:tabs>
          <w:tab w:val="left" w:pos="540"/>
        </w:tabs>
        <w:rPr>
          <w:i/>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 Judicial Guarantees in States of Emergency (Arts. 27.2, 25 and 8 American Convention on Human Rights)</w:t>
      </w:r>
      <w:r w:rsidRPr="00CE23AE">
        <w:rPr>
          <w:szCs w:val="16"/>
          <w:lang w:val="en-US"/>
        </w:rPr>
        <w:t xml:space="preserve">. Advisory Opinion OC-9/87 of October 6, 1987. Series A No. 9, para. 24, and </w:t>
      </w:r>
      <w:r w:rsidRPr="00CE23AE">
        <w:rPr>
          <w:i/>
          <w:szCs w:val="16"/>
          <w:lang w:val="en-US"/>
        </w:rPr>
        <w:t>Case of Duque v. Colombia, supra</w:t>
      </w:r>
      <w:r w:rsidRPr="00CE23AE">
        <w:rPr>
          <w:szCs w:val="16"/>
          <w:lang w:val="en-US"/>
        </w:rPr>
        <w:t>, para. 149.</w:t>
      </w:r>
    </w:p>
  </w:footnote>
  <w:footnote w:id="272">
    <w:p w14:paraId="11D175F9" w14:textId="39B0E101" w:rsidR="00673461" w:rsidRPr="00CE23AE" w:rsidRDefault="00673461" w:rsidP="007B1AC9">
      <w:pPr>
        <w:pStyle w:val="Textonotapie"/>
        <w:tabs>
          <w:tab w:val="left" w:pos="540"/>
          <w:tab w:val="left" w:pos="567"/>
        </w:tabs>
        <w:rPr>
          <w:i/>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spacing w:val="-4"/>
          <w:szCs w:val="16"/>
          <w:lang w:val="en-US"/>
        </w:rPr>
        <w:tab/>
      </w:r>
      <w:r w:rsidRPr="00CE23AE">
        <w:rPr>
          <w:i/>
          <w:spacing w:val="-4"/>
          <w:szCs w:val="16"/>
          <w:lang w:val="en-US"/>
        </w:rPr>
        <w:t>Cf.</w:t>
      </w:r>
      <w:r w:rsidRPr="00CE23AE">
        <w:rPr>
          <w:spacing w:val="-4"/>
          <w:szCs w:val="16"/>
          <w:lang w:val="en-US"/>
        </w:rPr>
        <w:t xml:space="preserve"> </w:t>
      </w:r>
      <w:r w:rsidRPr="00CE23AE">
        <w:rPr>
          <w:i/>
          <w:szCs w:val="16"/>
          <w:lang w:val="en-US"/>
        </w:rPr>
        <w:t xml:space="preserve">Case of Baena Ricardo et al. v. Panama. Jurisdiction. </w:t>
      </w:r>
      <w:r w:rsidRPr="00CE23AE">
        <w:rPr>
          <w:szCs w:val="16"/>
          <w:lang w:val="en-US"/>
        </w:rPr>
        <w:t>Judgment of November 28, 2003. Series C No. 104, para. 73</w:t>
      </w:r>
      <w:r w:rsidRPr="00CE23AE">
        <w:rPr>
          <w:spacing w:val="-4"/>
          <w:szCs w:val="16"/>
          <w:lang w:val="en-US"/>
        </w:rPr>
        <w:t xml:space="preserve">, and </w:t>
      </w:r>
      <w:r w:rsidRPr="00CE23AE">
        <w:rPr>
          <w:bCs/>
          <w:i/>
          <w:spacing w:val="-4"/>
          <w:szCs w:val="16"/>
          <w:lang w:val="en-US"/>
        </w:rPr>
        <w:t xml:space="preserve">Case of Furlan and family v. Argentina. Preliminary objections, merits, reparations and costs. </w:t>
      </w:r>
      <w:r w:rsidRPr="00CE23AE">
        <w:rPr>
          <w:bCs/>
          <w:spacing w:val="-4"/>
          <w:szCs w:val="16"/>
          <w:lang w:val="en-US"/>
        </w:rPr>
        <w:t>Judgment of August 31, 2012. Series C No. 246</w:t>
      </w:r>
      <w:r w:rsidRPr="00CE23AE">
        <w:rPr>
          <w:spacing w:val="-4"/>
          <w:szCs w:val="16"/>
          <w:lang w:val="en-US"/>
        </w:rPr>
        <w:t>, para. 209.</w:t>
      </w:r>
    </w:p>
  </w:footnote>
  <w:footnote w:id="273">
    <w:p w14:paraId="2BA79A84" w14:textId="1418976F" w:rsidR="00673461" w:rsidRPr="00CE23AE" w:rsidRDefault="00673461" w:rsidP="007B1AC9">
      <w:pPr>
        <w:tabs>
          <w:tab w:val="left" w:pos="540"/>
          <w:tab w:val="left" w:pos="567"/>
        </w:tabs>
        <w:spacing w:before="120" w:after="120" w:line="240" w:lineRule="auto"/>
        <w:rPr>
          <w:sz w:val="16"/>
          <w:szCs w:val="16"/>
          <w:lang w:val="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r>
      <w:r w:rsidRPr="00CE23AE">
        <w:rPr>
          <w:i/>
          <w:sz w:val="16"/>
          <w:szCs w:val="16"/>
          <w:lang w:val="en-US"/>
        </w:rPr>
        <w:t>Cf.</w:t>
      </w:r>
      <w:r w:rsidRPr="00CE23AE">
        <w:rPr>
          <w:sz w:val="16"/>
          <w:szCs w:val="16"/>
          <w:lang w:val="en-US"/>
        </w:rPr>
        <w:t xml:space="preserve"> </w:t>
      </w:r>
      <w:r w:rsidRPr="00CE23AE">
        <w:rPr>
          <w:i/>
          <w:sz w:val="16"/>
          <w:szCs w:val="16"/>
          <w:lang w:val="en-US"/>
        </w:rPr>
        <w:t>Case of the “Street Children” (Villagrán Morales et al.) v. Guatemala. Merits</w:t>
      </w:r>
      <w:r w:rsidRPr="00CE23AE">
        <w:rPr>
          <w:sz w:val="16"/>
          <w:szCs w:val="16"/>
          <w:lang w:val="en-US"/>
        </w:rPr>
        <w:t xml:space="preserve">. Judgment of November 19, 1999. Series C No. 63, para. 237, and </w:t>
      </w:r>
      <w:r w:rsidRPr="00CE23AE">
        <w:rPr>
          <w:i/>
          <w:sz w:val="16"/>
          <w:szCs w:val="16"/>
          <w:lang w:val="en-US"/>
        </w:rPr>
        <w:t>Case of Maldonado Ordoñez v. Guatemala, supra</w:t>
      </w:r>
      <w:r w:rsidRPr="00CE23AE">
        <w:rPr>
          <w:sz w:val="16"/>
          <w:szCs w:val="16"/>
          <w:lang w:val="en-US"/>
        </w:rPr>
        <w:t>, para. 110.</w:t>
      </w:r>
    </w:p>
  </w:footnote>
  <w:footnote w:id="274">
    <w:p w14:paraId="57DF7140" w14:textId="0592C11D"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Castillo Páez v. Peru. Merits.</w:t>
      </w:r>
      <w:r w:rsidRPr="00CE23AE">
        <w:rPr>
          <w:szCs w:val="16"/>
          <w:lang w:val="en-US"/>
        </w:rPr>
        <w:t xml:space="preserve"> Judgment of November 3, 1997. </w:t>
      </w:r>
      <w:r w:rsidRPr="00CE23AE">
        <w:rPr>
          <w:szCs w:val="16"/>
          <w:lang w:val="es-CR"/>
        </w:rPr>
        <w:t xml:space="preserve">Series C No. 34, para. 83, and </w:t>
      </w:r>
      <w:r w:rsidRPr="00CE23AE">
        <w:rPr>
          <w:i/>
          <w:szCs w:val="16"/>
          <w:lang w:val="es-CR"/>
        </w:rPr>
        <w:t>Case of Maldonado Ordoñez v. Guatemala, supra</w:t>
      </w:r>
      <w:r w:rsidRPr="00CE23AE">
        <w:rPr>
          <w:szCs w:val="16"/>
          <w:lang w:val="es-CR"/>
        </w:rPr>
        <w:t xml:space="preserve">, para. </w:t>
      </w:r>
      <w:r w:rsidRPr="00CE23AE">
        <w:rPr>
          <w:szCs w:val="16"/>
          <w:lang w:val="en-US"/>
        </w:rPr>
        <w:t>110.</w:t>
      </w:r>
    </w:p>
  </w:footnote>
  <w:footnote w:id="275">
    <w:p w14:paraId="3208800A" w14:textId="49AEDC93"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Case of the “Street Children” (Villagrán Morales et al.) v. Guatemala. </w:t>
      </w:r>
      <w:r w:rsidRPr="00CE23AE">
        <w:rPr>
          <w:i/>
          <w:szCs w:val="16"/>
          <w:lang w:val="es-CR"/>
        </w:rPr>
        <w:t>Merits, supra</w:t>
      </w:r>
      <w:r w:rsidRPr="00CE23AE">
        <w:rPr>
          <w:szCs w:val="16"/>
          <w:lang w:val="es-CR"/>
        </w:rPr>
        <w:t xml:space="preserve">, para. 237, and </w:t>
      </w:r>
      <w:r w:rsidRPr="00CE23AE">
        <w:rPr>
          <w:i/>
          <w:szCs w:val="16"/>
          <w:lang w:val="es-CR"/>
        </w:rPr>
        <w:t>Case of Maldonado Ordoñez v. Guatemala, supra</w:t>
      </w:r>
      <w:r w:rsidRPr="00CE23AE">
        <w:rPr>
          <w:szCs w:val="16"/>
          <w:lang w:val="es-CR"/>
        </w:rPr>
        <w:t xml:space="preserve">, para. </w:t>
      </w:r>
      <w:r w:rsidRPr="00CE23AE">
        <w:rPr>
          <w:szCs w:val="16"/>
          <w:lang w:val="en-US"/>
        </w:rPr>
        <w:t>110.</w:t>
      </w:r>
    </w:p>
  </w:footnote>
  <w:footnote w:id="276">
    <w:p w14:paraId="010155A2" w14:textId="4C9FA701" w:rsidR="00673461" w:rsidRPr="00CE23AE" w:rsidRDefault="00673461" w:rsidP="00F85C48">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Article 5 of this law establishes that: “Administrative decisions are final when they are not subject to any administrative remedy, whether such decision are definitive or a mere formality, if they decide, directly or indirectly, the merits of the matter, so that they end it or make its continuation impossible […].” Law on the Contentious Administrative Jurisdiction. Published in Official Record No. 338 of March 18, 1968 (hereinafter “1968 Law on the Contentious Administrative Jurisdiction”) (evidence file, folio 2640).</w:t>
      </w:r>
    </w:p>
  </w:footnote>
  <w:footnote w:id="277">
    <w:p w14:paraId="1CE64918" w14:textId="4788CD05"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1968 Law on the Contentious Administrative Jurisdiction (evidence file, folio 2640). According to the joint opinion of Leonardo Jaramillo and Fernando Casado, based on article 3 of the Law on the Contentious Administrative Jurisdiction, “all decisions taken in the sphere of the military disciplinary regime may be contested by this remedy before the contentious administrative jurisdiction if the person subject to a disciplinary sanction wishes.” Expert opinion of Leonardo Jaramillo and Fernando Casado, provided by affidavit dated February 2, 2016 (merits file, folio 573). </w:t>
      </w:r>
    </w:p>
  </w:footnote>
  <w:footnote w:id="278">
    <w:p w14:paraId="498ECF52" w14:textId="1E8B9B13"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1968 Law on the Contentious Administrative Jurisdiction (evidence file, folio 2641).</w:t>
      </w:r>
    </w:p>
  </w:footnote>
  <w:footnote w:id="279">
    <w:p w14:paraId="06B46013" w14:textId="43E014C2" w:rsidR="00673461" w:rsidRPr="00CE23AE" w:rsidRDefault="00673461" w:rsidP="007B1AC9">
      <w:pPr>
        <w:pStyle w:val="Textonotapie"/>
        <w:tabs>
          <w:tab w:val="left" w:pos="540"/>
        </w:tabs>
        <w:rPr>
          <w:rFonts w:eastAsiaTheme="minorHAnsi" w:cs="Times"/>
          <w:szCs w:val="16"/>
          <w:lang w:val="en-US" w:eastAsia="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In this decision, the Administrative Chamber of the Supreme Court indicated that: </w:t>
      </w:r>
      <w:r w:rsidRPr="00CE23AE">
        <w:rPr>
          <w:rFonts w:eastAsiaTheme="minorHAnsi" w:cs="Times"/>
          <w:szCs w:val="16"/>
          <w:lang w:val="en-US" w:eastAsia="en-US"/>
        </w:rPr>
        <w:t xml:space="preserve">“the contested administrative act containing the refusal of the Minister of Defense to consider the party’s request favorably, relates to the organization of the Armed Forces, components of the security services, and pursuant to art. 6(c) of the </w:t>
      </w:r>
      <w:r w:rsidRPr="00CE23AE">
        <w:rPr>
          <w:szCs w:val="16"/>
          <w:lang w:val="en-US"/>
        </w:rPr>
        <w:t xml:space="preserve">Contentious Administrative Law, among others, matters that arise in relation to the organization of the security services do not correspond to </w:t>
      </w:r>
      <w:r w:rsidRPr="00CE23AE">
        <w:rPr>
          <w:rFonts w:eastAsiaTheme="minorHAnsi" w:cs="Times"/>
          <w:iCs/>
          <w:szCs w:val="16"/>
          <w:lang w:val="en-US" w:eastAsia="en-US"/>
        </w:rPr>
        <w:t>the contentious administrative jurisdiction</w:t>
      </w:r>
      <w:r w:rsidRPr="00CE23AE">
        <w:rPr>
          <w:rFonts w:eastAsiaTheme="minorHAnsi" w:cs="Times"/>
          <w:bCs/>
          <w:iCs/>
          <w:szCs w:val="16"/>
          <w:lang w:val="en-US" w:eastAsia="en-US"/>
        </w:rPr>
        <w:t>. Consequently, the remedy of cassation is rejected owing to lack of legal grounds.” Ruling of March 11,</w:t>
      </w:r>
      <w:r w:rsidRPr="00CE23AE">
        <w:rPr>
          <w:szCs w:val="16"/>
          <w:lang w:val="en-US"/>
        </w:rPr>
        <w:t xml:space="preserve"> 1994, of the Administrative Chamber of the Supreme Court (evidence file, folios 421 to 26), and </w:t>
      </w:r>
      <w:r w:rsidRPr="00CE23AE">
        <w:rPr>
          <w:rFonts w:eastAsiaTheme="minorHAnsi" w:cs="Times"/>
          <w:szCs w:val="16"/>
          <w:lang w:val="en-US" w:eastAsia="en-US"/>
        </w:rPr>
        <w:t xml:space="preserve">brief of the representative of April 12, 2004 (evidence file, folio 414). </w:t>
      </w:r>
    </w:p>
  </w:footnote>
  <w:footnote w:id="280">
    <w:p w14:paraId="50D65FDD" w14:textId="7B87B5F9"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Expert opinion of Leonardo Jaramillo and Fernando Casado, provided by affidavit dated February 2, 2016 (merits file, folio 579)</w:t>
      </w:r>
    </w:p>
  </w:footnote>
  <w:footnote w:id="281">
    <w:p w14:paraId="4B288C82" w14:textId="7381549A"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Expert opinion provided by Ramiro Ávila during the public hearing held before the Court in this case.</w:t>
      </w:r>
    </w:p>
  </w:footnote>
  <w:footnote w:id="282">
    <w:p w14:paraId="6DA32E4A" w14:textId="5D54C032" w:rsidR="00673461" w:rsidRPr="00CE23AE" w:rsidRDefault="00673461" w:rsidP="007B1AC9">
      <w:pPr>
        <w:pStyle w:val="Textonotapie"/>
        <w:tabs>
          <w:tab w:val="left" w:pos="540"/>
          <w:tab w:val="left" w:pos="567"/>
        </w:tabs>
        <w:rPr>
          <w:i/>
          <w:szCs w:val="16"/>
          <w:lang w:val="en-US"/>
        </w:rPr>
      </w:pPr>
      <w:r w:rsidRPr="00CE23AE">
        <w:rPr>
          <w:rStyle w:val="Refdenotaalpie"/>
          <w:szCs w:val="16"/>
          <w:lang w:val="en-US"/>
        </w:rPr>
        <w:footnoteRef/>
      </w:r>
      <w:r w:rsidRPr="00CE23AE">
        <w:rPr>
          <w:szCs w:val="16"/>
          <w:lang w:val="es-CR"/>
        </w:rPr>
        <w:t xml:space="preserve"> </w:t>
      </w:r>
      <w:r w:rsidRPr="00CE23AE">
        <w:rPr>
          <w:szCs w:val="16"/>
          <w:lang w:val="es-CR"/>
        </w:rPr>
        <w:tab/>
        <w:t xml:space="preserve">(1) </w:t>
      </w:r>
      <w:r w:rsidRPr="00CE23AE">
        <w:rPr>
          <w:i/>
          <w:szCs w:val="16"/>
          <w:lang w:val="es-CR"/>
        </w:rPr>
        <w:t>Case of Luis Enrique Montalvo González.</w:t>
      </w:r>
      <w:r w:rsidRPr="00CE23AE">
        <w:rPr>
          <w:szCs w:val="16"/>
          <w:lang w:val="es-CR"/>
        </w:rPr>
        <w:t xml:space="preserve"> </w:t>
      </w:r>
      <w:r w:rsidRPr="00CE23AE">
        <w:rPr>
          <w:szCs w:val="16"/>
          <w:lang w:val="en-US"/>
        </w:rPr>
        <w:t xml:space="preserve">Contentious Administrative Court of Quito (evidence file, folios 3090 to 3097); (2) </w:t>
      </w:r>
      <w:r w:rsidRPr="00CE23AE">
        <w:rPr>
          <w:i/>
          <w:szCs w:val="16"/>
          <w:lang w:val="en-US"/>
        </w:rPr>
        <w:t>Case of Haro Ayerve Eduardo Patricio.</w:t>
      </w:r>
      <w:r w:rsidRPr="00CE23AE">
        <w:rPr>
          <w:szCs w:val="16"/>
          <w:lang w:val="en-US"/>
        </w:rPr>
        <w:t xml:space="preserve"> District Contentious Administrative Court No. 1 of Quito (evidence file, folios 3098 to 3106); (3) </w:t>
      </w:r>
      <w:r w:rsidRPr="00CE23AE">
        <w:rPr>
          <w:i/>
          <w:szCs w:val="16"/>
          <w:lang w:val="en-US"/>
        </w:rPr>
        <w:t>Case of Washington Alfredo Medina Suárez.</w:t>
      </w:r>
      <w:r w:rsidRPr="00CE23AE">
        <w:rPr>
          <w:szCs w:val="16"/>
          <w:lang w:val="en-US"/>
        </w:rPr>
        <w:t xml:space="preserve"> Judges Chamber of the District Contentious Administrative Court No. 2 of the Provincial Court of Justice of Guayas (evidence file, folios 3107 to 3112);</w:t>
      </w:r>
      <w:r w:rsidRPr="00CE23AE">
        <w:rPr>
          <w:rFonts w:eastAsiaTheme="minorHAnsi" w:cstheme="minorBidi"/>
          <w:szCs w:val="16"/>
          <w:lang w:val="en-US" w:eastAsia="en-US"/>
        </w:rPr>
        <w:t xml:space="preserve"> (</w:t>
      </w:r>
      <w:r w:rsidRPr="00CE23AE">
        <w:rPr>
          <w:szCs w:val="16"/>
          <w:lang w:val="en-US"/>
        </w:rPr>
        <w:t xml:space="preserve">4) </w:t>
      </w:r>
      <w:r w:rsidRPr="00CE23AE">
        <w:rPr>
          <w:i/>
          <w:szCs w:val="16"/>
          <w:lang w:val="en-US"/>
        </w:rPr>
        <w:t>Case of Jesús Mendoza Sornoza.</w:t>
      </w:r>
      <w:r w:rsidRPr="00CE23AE">
        <w:rPr>
          <w:szCs w:val="16"/>
          <w:lang w:val="en-US"/>
        </w:rPr>
        <w:t xml:space="preserve"> District Contentious Administrative Court No. 2 of Guayaquil (evidence file, folios 3113 to 3119); (5) </w:t>
      </w:r>
      <w:r w:rsidRPr="00CE23AE">
        <w:rPr>
          <w:i/>
          <w:szCs w:val="16"/>
          <w:lang w:val="en-US"/>
        </w:rPr>
        <w:t>Case of Miguel Euclides Obando Aguirre.</w:t>
      </w:r>
      <w:r w:rsidRPr="00CE23AE">
        <w:rPr>
          <w:szCs w:val="16"/>
          <w:lang w:val="en-US"/>
        </w:rPr>
        <w:t xml:space="preserve"> District Contentious Administrative Court of Quito (evidence file, folios 3120 to 3126); (6) Case of Rubén Basantes Cabrera. District Contentious Administrative Court of Quito (evidence file, folios 3127 to 3161); (7) </w:t>
      </w:r>
      <w:r w:rsidRPr="00CE23AE">
        <w:rPr>
          <w:i/>
          <w:szCs w:val="16"/>
          <w:lang w:val="en-US"/>
        </w:rPr>
        <w:t>Case of Marco Orlando Rea Valverde</w:t>
      </w:r>
      <w:r w:rsidRPr="00CE23AE">
        <w:rPr>
          <w:szCs w:val="16"/>
          <w:lang w:val="en-US"/>
        </w:rPr>
        <w:t>. District Contentious Administrative Court No. 1 of Quito (evidence file, folios 3162 to 3172) (</w:t>
      </w:r>
      <w:r w:rsidRPr="00CE23AE">
        <w:rPr>
          <w:i/>
          <w:szCs w:val="16"/>
          <w:lang w:val="en-US"/>
        </w:rPr>
        <w:t>continued in the following footnote …)</w:t>
      </w:r>
    </w:p>
  </w:footnote>
  <w:footnote w:id="283">
    <w:p w14:paraId="2833CFA2" w14:textId="23A49370"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w:t>
      </w:r>
      <w:r w:rsidRPr="00CE23AE">
        <w:rPr>
          <w:i/>
          <w:szCs w:val="16"/>
          <w:lang w:val="en-US"/>
        </w:rPr>
        <w:t>… continued from the previous footnote)</w:t>
      </w:r>
      <w:r w:rsidRPr="00CE23AE">
        <w:rPr>
          <w:rFonts w:eastAsiaTheme="minorHAnsi" w:cstheme="minorBidi"/>
          <w:b/>
          <w:szCs w:val="16"/>
          <w:lang w:val="en-US" w:eastAsia="en-US"/>
        </w:rPr>
        <w:t xml:space="preserve"> </w:t>
      </w:r>
      <w:r w:rsidRPr="00CE23AE">
        <w:rPr>
          <w:rFonts w:eastAsiaTheme="minorHAnsi" w:cstheme="minorBidi"/>
          <w:szCs w:val="16"/>
          <w:lang w:val="en-US" w:eastAsia="en-US"/>
        </w:rPr>
        <w:t>(</w:t>
      </w:r>
      <w:r w:rsidRPr="00CE23AE">
        <w:rPr>
          <w:szCs w:val="16"/>
          <w:lang w:val="en-US"/>
        </w:rPr>
        <w:t xml:space="preserve">8) </w:t>
      </w:r>
      <w:r w:rsidRPr="00CE23AE">
        <w:rPr>
          <w:i/>
          <w:szCs w:val="16"/>
          <w:lang w:val="en-US"/>
        </w:rPr>
        <w:t>Case of Raúl Samaniego Granja.</w:t>
      </w:r>
      <w:r w:rsidRPr="00CE23AE">
        <w:rPr>
          <w:szCs w:val="16"/>
          <w:lang w:val="en-US"/>
        </w:rPr>
        <w:t xml:space="preserve">  Supreme Court of Justice, Contentious Administrative Chamber </w:t>
      </w:r>
      <w:r w:rsidRPr="00CE23AE">
        <w:rPr>
          <w:bCs/>
          <w:szCs w:val="16"/>
          <w:lang w:val="en-US"/>
        </w:rPr>
        <w:t>(evidence file, folios 3173 to 3184);</w:t>
      </w:r>
      <w:r w:rsidRPr="00CE23AE">
        <w:rPr>
          <w:szCs w:val="16"/>
          <w:lang w:val="en-US"/>
        </w:rPr>
        <w:t xml:space="preserve"> (9) </w:t>
      </w:r>
      <w:r w:rsidRPr="00CE23AE">
        <w:rPr>
          <w:i/>
          <w:szCs w:val="16"/>
          <w:lang w:val="en-US"/>
        </w:rPr>
        <w:t>Case of Marco Salinas Calero.</w:t>
      </w:r>
      <w:r w:rsidRPr="00CE23AE">
        <w:rPr>
          <w:szCs w:val="16"/>
          <w:lang w:val="en-US"/>
        </w:rPr>
        <w:t xml:space="preserve"> Supreme Court of Justice, Contentious Administrative Chamber </w:t>
      </w:r>
      <w:r w:rsidRPr="00CE23AE">
        <w:rPr>
          <w:bCs/>
          <w:szCs w:val="16"/>
          <w:lang w:val="en-US"/>
        </w:rPr>
        <w:t xml:space="preserve">(evidence file, folios </w:t>
      </w:r>
      <w:r w:rsidRPr="00CE23AE">
        <w:rPr>
          <w:szCs w:val="16"/>
          <w:lang w:val="en-US"/>
        </w:rPr>
        <w:t xml:space="preserve">3185 to 3187); </w:t>
      </w:r>
      <w:r w:rsidRPr="00CE23AE">
        <w:rPr>
          <w:rFonts w:eastAsiaTheme="minorHAnsi" w:cstheme="minorBidi"/>
          <w:szCs w:val="16"/>
          <w:lang w:val="en-US" w:eastAsia="en-US"/>
        </w:rPr>
        <w:t>(</w:t>
      </w:r>
      <w:r w:rsidRPr="00CE23AE">
        <w:rPr>
          <w:szCs w:val="16"/>
          <w:lang w:val="en-US"/>
        </w:rPr>
        <w:t xml:space="preserve">10) </w:t>
      </w:r>
      <w:r w:rsidRPr="00CE23AE">
        <w:rPr>
          <w:i/>
          <w:szCs w:val="16"/>
          <w:lang w:val="en-US"/>
        </w:rPr>
        <w:t>Case of Edwin Wilfrido Romero Yacelga.</w:t>
      </w:r>
      <w:r w:rsidRPr="00CE23AE">
        <w:rPr>
          <w:szCs w:val="16"/>
          <w:lang w:val="en-US"/>
        </w:rPr>
        <w:t xml:space="preserve"> District Contentious Administrative Court of Quito (evidence file, folios 3188 to 3201); </w:t>
      </w:r>
      <w:r w:rsidRPr="00CE23AE">
        <w:rPr>
          <w:rFonts w:eastAsiaTheme="minorHAnsi" w:cstheme="minorBidi"/>
          <w:szCs w:val="16"/>
          <w:lang w:val="en-US" w:eastAsia="en-US"/>
        </w:rPr>
        <w:t>(</w:t>
      </w:r>
      <w:r w:rsidRPr="00CE23AE">
        <w:rPr>
          <w:szCs w:val="16"/>
          <w:lang w:val="en-US"/>
        </w:rPr>
        <w:t xml:space="preserve">11) </w:t>
      </w:r>
      <w:r w:rsidRPr="00CE23AE">
        <w:rPr>
          <w:i/>
          <w:szCs w:val="16"/>
          <w:lang w:val="en-US"/>
        </w:rPr>
        <w:t>Case of Patricio Geovanny Cevallos Altamirano</w:t>
      </w:r>
      <w:r w:rsidRPr="00CE23AE">
        <w:rPr>
          <w:szCs w:val="16"/>
          <w:lang w:val="en-US"/>
        </w:rPr>
        <w:t>. District Contentious Administrative Court of Quito (evidence file, folios 3202 to 3208); (12)</w:t>
      </w:r>
      <w:r w:rsidRPr="00CE23AE">
        <w:rPr>
          <w:b/>
          <w:szCs w:val="16"/>
          <w:lang w:val="en-US"/>
        </w:rPr>
        <w:t xml:space="preserve"> </w:t>
      </w:r>
      <w:r w:rsidRPr="00CE23AE">
        <w:rPr>
          <w:i/>
          <w:szCs w:val="16"/>
          <w:lang w:val="en-US"/>
        </w:rPr>
        <w:t>Case of</w:t>
      </w:r>
      <w:r w:rsidRPr="00CE23AE">
        <w:rPr>
          <w:b/>
          <w:szCs w:val="16"/>
          <w:lang w:val="en-US"/>
        </w:rPr>
        <w:t xml:space="preserve"> </w:t>
      </w:r>
      <w:r w:rsidRPr="00CE23AE">
        <w:rPr>
          <w:i/>
          <w:szCs w:val="16"/>
          <w:lang w:val="en-US"/>
        </w:rPr>
        <w:t xml:space="preserve">Luis Alberto Beltrán Betancourt. </w:t>
      </w:r>
      <w:r w:rsidRPr="00CE23AE">
        <w:rPr>
          <w:szCs w:val="16"/>
          <w:lang w:val="en-US"/>
        </w:rPr>
        <w:t>District Contentious Administrative Court No. 1 of Quito (evidence file, folios 3290 to 3215);</w:t>
      </w:r>
      <w:r w:rsidRPr="00CE23AE">
        <w:rPr>
          <w:b/>
          <w:szCs w:val="16"/>
          <w:lang w:val="en-US"/>
        </w:rPr>
        <w:t xml:space="preserve"> </w:t>
      </w:r>
      <w:r w:rsidRPr="00CE23AE">
        <w:rPr>
          <w:szCs w:val="16"/>
          <w:lang w:val="en-US"/>
        </w:rPr>
        <w:t xml:space="preserve">(13) </w:t>
      </w:r>
      <w:r w:rsidRPr="00CE23AE">
        <w:rPr>
          <w:i/>
          <w:szCs w:val="16"/>
          <w:lang w:val="en-US"/>
        </w:rPr>
        <w:t>Case of Gil Homero Moncayo Bravo</w:t>
      </w:r>
      <w:r w:rsidRPr="00CE23AE">
        <w:rPr>
          <w:szCs w:val="16"/>
          <w:lang w:val="en-US"/>
        </w:rPr>
        <w:t>. District Contentious Administrative Court No. 1 of Quito (evidence file, folios 3216 to 3222);</w:t>
      </w:r>
      <w:r w:rsidRPr="00CE23AE">
        <w:rPr>
          <w:b/>
          <w:szCs w:val="16"/>
          <w:lang w:val="en-US"/>
        </w:rPr>
        <w:t xml:space="preserve"> </w:t>
      </w:r>
      <w:r w:rsidRPr="00CE23AE">
        <w:rPr>
          <w:rFonts w:eastAsiaTheme="minorHAnsi" w:cstheme="minorBidi"/>
          <w:szCs w:val="16"/>
          <w:lang w:val="en-US" w:eastAsia="en-US"/>
        </w:rPr>
        <w:t>(</w:t>
      </w:r>
      <w:r w:rsidRPr="00CE23AE">
        <w:rPr>
          <w:szCs w:val="16"/>
          <w:lang w:val="en-US"/>
        </w:rPr>
        <w:t xml:space="preserve">14) </w:t>
      </w:r>
      <w:r w:rsidRPr="00CE23AE">
        <w:rPr>
          <w:i/>
          <w:szCs w:val="16"/>
          <w:lang w:val="en-US"/>
        </w:rPr>
        <w:t>Case of Juan Rafael Pesantes Rendón</w:t>
      </w:r>
      <w:r w:rsidRPr="00CE23AE">
        <w:rPr>
          <w:szCs w:val="16"/>
          <w:lang w:val="en-US"/>
        </w:rPr>
        <w:t xml:space="preserve">. District Contentious Administrative Court No. 2 of Guayaquil (evidence file, folios 3223 to 3229), and (15) </w:t>
      </w:r>
      <w:r w:rsidRPr="00CE23AE">
        <w:rPr>
          <w:i/>
          <w:szCs w:val="16"/>
          <w:lang w:val="en-US"/>
        </w:rPr>
        <w:t>Case of Sergio Enrique Torres Morejón</w:t>
      </w:r>
      <w:r w:rsidRPr="00CE23AE">
        <w:rPr>
          <w:szCs w:val="16"/>
          <w:lang w:val="en-US"/>
        </w:rPr>
        <w:t>. District Contentious Administrative Court No. 1 of Quito (evidence file, folios 3230 to 3239).</w:t>
      </w:r>
      <w:r w:rsidRPr="00CE23AE">
        <w:rPr>
          <w:b/>
          <w:szCs w:val="16"/>
          <w:lang w:val="en-US"/>
        </w:rPr>
        <w:t xml:space="preserve"> </w:t>
      </w:r>
    </w:p>
  </w:footnote>
  <w:footnote w:id="284">
    <w:p w14:paraId="66B15257" w14:textId="3D9474B2"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rFonts w:eastAsiaTheme="minorHAnsi" w:cstheme="minorBidi"/>
          <w:szCs w:val="16"/>
          <w:lang w:val="en-US" w:eastAsia="en-US"/>
        </w:rPr>
        <w:t>(</w:t>
      </w:r>
      <w:r w:rsidRPr="00CE23AE">
        <w:rPr>
          <w:szCs w:val="16"/>
          <w:lang w:val="en-US"/>
        </w:rPr>
        <w:t xml:space="preserve">8) </w:t>
      </w:r>
      <w:r w:rsidRPr="00CE23AE">
        <w:rPr>
          <w:i/>
          <w:szCs w:val="16"/>
          <w:lang w:val="en-US"/>
        </w:rPr>
        <w:t>Case of Raúl Samaniego Granja.</w:t>
      </w:r>
      <w:r w:rsidRPr="00CE23AE">
        <w:rPr>
          <w:szCs w:val="16"/>
          <w:lang w:val="en-US"/>
        </w:rPr>
        <w:t xml:space="preserve"> </w:t>
      </w:r>
      <w:r w:rsidRPr="00CE23AE">
        <w:rPr>
          <w:bCs/>
          <w:szCs w:val="16"/>
          <w:lang w:val="en-US"/>
        </w:rPr>
        <w:t xml:space="preserve">Judgment of February 8, 2007, of the Administrative Chamber of the Supreme Court deciding remedy of cassation (evidence file, folios 3182 and 3183), and </w:t>
      </w:r>
      <w:r w:rsidRPr="00CE23AE">
        <w:rPr>
          <w:szCs w:val="16"/>
          <w:lang w:val="en-US"/>
        </w:rPr>
        <w:t xml:space="preserve">(9) </w:t>
      </w:r>
      <w:r w:rsidRPr="00CE23AE">
        <w:rPr>
          <w:i/>
          <w:szCs w:val="16"/>
          <w:lang w:val="en-US"/>
        </w:rPr>
        <w:t>Case of Marco Salinas Calero.</w:t>
      </w:r>
      <w:r w:rsidRPr="00CE23AE">
        <w:rPr>
          <w:szCs w:val="16"/>
          <w:lang w:val="en-US"/>
        </w:rPr>
        <w:t xml:space="preserve"> </w:t>
      </w:r>
      <w:r w:rsidRPr="00CE23AE">
        <w:rPr>
          <w:bCs/>
          <w:szCs w:val="16"/>
          <w:lang w:val="en-US"/>
        </w:rPr>
        <w:t xml:space="preserve">Judgment of </w:t>
      </w:r>
      <w:r w:rsidRPr="00CE23AE">
        <w:rPr>
          <w:szCs w:val="16"/>
          <w:lang w:val="en-US"/>
        </w:rPr>
        <w:t xml:space="preserve">June 20, 2007, </w:t>
      </w:r>
      <w:r w:rsidRPr="00CE23AE">
        <w:rPr>
          <w:bCs/>
          <w:szCs w:val="16"/>
          <w:lang w:val="en-US"/>
        </w:rPr>
        <w:t xml:space="preserve">of the Administrative Chamber of the Supreme Court deciding remedy of cassation (evidence file, folio </w:t>
      </w:r>
      <w:r w:rsidRPr="00CE23AE">
        <w:rPr>
          <w:szCs w:val="16"/>
          <w:lang w:val="en-US"/>
        </w:rPr>
        <w:t>3187).</w:t>
      </w:r>
    </w:p>
  </w:footnote>
  <w:footnote w:id="285">
    <w:p w14:paraId="3BB0C14D" w14:textId="32411D4E"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s-CR"/>
        </w:rPr>
        <w:t xml:space="preserve"> </w:t>
      </w:r>
      <w:r w:rsidRPr="00CE23AE">
        <w:rPr>
          <w:szCs w:val="16"/>
          <w:lang w:val="es-CR"/>
        </w:rPr>
        <w:tab/>
        <w:t xml:space="preserve">(1) </w:t>
      </w:r>
      <w:r w:rsidRPr="00CE23AE">
        <w:rPr>
          <w:i/>
          <w:szCs w:val="16"/>
          <w:lang w:val="es-CR"/>
        </w:rPr>
        <w:t>Case of Luis Enrique Montalvo González</w:t>
      </w:r>
      <w:r w:rsidRPr="00CE23AE">
        <w:rPr>
          <w:szCs w:val="16"/>
          <w:lang w:val="es-CR"/>
        </w:rPr>
        <w:t xml:space="preserve">. </w:t>
      </w:r>
      <w:r w:rsidRPr="00CE23AE">
        <w:rPr>
          <w:szCs w:val="16"/>
          <w:lang w:val="en-US"/>
        </w:rPr>
        <w:t>Judgment of</w:t>
      </w:r>
      <w:r w:rsidRPr="00CE23AE">
        <w:rPr>
          <w:b/>
          <w:szCs w:val="16"/>
          <w:lang w:val="en-US"/>
        </w:rPr>
        <w:t xml:space="preserve"> </w:t>
      </w:r>
      <w:r w:rsidRPr="00CE23AE">
        <w:rPr>
          <w:szCs w:val="16"/>
          <w:lang w:val="en-US"/>
        </w:rPr>
        <w:t>September 22, 2011, of District Contentious Administrative Court No. 1 (evidence file, folios 3266 and 3267);</w:t>
      </w:r>
      <w:r w:rsidRPr="00CE23AE">
        <w:rPr>
          <w:bCs/>
          <w:szCs w:val="16"/>
          <w:lang w:val="en-US"/>
        </w:rPr>
        <w:t xml:space="preserve"> </w:t>
      </w:r>
      <w:r w:rsidRPr="00CE23AE">
        <w:rPr>
          <w:szCs w:val="16"/>
          <w:lang w:val="en-US"/>
        </w:rPr>
        <w:t xml:space="preserve">(2) </w:t>
      </w:r>
      <w:r w:rsidRPr="00CE23AE">
        <w:rPr>
          <w:i/>
          <w:szCs w:val="16"/>
          <w:lang w:val="en-US"/>
        </w:rPr>
        <w:t>Case of Haro Ayerve Eduardo Patricio.</w:t>
      </w:r>
      <w:r w:rsidRPr="00CE23AE">
        <w:rPr>
          <w:b/>
          <w:szCs w:val="16"/>
          <w:lang w:val="en-US"/>
        </w:rPr>
        <w:t xml:space="preserve"> </w:t>
      </w:r>
      <w:r w:rsidRPr="00CE23AE">
        <w:rPr>
          <w:szCs w:val="16"/>
          <w:lang w:val="en-US"/>
        </w:rPr>
        <w:t xml:space="preserve">Judgment of September 20, 2011, of District Contentious Administrative Court No. 1 (evidence file, folios 3271 and 3272), and </w:t>
      </w:r>
      <w:r w:rsidRPr="00CE23AE">
        <w:rPr>
          <w:bCs/>
          <w:szCs w:val="16"/>
          <w:lang w:val="en-US"/>
        </w:rPr>
        <w:t xml:space="preserve">(13) </w:t>
      </w:r>
      <w:r w:rsidRPr="00CE23AE">
        <w:rPr>
          <w:bCs/>
          <w:i/>
          <w:szCs w:val="16"/>
          <w:lang w:val="en-US"/>
        </w:rPr>
        <w:t>Case of Gil Homero Moncayo Bravo</w:t>
      </w:r>
      <w:r w:rsidRPr="00CE23AE">
        <w:rPr>
          <w:bCs/>
          <w:szCs w:val="16"/>
          <w:lang w:val="en-US"/>
        </w:rPr>
        <w:t xml:space="preserve">. Judgment of January 23, 2012, of </w:t>
      </w:r>
      <w:r w:rsidRPr="00CE23AE">
        <w:rPr>
          <w:szCs w:val="16"/>
          <w:lang w:val="en-US"/>
        </w:rPr>
        <w:t>District Contentious Administrative Court No. 1</w:t>
      </w:r>
      <w:r w:rsidRPr="00CE23AE">
        <w:rPr>
          <w:bCs/>
          <w:szCs w:val="16"/>
          <w:lang w:val="en-US"/>
        </w:rPr>
        <w:t xml:space="preserve"> (evidence file, folios 3325 and 3326).</w:t>
      </w:r>
    </w:p>
  </w:footnote>
  <w:footnote w:id="286">
    <w:p w14:paraId="163C60D6" w14:textId="12234D55"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rFonts w:eastAsiaTheme="minorHAnsi" w:cstheme="minorBidi"/>
          <w:szCs w:val="16"/>
          <w:lang w:val="en-US" w:eastAsia="en-US"/>
        </w:rPr>
        <w:t>(</w:t>
      </w:r>
      <w:r w:rsidRPr="00CE23AE">
        <w:rPr>
          <w:szCs w:val="16"/>
          <w:lang w:val="en-US"/>
        </w:rPr>
        <w:t xml:space="preserve">4) </w:t>
      </w:r>
      <w:r w:rsidRPr="00CE23AE">
        <w:rPr>
          <w:i/>
          <w:szCs w:val="16"/>
          <w:lang w:val="en-US"/>
        </w:rPr>
        <w:t>Case of Jesús Mendoza Sornoza.</w:t>
      </w:r>
      <w:r w:rsidRPr="00CE23AE">
        <w:rPr>
          <w:szCs w:val="16"/>
          <w:lang w:val="en-US"/>
        </w:rPr>
        <w:t xml:space="preserve"> Order to admit the contentious administrative complaint of the District Contentious Administrative Court No. 2 of Guayaquil of October 6, 1999 (evidence file, folios 3113 to 3119). </w:t>
      </w:r>
    </w:p>
  </w:footnote>
  <w:footnote w:id="287">
    <w:p w14:paraId="06F47DD1" w14:textId="575E44B5" w:rsidR="00673461" w:rsidRPr="00CE23AE" w:rsidRDefault="00673461" w:rsidP="007B1AC9">
      <w:pPr>
        <w:pStyle w:val="PrrafodeSentencia"/>
        <w:numPr>
          <w:ilvl w:val="0"/>
          <w:numId w:val="0"/>
        </w:numPr>
        <w:tabs>
          <w:tab w:val="left" w:pos="540"/>
        </w:tabs>
        <w:spacing w:before="120" w:after="120"/>
        <w:rPr>
          <w:bCs/>
          <w:sz w:val="16"/>
          <w:szCs w:val="16"/>
          <w:lang w:val="en-US"/>
        </w:rPr>
      </w:pPr>
      <w:r w:rsidRPr="00CE23AE">
        <w:rPr>
          <w:rStyle w:val="Refdenotaalpie"/>
          <w:sz w:val="16"/>
          <w:szCs w:val="16"/>
          <w:lang w:val="en-US"/>
        </w:rPr>
        <w:footnoteRef/>
      </w:r>
      <w:r w:rsidRPr="00CE23AE">
        <w:rPr>
          <w:sz w:val="16"/>
          <w:szCs w:val="16"/>
          <w:lang w:val="en-US"/>
        </w:rPr>
        <w:t xml:space="preserve"> </w:t>
      </w:r>
      <w:r w:rsidRPr="00CE23AE">
        <w:rPr>
          <w:sz w:val="16"/>
          <w:szCs w:val="16"/>
          <w:lang w:val="en-US"/>
        </w:rPr>
        <w:tab/>
        <w:t xml:space="preserve">Article </w:t>
      </w:r>
      <w:r w:rsidRPr="00CE23AE">
        <w:rPr>
          <w:bCs/>
          <w:sz w:val="16"/>
          <w:szCs w:val="16"/>
          <w:lang w:val="en-US"/>
        </w:rPr>
        <w:t>196 of the Constitution establishes:</w:t>
      </w:r>
      <w:r w:rsidRPr="00CE23AE">
        <w:rPr>
          <w:b/>
          <w:bCs/>
          <w:sz w:val="16"/>
          <w:szCs w:val="16"/>
          <w:lang w:val="en-US"/>
        </w:rPr>
        <w:t xml:space="preserve"> </w:t>
      </w:r>
      <w:r w:rsidRPr="00CE23AE">
        <w:rPr>
          <w:bCs/>
          <w:sz w:val="16"/>
          <w:szCs w:val="16"/>
          <w:lang w:val="en-US"/>
        </w:rPr>
        <w:t>“Administrative acts of any authority of the other functions and institutions of the State may be contested before the corresponding organs of the Judiciary as determined by law.” 1998 Ecuadorian Constitution (evidence file, folio 2698).</w:t>
      </w:r>
    </w:p>
  </w:footnote>
  <w:footnote w:id="288">
    <w:p w14:paraId="6C8B8268" w14:textId="422134F0" w:rsidR="00673461" w:rsidRPr="00CE23AE" w:rsidRDefault="00673461" w:rsidP="007B1AC9">
      <w:pPr>
        <w:pStyle w:val="Textonotapie"/>
        <w:tabs>
          <w:tab w:val="left" w:pos="540"/>
          <w:tab w:val="left" w:pos="567"/>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According to expert witness Ramiro Ávila, the appropriate and effective remedy in the case of an alleged violation of fundamental rights was the remedy of constitutional amparo. In this regard, he indicated that judgments existed where constitutional justice had recognized the constitutional competence to review disciplinary rulings. However, he indicated that, although this could be “the appropriate channel,” owing to “the criteria at that time,” the applications for amparo were usually decided unfavorably owing to the application of “the presumption of the legality of the acts.” Expert opinion provided by Ramiro Ávila during the public hearing held before the Court in this case.</w:t>
      </w:r>
    </w:p>
  </w:footnote>
  <w:footnote w:id="289">
    <w:p w14:paraId="3F16B48F" w14:textId="03ECD97D" w:rsidR="00673461" w:rsidRPr="00CE23AE" w:rsidRDefault="00673461" w:rsidP="007B1AC9">
      <w:pPr>
        <w:pStyle w:val="Textonotapie"/>
        <w:tabs>
          <w:tab w:val="left" w:pos="540"/>
          <w:tab w:val="left" w:pos="567"/>
        </w:tabs>
        <w:rPr>
          <w:bCs/>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t xml:space="preserve">Expert opinion provided by Ramiro Ávila during the public hearing held before the Court in this case. The representative submitted a copy of this ruling during the procedure before the Commission. </w:t>
      </w:r>
      <w:r w:rsidRPr="00CE23AE">
        <w:rPr>
          <w:i/>
          <w:szCs w:val="16"/>
          <w:lang w:val="en-US"/>
        </w:rPr>
        <w:t>Cf.</w:t>
      </w:r>
      <w:r w:rsidRPr="00CE23AE">
        <w:rPr>
          <w:szCs w:val="16"/>
          <w:lang w:val="en-US"/>
        </w:rPr>
        <w:t xml:space="preserve"> Brief</w:t>
      </w:r>
      <w:r w:rsidRPr="00CE23AE">
        <w:rPr>
          <w:rFonts w:eastAsiaTheme="minorHAnsi" w:cs="Times"/>
          <w:szCs w:val="16"/>
          <w:lang w:val="en-US" w:eastAsia="en-US"/>
        </w:rPr>
        <w:t xml:space="preserve"> of the representative of April 12, 2004 (evidence file, folio 421). </w:t>
      </w:r>
      <w:r w:rsidRPr="00CE23AE">
        <w:rPr>
          <w:szCs w:val="16"/>
          <w:lang w:val="en-US"/>
        </w:rPr>
        <w:t xml:space="preserve">In the said ruling, the Supreme Court of Justice rejected a remedy of cassation against the admissibility of a </w:t>
      </w:r>
      <w:r w:rsidRPr="00CE23AE">
        <w:rPr>
          <w:lang w:val="en-US"/>
        </w:rPr>
        <w:t>full contentious administrative jurisdiction remedy</w:t>
      </w:r>
      <w:r w:rsidRPr="00CE23AE">
        <w:rPr>
          <w:szCs w:val="16"/>
          <w:lang w:val="en-US"/>
        </w:rPr>
        <w:t xml:space="preserve"> owing to “lack of legal grounds,” based on article 6(c) of the </w:t>
      </w:r>
      <w:r w:rsidRPr="00CE23AE">
        <w:rPr>
          <w:bCs/>
          <w:szCs w:val="16"/>
          <w:lang w:val="en-US"/>
        </w:rPr>
        <w:t xml:space="preserve">Law on the Contentious Administrative Jurisdiction. In this ruling, the Supreme Court considered that “the request of the plaintiffs […] that their ‘right be recognized’ [… and] they should be accorded the posts of Vice Admiral and of Air Force General, respectively, thus recovering their seniority and rank,” “undoubtedly, relates to the organization of the Armed Forces, constituents of the security services, according to the Constitution of the Republic.” Ruling of </w:t>
      </w:r>
      <w:r w:rsidRPr="00CE23AE">
        <w:rPr>
          <w:szCs w:val="16"/>
          <w:lang w:val="en-US"/>
        </w:rPr>
        <w:t xml:space="preserve">the Administrative Chamber of the Supreme Court </w:t>
      </w:r>
      <w:r w:rsidRPr="00CE23AE">
        <w:rPr>
          <w:bCs/>
          <w:szCs w:val="16"/>
          <w:lang w:val="en-US"/>
        </w:rPr>
        <w:t xml:space="preserve">of March 11, 1994 </w:t>
      </w:r>
      <w:r w:rsidRPr="00CE23AE">
        <w:rPr>
          <w:szCs w:val="16"/>
          <w:lang w:val="en-US"/>
        </w:rPr>
        <w:t>(evidence file, folios 421 to 426).</w:t>
      </w:r>
    </w:p>
  </w:footnote>
  <w:footnote w:id="290">
    <w:p w14:paraId="6519B7A0" w14:textId="3A8515CA" w:rsidR="00673461" w:rsidRPr="00CE23AE" w:rsidRDefault="00673461" w:rsidP="007B1AC9">
      <w:pPr>
        <w:pStyle w:val="Textonotapie"/>
        <w:tabs>
          <w:tab w:val="left" w:pos="540"/>
          <w:tab w:val="left" w:pos="567"/>
        </w:tabs>
        <w:rPr>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rStyle w:val="Textoennegrita"/>
          <w:rFonts w:eastAsia="Calibri"/>
          <w:color w:val="000000"/>
          <w:spacing w:val="-4"/>
          <w:szCs w:val="16"/>
          <w:shd w:val="clear" w:color="auto" w:fill="FFFFFF"/>
          <w:lang w:val="en-US"/>
        </w:rPr>
        <w:tab/>
      </w:r>
      <w:r w:rsidRPr="00CE23AE">
        <w:rPr>
          <w:rStyle w:val="Textoennegrita"/>
          <w:rFonts w:eastAsia="Calibri"/>
          <w:b w:val="0"/>
          <w:i/>
          <w:color w:val="000000"/>
          <w:spacing w:val="-4"/>
          <w:szCs w:val="16"/>
          <w:shd w:val="clear" w:color="auto" w:fill="FFFFFF"/>
          <w:lang w:val="en-US"/>
        </w:rPr>
        <w:t>Cf. Case of García Lucero et al. v. Chile. Preliminary objection, merits and reparations.</w:t>
      </w:r>
      <w:r w:rsidRPr="00CE23AE">
        <w:rPr>
          <w:rStyle w:val="Textoennegrita"/>
          <w:rFonts w:eastAsia="Calibri"/>
          <w:b w:val="0"/>
          <w:color w:val="000000"/>
          <w:spacing w:val="-4"/>
          <w:szCs w:val="16"/>
          <w:shd w:val="clear" w:color="auto" w:fill="FFFFFF"/>
          <w:lang w:val="en-US"/>
        </w:rPr>
        <w:t xml:space="preserve"> Judgment of August 28, 2013. Series C No. 267, para. 206, and </w:t>
      </w:r>
      <w:r w:rsidRPr="00CE23AE">
        <w:rPr>
          <w:i/>
          <w:szCs w:val="16"/>
          <w:lang w:val="en-US"/>
        </w:rPr>
        <w:t>Case of Duque v. Colombia, supra</w:t>
      </w:r>
      <w:r w:rsidRPr="00CE23AE">
        <w:rPr>
          <w:szCs w:val="16"/>
          <w:lang w:val="en-US"/>
        </w:rPr>
        <w:t>, para. 158.</w:t>
      </w:r>
    </w:p>
  </w:footnote>
  <w:footnote w:id="291">
    <w:p w14:paraId="123A633C" w14:textId="08F2FF31"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t>Article 63(1) of the American Convention establishes that: “[i]</w:t>
      </w:r>
      <w:r w:rsidRPr="00CE23AE">
        <w:rPr>
          <w:spacing w:val="-3"/>
          <w:szCs w:val="16"/>
          <w:lang w:val="en-US"/>
        </w:rPr>
        <w:t>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CE23AE">
        <w:rPr>
          <w:szCs w:val="16"/>
          <w:lang w:val="en-US"/>
        </w:rPr>
        <w:t>”</w:t>
      </w:r>
    </w:p>
  </w:footnote>
  <w:footnote w:id="292">
    <w:p w14:paraId="64FDBC34" w14:textId="2EC073F3" w:rsidR="00673461" w:rsidRPr="00CE23AE" w:rsidRDefault="00673461" w:rsidP="007B1AC9">
      <w:pPr>
        <w:pStyle w:val="Textonotapie"/>
        <w:tabs>
          <w:tab w:val="left" w:pos="540"/>
          <w:tab w:val="left" w:pos="567"/>
        </w:tabs>
        <w:rPr>
          <w:szCs w:val="16"/>
          <w:lang w:val="es-CR"/>
        </w:rPr>
      </w:pPr>
      <w:r w:rsidRPr="00CE23AE">
        <w:rPr>
          <w:rStyle w:val="Refdenotaalpie"/>
          <w:rFonts w:eastAsia="MS Gothic"/>
          <w:szCs w:val="16"/>
          <w:lang w:val="en-US"/>
        </w:rPr>
        <w:footnoteRef/>
      </w:r>
      <w:r w:rsidRPr="00CE23AE">
        <w:rPr>
          <w:szCs w:val="16"/>
          <w:lang w:val="es-CR"/>
        </w:rPr>
        <w:t xml:space="preserve"> </w:t>
      </w:r>
      <w:r w:rsidRPr="00CE23AE">
        <w:rPr>
          <w:szCs w:val="16"/>
          <w:lang w:val="es-CR"/>
        </w:rPr>
        <w:tab/>
      </w:r>
      <w:r w:rsidRPr="00CE23AE">
        <w:rPr>
          <w:i/>
          <w:szCs w:val="16"/>
          <w:lang w:val="es-CR"/>
        </w:rPr>
        <w:t xml:space="preserve">Cf. Case of Velásquez Rodríguez v. Honduras. </w:t>
      </w:r>
      <w:r w:rsidRPr="00CE23AE">
        <w:rPr>
          <w:i/>
          <w:szCs w:val="16"/>
          <w:lang w:val="en-US"/>
        </w:rPr>
        <w:t xml:space="preserve">Reparations and costs. </w:t>
      </w:r>
      <w:r w:rsidRPr="00CE23AE">
        <w:rPr>
          <w:szCs w:val="16"/>
          <w:lang w:val="en-US"/>
        </w:rPr>
        <w:t xml:space="preserve">Judgment of July 21, 1989. </w:t>
      </w:r>
      <w:r w:rsidRPr="00CE23AE">
        <w:rPr>
          <w:szCs w:val="16"/>
          <w:lang w:val="es-CR"/>
        </w:rPr>
        <w:t xml:space="preserve">Series C No. 7, para. 25, and </w:t>
      </w:r>
      <w:r w:rsidRPr="00CE23AE">
        <w:rPr>
          <w:bCs/>
          <w:i/>
          <w:color w:val="000000"/>
          <w:szCs w:val="16"/>
          <w:shd w:val="clear" w:color="auto" w:fill="FFFFFF"/>
          <w:lang w:val="es-CR"/>
        </w:rPr>
        <w:t>Case of Tenorio Roca et al. v. Peru, supra</w:t>
      </w:r>
      <w:r w:rsidRPr="00CE23AE">
        <w:rPr>
          <w:bCs/>
          <w:color w:val="000000"/>
          <w:szCs w:val="16"/>
          <w:shd w:val="clear" w:color="auto" w:fill="FFFFFF"/>
          <w:lang w:val="es-CR"/>
        </w:rPr>
        <w:t>, para. 259.</w:t>
      </w:r>
    </w:p>
  </w:footnote>
  <w:footnote w:id="293">
    <w:p w14:paraId="7529F4B3" w14:textId="05E66D81" w:rsidR="00673461" w:rsidRPr="00CE23AE" w:rsidRDefault="00673461" w:rsidP="007B1AC9">
      <w:pPr>
        <w:pStyle w:val="Textonotapie"/>
        <w:tabs>
          <w:tab w:val="left" w:pos="540"/>
          <w:tab w:val="left" w:pos="567"/>
        </w:tabs>
        <w:rPr>
          <w:szCs w:val="16"/>
          <w:lang w:val="es-CR"/>
        </w:rPr>
      </w:pPr>
      <w:r w:rsidRPr="00CE23AE">
        <w:rPr>
          <w:rStyle w:val="Refdenotaalpie"/>
          <w:rFonts w:eastAsia="MS Gothic"/>
          <w:szCs w:val="16"/>
          <w:lang w:val="en-US"/>
        </w:rPr>
        <w:footnoteRef/>
      </w:r>
      <w:r w:rsidRPr="00CE23AE">
        <w:rPr>
          <w:szCs w:val="16"/>
          <w:lang w:val="es-CR"/>
        </w:rPr>
        <w:t xml:space="preserve"> </w:t>
      </w:r>
      <w:r w:rsidRPr="00CE23AE">
        <w:rPr>
          <w:szCs w:val="16"/>
          <w:lang w:val="es-CR"/>
        </w:rPr>
        <w:tab/>
      </w:r>
      <w:r w:rsidRPr="00CE23AE">
        <w:rPr>
          <w:i/>
          <w:szCs w:val="16"/>
          <w:lang w:val="es-CR"/>
        </w:rPr>
        <w:t>Cf. Case of Velásquez Rodríguez v. Honduras. Reparations and costs, supra</w:t>
      </w:r>
      <w:r w:rsidRPr="00CE23AE">
        <w:rPr>
          <w:szCs w:val="16"/>
          <w:lang w:val="es-CR"/>
        </w:rPr>
        <w:t xml:space="preserve">, para. 25, and </w:t>
      </w:r>
      <w:r w:rsidRPr="00CE23AE">
        <w:rPr>
          <w:bCs/>
          <w:i/>
          <w:color w:val="000000"/>
          <w:szCs w:val="16"/>
          <w:shd w:val="clear" w:color="auto" w:fill="FFFFFF"/>
          <w:lang w:val="es-CR"/>
        </w:rPr>
        <w:t>Case of Tenorio Roca et al. v. Peru, supra</w:t>
      </w:r>
      <w:r w:rsidRPr="00CE23AE">
        <w:rPr>
          <w:bCs/>
          <w:color w:val="000000"/>
          <w:szCs w:val="16"/>
          <w:shd w:val="clear" w:color="auto" w:fill="FFFFFF"/>
          <w:lang w:val="es-CR"/>
        </w:rPr>
        <w:t>, para. 259.</w:t>
      </w:r>
    </w:p>
  </w:footnote>
  <w:footnote w:id="294">
    <w:p w14:paraId="659D60C0" w14:textId="4C903E69" w:rsidR="00673461" w:rsidRPr="00CE23AE" w:rsidRDefault="00673461" w:rsidP="007B1AC9">
      <w:pPr>
        <w:tabs>
          <w:tab w:val="left" w:pos="540"/>
          <w:tab w:val="left" w:pos="567"/>
          <w:tab w:val="left" w:pos="720"/>
        </w:tabs>
        <w:spacing w:before="120" w:after="120"/>
        <w:rPr>
          <w:spacing w:val="-4"/>
          <w:sz w:val="16"/>
          <w:szCs w:val="16"/>
          <w:lang w:val="en-US"/>
        </w:rPr>
      </w:pPr>
      <w:r w:rsidRPr="00CE23AE">
        <w:rPr>
          <w:rStyle w:val="Refdenotaalpie"/>
          <w:rFonts w:eastAsia="MS Mincho"/>
          <w:spacing w:val="-4"/>
          <w:sz w:val="16"/>
          <w:szCs w:val="16"/>
          <w:lang w:val="en-US"/>
        </w:rPr>
        <w:footnoteRef/>
      </w:r>
      <w:r w:rsidRPr="00CE23AE">
        <w:rPr>
          <w:spacing w:val="-4"/>
          <w:sz w:val="16"/>
          <w:szCs w:val="16"/>
        </w:rPr>
        <w:t xml:space="preserve"> </w:t>
      </w:r>
      <w:r w:rsidRPr="00CE23AE">
        <w:rPr>
          <w:spacing w:val="-4"/>
          <w:sz w:val="16"/>
          <w:szCs w:val="16"/>
        </w:rPr>
        <w:tab/>
      </w:r>
      <w:r w:rsidRPr="00CE23AE">
        <w:rPr>
          <w:i/>
          <w:sz w:val="16"/>
          <w:szCs w:val="16"/>
        </w:rPr>
        <w:t>Cf. Case of Velásquez Rodríguez v. Honduras. Reparations and costs, supra</w:t>
      </w:r>
      <w:r w:rsidRPr="00CE23AE">
        <w:rPr>
          <w:sz w:val="16"/>
          <w:szCs w:val="16"/>
        </w:rPr>
        <w:t xml:space="preserve">, para. 26, and </w:t>
      </w:r>
      <w:r w:rsidRPr="00CE23AE">
        <w:rPr>
          <w:bCs/>
          <w:i/>
          <w:color w:val="000000"/>
          <w:sz w:val="16"/>
          <w:szCs w:val="16"/>
          <w:shd w:val="clear" w:color="auto" w:fill="FFFFFF"/>
        </w:rPr>
        <w:t>Case of Tenorio Roca et al. v. Peru, supra</w:t>
      </w:r>
      <w:r w:rsidRPr="00CE23AE">
        <w:rPr>
          <w:bCs/>
          <w:color w:val="000000"/>
          <w:sz w:val="16"/>
          <w:szCs w:val="16"/>
          <w:shd w:val="clear" w:color="auto" w:fill="FFFFFF"/>
        </w:rPr>
        <w:t xml:space="preserve">, para. </w:t>
      </w:r>
      <w:r w:rsidRPr="00CE23AE">
        <w:rPr>
          <w:bCs/>
          <w:color w:val="000000"/>
          <w:sz w:val="16"/>
          <w:szCs w:val="16"/>
          <w:shd w:val="clear" w:color="auto" w:fill="FFFFFF"/>
          <w:lang w:val="en-US"/>
        </w:rPr>
        <w:t>260.</w:t>
      </w:r>
    </w:p>
  </w:footnote>
  <w:footnote w:id="295">
    <w:p w14:paraId="61958AFA" w14:textId="1AE8C7BE" w:rsidR="00673461" w:rsidRPr="00CE23AE" w:rsidRDefault="00673461" w:rsidP="007B1AC9">
      <w:pPr>
        <w:pStyle w:val="Textonotapie"/>
        <w:tabs>
          <w:tab w:val="left" w:pos="540"/>
          <w:tab w:val="left" w:pos="567"/>
        </w:tabs>
        <w:rPr>
          <w:spacing w:val="-4"/>
          <w:szCs w:val="16"/>
          <w:lang w:val="en-US"/>
        </w:rPr>
      </w:pPr>
      <w:r w:rsidRPr="00CE23AE">
        <w:rPr>
          <w:rStyle w:val="Refdenotaalpie"/>
          <w:rFonts w:eastAsia="MS Gothic"/>
          <w:spacing w:val="-4"/>
          <w:szCs w:val="16"/>
          <w:lang w:val="en-US"/>
        </w:rPr>
        <w:footnoteRef/>
      </w:r>
      <w:r w:rsidRPr="00CE23AE">
        <w:rPr>
          <w:spacing w:val="-4"/>
          <w:szCs w:val="16"/>
          <w:lang w:val="en-US"/>
        </w:rPr>
        <w:t xml:space="preserve"> </w:t>
      </w:r>
      <w:r w:rsidRPr="00CE23AE">
        <w:rPr>
          <w:spacing w:val="-4"/>
          <w:szCs w:val="16"/>
          <w:lang w:val="en-US"/>
        </w:rPr>
        <w:tab/>
      </w:r>
      <w:r w:rsidRPr="00CE23AE">
        <w:rPr>
          <w:i/>
          <w:iCs/>
          <w:spacing w:val="-4"/>
          <w:szCs w:val="16"/>
          <w:lang w:val="en-US"/>
        </w:rPr>
        <w:t>Cf. Case of the Dos Erres Massacre v. Guatemala</w:t>
      </w:r>
      <w:r w:rsidRPr="00CE23AE">
        <w:rPr>
          <w:rFonts w:cs="Arial"/>
          <w:i/>
          <w:spacing w:val="-4"/>
          <w:szCs w:val="16"/>
          <w:lang w:val="en-US"/>
        </w:rPr>
        <w:t xml:space="preserve">. </w:t>
      </w:r>
      <w:r w:rsidRPr="00CE23AE">
        <w:rPr>
          <w:rFonts w:cs="Arial"/>
          <w:i/>
          <w:iCs/>
          <w:spacing w:val="-4"/>
          <w:szCs w:val="16"/>
          <w:lang w:val="en-US"/>
        </w:rPr>
        <w:t>Preliminary objection, merits, reparations and costs.</w:t>
      </w:r>
      <w:r w:rsidRPr="00CE23AE">
        <w:rPr>
          <w:rFonts w:cs="Arial"/>
          <w:iCs/>
          <w:spacing w:val="-4"/>
          <w:szCs w:val="16"/>
          <w:lang w:val="en-US"/>
        </w:rPr>
        <w:t xml:space="preserve"> Judgment of November 24, 2009. Series C No. 211, </w:t>
      </w:r>
      <w:r w:rsidRPr="00CE23AE">
        <w:rPr>
          <w:iCs/>
          <w:spacing w:val="-4"/>
          <w:szCs w:val="16"/>
          <w:lang w:val="en-US"/>
        </w:rPr>
        <w:t xml:space="preserve">para. 226, and </w:t>
      </w:r>
      <w:r w:rsidRPr="00CE23AE">
        <w:rPr>
          <w:bCs/>
          <w:i/>
          <w:color w:val="000000"/>
          <w:szCs w:val="16"/>
          <w:shd w:val="clear" w:color="auto" w:fill="FFFFFF"/>
          <w:lang w:val="en-US"/>
        </w:rPr>
        <w:t>Case of Tenorio Roca et al. v. Peru, supra</w:t>
      </w:r>
      <w:r w:rsidRPr="00CE23AE">
        <w:rPr>
          <w:bCs/>
          <w:color w:val="000000"/>
          <w:szCs w:val="16"/>
          <w:shd w:val="clear" w:color="auto" w:fill="FFFFFF"/>
          <w:lang w:val="en-US"/>
        </w:rPr>
        <w:t>, para. 260.</w:t>
      </w:r>
    </w:p>
  </w:footnote>
  <w:footnote w:id="296">
    <w:p w14:paraId="410181DF" w14:textId="399DBD4B" w:rsidR="00673461" w:rsidRPr="00CE23AE" w:rsidRDefault="00673461" w:rsidP="007B1AC9">
      <w:pPr>
        <w:pStyle w:val="Textonotapie"/>
        <w:tabs>
          <w:tab w:val="left" w:pos="540"/>
          <w:tab w:val="left" w:pos="567"/>
          <w:tab w:val="left" w:pos="720"/>
        </w:tabs>
        <w:rPr>
          <w:bCs/>
          <w:spacing w:val="-4"/>
          <w:szCs w:val="16"/>
          <w:lang w:val="en-US"/>
        </w:rPr>
      </w:pPr>
      <w:r w:rsidRPr="00CE23AE">
        <w:rPr>
          <w:rStyle w:val="Refdenotaalpie"/>
          <w:rFonts w:eastAsia="MS Gothic"/>
          <w:spacing w:val="-4"/>
          <w:szCs w:val="16"/>
          <w:lang w:val="en-US"/>
        </w:rPr>
        <w:footnoteRef/>
      </w:r>
      <w:r w:rsidRPr="00CE23AE">
        <w:rPr>
          <w:spacing w:val="-4"/>
          <w:szCs w:val="16"/>
          <w:lang w:val="en-US"/>
        </w:rPr>
        <w:tab/>
      </w:r>
      <w:r w:rsidRPr="00CE23AE">
        <w:rPr>
          <w:rFonts w:cs="Calibri"/>
          <w:i/>
          <w:spacing w:val="-4"/>
          <w:szCs w:val="16"/>
          <w:lang w:val="en-US"/>
        </w:rPr>
        <w:t xml:space="preserve">Cf. </w:t>
      </w:r>
      <w:r w:rsidRPr="00CE23AE">
        <w:rPr>
          <w:rStyle w:val="TextonotapieCar"/>
          <w:rFonts w:eastAsia="Calibri" w:cs="Calibri"/>
          <w:i/>
          <w:spacing w:val="-4"/>
          <w:szCs w:val="16"/>
          <w:lang w:val="en-US"/>
        </w:rPr>
        <w:t xml:space="preserve">Case of Ticona Estrada et al. v. Bolivia. </w:t>
      </w:r>
      <w:r w:rsidRPr="00CE23AE">
        <w:rPr>
          <w:i/>
          <w:spacing w:val="-4"/>
          <w:szCs w:val="16"/>
          <w:lang w:val="en-US"/>
        </w:rPr>
        <w:t>Merits, reparations and costs</w:t>
      </w:r>
      <w:r w:rsidRPr="00CE23AE">
        <w:rPr>
          <w:spacing w:val="-4"/>
          <w:szCs w:val="16"/>
          <w:lang w:val="en-US"/>
        </w:rPr>
        <w:t>. Judgment of November 27, 2008. Series C No. 191,</w:t>
      </w:r>
      <w:r w:rsidRPr="00CE23AE">
        <w:rPr>
          <w:rStyle w:val="TextonotapieCar"/>
          <w:rFonts w:eastAsia="Calibri" w:cs="Calibri"/>
          <w:spacing w:val="-4"/>
          <w:szCs w:val="16"/>
          <w:lang w:val="en-US"/>
        </w:rPr>
        <w:t xml:space="preserve"> para. 110, and </w:t>
      </w:r>
      <w:r w:rsidRPr="00CE23AE">
        <w:rPr>
          <w:bCs/>
          <w:i/>
          <w:color w:val="000000"/>
          <w:szCs w:val="16"/>
          <w:shd w:val="clear" w:color="auto" w:fill="FFFFFF"/>
          <w:lang w:val="en-US"/>
        </w:rPr>
        <w:t>Case of Tenorio Roca et al. v. Peru, supra</w:t>
      </w:r>
      <w:r w:rsidRPr="00CE23AE">
        <w:rPr>
          <w:bCs/>
          <w:color w:val="000000"/>
          <w:szCs w:val="16"/>
          <w:shd w:val="clear" w:color="auto" w:fill="FFFFFF"/>
          <w:lang w:val="en-US"/>
        </w:rPr>
        <w:t>, para. 261</w:t>
      </w:r>
      <w:r w:rsidRPr="00CE23AE">
        <w:rPr>
          <w:spacing w:val="-4"/>
          <w:szCs w:val="16"/>
          <w:lang w:val="en-US"/>
        </w:rPr>
        <w:t>.</w:t>
      </w:r>
    </w:p>
  </w:footnote>
  <w:footnote w:id="297">
    <w:p w14:paraId="71E014CF" w14:textId="155D3BA6" w:rsidR="00673461" w:rsidRPr="00CE23AE" w:rsidRDefault="00673461" w:rsidP="007B1AC9">
      <w:pPr>
        <w:pStyle w:val="Textonotapie"/>
        <w:tabs>
          <w:tab w:val="left" w:pos="540"/>
          <w:tab w:val="left" w:pos="567"/>
          <w:tab w:val="left" w:pos="720"/>
        </w:tabs>
        <w:rPr>
          <w:spacing w:val="-4"/>
          <w:szCs w:val="16"/>
          <w:lang w:val="en-US"/>
        </w:rPr>
      </w:pPr>
      <w:r w:rsidRPr="00CE23AE">
        <w:rPr>
          <w:rStyle w:val="Refdenotaalpie"/>
          <w:rFonts w:eastAsia="MS Gothic"/>
          <w:spacing w:val="-4"/>
          <w:szCs w:val="16"/>
          <w:lang w:val="en-US"/>
        </w:rPr>
        <w:footnoteRef/>
      </w:r>
      <w:r w:rsidRPr="00CE23AE">
        <w:rPr>
          <w:spacing w:val="-4"/>
          <w:szCs w:val="16"/>
          <w:lang w:val="en-US"/>
        </w:rPr>
        <w:t xml:space="preserve"> </w:t>
      </w:r>
      <w:r w:rsidRPr="00CE23AE">
        <w:rPr>
          <w:spacing w:val="-4"/>
          <w:szCs w:val="16"/>
          <w:lang w:val="en-US"/>
        </w:rPr>
        <w:tab/>
      </w:r>
      <w:r w:rsidRPr="00CE23AE">
        <w:rPr>
          <w:i/>
          <w:szCs w:val="16"/>
          <w:lang w:val="en-US"/>
        </w:rPr>
        <w:t>Cf. Case of Velásquez Rodríguez v. Honduras. Reparations and costs, supra</w:t>
      </w:r>
      <w:r w:rsidRPr="00CE23AE">
        <w:rPr>
          <w:szCs w:val="16"/>
          <w:lang w:val="en-US"/>
        </w:rPr>
        <w:t xml:space="preserve">, paras. 25 to 27, and </w:t>
      </w:r>
      <w:r w:rsidRPr="00CE23AE">
        <w:rPr>
          <w:bCs/>
          <w:i/>
          <w:color w:val="000000"/>
          <w:szCs w:val="16"/>
          <w:shd w:val="clear" w:color="auto" w:fill="FFFFFF"/>
          <w:lang w:val="en-US"/>
        </w:rPr>
        <w:t>Case of Tenorio Roca et al. v. Peru, supra</w:t>
      </w:r>
      <w:r w:rsidRPr="00CE23AE">
        <w:rPr>
          <w:bCs/>
          <w:color w:val="000000"/>
          <w:szCs w:val="16"/>
          <w:shd w:val="clear" w:color="auto" w:fill="FFFFFF"/>
          <w:lang w:val="en-US"/>
        </w:rPr>
        <w:t>, para. 262.</w:t>
      </w:r>
    </w:p>
  </w:footnote>
  <w:footnote w:id="298">
    <w:p w14:paraId="3C8B505F" w14:textId="24A15B70"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i/>
          <w:szCs w:val="16"/>
          <w:lang w:val="en-US"/>
        </w:rPr>
        <w:t xml:space="preserve"> </w:t>
      </w:r>
      <w:r w:rsidRPr="00CE23AE">
        <w:rPr>
          <w:i/>
          <w:szCs w:val="16"/>
          <w:lang w:val="en-US"/>
        </w:rPr>
        <w:tab/>
      </w:r>
      <w:r w:rsidRPr="00CE23AE">
        <w:rPr>
          <w:i/>
          <w:iCs/>
          <w:szCs w:val="16"/>
          <w:lang w:val="en-US"/>
        </w:rPr>
        <w:t>Cf. Case of Neira Alegría et al. v. Peru</w:t>
      </w:r>
      <w:r w:rsidRPr="00CE23AE">
        <w:rPr>
          <w:i/>
          <w:szCs w:val="16"/>
          <w:lang w:val="en-US"/>
        </w:rPr>
        <w:t>. Reparations and costs</w:t>
      </w:r>
      <w:r w:rsidRPr="00CE23AE">
        <w:rPr>
          <w:szCs w:val="16"/>
          <w:lang w:val="en-US"/>
        </w:rPr>
        <w:t xml:space="preserve">. </w:t>
      </w:r>
      <w:r w:rsidRPr="00CE23AE">
        <w:rPr>
          <w:color w:val="000000"/>
          <w:szCs w:val="16"/>
          <w:lang w:val="en-US"/>
        </w:rPr>
        <w:t>Judgment of September 19, 1996. Series C No. 29</w:t>
      </w:r>
      <w:r w:rsidRPr="00CE23AE">
        <w:rPr>
          <w:szCs w:val="16"/>
          <w:lang w:val="en-US"/>
        </w:rPr>
        <w:t xml:space="preserve">, para. 56, and </w:t>
      </w:r>
      <w:r w:rsidRPr="00CE23AE">
        <w:rPr>
          <w:bCs/>
          <w:i/>
          <w:color w:val="000000"/>
          <w:szCs w:val="16"/>
          <w:shd w:val="clear" w:color="auto" w:fill="FFFFFF"/>
          <w:lang w:val="en-US"/>
        </w:rPr>
        <w:t>Case of Tenorio Roca et al. v. Peru, supra</w:t>
      </w:r>
      <w:r w:rsidRPr="00CE23AE">
        <w:rPr>
          <w:bCs/>
          <w:color w:val="000000"/>
          <w:szCs w:val="16"/>
          <w:shd w:val="clear" w:color="auto" w:fill="FFFFFF"/>
          <w:lang w:val="en-US"/>
        </w:rPr>
        <w:t>, para. 334</w:t>
      </w:r>
      <w:r w:rsidRPr="00CE23AE">
        <w:rPr>
          <w:szCs w:val="16"/>
          <w:lang w:val="en-US"/>
        </w:rPr>
        <w:t>.</w:t>
      </w:r>
    </w:p>
  </w:footnote>
  <w:footnote w:id="299">
    <w:p w14:paraId="47971A10" w14:textId="77351AD4" w:rsidR="00673461" w:rsidRPr="00CE23AE" w:rsidRDefault="00673461" w:rsidP="007B1AC9">
      <w:pPr>
        <w:pStyle w:val="Textonotapie"/>
        <w:tabs>
          <w:tab w:val="left" w:pos="540"/>
        </w:tabs>
        <w:rPr>
          <w:szCs w:val="16"/>
          <w:lang w:val="en-US"/>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t>See, for example,</w:t>
      </w:r>
      <w:r w:rsidRPr="00CE23AE">
        <w:rPr>
          <w:i/>
          <w:szCs w:val="16"/>
          <w:lang w:val="en-US"/>
        </w:rPr>
        <w:t xml:space="preserve"> </w:t>
      </w:r>
      <w:r w:rsidRPr="00CE23AE">
        <w:rPr>
          <w:i/>
          <w:spacing w:val="-2"/>
          <w:szCs w:val="16"/>
          <w:lang w:val="en-US"/>
        </w:rPr>
        <w:t>Case of Apitz Barbera et al. (“First Contentious Administrative Court”) v. Venezuela, supra</w:t>
      </w:r>
      <w:r w:rsidRPr="00CE23AE">
        <w:rPr>
          <w:spacing w:val="-2"/>
          <w:szCs w:val="16"/>
          <w:lang w:val="en-US"/>
        </w:rPr>
        <w:t xml:space="preserve">, para. </w:t>
      </w:r>
      <w:r w:rsidRPr="00CE23AE">
        <w:rPr>
          <w:spacing w:val="-2"/>
          <w:szCs w:val="16"/>
          <w:lang w:val="es-CR"/>
        </w:rPr>
        <w:t xml:space="preserve">246; </w:t>
      </w:r>
      <w:r w:rsidRPr="00CE23AE">
        <w:rPr>
          <w:i/>
          <w:spacing w:val="-2"/>
          <w:szCs w:val="16"/>
          <w:lang w:val="es-CR"/>
        </w:rPr>
        <w:t>Case of Reverón Trujillo v. Venezuela, supra</w:t>
      </w:r>
      <w:r w:rsidRPr="00CE23AE">
        <w:rPr>
          <w:spacing w:val="-2"/>
          <w:szCs w:val="16"/>
          <w:lang w:val="es-CR"/>
        </w:rPr>
        <w:t xml:space="preserve">, para. 163, and </w:t>
      </w:r>
      <w:r w:rsidRPr="00CE23AE">
        <w:rPr>
          <w:i/>
          <w:spacing w:val="-2"/>
          <w:szCs w:val="16"/>
          <w:lang w:val="es-CR"/>
        </w:rPr>
        <w:t>Case of López Lone et al. v. Honduras, supra</w:t>
      </w:r>
      <w:r w:rsidRPr="00CE23AE">
        <w:rPr>
          <w:spacing w:val="-2"/>
          <w:szCs w:val="16"/>
          <w:lang w:val="es-CR"/>
        </w:rPr>
        <w:t xml:space="preserve">, paras. </w:t>
      </w:r>
      <w:r w:rsidRPr="00CE23AE">
        <w:rPr>
          <w:spacing w:val="-2"/>
          <w:szCs w:val="16"/>
          <w:lang w:val="en-US"/>
        </w:rPr>
        <w:t>297 and 298.</w:t>
      </w:r>
    </w:p>
  </w:footnote>
  <w:footnote w:id="300">
    <w:p w14:paraId="0ACFB195" w14:textId="2E2D6CA3" w:rsidR="00673461" w:rsidRPr="00CE23AE" w:rsidRDefault="00673461" w:rsidP="007B1AC9">
      <w:pPr>
        <w:pStyle w:val="Textonotapie"/>
        <w:tabs>
          <w:tab w:val="left" w:pos="540"/>
        </w:tabs>
        <w:rPr>
          <w:szCs w:val="16"/>
          <w:lang w:val="en-US"/>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t xml:space="preserve">Thus, for example, in the case of </w:t>
      </w:r>
      <w:r w:rsidRPr="00CE23AE">
        <w:rPr>
          <w:i/>
          <w:szCs w:val="16"/>
          <w:lang w:val="en-US"/>
        </w:rPr>
        <w:t>Camba and Campos et al.</w:t>
      </w:r>
      <w:r w:rsidRPr="00CE23AE">
        <w:rPr>
          <w:szCs w:val="16"/>
          <w:lang w:val="en-US"/>
        </w:rPr>
        <w:t xml:space="preserve">, the Court determined that the reincorporation of the judges who had been arbitrarily dismissed from the Constitutional Tribunal was not appropriate because, owing to an amendment to the Constitution, the Tribunal no longer existed and insufficient evidence had been provided regarding the existence of a comparable organ. </w:t>
      </w:r>
      <w:r w:rsidRPr="00CE23AE">
        <w:rPr>
          <w:i/>
          <w:szCs w:val="16"/>
          <w:lang w:val="en-US"/>
        </w:rPr>
        <w:t>Cf. Case of the Constitutional Tribunal (Camba Campos et al.) v. Ecuador. Preliminary objections, merits, reparations and costs.</w:t>
      </w:r>
      <w:r w:rsidRPr="00CE23AE">
        <w:rPr>
          <w:szCs w:val="16"/>
          <w:lang w:val="en-US"/>
        </w:rPr>
        <w:t xml:space="preserve"> Judgment of August 28, 2013. Series C No. 268, paras. 255 to 263.</w:t>
      </w:r>
    </w:p>
  </w:footnote>
  <w:footnote w:id="301">
    <w:p w14:paraId="5CDC4578" w14:textId="555AEBEE" w:rsidR="00673461" w:rsidRPr="00CE23AE" w:rsidRDefault="00673461" w:rsidP="007B1AC9">
      <w:pPr>
        <w:pStyle w:val="Textonotapie"/>
        <w:tabs>
          <w:tab w:val="left" w:pos="540"/>
        </w:tabs>
        <w:rPr>
          <w:szCs w:val="16"/>
          <w:lang w:val="en-US"/>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Legal report on reincorporation of members of the Armed Forces (undated), prepared by the General Coordinator of the Legal Services Department of the Ministry of National Defense (evidence file, folios 2865 to 2868).</w:t>
      </w:r>
    </w:p>
  </w:footnote>
  <w:footnote w:id="302">
    <w:p w14:paraId="0961EA1C" w14:textId="12257C96" w:rsidR="00673461" w:rsidRPr="00CE23AE" w:rsidRDefault="00673461" w:rsidP="007B1AC9">
      <w:pPr>
        <w:tabs>
          <w:tab w:val="left" w:pos="540"/>
        </w:tabs>
        <w:spacing w:before="120" w:after="120"/>
        <w:rPr>
          <w:sz w:val="16"/>
          <w:szCs w:val="16"/>
          <w:lang w:val="en-US"/>
        </w:rPr>
      </w:pPr>
      <w:r w:rsidRPr="00CE23AE">
        <w:rPr>
          <w:rStyle w:val="Refdenotaalpie"/>
          <w:rFonts w:eastAsia="MS ????"/>
          <w:sz w:val="16"/>
          <w:szCs w:val="16"/>
          <w:lang w:val="en-US"/>
        </w:rPr>
        <w:footnoteRef/>
      </w:r>
      <w:r w:rsidRPr="00CE23AE">
        <w:rPr>
          <w:sz w:val="16"/>
          <w:szCs w:val="16"/>
          <w:lang w:val="en-US"/>
        </w:rPr>
        <w:t xml:space="preserve"> </w:t>
      </w:r>
      <w:r w:rsidRPr="00CE23AE">
        <w:rPr>
          <w:sz w:val="16"/>
          <w:szCs w:val="16"/>
          <w:lang w:val="en-US"/>
        </w:rPr>
        <w:tab/>
      </w:r>
      <w:r w:rsidRPr="00CE23AE">
        <w:rPr>
          <w:i/>
          <w:sz w:val="16"/>
          <w:szCs w:val="16"/>
          <w:lang w:val="en-US"/>
        </w:rPr>
        <w:t xml:space="preserve">Cf. </w:t>
      </w:r>
      <w:r w:rsidRPr="00CE23AE">
        <w:rPr>
          <w:sz w:val="16"/>
          <w:szCs w:val="16"/>
          <w:lang w:val="en-US"/>
        </w:rPr>
        <w:t>Legal report on reincorporation of members of the Armed Forces (undated), prepared by the General Coordinator of the Legal Services Department of the Ministry of National Defense (evidence file, folios 2865 to 2868).</w:t>
      </w:r>
    </w:p>
  </w:footnote>
  <w:footnote w:id="303">
    <w:p w14:paraId="0C5EDBAA" w14:textId="352ABCE8" w:rsidR="00673461" w:rsidRPr="00CE23AE" w:rsidRDefault="00673461" w:rsidP="007B1AC9">
      <w:pPr>
        <w:tabs>
          <w:tab w:val="left" w:pos="540"/>
        </w:tabs>
        <w:spacing w:before="120" w:after="120"/>
        <w:rPr>
          <w:sz w:val="16"/>
          <w:szCs w:val="16"/>
          <w:lang w:val="en-US"/>
        </w:rPr>
      </w:pPr>
      <w:r w:rsidRPr="00CE23AE">
        <w:rPr>
          <w:rStyle w:val="Refdenotaalpie"/>
          <w:rFonts w:eastAsia="MS ????"/>
          <w:sz w:val="16"/>
          <w:szCs w:val="16"/>
          <w:lang w:val="en-US"/>
        </w:rPr>
        <w:footnoteRef/>
      </w:r>
      <w:r w:rsidRPr="00CE23AE">
        <w:rPr>
          <w:sz w:val="16"/>
          <w:szCs w:val="16"/>
          <w:lang w:val="en-US"/>
        </w:rPr>
        <w:t xml:space="preserve"> </w:t>
      </w:r>
      <w:r w:rsidRPr="00CE23AE">
        <w:rPr>
          <w:sz w:val="16"/>
          <w:szCs w:val="16"/>
          <w:lang w:val="en-US"/>
        </w:rPr>
        <w:tab/>
      </w:r>
      <w:r w:rsidRPr="00CE23AE">
        <w:rPr>
          <w:i/>
          <w:sz w:val="16"/>
          <w:szCs w:val="16"/>
          <w:lang w:val="en-US"/>
        </w:rPr>
        <w:t xml:space="preserve">Cf. </w:t>
      </w:r>
      <w:r w:rsidRPr="00CE23AE">
        <w:rPr>
          <w:sz w:val="16"/>
          <w:szCs w:val="16"/>
          <w:lang w:val="en-US"/>
        </w:rPr>
        <w:t>Constitutional Court for the Transition Period. Judgment No. 001-12-SIS-CC of January 5, 2012 (evidence file folios 3500 and 3501).</w:t>
      </w:r>
    </w:p>
  </w:footnote>
  <w:footnote w:id="304">
    <w:p w14:paraId="2E1DB1AC" w14:textId="770E0BC2" w:rsidR="00673461" w:rsidRPr="00CE23AE" w:rsidRDefault="00673461" w:rsidP="007B1AC9">
      <w:pPr>
        <w:pStyle w:val="Textonotapie"/>
        <w:tabs>
          <w:tab w:val="left" w:pos="540"/>
        </w:tabs>
        <w:rPr>
          <w:szCs w:val="16"/>
          <w:lang w:val="en-US"/>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Law on Armed Forces Personnel, arts. 88 and 89 (evidence file, folio 2661).</w:t>
      </w:r>
    </w:p>
  </w:footnote>
  <w:footnote w:id="305">
    <w:p w14:paraId="4435CDB4" w14:textId="428C5B1C" w:rsidR="00673461" w:rsidRPr="00CE23AE" w:rsidRDefault="00673461" w:rsidP="002A185D">
      <w:pPr>
        <w:pStyle w:val="Textonotapie"/>
        <w:tabs>
          <w:tab w:val="left" w:pos="540"/>
        </w:tabs>
        <w:rPr>
          <w:szCs w:val="16"/>
          <w:lang w:val="en-US"/>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r>
      <w:r w:rsidRPr="00CE23AE">
        <w:rPr>
          <w:rFonts w:cs="Arial"/>
          <w:szCs w:val="16"/>
          <w:lang w:val="en-US"/>
        </w:rPr>
        <w:t xml:space="preserve">During the hearing, the representative referred to the case of </w:t>
      </w:r>
      <w:r w:rsidRPr="00CE23AE">
        <w:rPr>
          <w:szCs w:val="16"/>
          <w:lang w:val="en-US"/>
        </w:rPr>
        <w:t>José Burgos Solís, a sergeant second-class of the Ecuadorian Navy who was reincorporated in 2012 with promotion to the rank of sergeant first-class more than 17 years after he had been discharged, considering that the administrative acts that had separated him from the Navy had violated his human rights</w:t>
      </w:r>
      <w:r w:rsidRPr="00CE23AE">
        <w:rPr>
          <w:rFonts w:cs="Arial"/>
          <w:szCs w:val="16"/>
          <w:lang w:val="en-US"/>
        </w:rPr>
        <w:t xml:space="preserve">. </w:t>
      </w:r>
      <w:r w:rsidRPr="00CE23AE">
        <w:rPr>
          <w:i/>
          <w:szCs w:val="16"/>
          <w:lang w:val="en-US"/>
        </w:rPr>
        <w:t xml:space="preserve">Cf. </w:t>
      </w:r>
      <w:r w:rsidRPr="00CE23AE">
        <w:rPr>
          <w:szCs w:val="16"/>
          <w:lang w:val="en-US"/>
        </w:rPr>
        <w:t>Sixth Children and Adolescents of Guayas, Amparo action No. 0412-2012/0719-2012. Judgment of August 28, 2012 (evidence file, folios 3452 to 3461);</w:t>
      </w:r>
      <w:r w:rsidRPr="00CE23AE">
        <w:rPr>
          <w:i/>
          <w:szCs w:val="16"/>
          <w:lang w:val="en-US"/>
        </w:rPr>
        <w:t xml:space="preserve"> </w:t>
      </w:r>
      <w:r w:rsidRPr="00CE23AE">
        <w:rPr>
          <w:szCs w:val="16"/>
          <w:lang w:val="en-US"/>
        </w:rPr>
        <w:t>Provincial Court of Justice of Guayas, Third Criminal Chamber, Collusion and Trafficking Offenses. Judgment of October 31, 2012 (evidence file, folios 3463 to 3469);</w:t>
      </w:r>
      <w:r w:rsidRPr="00CE23AE">
        <w:rPr>
          <w:rFonts w:eastAsiaTheme="minorHAnsi"/>
          <w:szCs w:val="16"/>
          <w:lang w:val="en-US"/>
        </w:rPr>
        <w:t xml:space="preserve"> </w:t>
      </w:r>
      <w:r w:rsidRPr="00CE23AE">
        <w:rPr>
          <w:spacing w:val="-2"/>
          <w:szCs w:val="16"/>
          <w:lang w:val="en-US"/>
        </w:rPr>
        <w:t>Constitutional Court of Ecuado</w:t>
      </w:r>
      <w:r w:rsidRPr="00CE23AE">
        <w:rPr>
          <w:rFonts w:eastAsiaTheme="minorHAnsi"/>
          <w:szCs w:val="16"/>
          <w:lang w:val="en-US"/>
        </w:rPr>
        <w:t xml:space="preserve">r. Case of No. 0267-13-EP. Judgment No. 215-15-SEP-CC of July 1, 2015 (evidence file, folio 3471 to 3492). The representative also referred to the case of Colonel </w:t>
      </w:r>
      <w:r w:rsidRPr="00CE23AE">
        <w:rPr>
          <w:spacing w:val="-2"/>
          <w:szCs w:val="16"/>
          <w:lang w:val="en-US"/>
        </w:rPr>
        <w:t xml:space="preserve">Mejia Idrovo in which the Inter-American Court was able to corroborate that the Constitutional Court of Ecuador had ordered his reincorporation into the Ground Forces with the rank he held before his separation from the institution almost 10 years after this occurred. </w:t>
      </w:r>
      <w:r w:rsidRPr="00CE23AE">
        <w:rPr>
          <w:i/>
          <w:spacing w:val="-2"/>
          <w:szCs w:val="16"/>
          <w:lang w:val="en-US"/>
        </w:rPr>
        <w:t>Cf.</w:t>
      </w:r>
      <w:r w:rsidRPr="00CE23AE">
        <w:rPr>
          <w:spacing w:val="-2"/>
          <w:szCs w:val="16"/>
          <w:lang w:val="en-US"/>
        </w:rPr>
        <w:t xml:space="preserve"> </w:t>
      </w:r>
      <w:r w:rsidRPr="00CE23AE">
        <w:rPr>
          <w:i/>
          <w:spacing w:val="-2"/>
          <w:szCs w:val="16"/>
          <w:lang w:val="en-US"/>
        </w:rPr>
        <w:t xml:space="preserve">Case of Mejía Idrovo v. Ecuador. Preliminary objections, merits, reparations and costs. </w:t>
      </w:r>
      <w:r w:rsidRPr="00CE23AE">
        <w:rPr>
          <w:spacing w:val="-2"/>
          <w:szCs w:val="16"/>
          <w:lang w:val="en-US"/>
        </w:rPr>
        <w:t xml:space="preserve">Judgment of July 5, 2011. Series C No. 22. </w:t>
      </w:r>
      <w:r w:rsidRPr="00CE23AE">
        <w:rPr>
          <w:szCs w:val="16"/>
          <w:lang w:val="en-US"/>
        </w:rPr>
        <w:t>During the public hearing, the expert witness proposed by the State recognized that, as the representative had argued, there were precedents of cases in Ecuador where members of the Armed Forces had been reinstated following long periods of absence, even when, according to the expert witness these reinstatements had been carried out “to the same post held by the person when he left.” Opinion of expert witness Leonardo Jaramillo during the public hearing held before the Court in this case</w:t>
      </w:r>
      <w:r w:rsidRPr="00CE23AE">
        <w:rPr>
          <w:rFonts w:cs="Arial"/>
          <w:szCs w:val="16"/>
          <w:lang w:val="en-US"/>
        </w:rPr>
        <w:t xml:space="preserve">. </w:t>
      </w:r>
      <w:r w:rsidRPr="00CE23AE">
        <w:rPr>
          <w:szCs w:val="16"/>
          <w:lang w:val="en-US"/>
        </w:rPr>
        <w:t>Similarly, as argued by the representative, in a case recently examined by the Inter-American Commission, it was observed that, in the context of complying with a recommendation of the Merits Report that ordered full reparation, Mexico had proposed and carried out the reincorporation of a member of the Armed Forces, 12 years and 3 months after his separation from the ranks</w:t>
      </w:r>
      <w:r w:rsidRPr="00CE23AE">
        <w:rPr>
          <w:i/>
          <w:szCs w:val="16"/>
          <w:lang w:val="en-US"/>
        </w:rPr>
        <w:t>. Cf.</w:t>
      </w:r>
      <w:r w:rsidRPr="00CE23AE">
        <w:rPr>
          <w:szCs w:val="16"/>
          <w:lang w:val="en-US"/>
        </w:rPr>
        <w:t xml:space="preserve"> Inter-American Commission, </w:t>
      </w:r>
      <w:r w:rsidRPr="00CE23AE">
        <w:rPr>
          <w:i/>
          <w:szCs w:val="16"/>
          <w:lang w:val="en-US"/>
        </w:rPr>
        <w:t>J.S.C.H and M.G.S. v. Mexico. Merits Report No. 80/15,</w:t>
      </w:r>
      <w:r w:rsidRPr="00CE23AE">
        <w:rPr>
          <w:szCs w:val="16"/>
          <w:lang w:val="en-US"/>
        </w:rPr>
        <w:t xml:space="preserve"> Case of 12,689, October 28, 2015.</w:t>
      </w:r>
    </w:p>
  </w:footnote>
  <w:footnote w:id="306">
    <w:p w14:paraId="5F215166" w14:textId="542D1A95" w:rsidR="00673461" w:rsidRPr="00CE23AE" w:rsidRDefault="00673461" w:rsidP="007B1AC9">
      <w:pPr>
        <w:pStyle w:val="Textonotapie"/>
        <w:tabs>
          <w:tab w:val="left" w:pos="540"/>
        </w:tabs>
        <w:rPr>
          <w:szCs w:val="16"/>
          <w:lang w:val="en-US"/>
        </w:rPr>
      </w:pPr>
      <w:r w:rsidRPr="00CE23AE">
        <w:rPr>
          <w:rStyle w:val="Refdenotaalpie"/>
          <w:szCs w:val="16"/>
          <w:lang w:val="en-US"/>
        </w:rPr>
        <w:footnoteRef/>
      </w:r>
      <w:r w:rsidRPr="00CE23AE">
        <w:rPr>
          <w:szCs w:val="16"/>
          <w:lang w:val="en-US"/>
        </w:rPr>
        <w:t xml:space="preserve"> </w:t>
      </w:r>
      <w:r w:rsidRPr="00CE23AE">
        <w:rPr>
          <w:szCs w:val="16"/>
          <w:lang w:val="en-US"/>
        </w:rPr>
        <w:tab/>
      </w:r>
      <w:r w:rsidRPr="00CE23AE">
        <w:rPr>
          <w:i/>
          <w:spacing w:val="-4"/>
          <w:szCs w:val="16"/>
          <w:lang w:val="en-US"/>
        </w:rPr>
        <w:t xml:space="preserve">Cf. </w:t>
      </w:r>
      <w:r w:rsidRPr="00CE23AE">
        <w:rPr>
          <w:szCs w:val="16"/>
          <w:lang w:val="en-US"/>
        </w:rPr>
        <w:t>Opinion provided by expert witness Leonardo Jaramillo during the public hearing before the Court in this case.</w:t>
      </w:r>
    </w:p>
  </w:footnote>
  <w:footnote w:id="307">
    <w:p w14:paraId="1C3C9C2F" w14:textId="1240C3C0" w:rsidR="00673461" w:rsidRPr="00CE23AE" w:rsidRDefault="00673461" w:rsidP="007B1AC9">
      <w:pPr>
        <w:pStyle w:val="Textonotapie"/>
        <w:tabs>
          <w:tab w:val="left" w:pos="540"/>
        </w:tabs>
        <w:rPr>
          <w:szCs w:val="16"/>
          <w:lang w:val="en-US"/>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t>The said article establishes: “Art. 117. The common requirements that a soldier must meet for promotion at all levels are as follows: (a) Accumulate the minimum points that this law determines for each level; (b) Take and pass the corresponding course; (c) Have exercised functions in units corresponding to his classification for at least one year in the rank for senior officers, junior officers and sergeants first class, and two years for the other ranks; (d) Have been declared apt for service based on the medical record, and (e) Have held his rank for the required time.” 1991 Law on Armed Forces Personnel (evidence file, folio 2666).</w:t>
      </w:r>
    </w:p>
  </w:footnote>
  <w:footnote w:id="308">
    <w:p w14:paraId="5C4080A7" w14:textId="0BD409DD" w:rsidR="00673461" w:rsidRPr="00CE23AE" w:rsidRDefault="00673461" w:rsidP="007B1AC9">
      <w:pPr>
        <w:pStyle w:val="Textonotapie"/>
        <w:tabs>
          <w:tab w:val="left" w:pos="540"/>
        </w:tabs>
        <w:rPr>
          <w:szCs w:val="16"/>
          <w:lang w:val="en-US"/>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t>The said article establishes: “Art. 122. Officers bearing arms or providing services, or technical officers, in addition to the requirements for promotion, must meet the following, according to the level: (a) For promotion to Lieutenant, Captain and Major […] take and pass the respective course of military studies, established in the pertinent regulations of each branch of the Armed Forces; (b) For promotion to Lieutenant Colonel or Naval Commander, have taken and passed the General Staff course in the respective military academies; […].” 1991 Law on Armed Forces Personnel (evidence file, folio 2667).</w:t>
      </w:r>
    </w:p>
  </w:footnote>
  <w:footnote w:id="309">
    <w:p w14:paraId="31946EBF" w14:textId="3B8764A6" w:rsidR="00673461" w:rsidRPr="00CE23AE" w:rsidRDefault="00673461" w:rsidP="007B1AC9">
      <w:pPr>
        <w:pStyle w:val="Textonotapie"/>
        <w:tabs>
          <w:tab w:val="left" w:pos="540"/>
        </w:tabs>
        <w:rPr>
          <w:szCs w:val="16"/>
          <w:lang w:val="en-US"/>
        </w:rPr>
      </w:pPr>
      <w:r w:rsidRPr="00CE23AE">
        <w:rPr>
          <w:rStyle w:val="Refdenotaalpie"/>
          <w:rFonts w:eastAsia="MS ????"/>
          <w:szCs w:val="16"/>
          <w:lang w:val="en-US"/>
        </w:rPr>
        <w:footnoteRef/>
      </w:r>
      <w:r w:rsidRPr="00CE23AE">
        <w:rPr>
          <w:szCs w:val="16"/>
          <w:lang w:val="en-US"/>
        </w:rPr>
        <w:t xml:space="preserve"> </w:t>
      </w:r>
      <w:r w:rsidRPr="00CE23AE">
        <w:rPr>
          <w:szCs w:val="16"/>
          <w:lang w:val="en-US"/>
        </w:rPr>
        <w:tab/>
      </w:r>
      <w:r w:rsidRPr="00CE23AE">
        <w:rPr>
          <w:i/>
          <w:spacing w:val="-4"/>
          <w:szCs w:val="16"/>
          <w:lang w:val="en-US"/>
        </w:rPr>
        <w:t xml:space="preserve">Cf. </w:t>
      </w:r>
      <w:r w:rsidRPr="00CE23AE">
        <w:rPr>
          <w:szCs w:val="16"/>
          <w:lang w:val="en-US"/>
        </w:rPr>
        <w:t>Opinion provided by expert witness Leonardo Jaramillo during the public hearing before the Court in this case.</w:t>
      </w:r>
    </w:p>
  </w:footnote>
  <w:footnote w:id="310">
    <w:p w14:paraId="26695454" w14:textId="5F8ECDF7" w:rsidR="00673461" w:rsidRPr="00CE23AE" w:rsidRDefault="00673461" w:rsidP="007B1AC9">
      <w:pPr>
        <w:pStyle w:val="Textonotapie"/>
        <w:tabs>
          <w:tab w:val="left" w:pos="540"/>
          <w:tab w:val="left" w:pos="567"/>
        </w:tabs>
        <w:rPr>
          <w:spacing w:val="-4"/>
          <w:szCs w:val="16"/>
          <w:lang w:val="en-US"/>
        </w:rPr>
      </w:pPr>
      <w:r w:rsidRPr="00CE23AE">
        <w:rPr>
          <w:rStyle w:val="Refdenotaalpie"/>
          <w:spacing w:val="-4"/>
          <w:szCs w:val="16"/>
          <w:lang w:val="en-US"/>
        </w:rPr>
        <w:footnoteRef/>
      </w:r>
      <w:r w:rsidRPr="00CE23AE">
        <w:rPr>
          <w:spacing w:val="-4"/>
          <w:szCs w:val="16"/>
          <w:lang w:val="en-US"/>
        </w:rPr>
        <w:t xml:space="preserve"> </w:t>
      </w:r>
      <w:r w:rsidRPr="00CE23AE">
        <w:rPr>
          <w:color w:val="FF0000"/>
          <w:spacing w:val="-4"/>
          <w:szCs w:val="16"/>
          <w:lang w:val="en-US"/>
        </w:rPr>
        <w:tab/>
      </w:r>
      <w:r w:rsidRPr="00CE23AE">
        <w:rPr>
          <w:i/>
          <w:spacing w:val="-4"/>
          <w:szCs w:val="16"/>
          <w:lang w:val="en-US"/>
        </w:rPr>
        <w:t xml:space="preserve">Cf., inter alia, </w:t>
      </w:r>
      <w:r w:rsidRPr="00CE23AE">
        <w:rPr>
          <w:i/>
          <w:szCs w:val="16"/>
          <w:lang w:val="en-US"/>
        </w:rPr>
        <w:t xml:space="preserve">Case of Cantoral Benavides v. Peru. Reparations and costs. </w:t>
      </w:r>
      <w:r w:rsidRPr="00CE23AE">
        <w:rPr>
          <w:szCs w:val="16"/>
          <w:lang w:val="en-US"/>
        </w:rPr>
        <w:t xml:space="preserve">Judgment of December 3, 2001. </w:t>
      </w:r>
      <w:r w:rsidRPr="00CE23AE">
        <w:rPr>
          <w:szCs w:val="16"/>
          <w:lang w:val="es-CR"/>
        </w:rPr>
        <w:t>Series C No. 88, para. 79</w:t>
      </w:r>
      <w:r w:rsidRPr="00CE23AE">
        <w:rPr>
          <w:spacing w:val="-4"/>
          <w:szCs w:val="16"/>
          <w:lang w:val="es-CR"/>
        </w:rPr>
        <w:t>;</w:t>
      </w:r>
      <w:r w:rsidRPr="00CE23AE">
        <w:rPr>
          <w:szCs w:val="16"/>
          <w:lang w:val="es-CR"/>
        </w:rPr>
        <w:t xml:space="preserve"> </w:t>
      </w:r>
      <w:r w:rsidRPr="00CE23AE">
        <w:rPr>
          <w:i/>
          <w:spacing w:val="-4"/>
          <w:szCs w:val="16"/>
          <w:lang w:val="es-CR"/>
        </w:rPr>
        <w:t xml:space="preserve">Case of Granier et al. (Radio Caracas Televisión) v. Venezuela. </w:t>
      </w:r>
      <w:r w:rsidRPr="00CE23AE">
        <w:rPr>
          <w:i/>
          <w:spacing w:val="-4"/>
          <w:szCs w:val="16"/>
          <w:lang w:val="en-US"/>
        </w:rPr>
        <w:t>Preliminary objections, merits, reparations and costs</w:t>
      </w:r>
      <w:r w:rsidRPr="00CE23AE">
        <w:rPr>
          <w:spacing w:val="-4"/>
          <w:szCs w:val="16"/>
          <w:lang w:val="en-US"/>
        </w:rPr>
        <w:t xml:space="preserve">. Judgment of June 22, 2015. Series C No. 293, para. 386, and </w:t>
      </w:r>
      <w:r w:rsidRPr="00CE23AE">
        <w:rPr>
          <w:bCs/>
          <w:i/>
          <w:color w:val="000000"/>
          <w:szCs w:val="16"/>
          <w:shd w:val="clear" w:color="auto" w:fill="FFFFFF"/>
          <w:lang w:val="en-US"/>
        </w:rPr>
        <w:t>Case of Tenorio Roca et al. v. Peru, supra</w:t>
      </w:r>
      <w:r w:rsidRPr="00CE23AE">
        <w:rPr>
          <w:bCs/>
          <w:color w:val="000000"/>
          <w:szCs w:val="16"/>
          <w:shd w:val="clear" w:color="auto" w:fill="FFFFFF"/>
          <w:lang w:val="en-US"/>
        </w:rPr>
        <w:t>, para. 288</w:t>
      </w:r>
      <w:r w:rsidRPr="00CE23AE">
        <w:rPr>
          <w:szCs w:val="16"/>
          <w:lang w:val="en-US"/>
        </w:rPr>
        <w:t>.</w:t>
      </w:r>
    </w:p>
  </w:footnote>
  <w:footnote w:id="311">
    <w:p w14:paraId="31D4E42C" w14:textId="0221EDB0"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t>The case file reveals that “[i]n coordination with the Human Rights Directorate of the Ministry of Justice, methodologies and timetables had been established for [training on a gender-based approach and on actual or perceived sexual orientation]”;  in this regard, two training sessions had been held, on September 24 and 25 and on October 1 and 2, 2014, in the Air Force Military Academy, Quito, and in the Naval Military Academy, Guayaquil, for 90 officers.</w:t>
      </w:r>
    </w:p>
  </w:footnote>
  <w:footnote w:id="312">
    <w:p w14:paraId="4F4234AA" w14:textId="26BBCC68" w:rsidR="00673461" w:rsidRPr="00CE23AE" w:rsidRDefault="00673461" w:rsidP="007B1AC9">
      <w:pPr>
        <w:pStyle w:val="Textonotapie"/>
        <w:tabs>
          <w:tab w:val="left" w:pos="540"/>
          <w:tab w:val="left" w:pos="567"/>
        </w:tabs>
        <w:rPr>
          <w:spacing w:val="-2"/>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spacing w:val="-2"/>
          <w:szCs w:val="16"/>
          <w:lang w:val="en-US"/>
        </w:rPr>
        <w:t xml:space="preserve">The State indicated that “[t]he purpose of the training activities is to provide members of the Armed Forces with theoretical and conceptual elements and practices that allow them to perform their activities while respecting human rights; to this end, inter-American standards for the principle of equality and non-discrimination have been used and the paradigmatic judgment ‘Atala Riffo and daughters </w:t>
      </w:r>
      <w:r w:rsidRPr="00CE23AE">
        <w:rPr>
          <w:i/>
          <w:iCs/>
          <w:spacing w:val="-2"/>
          <w:szCs w:val="16"/>
          <w:lang w:val="en-US"/>
        </w:rPr>
        <w:t xml:space="preserve">v. </w:t>
      </w:r>
      <w:r w:rsidRPr="00CE23AE">
        <w:rPr>
          <w:spacing w:val="-2"/>
          <w:szCs w:val="16"/>
          <w:lang w:val="en-US"/>
        </w:rPr>
        <w:t>Chile’ of the Inter-American Court of Human Rights.”</w:t>
      </w:r>
    </w:p>
  </w:footnote>
  <w:footnote w:id="313">
    <w:p w14:paraId="26AAB24A" w14:textId="38780388"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iCs/>
          <w:spacing w:val="-4"/>
          <w:szCs w:val="16"/>
          <w:lang w:val="en-US"/>
        </w:rPr>
        <w:t xml:space="preserve">Cf. </w:t>
      </w:r>
      <w:r w:rsidRPr="00CE23AE">
        <w:rPr>
          <w:bCs/>
          <w:i/>
          <w:szCs w:val="16"/>
          <w:lang w:val="en-US"/>
        </w:rPr>
        <w:t>Case of Atala Riffo and daughters v. Chile, supra</w:t>
      </w:r>
      <w:r w:rsidRPr="00CE23AE">
        <w:rPr>
          <w:bCs/>
          <w:szCs w:val="16"/>
          <w:lang w:val="en-US"/>
        </w:rPr>
        <w:t>, para. 272.</w:t>
      </w:r>
    </w:p>
  </w:footnote>
  <w:footnote w:id="314">
    <w:p w14:paraId="7D868D75" w14:textId="7A061397"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rFonts w:cs="ArialUnicodeMS"/>
          <w:szCs w:val="16"/>
          <w:lang w:val="en-US" w:bidi="en-US"/>
        </w:rPr>
        <w:t xml:space="preserve">The State indicated that “[t]he act was transmitted directly online to the [IACHR]” and sent photographs of the plaque that had been unveiled and of the act, the invitations, the list of participants in the act to unveil the plaque and to present a public apology, and a video of the act. In addition, regarding the representative’s allegation about the media’s absence from the event, the State argued that “prior to the event, the Ministry of Defense and Homero Flor spoke and agreed that the act should be carried out in the way that it was.” </w:t>
      </w:r>
    </w:p>
  </w:footnote>
  <w:footnote w:id="315">
    <w:p w14:paraId="2DEDB3C5" w14:textId="7CF6581F"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szCs w:val="16"/>
          <w:lang w:val="en-US"/>
        </w:rPr>
        <w:t>2008 Military Discipline Regulations, Ministry of National Defense, Ministerial General Order No. 243 (evidence file, folios 2799 to 2822).</w:t>
      </w:r>
    </w:p>
  </w:footnote>
  <w:footnote w:id="316">
    <w:p w14:paraId="42713DF8" w14:textId="77777777" w:rsidR="00673461" w:rsidRPr="00CE23AE" w:rsidRDefault="00673461" w:rsidP="00C02BCA">
      <w:pPr>
        <w:pStyle w:val="Textonotapie"/>
        <w:tabs>
          <w:tab w:val="left" w:pos="540"/>
          <w:tab w:val="left" w:pos="567"/>
        </w:tabs>
        <w:rPr>
          <w:szCs w:val="16"/>
          <w:lang w:val="es-CR"/>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Cf.</w:t>
      </w:r>
      <w:r w:rsidRPr="00CE23AE">
        <w:rPr>
          <w:szCs w:val="16"/>
          <w:lang w:val="en-US"/>
        </w:rPr>
        <w:t xml:space="preserve"> </w:t>
      </w:r>
      <w:r w:rsidRPr="00CE23AE">
        <w:rPr>
          <w:i/>
          <w:szCs w:val="16"/>
          <w:lang w:val="en-US"/>
        </w:rPr>
        <w:t>Case of Bámaca Velásquez v. Guatemala. Reparations and costs.</w:t>
      </w:r>
      <w:r w:rsidRPr="00CE23AE">
        <w:rPr>
          <w:szCs w:val="16"/>
          <w:lang w:val="en-US"/>
        </w:rPr>
        <w:t xml:space="preserve"> Judgment of February 22, 2002. </w:t>
      </w:r>
      <w:r w:rsidRPr="00CE23AE">
        <w:rPr>
          <w:szCs w:val="16"/>
          <w:lang w:val="es-CR"/>
        </w:rPr>
        <w:t>Series C No. 91, para. 43</w:t>
      </w:r>
      <w:r w:rsidRPr="00CE23AE">
        <w:rPr>
          <w:bCs/>
          <w:szCs w:val="16"/>
          <w:lang w:val="es-CR"/>
        </w:rPr>
        <w:t xml:space="preserve">, and </w:t>
      </w:r>
      <w:r w:rsidRPr="00CE23AE">
        <w:rPr>
          <w:i/>
          <w:szCs w:val="16"/>
          <w:lang w:val="es-CR"/>
        </w:rPr>
        <w:t>Case of Maldonado Ordoñez v. Guatemala, supra</w:t>
      </w:r>
      <w:r w:rsidRPr="00CE23AE">
        <w:rPr>
          <w:szCs w:val="16"/>
          <w:lang w:val="es-CR"/>
        </w:rPr>
        <w:t>, para. 142</w:t>
      </w:r>
    </w:p>
  </w:footnote>
  <w:footnote w:id="317">
    <w:p w14:paraId="5D693531" w14:textId="450A1E8A"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s-CR"/>
        </w:rPr>
        <w:t xml:space="preserve"> </w:t>
      </w:r>
      <w:r w:rsidRPr="00CE23AE">
        <w:rPr>
          <w:szCs w:val="16"/>
          <w:lang w:val="es-CR"/>
        </w:rPr>
        <w:tab/>
      </w:r>
      <w:r w:rsidRPr="00CE23AE">
        <w:rPr>
          <w:i/>
          <w:szCs w:val="16"/>
          <w:lang w:val="es-CR"/>
        </w:rPr>
        <w:t xml:space="preserve">Cf. </w:t>
      </w:r>
      <w:r w:rsidRPr="00CE23AE">
        <w:rPr>
          <w:bCs/>
          <w:i/>
          <w:szCs w:val="16"/>
          <w:lang w:val="es-CR"/>
        </w:rPr>
        <w:t xml:space="preserve">Case of Chocrón Chocrón v. Venezuela, supra, </w:t>
      </w:r>
      <w:r w:rsidRPr="00CE23AE">
        <w:rPr>
          <w:bCs/>
          <w:szCs w:val="16"/>
          <w:lang w:val="es-CR"/>
        </w:rPr>
        <w:t xml:space="preserve">para. 184, and </w:t>
      </w:r>
      <w:r w:rsidRPr="00CE23AE">
        <w:rPr>
          <w:bCs/>
          <w:i/>
          <w:szCs w:val="16"/>
          <w:lang w:val="es-CR"/>
        </w:rPr>
        <w:t>Case of López Lone et al. v. Honduras, supra</w:t>
      </w:r>
      <w:r w:rsidRPr="00CE23AE">
        <w:rPr>
          <w:bCs/>
          <w:szCs w:val="16"/>
          <w:lang w:val="es-CR"/>
        </w:rPr>
        <w:t xml:space="preserve">, para. </w:t>
      </w:r>
      <w:r w:rsidRPr="00CE23AE">
        <w:rPr>
          <w:bCs/>
          <w:szCs w:val="16"/>
          <w:lang w:val="en-US"/>
        </w:rPr>
        <w:t>318.</w:t>
      </w:r>
    </w:p>
  </w:footnote>
  <w:footnote w:id="318">
    <w:p w14:paraId="282A9050" w14:textId="4CA31863"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t>In this regard, article 82 of the Law on Armed Forces Personnel establishes that: “In no case may the paid leave last more than six months, and the soldier placed in that situation shall receive all the salaries, emoluments, allocations and benefits; he will also retain all the considerations corresponding to his rank in active service.” 1991 Law on Armed Forces Personnel (evidence file, folio 2665). Also, the decision of the Sixth Court clarifies that “[t]he plaintiff has, for the time being, be placed on paid leave, but not due to the final decision of his superiors, but rather to a legal and regulatory order, without being deprived of his rank, or his salary, because the decision is not yet final.” Ruling of the Sixth Civil Court of Pichincha of July 18, 2001 (evidence files, folio 71).</w:t>
      </w:r>
    </w:p>
  </w:footnote>
  <w:footnote w:id="319">
    <w:p w14:paraId="03EF1C0A" w14:textId="5775930E" w:rsidR="00673461" w:rsidRPr="00CE23AE"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w:t>
      </w:r>
      <w:r w:rsidRPr="00CE23AE">
        <w:rPr>
          <w:i/>
          <w:iCs/>
          <w:szCs w:val="16"/>
          <w:lang w:val="en-US"/>
        </w:rPr>
        <w:t>Case of Bámaca Velásquez v. Guatemala.</w:t>
      </w:r>
      <w:r w:rsidRPr="00CE23AE">
        <w:rPr>
          <w:bCs/>
          <w:szCs w:val="16"/>
          <w:lang w:val="en-US"/>
        </w:rPr>
        <w:t xml:space="preserve"> </w:t>
      </w:r>
      <w:r w:rsidRPr="00CE23AE">
        <w:rPr>
          <w:bCs/>
          <w:i/>
          <w:iCs/>
          <w:szCs w:val="16"/>
          <w:lang w:val="en-US"/>
        </w:rPr>
        <w:t>Reparations and costs, supra</w:t>
      </w:r>
      <w:r w:rsidRPr="00CE23AE">
        <w:rPr>
          <w:bCs/>
          <w:iCs/>
          <w:szCs w:val="16"/>
          <w:lang w:val="en-US"/>
        </w:rPr>
        <w:t xml:space="preserve">, para. 56, and </w:t>
      </w:r>
      <w:r w:rsidRPr="00CE23AE">
        <w:rPr>
          <w:bCs/>
          <w:i/>
          <w:color w:val="000000"/>
          <w:szCs w:val="16"/>
          <w:shd w:val="clear" w:color="auto" w:fill="FFFFFF"/>
          <w:lang w:val="en-US"/>
        </w:rPr>
        <w:t>Case of Tenorio Roca et al. v. Peru, supra</w:t>
      </w:r>
      <w:r w:rsidRPr="00CE23AE">
        <w:rPr>
          <w:bCs/>
          <w:color w:val="000000"/>
          <w:szCs w:val="16"/>
          <w:shd w:val="clear" w:color="auto" w:fill="FFFFFF"/>
          <w:lang w:val="en-US"/>
        </w:rPr>
        <w:t>, para. 334</w:t>
      </w:r>
      <w:r w:rsidRPr="00CE23AE">
        <w:rPr>
          <w:szCs w:val="16"/>
          <w:lang w:val="en-US"/>
        </w:rPr>
        <w:t>.</w:t>
      </w:r>
    </w:p>
  </w:footnote>
  <w:footnote w:id="320">
    <w:p w14:paraId="07137059" w14:textId="0C629F6E" w:rsidR="00673461" w:rsidRPr="00CE23AE" w:rsidRDefault="00673461" w:rsidP="007B1AC9">
      <w:pPr>
        <w:pStyle w:val="Textonotapie"/>
        <w:tabs>
          <w:tab w:val="left" w:pos="540"/>
          <w:tab w:val="left" w:pos="567"/>
        </w:tabs>
        <w:rPr>
          <w:i/>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szCs w:val="16"/>
          <w:lang w:val="en-US"/>
        </w:rPr>
        <w:t xml:space="preserve">Cf. Case of Garrido and Baigorria v. Argentina. Reparations and costs. </w:t>
      </w:r>
      <w:r w:rsidRPr="00CE23AE">
        <w:rPr>
          <w:szCs w:val="16"/>
          <w:lang w:val="en-US"/>
        </w:rPr>
        <w:t>Judgment of August 27, 1998. Series C No. 39, para. 79,</w:t>
      </w:r>
      <w:r w:rsidRPr="00CE23AE">
        <w:rPr>
          <w:i/>
          <w:szCs w:val="16"/>
          <w:lang w:val="en-US"/>
        </w:rPr>
        <w:t xml:space="preserve"> and </w:t>
      </w:r>
      <w:r w:rsidRPr="00CE23AE">
        <w:rPr>
          <w:bCs/>
          <w:i/>
          <w:color w:val="000000"/>
          <w:szCs w:val="16"/>
          <w:shd w:val="clear" w:color="auto" w:fill="FFFFFF"/>
          <w:lang w:val="en-US"/>
        </w:rPr>
        <w:t>Case of Tenorio Roca et al. v. Peru, supra</w:t>
      </w:r>
      <w:r w:rsidRPr="00CE23AE">
        <w:rPr>
          <w:bCs/>
          <w:color w:val="000000"/>
          <w:szCs w:val="16"/>
          <w:shd w:val="clear" w:color="auto" w:fill="FFFFFF"/>
          <w:lang w:val="en-US"/>
        </w:rPr>
        <w:t>, para. 342</w:t>
      </w:r>
      <w:r w:rsidRPr="00CE23AE">
        <w:rPr>
          <w:szCs w:val="16"/>
          <w:lang w:val="en-US"/>
        </w:rPr>
        <w:t>.</w:t>
      </w:r>
    </w:p>
  </w:footnote>
  <w:footnote w:id="321">
    <w:p w14:paraId="0FC9A91A" w14:textId="070CBCC1" w:rsidR="00673461" w:rsidRPr="005C6C94" w:rsidRDefault="00673461" w:rsidP="007B1AC9">
      <w:pPr>
        <w:pStyle w:val="Textonotapie"/>
        <w:tabs>
          <w:tab w:val="left" w:pos="540"/>
          <w:tab w:val="left" w:pos="567"/>
        </w:tabs>
        <w:rPr>
          <w:szCs w:val="16"/>
          <w:lang w:val="en-US"/>
        </w:rPr>
      </w:pPr>
      <w:r w:rsidRPr="00CE23AE">
        <w:rPr>
          <w:rStyle w:val="Refdenotaalpie"/>
          <w:rFonts w:eastAsia="MS Gothic"/>
          <w:szCs w:val="16"/>
          <w:lang w:val="en-US"/>
        </w:rPr>
        <w:footnoteRef/>
      </w:r>
      <w:r w:rsidRPr="00CE23AE">
        <w:rPr>
          <w:szCs w:val="16"/>
          <w:lang w:val="en-US"/>
        </w:rPr>
        <w:t xml:space="preserve"> </w:t>
      </w:r>
      <w:r w:rsidRPr="00CE23AE">
        <w:rPr>
          <w:szCs w:val="16"/>
          <w:lang w:val="en-US"/>
        </w:rPr>
        <w:tab/>
      </w:r>
      <w:r w:rsidRPr="00CE23AE">
        <w:rPr>
          <w:i/>
          <w:iCs/>
          <w:szCs w:val="16"/>
          <w:lang w:val="en-US"/>
        </w:rPr>
        <w:t>Cf. Case of Garrido and Baigorria v. Argentina. Reparations and costs, supra</w:t>
      </w:r>
      <w:r w:rsidRPr="00CE23AE">
        <w:rPr>
          <w:szCs w:val="16"/>
          <w:lang w:val="en-US"/>
        </w:rPr>
        <w:t xml:space="preserve">, para. 82, and </w:t>
      </w:r>
      <w:r w:rsidRPr="00CE23AE">
        <w:rPr>
          <w:i/>
          <w:szCs w:val="16"/>
          <w:lang w:val="en-US"/>
        </w:rPr>
        <w:t>Case of Tenorio Roca et al. v. Peru, supra</w:t>
      </w:r>
      <w:r w:rsidRPr="00CE23AE">
        <w:rPr>
          <w:szCs w:val="16"/>
          <w:lang w:val="en-US"/>
        </w:rPr>
        <w:t>, para. 342.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5FD2D" w14:textId="77777777" w:rsidR="00673461" w:rsidRDefault="00673461" w:rsidP="00B87165">
    <w:pPr>
      <w:pStyle w:val="Encabezado"/>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164EB2" w14:textId="77777777" w:rsidR="00673461" w:rsidRDefault="006734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F607" w14:textId="34EA3C49" w:rsidR="00673461" w:rsidRPr="00F460E0" w:rsidRDefault="00673461" w:rsidP="00B87165">
    <w:pPr>
      <w:pStyle w:val="Encabezado"/>
      <w:framePr w:wrap="none" w:vAnchor="text" w:hAnchor="margin" w:xAlign="center" w:y="1"/>
      <w:rPr>
        <w:rStyle w:val="Nmerodepgina"/>
        <w:lang w:val="es-CR"/>
      </w:rPr>
    </w:pPr>
    <w:r>
      <w:rPr>
        <w:rStyle w:val="Nmerodepgina"/>
        <w:lang w:val="es-CR"/>
      </w:rPr>
      <w:t xml:space="preserve">- </w:t>
    </w: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r>
      <w:rPr>
        <w:rStyle w:val="Nmerodepgina"/>
        <w:lang w:val="es-CR"/>
      </w:rPr>
      <w:t xml:space="preserve"> -</w:t>
    </w:r>
  </w:p>
  <w:p w14:paraId="3AB5437D" w14:textId="77777777" w:rsidR="00673461" w:rsidRDefault="00673461" w:rsidP="00F460E0">
    <w:pPr>
      <w:pStyle w:val="Encabezado"/>
      <w:jc w:val="center"/>
    </w:pPr>
  </w:p>
  <w:p w14:paraId="59950E79" w14:textId="77777777" w:rsidR="00673461" w:rsidRDefault="006734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076A"/>
    <w:multiLevelType w:val="hybridMultilevel"/>
    <w:tmpl w:val="C9EACACC"/>
    <w:lvl w:ilvl="0" w:tplc="F5ECFA84">
      <w:start w:val="1"/>
      <w:numFmt w:val="upperLetter"/>
      <w:lvlText w:val="%1."/>
      <w:lvlJc w:val="left"/>
      <w:pPr>
        <w:ind w:left="2790" w:hanging="360"/>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84A3A6A">
      <w:start w:val="1"/>
      <w:numFmt w:val="upperLetter"/>
      <w:lvlText w:val="%2."/>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5E00F70"/>
    <w:multiLevelType w:val="hybridMultilevel"/>
    <w:tmpl w:val="29FE6956"/>
    <w:lvl w:ilvl="0" w:tplc="63EA8D14">
      <w:start w:val="1"/>
      <w:numFmt w:val="decimal"/>
      <w:lvlText w:val="%1."/>
      <w:lvlJc w:val="left"/>
      <w:pPr>
        <w:ind w:left="720" w:hanging="360"/>
      </w:pPr>
      <w:rPr>
        <w:rFonts w:ascii="Verdana" w:eastAsia="Times New Roman" w:hAnsi="Verdana"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15E9E"/>
    <w:multiLevelType w:val="hybridMultilevel"/>
    <w:tmpl w:val="FBFEF4EA"/>
    <w:lvl w:ilvl="0" w:tplc="4ACABA80">
      <w:start w:val="1"/>
      <w:numFmt w:val="decimal"/>
      <w:lvlText w:val="%1."/>
      <w:lvlJc w:val="left"/>
      <w:pPr>
        <w:ind w:left="720" w:hanging="360"/>
      </w:pPr>
      <w:rPr>
        <w:strike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0F4B2B"/>
    <w:multiLevelType w:val="hybridMultilevel"/>
    <w:tmpl w:val="A9CC9050"/>
    <w:lvl w:ilvl="0" w:tplc="F5ECFA84">
      <w:start w:val="1"/>
      <w:numFmt w:val="upperLetter"/>
      <w:lvlText w:val="%1."/>
      <w:lvlJc w:val="left"/>
      <w:pPr>
        <w:ind w:left="2790" w:hanging="360"/>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912B576">
      <w:start w:val="1"/>
      <w:numFmt w:val="lowerLetter"/>
      <w:lvlText w:val="%2."/>
      <w:lvlJc w:val="left"/>
      <w:pPr>
        <w:ind w:left="1440" w:hanging="360"/>
      </w:p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401E4F"/>
    <w:multiLevelType w:val="hybridMultilevel"/>
    <w:tmpl w:val="7A10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25F"/>
    <w:multiLevelType w:val="hybridMultilevel"/>
    <w:tmpl w:val="1B2C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F0621"/>
    <w:multiLevelType w:val="hybridMultilevel"/>
    <w:tmpl w:val="2F52E530"/>
    <w:lvl w:ilvl="0" w:tplc="F5ECFA84">
      <w:start w:val="1"/>
      <w:numFmt w:val="upperLetter"/>
      <w:lvlText w:val="%1."/>
      <w:lvlJc w:val="left"/>
      <w:pPr>
        <w:ind w:left="2790" w:hanging="360"/>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F4C5DC4">
      <w:start w:val="1"/>
      <w:numFmt w:val="upperLetter"/>
      <w:pStyle w:val="Ttulo2"/>
      <w:lvlText w:val="%2."/>
      <w:lvlJc w:val="left"/>
      <w:pPr>
        <w:ind w:left="1440" w:hanging="360"/>
      </w:pPr>
      <w:rPr>
        <w:rFonts w:cs="Times New Roman"/>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C6144C9"/>
    <w:multiLevelType w:val="hybridMultilevel"/>
    <w:tmpl w:val="7A4E6DEA"/>
    <w:lvl w:ilvl="0" w:tplc="1E1EB07A">
      <w:start w:val="1"/>
      <w:numFmt w:val="decimal"/>
      <w:pStyle w:val="PrrafodeSentencia"/>
      <w:lvlText w:val="%1."/>
      <w:lvlJc w:val="left"/>
      <w:pPr>
        <w:tabs>
          <w:tab w:val="num" w:pos="12305"/>
        </w:tabs>
      </w:pPr>
      <w:rPr>
        <w:rFonts w:ascii="Verdana" w:eastAsia="Times New Roman" w:hAnsi="Verdana"/>
        <w:b w:val="0"/>
        <w:bCs w:val="0"/>
        <w:i w:val="0"/>
        <w:iCs w:val="0"/>
        <w:strike w:val="0"/>
        <w:color w:val="auto"/>
        <w:sz w:val="20"/>
        <w:szCs w:val="20"/>
        <w:lang w:val="en-US"/>
      </w:rPr>
    </w:lvl>
    <w:lvl w:ilvl="1" w:tplc="D8688752">
      <w:start w:val="1"/>
      <w:numFmt w:val="decimal"/>
      <w:lvlText w:val="%2."/>
      <w:lvlJc w:val="left"/>
      <w:pPr>
        <w:tabs>
          <w:tab w:val="num" w:pos="1080"/>
        </w:tabs>
        <w:ind w:left="1080" w:hanging="360"/>
      </w:pPr>
      <w:rPr>
        <w:rFonts w:hint="default"/>
        <w:b/>
        <w:bCs w:val="0"/>
        <w:i w:val="0"/>
        <w:iCs w:val="0"/>
        <w:color w:val="FF000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C7A7853"/>
    <w:multiLevelType w:val="hybridMultilevel"/>
    <w:tmpl w:val="BB2AD640"/>
    <w:lvl w:ilvl="0" w:tplc="F5ECFA84">
      <w:start w:val="1"/>
      <w:numFmt w:val="upperLetter"/>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9" w15:restartNumberingAfterBreak="0">
    <w:nsid w:val="3B51447E"/>
    <w:multiLevelType w:val="hybridMultilevel"/>
    <w:tmpl w:val="19EE00CE"/>
    <w:lvl w:ilvl="0" w:tplc="267CF046">
      <w:start w:val="1"/>
      <w:numFmt w:val="decimal"/>
      <w:pStyle w:val="Numbered"/>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395E1A"/>
    <w:multiLevelType w:val="hybridMultilevel"/>
    <w:tmpl w:val="5C98ABD4"/>
    <w:lvl w:ilvl="0" w:tplc="7D1E6566">
      <w:start w:val="1"/>
      <w:numFmt w:val="lowerRoman"/>
      <w:lvlText w:val="%1)"/>
      <w:lvlJc w:val="right"/>
      <w:pPr>
        <w:ind w:left="1571" w:hanging="360"/>
      </w:pPr>
      <w:rPr>
        <w:rFonts w:hint="default"/>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11" w15:restartNumberingAfterBreak="0">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C0517B0"/>
    <w:multiLevelType w:val="hybridMultilevel"/>
    <w:tmpl w:val="F968CB9A"/>
    <w:lvl w:ilvl="0" w:tplc="EF6CC66C">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C1C1E"/>
    <w:multiLevelType w:val="hybridMultilevel"/>
    <w:tmpl w:val="EFAADF82"/>
    <w:lvl w:ilvl="0" w:tplc="2A00B294">
      <w:start w:val="1"/>
      <w:numFmt w:val="lowerLetter"/>
      <w:pStyle w:val="Estilo5"/>
      <w:lvlText w:val="%1)"/>
      <w:lvlJc w:val="left"/>
      <w:pPr>
        <w:ind w:left="1080" w:hanging="360"/>
      </w:pPr>
      <w:rPr>
        <w:rFonts w:hint="default"/>
        <w:i w:val="0"/>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5" w15:restartNumberingAfterBreak="0">
    <w:nsid w:val="608B04DD"/>
    <w:multiLevelType w:val="hybridMultilevel"/>
    <w:tmpl w:val="24CC1828"/>
    <w:lvl w:ilvl="0" w:tplc="140A0015">
      <w:start w:val="1"/>
      <w:numFmt w:val="upperLetter"/>
      <w:lvlText w:val="%1."/>
      <w:lvlJc w:val="left"/>
      <w:pPr>
        <w:ind w:left="1070" w:hanging="360"/>
      </w:pPr>
      <w:rPr>
        <w:rFonts w:hint="default"/>
      </w:rPr>
    </w:lvl>
    <w:lvl w:ilvl="1" w:tplc="140A0019" w:tentative="1">
      <w:start w:val="1"/>
      <w:numFmt w:val="lowerLetter"/>
      <w:lvlText w:val="%2."/>
      <w:lvlJc w:val="left"/>
      <w:pPr>
        <w:ind w:left="1790" w:hanging="360"/>
      </w:pPr>
    </w:lvl>
    <w:lvl w:ilvl="2" w:tplc="140A001B" w:tentative="1">
      <w:start w:val="1"/>
      <w:numFmt w:val="lowerRoman"/>
      <w:lvlText w:val="%3."/>
      <w:lvlJc w:val="right"/>
      <w:pPr>
        <w:ind w:left="2510" w:hanging="180"/>
      </w:pPr>
    </w:lvl>
    <w:lvl w:ilvl="3" w:tplc="140A000F" w:tentative="1">
      <w:start w:val="1"/>
      <w:numFmt w:val="decimal"/>
      <w:lvlText w:val="%4."/>
      <w:lvlJc w:val="left"/>
      <w:pPr>
        <w:ind w:left="3230" w:hanging="360"/>
      </w:pPr>
    </w:lvl>
    <w:lvl w:ilvl="4" w:tplc="140A0019" w:tentative="1">
      <w:start w:val="1"/>
      <w:numFmt w:val="lowerLetter"/>
      <w:lvlText w:val="%5."/>
      <w:lvlJc w:val="left"/>
      <w:pPr>
        <w:ind w:left="3950" w:hanging="360"/>
      </w:pPr>
    </w:lvl>
    <w:lvl w:ilvl="5" w:tplc="140A001B" w:tentative="1">
      <w:start w:val="1"/>
      <w:numFmt w:val="lowerRoman"/>
      <w:lvlText w:val="%6."/>
      <w:lvlJc w:val="right"/>
      <w:pPr>
        <w:ind w:left="4670" w:hanging="180"/>
      </w:pPr>
    </w:lvl>
    <w:lvl w:ilvl="6" w:tplc="140A000F" w:tentative="1">
      <w:start w:val="1"/>
      <w:numFmt w:val="decimal"/>
      <w:lvlText w:val="%7."/>
      <w:lvlJc w:val="left"/>
      <w:pPr>
        <w:ind w:left="5390" w:hanging="360"/>
      </w:pPr>
    </w:lvl>
    <w:lvl w:ilvl="7" w:tplc="140A0019" w:tentative="1">
      <w:start w:val="1"/>
      <w:numFmt w:val="lowerLetter"/>
      <w:lvlText w:val="%8."/>
      <w:lvlJc w:val="left"/>
      <w:pPr>
        <w:ind w:left="6110" w:hanging="360"/>
      </w:pPr>
    </w:lvl>
    <w:lvl w:ilvl="8" w:tplc="140A001B" w:tentative="1">
      <w:start w:val="1"/>
      <w:numFmt w:val="lowerRoman"/>
      <w:lvlText w:val="%9."/>
      <w:lvlJc w:val="right"/>
      <w:pPr>
        <w:ind w:left="6830" w:hanging="180"/>
      </w:pPr>
    </w:lvl>
  </w:abstractNum>
  <w:abstractNum w:abstractNumId="16" w15:restartNumberingAfterBreak="0">
    <w:nsid w:val="639C1AC7"/>
    <w:multiLevelType w:val="hybridMultilevel"/>
    <w:tmpl w:val="05EA555C"/>
    <w:lvl w:ilvl="0" w:tplc="F5ECFA84">
      <w:start w:val="1"/>
      <w:numFmt w:val="upperLetter"/>
      <w:lvlText w:val="%1."/>
      <w:lvlJc w:val="left"/>
      <w:pPr>
        <w:ind w:left="2790" w:hanging="360"/>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ECFA84">
      <w:start w:val="1"/>
      <w:numFmt w:val="upperLetter"/>
      <w:lvlText w:val="%2."/>
      <w:lvlJc w:val="left"/>
      <w:pPr>
        <w:ind w:left="144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9540927"/>
    <w:multiLevelType w:val="hybridMultilevel"/>
    <w:tmpl w:val="264CAF48"/>
    <w:lvl w:ilvl="0" w:tplc="F5ECFA84">
      <w:start w:val="1"/>
      <w:numFmt w:val="upperLetter"/>
      <w:lvlText w:val="%1."/>
      <w:lvlJc w:val="left"/>
      <w:pPr>
        <w:ind w:left="2790" w:hanging="360"/>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ECFA84">
      <w:start w:val="1"/>
      <w:numFmt w:val="upperLetter"/>
      <w:lvlText w:val="%2."/>
      <w:lvlJc w:val="left"/>
      <w:pPr>
        <w:ind w:left="144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9B101FB"/>
    <w:multiLevelType w:val="hybridMultilevel"/>
    <w:tmpl w:val="AD16C2DC"/>
    <w:lvl w:ilvl="0" w:tplc="996A088A">
      <w:start w:val="1"/>
      <w:numFmt w:val="upperRoman"/>
      <w:lvlText w:val="%1."/>
      <w:lvlJc w:val="right"/>
      <w:pPr>
        <w:ind w:left="720" w:hanging="360"/>
      </w:pPr>
      <w:rPr>
        <w:rFonts w:hint="default"/>
      </w:rPr>
    </w:lvl>
    <w:lvl w:ilvl="1" w:tplc="2C0A0019">
      <w:start w:val="1"/>
      <w:numFmt w:val="lowerLetter"/>
      <w:lvlText w:val="%2."/>
      <w:lvlJc w:val="left"/>
      <w:pPr>
        <w:ind w:left="1440" w:hanging="360"/>
      </w:pPr>
    </w:lvl>
    <w:lvl w:ilvl="2" w:tplc="4202A1AC">
      <w:start w:val="1"/>
      <w:numFmt w:val="lowerRoman"/>
      <w:lvlText w:val="%3."/>
      <w:lvlJc w:val="right"/>
      <w:pPr>
        <w:ind w:left="2160" w:hanging="180"/>
      </w:pPr>
    </w:lvl>
    <w:lvl w:ilvl="3" w:tplc="3F0893E6">
      <w:start w:val="1"/>
      <w:numFmt w:val="decimal"/>
      <w:lvlText w:val="%4)"/>
      <w:lvlJc w:val="left"/>
      <w:pPr>
        <w:ind w:left="2880" w:hanging="360"/>
      </w:pPr>
      <w:rPr>
        <w:rFonts w:hint="default"/>
      </w:rPr>
    </w:lvl>
    <w:lvl w:ilvl="4" w:tplc="E7BA4BB6">
      <w:start w:val="1"/>
      <w:numFmt w:val="decimal"/>
      <w:pStyle w:val="PrrafodeSentencia0"/>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F846A57"/>
    <w:multiLevelType w:val="hybridMultilevel"/>
    <w:tmpl w:val="05EA555C"/>
    <w:lvl w:ilvl="0" w:tplc="F5ECFA84">
      <w:start w:val="1"/>
      <w:numFmt w:val="upperLetter"/>
      <w:lvlText w:val="%1."/>
      <w:lvlJc w:val="left"/>
      <w:pPr>
        <w:ind w:left="2790" w:hanging="360"/>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ECFA84">
      <w:start w:val="1"/>
      <w:numFmt w:val="upperLetter"/>
      <w:lvlText w:val="%2."/>
      <w:lvlJc w:val="left"/>
      <w:pPr>
        <w:ind w:left="144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4202A1AC"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F94496C"/>
    <w:multiLevelType w:val="hybridMultilevel"/>
    <w:tmpl w:val="52F0407E"/>
    <w:lvl w:ilvl="0" w:tplc="4838008E">
      <w:start w:val="1"/>
      <w:numFmt w:val="decimal"/>
      <w:pStyle w:val="Sangradetextonormal"/>
      <w:lvlText w:val="%1."/>
      <w:lvlJc w:val="left"/>
      <w:pPr>
        <w:ind w:left="720" w:hanging="360"/>
      </w:pPr>
    </w:lvl>
    <w:lvl w:ilvl="1" w:tplc="5D223A8A">
      <w:start w:val="1"/>
      <w:numFmt w:val="lowerLetter"/>
      <w:lvlText w:val="%2."/>
      <w:lvlJc w:val="left"/>
      <w:pPr>
        <w:ind w:left="1440" w:hanging="360"/>
      </w:pPr>
    </w:lvl>
    <w:lvl w:ilvl="2" w:tplc="8258E428">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15:restartNumberingAfterBreak="0">
    <w:nsid w:val="71A93C4C"/>
    <w:multiLevelType w:val="hybridMultilevel"/>
    <w:tmpl w:val="B282D6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CE64D32"/>
    <w:multiLevelType w:val="hybridMultilevel"/>
    <w:tmpl w:val="1E248EDA"/>
    <w:lvl w:ilvl="0" w:tplc="C55A862A">
      <w:start w:val="1"/>
      <w:numFmt w:val="decimal"/>
      <w:lvlText w:val="%1."/>
      <w:lvlJc w:val="left"/>
      <w:pPr>
        <w:tabs>
          <w:tab w:val="num" w:pos="12305"/>
        </w:tabs>
      </w:pPr>
      <w:rPr>
        <w:rFonts w:ascii="Verdana" w:eastAsia="Times New Roman" w:hAnsi="Verdana"/>
        <w:b w:val="0"/>
        <w:bCs w:val="0"/>
        <w:i w:val="0"/>
        <w:iCs w:val="0"/>
        <w:strike w:val="0"/>
        <w:color w:val="auto"/>
        <w:sz w:val="20"/>
        <w:szCs w:val="20"/>
        <w:lang w:val="es-C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2"/>
  </w:num>
  <w:num w:numId="2">
    <w:abstractNumId w:val="15"/>
  </w:num>
  <w:num w:numId="3">
    <w:abstractNumId w:val="11"/>
  </w:num>
  <w:num w:numId="4">
    <w:abstractNumId w:val="20"/>
  </w:num>
  <w:num w:numId="5">
    <w:abstractNumId w:val="9"/>
  </w:num>
  <w:num w:numId="6">
    <w:abstractNumId w:val="7"/>
  </w:num>
  <w:num w:numId="7">
    <w:abstractNumId w:val="6"/>
  </w:num>
  <w:num w:numId="8">
    <w:abstractNumId w:val="15"/>
    <w:lvlOverride w:ilvl="0">
      <w:startOverride w:val="1"/>
    </w:lvlOverride>
  </w:num>
  <w:num w:numId="9">
    <w:abstractNumId w:val="10"/>
  </w:num>
  <w:num w:numId="10">
    <w:abstractNumId w:val="6"/>
  </w:num>
  <w:num w:numId="11">
    <w:abstractNumId w:val="6"/>
  </w:num>
  <w:num w:numId="12">
    <w:abstractNumId w:val="6"/>
    <w:lvlOverride w:ilvl="0">
      <w:startOverride w:val="1"/>
    </w:lvlOverride>
  </w:num>
  <w:num w:numId="13">
    <w:abstractNumId w:val="18"/>
  </w:num>
  <w:num w:numId="14">
    <w:abstractNumId w:val="13"/>
  </w:num>
  <w:num w:numId="15">
    <w:abstractNumId w:val="14"/>
  </w:num>
  <w:num w:numId="16">
    <w:abstractNumId w:val="5"/>
  </w:num>
  <w:num w:numId="17">
    <w:abstractNumId w:val="1"/>
  </w:num>
  <w:num w:numId="18">
    <w:abstractNumId w:val="6"/>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3"/>
  </w:num>
  <w:num w:numId="23">
    <w:abstractNumId w:val="6"/>
    <w:lvlOverride w:ilvl="0">
      <w:startOverride w:val="1"/>
    </w:lvlOverride>
  </w:num>
  <w:num w:numId="24">
    <w:abstractNumId w:val="8"/>
  </w:num>
  <w:num w:numId="25">
    <w:abstractNumId w:val="19"/>
  </w:num>
  <w:num w:numId="26">
    <w:abstractNumId w:val="16"/>
  </w:num>
  <w:num w:numId="27">
    <w:abstractNumId w:val="17"/>
  </w:num>
  <w:num w:numId="28">
    <w:abstractNumId w:val="0"/>
  </w:num>
  <w:num w:numId="29">
    <w:abstractNumId w:val="2"/>
  </w:num>
  <w:num w:numId="30">
    <w:abstractNumId w:val="4"/>
  </w:num>
  <w:num w:numId="31">
    <w:abstractNumId w:val="21"/>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3C"/>
    <w:rsid w:val="00000AD5"/>
    <w:rsid w:val="00000AE1"/>
    <w:rsid w:val="00000E2B"/>
    <w:rsid w:val="00005015"/>
    <w:rsid w:val="000056E4"/>
    <w:rsid w:val="00006861"/>
    <w:rsid w:val="00006DE7"/>
    <w:rsid w:val="00011784"/>
    <w:rsid w:val="00014530"/>
    <w:rsid w:val="00015A6B"/>
    <w:rsid w:val="00016D76"/>
    <w:rsid w:val="00017C4B"/>
    <w:rsid w:val="00017D33"/>
    <w:rsid w:val="0002192E"/>
    <w:rsid w:val="00021971"/>
    <w:rsid w:val="00022700"/>
    <w:rsid w:val="00022EAD"/>
    <w:rsid w:val="00025CD1"/>
    <w:rsid w:val="00025D38"/>
    <w:rsid w:val="0002661B"/>
    <w:rsid w:val="000279C7"/>
    <w:rsid w:val="0003018F"/>
    <w:rsid w:val="00030A5B"/>
    <w:rsid w:val="00031987"/>
    <w:rsid w:val="000334B8"/>
    <w:rsid w:val="000366A6"/>
    <w:rsid w:val="0004135A"/>
    <w:rsid w:val="00041B96"/>
    <w:rsid w:val="00041E4A"/>
    <w:rsid w:val="00043C8C"/>
    <w:rsid w:val="00043C8D"/>
    <w:rsid w:val="000445C1"/>
    <w:rsid w:val="00044664"/>
    <w:rsid w:val="00045008"/>
    <w:rsid w:val="000453ED"/>
    <w:rsid w:val="00046D85"/>
    <w:rsid w:val="0004709B"/>
    <w:rsid w:val="00050612"/>
    <w:rsid w:val="000515FA"/>
    <w:rsid w:val="0005191B"/>
    <w:rsid w:val="000527FF"/>
    <w:rsid w:val="0005326E"/>
    <w:rsid w:val="000532F6"/>
    <w:rsid w:val="00053D00"/>
    <w:rsid w:val="0005476C"/>
    <w:rsid w:val="00063375"/>
    <w:rsid w:val="0006585B"/>
    <w:rsid w:val="00066886"/>
    <w:rsid w:val="00070804"/>
    <w:rsid w:val="00070C6A"/>
    <w:rsid w:val="00071083"/>
    <w:rsid w:val="00074061"/>
    <w:rsid w:val="0007427A"/>
    <w:rsid w:val="000751C5"/>
    <w:rsid w:val="00075CBC"/>
    <w:rsid w:val="0008248B"/>
    <w:rsid w:val="00083E3F"/>
    <w:rsid w:val="00085408"/>
    <w:rsid w:val="00085557"/>
    <w:rsid w:val="00085829"/>
    <w:rsid w:val="00086AB1"/>
    <w:rsid w:val="00086E78"/>
    <w:rsid w:val="00087B1F"/>
    <w:rsid w:val="0009196A"/>
    <w:rsid w:val="00093EE4"/>
    <w:rsid w:val="00094EB1"/>
    <w:rsid w:val="00096FCF"/>
    <w:rsid w:val="000A0F5D"/>
    <w:rsid w:val="000A2A77"/>
    <w:rsid w:val="000A46CE"/>
    <w:rsid w:val="000A4F33"/>
    <w:rsid w:val="000A6980"/>
    <w:rsid w:val="000B1220"/>
    <w:rsid w:val="000B5CC5"/>
    <w:rsid w:val="000B5F3D"/>
    <w:rsid w:val="000C1394"/>
    <w:rsid w:val="000C1A10"/>
    <w:rsid w:val="000C605A"/>
    <w:rsid w:val="000D6115"/>
    <w:rsid w:val="000D61FD"/>
    <w:rsid w:val="000D6A58"/>
    <w:rsid w:val="000D6B3A"/>
    <w:rsid w:val="000D7E73"/>
    <w:rsid w:val="000E3EBC"/>
    <w:rsid w:val="000E4963"/>
    <w:rsid w:val="000E5624"/>
    <w:rsid w:val="000F0B61"/>
    <w:rsid w:val="000F0D2C"/>
    <w:rsid w:val="000F11FF"/>
    <w:rsid w:val="000F2A43"/>
    <w:rsid w:val="000F2AC5"/>
    <w:rsid w:val="000F3712"/>
    <w:rsid w:val="000F7FFC"/>
    <w:rsid w:val="001012EC"/>
    <w:rsid w:val="00105E7B"/>
    <w:rsid w:val="00105EB6"/>
    <w:rsid w:val="0011131E"/>
    <w:rsid w:val="00114CCD"/>
    <w:rsid w:val="0011696C"/>
    <w:rsid w:val="001236C2"/>
    <w:rsid w:val="00126142"/>
    <w:rsid w:val="00127139"/>
    <w:rsid w:val="001303CB"/>
    <w:rsid w:val="00132670"/>
    <w:rsid w:val="00132CF4"/>
    <w:rsid w:val="001337EC"/>
    <w:rsid w:val="00134F7D"/>
    <w:rsid w:val="0013582A"/>
    <w:rsid w:val="00135BE1"/>
    <w:rsid w:val="00140C6F"/>
    <w:rsid w:val="00140E54"/>
    <w:rsid w:val="00145E1E"/>
    <w:rsid w:val="00146F4E"/>
    <w:rsid w:val="0015354B"/>
    <w:rsid w:val="00155266"/>
    <w:rsid w:val="001574D0"/>
    <w:rsid w:val="00162282"/>
    <w:rsid w:val="00162AB0"/>
    <w:rsid w:val="00163E5A"/>
    <w:rsid w:val="00164A0F"/>
    <w:rsid w:val="00166EC3"/>
    <w:rsid w:val="001712BF"/>
    <w:rsid w:val="001734C6"/>
    <w:rsid w:val="001742E6"/>
    <w:rsid w:val="00174658"/>
    <w:rsid w:val="00174FC2"/>
    <w:rsid w:val="0017637D"/>
    <w:rsid w:val="001825A0"/>
    <w:rsid w:val="001850DE"/>
    <w:rsid w:val="00185174"/>
    <w:rsid w:val="00186A9E"/>
    <w:rsid w:val="001909A3"/>
    <w:rsid w:val="001940B0"/>
    <w:rsid w:val="00195EA8"/>
    <w:rsid w:val="00196ED2"/>
    <w:rsid w:val="001979D0"/>
    <w:rsid w:val="001A0213"/>
    <w:rsid w:val="001A0487"/>
    <w:rsid w:val="001A22B6"/>
    <w:rsid w:val="001A2D03"/>
    <w:rsid w:val="001A6F60"/>
    <w:rsid w:val="001A72E9"/>
    <w:rsid w:val="001A74E8"/>
    <w:rsid w:val="001A76E9"/>
    <w:rsid w:val="001B065F"/>
    <w:rsid w:val="001B0673"/>
    <w:rsid w:val="001B3409"/>
    <w:rsid w:val="001B7FA9"/>
    <w:rsid w:val="001C1635"/>
    <w:rsid w:val="001C301A"/>
    <w:rsid w:val="001C456C"/>
    <w:rsid w:val="001C49FA"/>
    <w:rsid w:val="001D0010"/>
    <w:rsid w:val="001D0994"/>
    <w:rsid w:val="001D14D9"/>
    <w:rsid w:val="001D202D"/>
    <w:rsid w:val="001D273A"/>
    <w:rsid w:val="001D4082"/>
    <w:rsid w:val="001E177A"/>
    <w:rsid w:val="001E3F90"/>
    <w:rsid w:val="001E60E2"/>
    <w:rsid w:val="001F369F"/>
    <w:rsid w:val="001F6506"/>
    <w:rsid w:val="001F68F8"/>
    <w:rsid w:val="001F6FCD"/>
    <w:rsid w:val="001F794C"/>
    <w:rsid w:val="00201DC4"/>
    <w:rsid w:val="002025E4"/>
    <w:rsid w:val="00203480"/>
    <w:rsid w:val="00205A8A"/>
    <w:rsid w:val="00211546"/>
    <w:rsid w:val="00214C6C"/>
    <w:rsid w:val="00215793"/>
    <w:rsid w:val="0021587F"/>
    <w:rsid w:val="00216912"/>
    <w:rsid w:val="00220D2F"/>
    <w:rsid w:val="00221C96"/>
    <w:rsid w:val="002240C9"/>
    <w:rsid w:val="002261D8"/>
    <w:rsid w:val="002268A2"/>
    <w:rsid w:val="0023041C"/>
    <w:rsid w:val="00230A6A"/>
    <w:rsid w:val="002323E2"/>
    <w:rsid w:val="00237306"/>
    <w:rsid w:val="00237A1F"/>
    <w:rsid w:val="00240DB3"/>
    <w:rsid w:val="002424A2"/>
    <w:rsid w:val="0024537F"/>
    <w:rsid w:val="002462EE"/>
    <w:rsid w:val="00251205"/>
    <w:rsid w:val="00251EDE"/>
    <w:rsid w:val="00253D70"/>
    <w:rsid w:val="0025446B"/>
    <w:rsid w:val="00254BCB"/>
    <w:rsid w:val="0025523F"/>
    <w:rsid w:val="00255CB2"/>
    <w:rsid w:val="00261F63"/>
    <w:rsid w:val="00264B80"/>
    <w:rsid w:val="002708BB"/>
    <w:rsid w:val="00274872"/>
    <w:rsid w:val="00277435"/>
    <w:rsid w:val="00281667"/>
    <w:rsid w:val="00282386"/>
    <w:rsid w:val="00284AD8"/>
    <w:rsid w:val="00284E4F"/>
    <w:rsid w:val="002865B1"/>
    <w:rsid w:val="00293D47"/>
    <w:rsid w:val="00293E96"/>
    <w:rsid w:val="002A185D"/>
    <w:rsid w:val="002A283F"/>
    <w:rsid w:val="002A2ED1"/>
    <w:rsid w:val="002A3F01"/>
    <w:rsid w:val="002A6032"/>
    <w:rsid w:val="002B565E"/>
    <w:rsid w:val="002C1168"/>
    <w:rsid w:val="002C29DE"/>
    <w:rsid w:val="002C3365"/>
    <w:rsid w:val="002C47DD"/>
    <w:rsid w:val="002C6C98"/>
    <w:rsid w:val="002C70D8"/>
    <w:rsid w:val="002D1544"/>
    <w:rsid w:val="002D2267"/>
    <w:rsid w:val="002D37ED"/>
    <w:rsid w:val="002D463E"/>
    <w:rsid w:val="002D6521"/>
    <w:rsid w:val="002E188A"/>
    <w:rsid w:val="002E6D68"/>
    <w:rsid w:val="002F2E88"/>
    <w:rsid w:val="002F3D1E"/>
    <w:rsid w:val="002F4CAB"/>
    <w:rsid w:val="002F5285"/>
    <w:rsid w:val="002F5A11"/>
    <w:rsid w:val="00300E7A"/>
    <w:rsid w:val="00302679"/>
    <w:rsid w:val="00302D89"/>
    <w:rsid w:val="00304617"/>
    <w:rsid w:val="00306111"/>
    <w:rsid w:val="003077AC"/>
    <w:rsid w:val="00307A0F"/>
    <w:rsid w:val="00310B10"/>
    <w:rsid w:val="003116E8"/>
    <w:rsid w:val="0031468D"/>
    <w:rsid w:val="00315B44"/>
    <w:rsid w:val="00316684"/>
    <w:rsid w:val="003169E8"/>
    <w:rsid w:val="0031740B"/>
    <w:rsid w:val="00317A15"/>
    <w:rsid w:val="003221A2"/>
    <w:rsid w:val="003224AB"/>
    <w:rsid w:val="0032319F"/>
    <w:rsid w:val="003244D4"/>
    <w:rsid w:val="00324A4D"/>
    <w:rsid w:val="003250AC"/>
    <w:rsid w:val="00325C47"/>
    <w:rsid w:val="003270AC"/>
    <w:rsid w:val="003273AF"/>
    <w:rsid w:val="00330B61"/>
    <w:rsid w:val="00331A18"/>
    <w:rsid w:val="003348CC"/>
    <w:rsid w:val="00335282"/>
    <w:rsid w:val="00337161"/>
    <w:rsid w:val="00337BEA"/>
    <w:rsid w:val="00341495"/>
    <w:rsid w:val="00341A13"/>
    <w:rsid w:val="00343843"/>
    <w:rsid w:val="00345AB7"/>
    <w:rsid w:val="00353CC3"/>
    <w:rsid w:val="00355C75"/>
    <w:rsid w:val="00356166"/>
    <w:rsid w:val="003577BC"/>
    <w:rsid w:val="0036016E"/>
    <w:rsid w:val="0036172A"/>
    <w:rsid w:val="00363BF2"/>
    <w:rsid w:val="0036696F"/>
    <w:rsid w:val="00367384"/>
    <w:rsid w:val="00370490"/>
    <w:rsid w:val="00370C71"/>
    <w:rsid w:val="00372242"/>
    <w:rsid w:val="0037392D"/>
    <w:rsid w:val="003769A9"/>
    <w:rsid w:val="00376E7C"/>
    <w:rsid w:val="003824DE"/>
    <w:rsid w:val="00392342"/>
    <w:rsid w:val="003925AF"/>
    <w:rsid w:val="00395D06"/>
    <w:rsid w:val="003A085E"/>
    <w:rsid w:val="003A1173"/>
    <w:rsid w:val="003A1EE0"/>
    <w:rsid w:val="003A467D"/>
    <w:rsid w:val="003A49ED"/>
    <w:rsid w:val="003A6F1E"/>
    <w:rsid w:val="003B1F5A"/>
    <w:rsid w:val="003B238F"/>
    <w:rsid w:val="003B2C8B"/>
    <w:rsid w:val="003B6986"/>
    <w:rsid w:val="003B6C50"/>
    <w:rsid w:val="003C14F2"/>
    <w:rsid w:val="003C5691"/>
    <w:rsid w:val="003D1E73"/>
    <w:rsid w:val="003D29C5"/>
    <w:rsid w:val="003D3D6A"/>
    <w:rsid w:val="003D5CD6"/>
    <w:rsid w:val="003D7C0A"/>
    <w:rsid w:val="003E159A"/>
    <w:rsid w:val="003E16E9"/>
    <w:rsid w:val="003E24A5"/>
    <w:rsid w:val="003E2884"/>
    <w:rsid w:val="003E7131"/>
    <w:rsid w:val="003E7B49"/>
    <w:rsid w:val="003F13F6"/>
    <w:rsid w:val="003F1A77"/>
    <w:rsid w:val="003F2596"/>
    <w:rsid w:val="003F680E"/>
    <w:rsid w:val="004002FB"/>
    <w:rsid w:val="00400443"/>
    <w:rsid w:val="00400AEE"/>
    <w:rsid w:val="0040234A"/>
    <w:rsid w:val="00402E0C"/>
    <w:rsid w:val="00404433"/>
    <w:rsid w:val="00404651"/>
    <w:rsid w:val="00404D41"/>
    <w:rsid w:val="00405056"/>
    <w:rsid w:val="004068E5"/>
    <w:rsid w:val="0040699B"/>
    <w:rsid w:val="0041092A"/>
    <w:rsid w:val="00410E2B"/>
    <w:rsid w:val="00413B76"/>
    <w:rsid w:val="00414E16"/>
    <w:rsid w:val="0042240B"/>
    <w:rsid w:val="00422EF6"/>
    <w:rsid w:val="00422F27"/>
    <w:rsid w:val="004259DB"/>
    <w:rsid w:val="00426334"/>
    <w:rsid w:val="00426EC4"/>
    <w:rsid w:val="00435E7F"/>
    <w:rsid w:val="0043680A"/>
    <w:rsid w:val="00437BE3"/>
    <w:rsid w:val="004403F1"/>
    <w:rsid w:val="00440539"/>
    <w:rsid w:val="004406F1"/>
    <w:rsid w:val="00441449"/>
    <w:rsid w:val="00441D4F"/>
    <w:rsid w:val="00443B79"/>
    <w:rsid w:val="0044458D"/>
    <w:rsid w:val="00444891"/>
    <w:rsid w:val="0044602F"/>
    <w:rsid w:val="00446A11"/>
    <w:rsid w:val="00447549"/>
    <w:rsid w:val="004502D2"/>
    <w:rsid w:val="004534D1"/>
    <w:rsid w:val="004535DB"/>
    <w:rsid w:val="0045584E"/>
    <w:rsid w:val="004570C1"/>
    <w:rsid w:val="0045766D"/>
    <w:rsid w:val="004578A4"/>
    <w:rsid w:val="00460383"/>
    <w:rsid w:val="004634BD"/>
    <w:rsid w:val="00463A85"/>
    <w:rsid w:val="0046701F"/>
    <w:rsid w:val="0047174B"/>
    <w:rsid w:val="00472AA5"/>
    <w:rsid w:val="004766AD"/>
    <w:rsid w:val="004804C2"/>
    <w:rsid w:val="0048106D"/>
    <w:rsid w:val="004810FA"/>
    <w:rsid w:val="0048114B"/>
    <w:rsid w:val="0048312C"/>
    <w:rsid w:val="0049131F"/>
    <w:rsid w:val="00492623"/>
    <w:rsid w:val="00493439"/>
    <w:rsid w:val="00495CD3"/>
    <w:rsid w:val="00495F64"/>
    <w:rsid w:val="004972B0"/>
    <w:rsid w:val="004973FD"/>
    <w:rsid w:val="004974D6"/>
    <w:rsid w:val="004A0414"/>
    <w:rsid w:val="004A1B6D"/>
    <w:rsid w:val="004A2025"/>
    <w:rsid w:val="004A28EE"/>
    <w:rsid w:val="004A31CE"/>
    <w:rsid w:val="004A39DE"/>
    <w:rsid w:val="004A46A6"/>
    <w:rsid w:val="004A57CC"/>
    <w:rsid w:val="004A5B9A"/>
    <w:rsid w:val="004B2090"/>
    <w:rsid w:val="004B2124"/>
    <w:rsid w:val="004B2FC5"/>
    <w:rsid w:val="004B36A6"/>
    <w:rsid w:val="004B3F90"/>
    <w:rsid w:val="004B44F1"/>
    <w:rsid w:val="004B5B9C"/>
    <w:rsid w:val="004B71A0"/>
    <w:rsid w:val="004C25E6"/>
    <w:rsid w:val="004C2A82"/>
    <w:rsid w:val="004C3CE9"/>
    <w:rsid w:val="004C4222"/>
    <w:rsid w:val="004D03ED"/>
    <w:rsid w:val="004D07CF"/>
    <w:rsid w:val="004D0D9C"/>
    <w:rsid w:val="004D4F33"/>
    <w:rsid w:val="004D62D0"/>
    <w:rsid w:val="004D654A"/>
    <w:rsid w:val="004D78AE"/>
    <w:rsid w:val="004E0E2F"/>
    <w:rsid w:val="004E2CE0"/>
    <w:rsid w:val="004E6B6A"/>
    <w:rsid w:val="004F0E5F"/>
    <w:rsid w:val="004F10D9"/>
    <w:rsid w:val="004F481E"/>
    <w:rsid w:val="004F5038"/>
    <w:rsid w:val="004F6B7F"/>
    <w:rsid w:val="004F7227"/>
    <w:rsid w:val="00501E56"/>
    <w:rsid w:val="005024E2"/>
    <w:rsid w:val="00502BEF"/>
    <w:rsid w:val="005045AD"/>
    <w:rsid w:val="005046F7"/>
    <w:rsid w:val="00504CA2"/>
    <w:rsid w:val="00504F41"/>
    <w:rsid w:val="00504F43"/>
    <w:rsid w:val="0050555C"/>
    <w:rsid w:val="00510F67"/>
    <w:rsid w:val="00512939"/>
    <w:rsid w:val="0051296F"/>
    <w:rsid w:val="005152AC"/>
    <w:rsid w:val="005170B0"/>
    <w:rsid w:val="00522A39"/>
    <w:rsid w:val="005244C8"/>
    <w:rsid w:val="00525918"/>
    <w:rsid w:val="0052663A"/>
    <w:rsid w:val="0052701B"/>
    <w:rsid w:val="00530412"/>
    <w:rsid w:val="00531F99"/>
    <w:rsid w:val="00532997"/>
    <w:rsid w:val="00532C65"/>
    <w:rsid w:val="005344E6"/>
    <w:rsid w:val="00534AFD"/>
    <w:rsid w:val="005378D0"/>
    <w:rsid w:val="00540BC1"/>
    <w:rsid w:val="00543890"/>
    <w:rsid w:val="0054438B"/>
    <w:rsid w:val="00544996"/>
    <w:rsid w:val="0054620E"/>
    <w:rsid w:val="00546382"/>
    <w:rsid w:val="00547976"/>
    <w:rsid w:val="00547C67"/>
    <w:rsid w:val="005544C2"/>
    <w:rsid w:val="00555204"/>
    <w:rsid w:val="00560B93"/>
    <w:rsid w:val="005621E0"/>
    <w:rsid w:val="00563A8E"/>
    <w:rsid w:val="0057046E"/>
    <w:rsid w:val="0057318C"/>
    <w:rsid w:val="0057442F"/>
    <w:rsid w:val="00576908"/>
    <w:rsid w:val="005774E4"/>
    <w:rsid w:val="00582D5D"/>
    <w:rsid w:val="00582D8D"/>
    <w:rsid w:val="005874A5"/>
    <w:rsid w:val="00587BDE"/>
    <w:rsid w:val="0059169D"/>
    <w:rsid w:val="00592490"/>
    <w:rsid w:val="00593384"/>
    <w:rsid w:val="005935B5"/>
    <w:rsid w:val="00593EF2"/>
    <w:rsid w:val="005A05CB"/>
    <w:rsid w:val="005A0779"/>
    <w:rsid w:val="005A2C42"/>
    <w:rsid w:val="005A2EB2"/>
    <w:rsid w:val="005A4AAB"/>
    <w:rsid w:val="005A6F05"/>
    <w:rsid w:val="005B0B4D"/>
    <w:rsid w:val="005B152B"/>
    <w:rsid w:val="005B1C91"/>
    <w:rsid w:val="005B390D"/>
    <w:rsid w:val="005B5451"/>
    <w:rsid w:val="005C2C4B"/>
    <w:rsid w:val="005C2E5D"/>
    <w:rsid w:val="005C3431"/>
    <w:rsid w:val="005C4BF8"/>
    <w:rsid w:val="005C5F81"/>
    <w:rsid w:val="005C6C94"/>
    <w:rsid w:val="005C743F"/>
    <w:rsid w:val="005C7F52"/>
    <w:rsid w:val="005D094C"/>
    <w:rsid w:val="005D4344"/>
    <w:rsid w:val="005D4B0F"/>
    <w:rsid w:val="005D6028"/>
    <w:rsid w:val="005D638B"/>
    <w:rsid w:val="005E0A2A"/>
    <w:rsid w:val="005E2302"/>
    <w:rsid w:val="005E418E"/>
    <w:rsid w:val="005E4CE5"/>
    <w:rsid w:val="005E5C65"/>
    <w:rsid w:val="005E74D9"/>
    <w:rsid w:val="005F213A"/>
    <w:rsid w:val="005F3480"/>
    <w:rsid w:val="005F350B"/>
    <w:rsid w:val="005F56B1"/>
    <w:rsid w:val="005F5C5E"/>
    <w:rsid w:val="005F744F"/>
    <w:rsid w:val="00601BDB"/>
    <w:rsid w:val="00601FC5"/>
    <w:rsid w:val="00605875"/>
    <w:rsid w:val="00606554"/>
    <w:rsid w:val="0060720D"/>
    <w:rsid w:val="006072B3"/>
    <w:rsid w:val="00610F26"/>
    <w:rsid w:val="0061424A"/>
    <w:rsid w:val="00617A64"/>
    <w:rsid w:val="006211E0"/>
    <w:rsid w:val="006217B9"/>
    <w:rsid w:val="006226E4"/>
    <w:rsid w:val="0063312C"/>
    <w:rsid w:val="0063312E"/>
    <w:rsid w:val="00633E5C"/>
    <w:rsid w:val="00636197"/>
    <w:rsid w:val="006374D6"/>
    <w:rsid w:val="00641BB5"/>
    <w:rsid w:val="00641CFE"/>
    <w:rsid w:val="0064320A"/>
    <w:rsid w:val="006459B0"/>
    <w:rsid w:val="00645E5C"/>
    <w:rsid w:val="00646E7A"/>
    <w:rsid w:val="0064714C"/>
    <w:rsid w:val="00647CB2"/>
    <w:rsid w:val="00651370"/>
    <w:rsid w:val="00651736"/>
    <w:rsid w:val="006527D5"/>
    <w:rsid w:val="006530E5"/>
    <w:rsid w:val="00653360"/>
    <w:rsid w:val="006536FF"/>
    <w:rsid w:val="00653AA5"/>
    <w:rsid w:val="00656D4E"/>
    <w:rsid w:val="00656DF3"/>
    <w:rsid w:val="00664285"/>
    <w:rsid w:val="00664C3A"/>
    <w:rsid w:val="00665FB7"/>
    <w:rsid w:val="00667954"/>
    <w:rsid w:val="0067036C"/>
    <w:rsid w:val="0067134D"/>
    <w:rsid w:val="00673461"/>
    <w:rsid w:val="00673FAC"/>
    <w:rsid w:val="006779A5"/>
    <w:rsid w:val="00680FC3"/>
    <w:rsid w:val="00681179"/>
    <w:rsid w:val="0068143D"/>
    <w:rsid w:val="0068328D"/>
    <w:rsid w:val="006855F1"/>
    <w:rsid w:val="00685A3F"/>
    <w:rsid w:val="00686271"/>
    <w:rsid w:val="00690832"/>
    <w:rsid w:val="00693C04"/>
    <w:rsid w:val="006945DD"/>
    <w:rsid w:val="00694DC2"/>
    <w:rsid w:val="006957D8"/>
    <w:rsid w:val="00695807"/>
    <w:rsid w:val="00695DCC"/>
    <w:rsid w:val="0069717B"/>
    <w:rsid w:val="0069780E"/>
    <w:rsid w:val="006A3667"/>
    <w:rsid w:val="006A396C"/>
    <w:rsid w:val="006A3A73"/>
    <w:rsid w:val="006A51C9"/>
    <w:rsid w:val="006A6AF8"/>
    <w:rsid w:val="006B0FAD"/>
    <w:rsid w:val="006B1478"/>
    <w:rsid w:val="006B4214"/>
    <w:rsid w:val="006B4BD4"/>
    <w:rsid w:val="006C0392"/>
    <w:rsid w:val="006C04DA"/>
    <w:rsid w:val="006C0C0E"/>
    <w:rsid w:val="006C1050"/>
    <w:rsid w:val="006C3580"/>
    <w:rsid w:val="006C4675"/>
    <w:rsid w:val="006C7820"/>
    <w:rsid w:val="006C7D55"/>
    <w:rsid w:val="006D04D2"/>
    <w:rsid w:val="006D0924"/>
    <w:rsid w:val="006D099A"/>
    <w:rsid w:val="006D0DE1"/>
    <w:rsid w:val="006D49B2"/>
    <w:rsid w:val="006D63F6"/>
    <w:rsid w:val="006E1380"/>
    <w:rsid w:val="006E2499"/>
    <w:rsid w:val="006E36D9"/>
    <w:rsid w:val="006E3F3D"/>
    <w:rsid w:val="006E519D"/>
    <w:rsid w:val="006E560D"/>
    <w:rsid w:val="006E7F57"/>
    <w:rsid w:val="006F1F79"/>
    <w:rsid w:val="006F363C"/>
    <w:rsid w:val="006F3726"/>
    <w:rsid w:val="006F4956"/>
    <w:rsid w:val="006F5337"/>
    <w:rsid w:val="006F5CCD"/>
    <w:rsid w:val="0070001C"/>
    <w:rsid w:val="007011B4"/>
    <w:rsid w:val="00702AF8"/>
    <w:rsid w:val="007033D1"/>
    <w:rsid w:val="00704747"/>
    <w:rsid w:val="00712B7C"/>
    <w:rsid w:val="007172E6"/>
    <w:rsid w:val="00720A6E"/>
    <w:rsid w:val="00720D70"/>
    <w:rsid w:val="00721A14"/>
    <w:rsid w:val="00721F1C"/>
    <w:rsid w:val="007231DC"/>
    <w:rsid w:val="0072415E"/>
    <w:rsid w:val="007243A4"/>
    <w:rsid w:val="00725675"/>
    <w:rsid w:val="0072590B"/>
    <w:rsid w:val="0073014F"/>
    <w:rsid w:val="00733D88"/>
    <w:rsid w:val="00733F65"/>
    <w:rsid w:val="00734A70"/>
    <w:rsid w:val="00736C11"/>
    <w:rsid w:val="0074096D"/>
    <w:rsid w:val="00740CF8"/>
    <w:rsid w:val="007414D5"/>
    <w:rsid w:val="0074200F"/>
    <w:rsid w:val="007426BC"/>
    <w:rsid w:val="00742825"/>
    <w:rsid w:val="0074464F"/>
    <w:rsid w:val="0074647C"/>
    <w:rsid w:val="00747EDE"/>
    <w:rsid w:val="0075022B"/>
    <w:rsid w:val="00756FE7"/>
    <w:rsid w:val="00760C1E"/>
    <w:rsid w:val="00760E07"/>
    <w:rsid w:val="007616B1"/>
    <w:rsid w:val="00761F19"/>
    <w:rsid w:val="007624D2"/>
    <w:rsid w:val="0076357F"/>
    <w:rsid w:val="00766554"/>
    <w:rsid w:val="0076697F"/>
    <w:rsid w:val="00767541"/>
    <w:rsid w:val="00767CDC"/>
    <w:rsid w:val="00771A50"/>
    <w:rsid w:val="00774903"/>
    <w:rsid w:val="00774DBD"/>
    <w:rsid w:val="007773E6"/>
    <w:rsid w:val="00777589"/>
    <w:rsid w:val="0078514E"/>
    <w:rsid w:val="0078516C"/>
    <w:rsid w:val="007855BC"/>
    <w:rsid w:val="00786A46"/>
    <w:rsid w:val="0079345D"/>
    <w:rsid w:val="00793C8F"/>
    <w:rsid w:val="007974B1"/>
    <w:rsid w:val="007974F4"/>
    <w:rsid w:val="007A0161"/>
    <w:rsid w:val="007A0CA1"/>
    <w:rsid w:val="007A39E2"/>
    <w:rsid w:val="007A665E"/>
    <w:rsid w:val="007B1AA2"/>
    <w:rsid w:val="007B1AC9"/>
    <w:rsid w:val="007B1CE6"/>
    <w:rsid w:val="007B51F7"/>
    <w:rsid w:val="007B5773"/>
    <w:rsid w:val="007B6F1A"/>
    <w:rsid w:val="007B771F"/>
    <w:rsid w:val="007C10CE"/>
    <w:rsid w:val="007C2936"/>
    <w:rsid w:val="007C46F6"/>
    <w:rsid w:val="007C5B8E"/>
    <w:rsid w:val="007C6F47"/>
    <w:rsid w:val="007D0F3F"/>
    <w:rsid w:val="007D373A"/>
    <w:rsid w:val="007D453C"/>
    <w:rsid w:val="007D628A"/>
    <w:rsid w:val="007D6C85"/>
    <w:rsid w:val="007E0986"/>
    <w:rsid w:val="007E0C87"/>
    <w:rsid w:val="007E4054"/>
    <w:rsid w:val="007E4D9D"/>
    <w:rsid w:val="007E50B9"/>
    <w:rsid w:val="007E6D85"/>
    <w:rsid w:val="007E7C94"/>
    <w:rsid w:val="007F0604"/>
    <w:rsid w:val="007F1152"/>
    <w:rsid w:val="007F12B4"/>
    <w:rsid w:val="007F1EBB"/>
    <w:rsid w:val="007F2537"/>
    <w:rsid w:val="007F4C11"/>
    <w:rsid w:val="007F50B5"/>
    <w:rsid w:val="00801C02"/>
    <w:rsid w:val="008027C4"/>
    <w:rsid w:val="00802EF5"/>
    <w:rsid w:val="00804342"/>
    <w:rsid w:val="008047BF"/>
    <w:rsid w:val="00807D73"/>
    <w:rsid w:val="00813726"/>
    <w:rsid w:val="0081396C"/>
    <w:rsid w:val="00813A24"/>
    <w:rsid w:val="00817E10"/>
    <w:rsid w:val="00820385"/>
    <w:rsid w:val="00820424"/>
    <w:rsid w:val="00820C77"/>
    <w:rsid w:val="008306CA"/>
    <w:rsid w:val="00830BFA"/>
    <w:rsid w:val="008346D8"/>
    <w:rsid w:val="00834949"/>
    <w:rsid w:val="00835B6F"/>
    <w:rsid w:val="00837632"/>
    <w:rsid w:val="0084087B"/>
    <w:rsid w:val="00841AF6"/>
    <w:rsid w:val="008428CC"/>
    <w:rsid w:val="00843FF8"/>
    <w:rsid w:val="00845194"/>
    <w:rsid w:val="008454FD"/>
    <w:rsid w:val="008457E2"/>
    <w:rsid w:val="00847B25"/>
    <w:rsid w:val="0085078F"/>
    <w:rsid w:val="00850A64"/>
    <w:rsid w:val="0085145F"/>
    <w:rsid w:val="00851701"/>
    <w:rsid w:val="00851727"/>
    <w:rsid w:val="00851C70"/>
    <w:rsid w:val="00852CC8"/>
    <w:rsid w:val="00853CDE"/>
    <w:rsid w:val="00853FE3"/>
    <w:rsid w:val="00854016"/>
    <w:rsid w:val="00855388"/>
    <w:rsid w:val="0085680E"/>
    <w:rsid w:val="008610C1"/>
    <w:rsid w:val="00863327"/>
    <w:rsid w:val="008639E3"/>
    <w:rsid w:val="00864841"/>
    <w:rsid w:val="00864A84"/>
    <w:rsid w:val="00864DB4"/>
    <w:rsid w:val="0086575A"/>
    <w:rsid w:val="0086630B"/>
    <w:rsid w:val="00866E6C"/>
    <w:rsid w:val="0086710E"/>
    <w:rsid w:val="00867CE0"/>
    <w:rsid w:val="008716C0"/>
    <w:rsid w:val="00871A42"/>
    <w:rsid w:val="0087399E"/>
    <w:rsid w:val="00873C65"/>
    <w:rsid w:val="008760F2"/>
    <w:rsid w:val="008804DE"/>
    <w:rsid w:val="008824AE"/>
    <w:rsid w:val="00884156"/>
    <w:rsid w:val="00884CD0"/>
    <w:rsid w:val="008865A3"/>
    <w:rsid w:val="008868E9"/>
    <w:rsid w:val="0088727F"/>
    <w:rsid w:val="00887CF1"/>
    <w:rsid w:val="0089073C"/>
    <w:rsid w:val="0089379A"/>
    <w:rsid w:val="008937CF"/>
    <w:rsid w:val="00894380"/>
    <w:rsid w:val="008A0A20"/>
    <w:rsid w:val="008A0D3B"/>
    <w:rsid w:val="008A1E21"/>
    <w:rsid w:val="008A2D37"/>
    <w:rsid w:val="008A2FE8"/>
    <w:rsid w:val="008A3AFF"/>
    <w:rsid w:val="008A5D00"/>
    <w:rsid w:val="008A5EC1"/>
    <w:rsid w:val="008A7131"/>
    <w:rsid w:val="008A716A"/>
    <w:rsid w:val="008B00BF"/>
    <w:rsid w:val="008B11A7"/>
    <w:rsid w:val="008B4829"/>
    <w:rsid w:val="008B5289"/>
    <w:rsid w:val="008B6B4F"/>
    <w:rsid w:val="008B70CC"/>
    <w:rsid w:val="008B76F3"/>
    <w:rsid w:val="008C081C"/>
    <w:rsid w:val="008C15F1"/>
    <w:rsid w:val="008C2572"/>
    <w:rsid w:val="008C4B10"/>
    <w:rsid w:val="008C5658"/>
    <w:rsid w:val="008C662A"/>
    <w:rsid w:val="008D02EB"/>
    <w:rsid w:val="008D15F1"/>
    <w:rsid w:val="008D3BC5"/>
    <w:rsid w:val="008D4CE2"/>
    <w:rsid w:val="008D570B"/>
    <w:rsid w:val="008D671B"/>
    <w:rsid w:val="008D73EA"/>
    <w:rsid w:val="008E3B8F"/>
    <w:rsid w:val="008E5092"/>
    <w:rsid w:val="008E5469"/>
    <w:rsid w:val="008E7E4C"/>
    <w:rsid w:val="008F1D4B"/>
    <w:rsid w:val="008F358A"/>
    <w:rsid w:val="008F35BB"/>
    <w:rsid w:val="008F5848"/>
    <w:rsid w:val="008F6350"/>
    <w:rsid w:val="008F6BC3"/>
    <w:rsid w:val="008F6D01"/>
    <w:rsid w:val="008F7754"/>
    <w:rsid w:val="009009F9"/>
    <w:rsid w:val="00901147"/>
    <w:rsid w:val="00904A8E"/>
    <w:rsid w:val="00910741"/>
    <w:rsid w:val="009108BD"/>
    <w:rsid w:val="00911D66"/>
    <w:rsid w:val="00912D9A"/>
    <w:rsid w:val="00914CAD"/>
    <w:rsid w:val="00917B6A"/>
    <w:rsid w:val="00917FA3"/>
    <w:rsid w:val="009215C6"/>
    <w:rsid w:val="009232CE"/>
    <w:rsid w:val="00924211"/>
    <w:rsid w:val="00924469"/>
    <w:rsid w:val="00924B9C"/>
    <w:rsid w:val="009251D3"/>
    <w:rsid w:val="00926588"/>
    <w:rsid w:val="00926EDE"/>
    <w:rsid w:val="00927040"/>
    <w:rsid w:val="00930702"/>
    <w:rsid w:val="00931B8C"/>
    <w:rsid w:val="00932171"/>
    <w:rsid w:val="00932FB7"/>
    <w:rsid w:val="00933CB9"/>
    <w:rsid w:val="00934030"/>
    <w:rsid w:val="009359E0"/>
    <w:rsid w:val="0093620F"/>
    <w:rsid w:val="00936CD5"/>
    <w:rsid w:val="00936F40"/>
    <w:rsid w:val="00940036"/>
    <w:rsid w:val="00940C4A"/>
    <w:rsid w:val="00941BB8"/>
    <w:rsid w:val="0094397B"/>
    <w:rsid w:val="009447EA"/>
    <w:rsid w:val="00947E08"/>
    <w:rsid w:val="00953B1D"/>
    <w:rsid w:val="00953CA6"/>
    <w:rsid w:val="00953FAC"/>
    <w:rsid w:val="009545ED"/>
    <w:rsid w:val="00955A44"/>
    <w:rsid w:val="00955F86"/>
    <w:rsid w:val="0095634D"/>
    <w:rsid w:val="009565BB"/>
    <w:rsid w:val="00960707"/>
    <w:rsid w:val="00960BBA"/>
    <w:rsid w:val="00961D25"/>
    <w:rsid w:val="00964C13"/>
    <w:rsid w:val="009659F9"/>
    <w:rsid w:val="00966FA0"/>
    <w:rsid w:val="009676D9"/>
    <w:rsid w:val="0097043C"/>
    <w:rsid w:val="00970A39"/>
    <w:rsid w:val="00970AA1"/>
    <w:rsid w:val="00970C90"/>
    <w:rsid w:val="00970FC4"/>
    <w:rsid w:val="00980A3A"/>
    <w:rsid w:val="00981BAD"/>
    <w:rsid w:val="00984226"/>
    <w:rsid w:val="00985360"/>
    <w:rsid w:val="009853CA"/>
    <w:rsid w:val="009925E5"/>
    <w:rsid w:val="00992AA6"/>
    <w:rsid w:val="00993E2F"/>
    <w:rsid w:val="00994F4D"/>
    <w:rsid w:val="0099585A"/>
    <w:rsid w:val="00996128"/>
    <w:rsid w:val="00996762"/>
    <w:rsid w:val="009A01B8"/>
    <w:rsid w:val="009A1A7A"/>
    <w:rsid w:val="009A1D67"/>
    <w:rsid w:val="009A2D22"/>
    <w:rsid w:val="009A4FF2"/>
    <w:rsid w:val="009A60F4"/>
    <w:rsid w:val="009A62E6"/>
    <w:rsid w:val="009A6C29"/>
    <w:rsid w:val="009B0E41"/>
    <w:rsid w:val="009B1261"/>
    <w:rsid w:val="009B1CBC"/>
    <w:rsid w:val="009B2300"/>
    <w:rsid w:val="009B35E7"/>
    <w:rsid w:val="009B537E"/>
    <w:rsid w:val="009B78E5"/>
    <w:rsid w:val="009C1B80"/>
    <w:rsid w:val="009C2778"/>
    <w:rsid w:val="009C4A85"/>
    <w:rsid w:val="009C5D46"/>
    <w:rsid w:val="009C630C"/>
    <w:rsid w:val="009D0CE4"/>
    <w:rsid w:val="009D2B2D"/>
    <w:rsid w:val="009D2D36"/>
    <w:rsid w:val="009D3D67"/>
    <w:rsid w:val="009D4402"/>
    <w:rsid w:val="009D47CE"/>
    <w:rsid w:val="009D59D9"/>
    <w:rsid w:val="009D5F5A"/>
    <w:rsid w:val="009D606C"/>
    <w:rsid w:val="009D65A7"/>
    <w:rsid w:val="009E0405"/>
    <w:rsid w:val="009E0CD2"/>
    <w:rsid w:val="009E2C81"/>
    <w:rsid w:val="009E5B6E"/>
    <w:rsid w:val="009F06FD"/>
    <w:rsid w:val="009F1FCF"/>
    <w:rsid w:val="009F2ECA"/>
    <w:rsid w:val="009F36A1"/>
    <w:rsid w:val="009F3908"/>
    <w:rsid w:val="009F4DB9"/>
    <w:rsid w:val="009F7513"/>
    <w:rsid w:val="00A00DCB"/>
    <w:rsid w:val="00A03B08"/>
    <w:rsid w:val="00A03DAB"/>
    <w:rsid w:val="00A055CE"/>
    <w:rsid w:val="00A06577"/>
    <w:rsid w:val="00A10223"/>
    <w:rsid w:val="00A13833"/>
    <w:rsid w:val="00A13EF9"/>
    <w:rsid w:val="00A13FF1"/>
    <w:rsid w:val="00A15C3A"/>
    <w:rsid w:val="00A16760"/>
    <w:rsid w:val="00A17C2D"/>
    <w:rsid w:val="00A210F2"/>
    <w:rsid w:val="00A23249"/>
    <w:rsid w:val="00A23492"/>
    <w:rsid w:val="00A24692"/>
    <w:rsid w:val="00A30A86"/>
    <w:rsid w:val="00A311E8"/>
    <w:rsid w:val="00A320FD"/>
    <w:rsid w:val="00A357D9"/>
    <w:rsid w:val="00A365E9"/>
    <w:rsid w:val="00A40362"/>
    <w:rsid w:val="00A415F1"/>
    <w:rsid w:val="00A41F7A"/>
    <w:rsid w:val="00A42768"/>
    <w:rsid w:val="00A42F69"/>
    <w:rsid w:val="00A4459D"/>
    <w:rsid w:val="00A457B8"/>
    <w:rsid w:val="00A45D64"/>
    <w:rsid w:val="00A50D94"/>
    <w:rsid w:val="00A5104A"/>
    <w:rsid w:val="00A538B7"/>
    <w:rsid w:val="00A55B75"/>
    <w:rsid w:val="00A56BE4"/>
    <w:rsid w:val="00A56E53"/>
    <w:rsid w:val="00A63B73"/>
    <w:rsid w:val="00A645BA"/>
    <w:rsid w:val="00A658FA"/>
    <w:rsid w:val="00A70844"/>
    <w:rsid w:val="00A70E24"/>
    <w:rsid w:val="00A71C2C"/>
    <w:rsid w:val="00A721E0"/>
    <w:rsid w:val="00A74EEA"/>
    <w:rsid w:val="00A77108"/>
    <w:rsid w:val="00A8114D"/>
    <w:rsid w:val="00A85CA6"/>
    <w:rsid w:val="00A873E4"/>
    <w:rsid w:val="00A87EE7"/>
    <w:rsid w:val="00A90F55"/>
    <w:rsid w:val="00A9370E"/>
    <w:rsid w:val="00A94DFD"/>
    <w:rsid w:val="00A9550A"/>
    <w:rsid w:val="00A96E2F"/>
    <w:rsid w:val="00AA1B16"/>
    <w:rsid w:val="00AA2331"/>
    <w:rsid w:val="00AA3F5E"/>
    <w:rsid w:val="00AA47AE"/>
    <w:rsid w:val="00AA7980"/>
    <w:rsid w:val="00AA7DE3"/>
    <w:rsid w:val="00AB005F"/>
    <w:rsid w:val="00AB027A"/>
    <w:rsid w:val="00AB15C3"/>
    <w:rsid w:val="00AB16C6"/>
    <w:rsid w:val="00AB1978"/>
    <w:rsid w:val="00AB2ECC"/>
    <w:rsid w:val="00AB4DC5"/>
    <w:rsid w:val="00AB60A2"/>
    <w:rsid w:val="00AB6242"/>
    <w:rsid w:val="00AB648D"/>
    <w:rsid w:val="00AB689E"/>
    <w:rsid w:val="00AB76C0"/>
    <w:rsid w:val="00AC0758"/>
    <w:rsid w:val="00AC18A9"/>
    <w:rsid w:val="00AC3868"/>
    <w:rsid w:val="00AC7E0A"/>
    <w:rsid w:val="00AD1634"/>
    <w:rsid w:val="00AD2423"/>
    <w:rsid w:val="00AD25C7"/>
    <w:rsid w:val="00AD2A6E"/>
    <w:rsid w:val="00AD3C1C"/>
    <w:rsid w:val="00AD4863"/>
    <w:rsid w:val="00AD4A1D"/>
    <w:rsid w:val="00AD4A6F"/>
    <w:rsid w:val="00AD78C4"/>
    <w:rsid w:val="00AE2D3E"/>
    <w:rsid w:val="00AE34D5"/>
    <w:rsid w:val="00AE4E07"/>
    <w:rsid w:val="00AE6162"/>
    <w:rsid w:val="00AE7013"/>
    <w:rsid w:val="00AE7CF5"/>
    <w:rsid w:val="00AF20DA"/>
    <w:rsid w:val="00AF631C"/>
    <w:rsid w:val="00AF634E"/>
    <w:rsid w:val="00AF714A"/>
    <w:rsid w:val="00B02809"/>
    <w:rsid w:val="00B02B53"/>
    <w:rsid w:val="00B05D6D"/>
    <w:rsid w:val="00B10393"/>
    <w:rsid w:val="00B12433"/>
    <w:rsid w:val="00B12C8D"/>
    <w:rsid w:val="00B14597"/>
    <w:rsid w:val="00B146B8"/>
    <w:rsid w:val="00B2054B"/>
    <w:rsid w:val="00B216B5"/>
    <w:rsid w:val="00B2225D"/>
    <w:rsid w:val="00B22AC9"/>
    <w:rsid w:val="00B22EF6"/>
    <w:rsid w:val="00B23EC3"/>
    <w:rsid w:val="00B26CE0"/>
    <w:rsid w:val="00B26D3F"/>
    <w:rsid w:val="00B26E7E"/>
    <w:rsid w:val="00B30F45"/>
    <w:rsid w:val="00B31E4A"/>
    <w:rsid w:val="00B31FA6"/>
    <w:rsid w:val="00B331DE"/>
    <w:rsid w:val="00B34E4E"/>
    <w:rsid w:val="00B36484"/>
    <w:rsid w:val="00B367A4"/>
    <w:rsid w:val="00B400F9"/>
    <w:rsid w:val="00B40603"/>
    <w:rsid w:val="00B40A4C"/>
    <w:rsid w:val="00B4243C"/>
    <w:rsid w:val="00B42448"/>
    <w:rsid w:val="00B43BDD"/>
    <w:rsid w:val="00B44594"/>
    <w:rsid w:val="00B4473B"/>
    <w:rsid w:val="00B4586A"/>
    <w:rsid w:val="00B45B9C"/>
    <w:rsid w:val="00B46DD8"/>
    <w:rsid w:val="00B51865"/>
    <w:rsid w:val="00B51BF3"/>
    <w:rsid w:val="00B548F1"/>
    <w:rsid w:val="00B56480"/>
    <w:rsid w:val="00B626A1"/>
    <w:rsid w:val="00B62F95"/>
    <w:rsid w:val="00B632DF"/>
    <w:rsid w:val="00B63CAA"/>
    <w:rsid w:val="00B64FAF"/>
    <w:rsid w:val="00B66AF6"/>
    <w:rsid w:val="00B70B4F"/>
    <w:rsid w:val="00B72276"/>
    <w:rsid w:val="00B77ACD"/>
    <w:rsid w:val="00B77C63"/>
    <w:rsid w:val="00B82B7B"/>
    <w:rsid w:val="00B842F6"/>
    <w:rsid w:val="00B8454B"/>
    <w:rsid w:val="00B8583D"/>
    <w:rsid w:val="00B87165"/>
    <w:rsid w:val="00B87DBC"/>
    <w:rsid w:val="00B906F8"/>
    <w:rsid w:val="00B9123F"/>
    <w:rsid w:val="00B96D47"/>
    <w:rsid w:val="00BA0D39"/>
    <w:rsid w:val="00BA17DE"/>
    <w:rsid w:val="00BA2952"/>
    <w:rsid w:val="00BA4859"/>
    <w:rsid w:val="00BA5AF4"/>
    <w:rsid w:val="00BA678F"/>
    <w:rsid w:val="00BA741B"/>
    <w:rsid w:val="00BA7C67"/>
    <w:rsid w:val="00BB2611"/>
    <w:rsid w:val="00BB2C39"/>
    <w:rsid w:val="00BB321A"/>
    <w:rsid w:val="00BB3F92"/>
    <w:rsid w:val="00BB6AE6"/>
    <w:rsid w:val="00BB7FDF"/>
    <w:rsid w:val="00BC059E"/>
    <w:rsid w:val="00BC0F30"/>
    <w:rsid w:val="00BC1196"/>
    <w:rsid w:val="00BC22B1"/>
    <w:rsid w:val="00BC2953"/>
    <w:rsid w:val="00BC3EDF"/>
    <w:rsid w:val="00BC4D49"/>
    <w:rsid w:val="00BC6CA1"/>
    <w:rsid w:val="00BD0F24"/>
    <w:rsid w:val="00BD16E3"/>
    <w:rsid w:val="00BD3F29"/>
    <w:rsid w:val="00BD491D"/>
    <w:rsid w:val="00BE0847"/>
    <w:rsid w:val="00BE1329"/>
    <w:rsid w:val="00BE2ED9"/>
    <w:rsid w:val="00BE450B"/>
    <w:rsid w:val="00BE5C12"/>
    <w:rsid w:val="00BE776A"/>
    <w:rsid w:val="00BF039B"/>
    <w:rsid w:val="00BF1B36"/>
    <w:rsid w:val="00BF44FD"/>
    <w:rsid w:val="00BF4965"/>
    <w:rsid w:val="00C01516"/>
    <w:rsid w:val="00C01517"/>
    <w:rsid w:val="00C02362"/>
    <w:rsid w:val="00C02BCA"/>
    <w:rsid w:val="00C02D77"/>
    <w:rsid w:val="00C04E65"/>
    <w:rsid w:val="00C06462"/>
    <w:rsid w:val="00C07B13"/>
    <w:rsid w:val="00C07EED"/>
    <w:rsid w:val="00C126DF"/>
    <w:rsid w:val="00C14661"/>
    <w:rsid w:val="00C17DB9"/>
    <w:rsid w:val="00C20AE4"/>
    <w:rsid w:val="00C20CAA"/>
    <w:rsid w:val="00C21A19"/>
    <w:rsid w:val="00C24067"/>
    <w:rsid w:val="00C259BC"/>
    <w:rsid w:val="00C26743"/>
    <w:rsid w:val="00C26C55"/>
    <w:rsid w:val="00C27557"/>
    <w:rsid w:val="00C30F1E"/>
    <w:rsid w:val="00C3191A"/>
    <w:rsid w:val="00C33874"/>
    <w:rsid w:val="00C33C82"/>
    <w:rsid w:val="00C347F4"/>
    <w:rsid w:val="00C34D04"/>
    <w:rsid w:val="00C373AE"/>
    <w:rsid w:val="00C40631"/>
    <w:rsid w:val="00C419D8"/>
    <w:rsid w:val="00C41DD2"/>
    <w:rsid w:val="00C4399C"/>
    <w:rsid w:val="00C50413"/>
    <w:rsid w:val="00C51E3C"/>
    <w:rsid w:val="00C53033"/>
    <w:rsid w:val="00C53948"/>
    <w:rsid w:val="00C548D3"/>
    <w:rsid w:val="00C55438"/>
    <w:rsid w:val="00C55A8F"/>
    <w:rsid w:val="00C561DF"/>
    <w:rsid w:val="00C571DC"/>
    <w:rsid w:val="00C61BD7"/>
    <w:rsid w:val="00C63C71"/>
    <w:rsid w:val="00C64116"/>
    <w:rsid w:val="00C643CF"/>
    <w:rsid w:val="00C652E9"/>
    <w:rsid w:val="00C65539"/>
    <w:rsid w:val="00C66208"/>
    <w:rsid w:val="00C70DDF"/>
    <w:rsid w:val="00C71D48"/>
    <w:rsid w:val="00C73AB8"/>
    <w:rsid w:val="00C757D0"/>
    <w:rsid w:val="00C820FA"/>
    <w:rsid w:val="00C84937"/>
    <w:rsid w:val="00C863B9"/>
    <w:rsid w:val="00C87F67"/>
    <w:rsid w:val="00C910C3"/>
    <w:rsid w:val="00C9204E"/>
    <w:rsid w:val="00C92568"/>
    <w:rsid w:val="00C92ACA"/>
    <w:rsid w:val="00C93B55"/>
    <w:rsid w:val="00CA0466"/>
    <w:rsid w:val="00CA0EB1"/>
    <w:rsid w:val="00CA181A"/>
    <w:rsid w:val="00CA1945"/>
    <w:rsid w:val="00CA20D8"/>
    <w:rsid w:val="00CA2E6D"/>
    <w:rsid w:val="00CA3E09"/>
    <w:rsid w:val="00CA52FC"/>
    <w:rsid w:val="00CA5395"/>
    <w:rsid w:val="00CA636E"/>
    <w:rsid w:val="00CA7A73"/>
    <w:rsid w:val="00CB2570"/>
    <w:rsid w:val="00CB2880"/>
    <w:rsid w:val="00CB4410"/>
    <w:rsid w:val="00CB5DC9"/>
    <w:rsid w:val="00CB61AE"/>
    <w:rsid w:val="00CB7663"/>
    <w:rsid w:val="00CB7D31"/>
    <w:rsid w:val="00CC24DD"/>
    <w:rsid w:val="00CC3B7C"/>
    <w:rsid w:val="00CD10CF"/>
    <w:rsid w:val="00CD44DD"/>
    <w:rsid w:val="00CD790B"/>
    <w:rsid w:val="00CE0273"/>
    <w:rsid w:val="00CE0A67"/>
    <w:rsid w:val="00CE1EE9"/>
    <w:rsid w:val="00CE23AE"/>
    <w:rsid w:val="00CE39F8"/>
    <w:rsid w:val="00CE3A8F"/>
    <w:rsid w:val="00CE4982"/>
    <w:rsid w:val="00CE5115"/>
    <w:rsid w:val="00CE5B9B"/>
    <w:rsid w:val="00CF3E39"/>
    <w:rsid w:val="00CF3F68"/>
    <w:rsid w:val="00CF6DEA"/>
    <w:rsid w:val="00D01569"/>
    <w:rsid w:val="00D020FF"/>
    <w:rsid w:val="00D02D60"/>
    <w:rsid w:val="00D050D1"/>
    <w:rsid w:val="00D10326"/>
    <w:rsid w:val="00D1152E"/>
    <w:rsid w:val="00D137DB"/>
    <w:rsid w:val="00D13D1D"/>
    <w:rsid w:val="00D13D7C"/>
    <w:rsid w:val="00D158B0"/>
    <w:rsid w:val="00D202D1"/>
    <w:rsid w:val="00D21FDD"/>
    <w:rsid w:val="00D2490B"/>
    <w:rsid w:val="00D26744"/>
    <w:rsid w:val="00D31B92"/>
    <w:rsid w:val="00D31C78"/>
    <w:rsid w:val="00D34AE9"/>
    <w:rsid w:val="00D34C59"/>
    <w:rsid w:val="00D34D91"/>
    <w:rsid w:val="00D366FC"/>
    <w:rsid w:val="00D36B2C"/>
    <w:rsid w:val="00D4540F"/>
    <w:rsid w:val="00D45F95"/>
    <w:rsid w:val="00D46A6F"/>
    <w:rsid w:val="00D518B9"/>
    <w:rsid w:val="00D51B62"/>
    <w:rsid w:val="00D5223B"/>
    <w:rsid w:val="00D54ACC"/>
    <w:rsid w:val="00D54B3F"/>
    <w:rsid w:val="00D56E29"/>
    <w:rsid w:val="00D60D48"/>
    <w:rsid w:val="00D60FB7"/>
    <w:rsid w:val="00D61860"/>
    <w:rsid w:val="00D61C36"/>
    <w:rsid w:val="00D6452E"/>
    <w:rsid w:val="00D652DB"/>
    <w:rsid w:val="00D659CD"/>
    <w:rsid w:val="00D70AE4"/>
    <w:rsid w:val="00D70DE3"/>
    <w:rsid w:val="00D719B2"/>
    <w:rsid w:val="00D77E4D"/>
    <w:rsid w:val="00D81B27"/>
    <w:rsid w:val="00D82F61"/>
    <w:rsid w:val="00D84951"/>
    <w:rsid w:val="00D87BEB"/>
    <w:rsid w:val="00D87E1F"/>
    <w:rsid w:val="00D90F10"/>
    <w:rsid w:val="00D96CF0"/>
    <w:rsid w:val="00D96FEF"/>
    <w:rsid w:val="00D97B60"/>
    <w:rsid w:val="00DA0585"/>
    <w:rsid w:val="00DA61F7"/>
    <w:rsid w:val="00DA6CEF"/>
    <w:rsid w:val="00DA6E7D"/>
    <w:rsid w:val="00DA70EB"/>
    <w:rsid w:val="00DB097E"/>
    <w:rsid w:val="00DB38B8"/>
    <w:rsid w:val="00DB38DB"/>
    <w:rsid w:val="00DB686A"/>
    <w:rsid w:val="00DC1826"/>
    <w:rsid w:val="00DC22B6"/>
    <w:rsid w:val="00DC241E"/>
    <w:rsid w:val="00DC336F"/>
    <w:rsid w:val="00DC3687"/>
    <w:rsid w:val="00DC53FD"/>
    <w:rsid w:val="00DC6541"/>
    <w:rsid w:val="00DC7771"/>
    <w:rsid w:val="00DD06C2"/>
    <w:rsid w:val="00DD1BDA"/>
    <w:rsid w:val="00DD3135"/>
    <w:rsid w:val="00DD3F86"/>
    <w:rsid w:val="00DD4031"/>
    <w:rsid w:val="00DD7532"/>
    <w:rsid w:val="00DE41AE"/>
    <w:rsid w:val="00DE5BDA"/>
    <w:rsid w:val="00DE681C"/>
    <w:rsid w:val="00DE6F62"/>
    <w:rsid w:val="00DE794A"/>
    <w:rsid w:val="00DF141E"/>
    <w:rsid w:val="00DF27A0"/>
    <w:rsid w:val="00DF70EF"/>
    <w:rsid w:val="00DF7AA8"/>
    <w:rsid w:val="00E0057C"/>
    <w:rsid w:val="00E02FBC"/>
    <w:rsid w:val="00E0464F"/>
    <w:rsid w:val="00E04ABD"/>
    <w:rsid w:val="00E05ECF"/>
    <w:rsid w:val="00E06FE8"/>
    <w:rsid w:val="00E07132"/>
    <w:rsid w:val="00E10780"/>
    <w:rsid w:val="00E10FD4"/>
    <w:rsid w:val="00E114C5"/>
    <w:rsid w:val="00E14BA7"/>
    <w:rsid w:val="00E15B60"/>
    <w:rsid w:val="00E16D64"/>
    <w:rsid w:val="00E17A60"/>
    <w:rsid w:val="00E17F93"/>
    <w:rsid w:val="00E20C5A"/>
    <w:rsid w:val="00E234BE"/>
    <w:rsid w:val="00E2387A"/>
    <w:rsid w:val="00E30870"/>
    <w:rsid w:val="00E30D42"/>
    <w:rsid w:val="00E31F44"/>
    <w:rsid w:val="00E3476A"/>
    <w:rsid w:val="00E34850"/>
    <w:rsid w:val="00E360E9"/>
    <w:rsid w:val="00E37B94"/>
    <w:rsid w:val="00E41391"/>
    <w:rsid w:val="00E43F2E"/>
    <w:rsid w:val="00E46B5E"/>
    <w:rsid w:val="00E5133F"/>
    <w:rsid w:val="00E52207"/>
    <w:rsid w:val="00E53913"/>
    <w:rsid w:val="00E54BCC"/>
    <w:rsid w:val="00E5603C"/>
    <w:rsid w:val="00E60595"/>
    <w:rsid w:val="00E61392"/>
    <w:rsid w:val="00E64FD9"/>
    <w:rsid w:val="00E656C4"/>
    <w:rsid w:val="00E66458"/>
    <w:rsid w:val="00E70223"/>
    <w:rsid w:val="00E71EB2"/>
    <w:rsid w:val="00E733E9"/>
    <w:rsid w:val="00E738A8"/>
    <w:rsid w:val="00E73D20"/>
    <w:rsid w:val="00E76229"/>
    <w:rsid w:val="00E80E97"/>
    <w:rsid w:val="00E81168"/>
    <w:rsid w:val="00E81FEB"/>
    <w:rsid w:val="00E82BFE"/>
    <w:rsid w:val="00E84925"/>
    <w:rsid w:val="00E862C6"/>
    <w:rsid w:val="00E9059D"/>
    <w:rsid w:val="00E90AE3"/>
    <w:rsid w:val="00E9101D"/>
    <w:rsid w:val="00E91CEF"/>
    <w:rsid w:val="00E94230"/>
    <w:rsid w:val="00E94B97"/>
    <w:rsid w:val="00E964B6"/>
    <w:rsid w:val="00EA0580"/>
    <w:rsid w:val="00EA0911"/>
    <w:rsid w:val="00EA0AA6"/>
    <w:rsid w:val="00EA0FF1"/>
    <w:rsid w:val="00EA394E"/>
    <w:rsid w:val="00EA463F"/>
    <w:rsid w:val="00EA4C69"/>
    <w:rsid w:val="00EA6479"/>
    <w:rsid w:val="00EA6CD5"/>
    <w:rsid w:val="00EA7656"/>
    <w:rsid w:val="00EB02E5"/>
    <w:rsid w:val="00EB0594"/>
    <w:rsid w:val="00EB0B9F"/>
    <w:rsid w:val="00EB59A9"/>
    <w:rsid w:val="00EB651B"/>
    <w:rsid w:val="00EC49D2"/>
    <w:rsid w:val="00EC4EE2"/>
    <w:rsid w:val="00EC5CC9"/>
    <w:rsid w:val="00EC5E74"/>
    <w:rsid w:val="00ED1D83"/>
    <w:rsid w:val="00ED2253"/>
    <w:rsid w:val="00ED240B"/>
    <w:rsid w:val="00ED5080"/>
    <w:rsid w:val="00EE0466"/>
    <w:rsid w:val="00EE0EF7"/>
    <w:rsid w:val="00EE14AA"/>
    <w:rsid w:val="00EE32BB"/>
    <w:rsid w:val="00EE6705"/>
    <w:rsid w:val="00EE7D8D"/>
    <w:rsid w:val="00EF0910"/>
    <w:rsid w:val="00EF423F"/>
    <w:rsid w:val="00EF6BBD"/>
    <w:rsid w:val="00F0135F"/>
    <w:rsid w:val="00F030F2"/>
    <w:rsid w:val="00F04753"/>
    <w:rsid w:val="00F06712"/>
    <w:rsid w:val="00F14898"/>
    <w:rsid w:val="00F14D99"/>
    <w:rsid w:val="00F16954"/>
    <w:rsid w:val="00F2027F"/>
    <w:rsid w:val="00F20B02"/>
    <w:rsid w:val="00F22AD0"/>
    <w:rsid w:val="00F2601B"/>
    <w:rsid w:val="00F26CD5"/>
    <w:rsid w:val="00F302F4"/>
    <w:rsid w:val="00F31B3A"/>
    <w:rsid w:val="00F35E10"/>
    <w:rsid w:val="00F37185"/>
    <w:rsid w:val="00F4089B"/>
    <w:rsid w:val="00F41330"/>
    <w:rsid w:val="00F41C68"/>
    <w:rsid w:val="00F424B0"/>
    <w:rsid w:val="00F43E64"/>
    <w:rsid w:val="00F460E0"/>
    <w:rsid w:val="00F5093E"/>
    <w:rsid w:val="00F5102B"/>
    <w:rsid w:val="00F576FF"/>
    <w:rsid w:val="00F61206"/>
    <w:rsid w:val="00F63230"/>
    <w:rsid w:val="00F63BE2"/>
    <w:rsid w:val="00F64359"/>
    <w:rsid w:val="00F6458C"/>
    <w:rsid w:val="00F651F4"/>
    <w:rsid w:val="00F660F2"/>
    <w:rsid w:val="00F6784D"/>
    <w:rsid w:val="00F72E4B"/>
    <w:rsid w:val="00F73828"/>
    <w:rsid w:val="00F74181"/>
    <w:rsid w:val="00F74B6F"/>
    <w:rsid w:val="00F76F64"/>
    <w:rsid w:val="00F80691"/>
    <w:rsid w:val="00F81227"/>
    <w:rsid w:val="00F8145A"/>
    <w:rsid w:val="00F832B7"/>
    <w:rsid w:val="00F839F7"/>
    <w:rsid w:val="00F84E8E"/>
    <w:rsid w:val="00F85C48"/>
    <w:rsid w:val="00F874CB"/>
    <w:rsid w:val="00F903C5"/>
    <w:rsid w:val="00F907A8"/>
    <w:rsid w:val="00F92E38"/>
    <w:rsid w:val="00F94EA2"/>
    <w:rsid w:val="00F9612C"/>
    <w:rsid w:val="00F965B6"/>
    <w:rsid w:val="00F9679A"/>
    <w:rsid w:val="00F96B98"/>
    <w:rsid w:val="00F96C77"/>
    <w:rsid w:val="00F97C28"/>
    <w:rsid w:val="00FA0123"/>
    <w:rsid w:val="00FA1437"/>
    <w:rsid w:val="00FA1B83"/>
    <w:rsid w:val="00FA2FA3"/>
    <w:rsid w:val="00FA5A7C"/>
    <w:rsid w:val="00FB46E4"/>
    <w:rsid w:val="00FB63E7"/>
    <w:rsid w:val="00FC03AD"/>
    <w:rsid w:val="00FC085C"/>
    <w:rsid w:val="00FC3FD2"/>
    <w:rsid w:val="00FC7EEF"/>
    <w:rsid w:val="00FD0F98"/>
    <w:rsid w:val="00FD39FD"/>
    <w:rsid w:val="00FD43A5"/>
    <w:rsid w:val="00FD68DD"/>
    <w:rsid w:val="00FD6B86"/>
    <w:rsid w:val="00FE15AE"/>
    <w:rsid w:val="00FE5010"/>
    <w:rsid w:val="00FE5FD6"/>
    <w:rsid w:val="00FE641E"/>
    <w:rsid w:val="00FF1494"/>
    <w:rsid w:val="00FF37DB"/>
    <w:rsid w:val="00FF3ED0"/>
    <w:rsid w:val="00FF6595"/>
    <w:rsid w:val="00FF6FCF"/>
    <w:rsid w:val="00FF74FC"/>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1E7364"/>
  <w15:docId w15:val="{7087713E-BF7A-4C40-A69A-953083B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3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3C"/>
    <w:pPr>
      <w:widowControl w:val="0"/>
      <w:adjustRightInd w:val="0"/>
      <w:spacing w:after="0" w:line="0" w:lineRule="atLeast"/>
      <w:jc w:val="both"/>
      <w:textAlignment w:val="baseline"/>
    </w:pPr>
    <w:rPr>
      <w:rFonts w:ascii="Verdana" w:eastAsia="Times New Roman" w:hAnsi="Verdana" w:cs="Times New Roman"/>
      <w:sz w:val="20"/>
      <w:szCs w:val="24"/>
      <w:lang w:eastAsia="es-CR"/>
    </w:rPr>
  </w:style>
  <w:style w:type="paragraph" w:styleId="Ttulo1">
    <w:name w:val="heading 1"/>
    <w:aliases w:val="Título Verdana"/>
    <w:basedOn w:val="Normal"/>
    <w:next w:val="Normal"/>
    <w:link w:val="Ttulo1Car"/>
    <w:uiPriority w:val="9"/>
    <w:qFormat/>
    <w:rsid w:val="00C51E3C"/>
    <w:pPr>
      <w:keepNext/>
      <w:keepLines/>
      <w:tabs>
        <w:tab w:val="left" w:pos="720"/>
      </w:tabs>
      <w:spacing w:line="240" w:lineRule="auto"/>
      <w:jc w:val="center"/>
      <w:outlineLvl w:val="0"/>
    </w:pPr>
    <w:rPr>
      <w:rFonts w:eastAsia="MS ????"/>
      <w:b/>
      <w:bCs/>
      <w:caps/>
      <w:snapToGrid w:val="0"/>
      <w:spacing w:val="-2"/>
      <w:szCs w:val="20"/>
      <w:lang w:val="x-none" w:eastAsia="es-ES"/>
    </w:rPr>
  </w:style>
  <w:style w:type="paragraph" w:styleId="Ttulo2">
    <w:name w:val="heading 2"/>
    <w:next w:val="Normal"/>
    <w:link w:val="Ttulo2Car"/>
    <w:uiPriority w:val="9"/>
    <w:qFormat/>
    <w:rsid w:val="009F36A1"/>
    <w:pPr>
      <w:widowControl w:val="0"/>
      <w:numPr>
        <w:ilvl w:val="1"/>
        <w:numId w:val="7"/>
      </w:numPr>
      <w:tabs>
        <w:tab w:val="left" w:pos="720"/>
      </w:tabs>
      <w:adjustRightInd w:val="0"/>
      <w:spacing w:after="0"/>
      <w:contextualSpacing/>
      <w:jc w:val="both"/>
      <w:textAlignment w:val="baseline"/>
      <w:outlineLvl w:val="1"/>
    </w:pPr>
    <w:rPr>
      <w:rFonts w:ascii="Verdana" w:eastAsia="Calibri" w:hAnsi="Verdana" w:cs="Times New Roman"/>
      <w:b/>
      <w:i/>
      <w:spacing w:val="-2"/>
      <w:sz w:val="20"/>
      <w:szCs w:val="20"/>
      <w:lang w:eastAsia="es-MX"/>
    </w:rPr>
  </w:style>
  <w:style w:type="paragraph" w:styleId="Ttulo3">
    <w:name w:val="heading 3"/>
    <w:basedOn w:val="Normal"/>
    <w:next w:val="Normal"/>
    <w:link w:val="Ttulo3Car"/>
    <w:uiPriority w:val="9"/>
    <w:qFormat/>
    <w:rsid w:val="00C51E3C"/>
    <w:pPr>
      <w:widowControl/>
      <w:tabs>
        <w:tab w:val="left" w:pos="567"/>
      </w:tabs>
      <w:autoSpaceDE w:val="0"/>
      <w:autoSpaceDN w:val="0"/>
      <w:adjustRightInd/>
      <w:spacing w:line="240" w:lineRule="auto"/>
      <w:ind w:left="1416"/>
      <w:contextualSpacing/>
      <w:textAlignment w:val="auto"/>
      <w:outlineLvl w:val="2"/>
    </w:pPr>
    <w:rPr>
      <w:rFonts w:eastAsia="Calibri"/>
      <w:b/>
      <w:spacing w:val="-2"/>
      <w:szCs w:val="20"/>
      <w:lang w:val="es-ES" w:eastAsia="x-none"/>
    </w:rPr>
  </w:style>
  <w:style w:type="paragraph" w:styleId="Ttulo4">
    <w:name w:val="heading 4"/>
    <w:basedOn w:val="Normal"/>
    <w:next w:val="Normal"/>
    <w:link w:val="Ttulo4Car"/>
    <w:uiPriority w:val="9"/>
    <w:qFormat/>
    <w:rsid w:val="00B4473B"/>
    <w:pPr>
      <w:spacing w:line="240" w:lineRule="auto"/>
      <w:ind w:left="2124"/>
      <w:outlineLvl w:val="3"/>
    </w:pPr>
    <w:rPr>
      <w:rFonts w:eastAsia="Batang"/>
      <w:i/>
      <w:spacing w:val="-2"/>
      <w:szCs w:val="20"/>
      <w:u w:val="single"/>
    </w:rPr>
  </w:style>
  <w:style w:type="paragraph" w:styleId="Ttulo5">
    <w:name w:val="heading 5"/>
    <w:next w:val="Normal"/>
    <w:link w:val="Ttulo5Car"/>
    <w:uiPriority w:val="9"/>
    <w:qFormat/>
    <w:rsid w:val="00C51E3C"/>
    <w:pPr>
      <w:ind w:left="2160"/>
      <w:jc w:val="both"/>
      <w:outlineLvl w:val="4"/>
    </w:pPr>
    <w:rPr>
      <w:rFonts w:ascii="Verdana" w:eastAsia="Times New Roman" w:hAnsi="Verdana" w:cs="Times New Roman"/>
      <w:spacing w:val="-2"/>
      <w:sz w:val="20"/>
      <w:szCs w:val="20"/>
      <w:u w:val="single"/>
      <w:lang w:val="es-ES_tradnl" w:eastAsia="es-CR"/>
    </w:rPr>
  </w:style>
  <w:style w:type="paragraph" w:styleId="Ttulo6">
    <w:name w:val="heading 6"/>
    <w:basedOn w:val="Ttulo5"/>
    <w:next w:val="Normal"/>
    <w:link w:val="Ttulo6Car"/>
    <w:uiPriority w:val="9"/>
    <w:qFormat/>
    <w:rsid w:val="00075CBC"/>
    <w:pPr>
      <w:ind w:left="2694" w:hanging="360"/>
      <w:outlineLvl w:val="5"/>
    </w:pPr>
    <w:rPr>
      <w:i/>
      <w:u w:val="none"/>
      <w:lang w:eastAsia="x-none" w:bidi="en-US"/>
    </w:rPr>
  </w:style>
  <w:style w:type="paragraph" w:styleId="Ttulo7">
    <w:name w:val="heading 7"/>
    <w:basedOn w:val="Normal"/>
    <w:next w:val="Normal"/>
    <w:link w:val="Ttulo7Car"/>
    <w:uiPriority w:val="9"/>
    <w:qFormat/>
    <w:rsid w:val="00C51E3C"/>
    <w:pPr>
      <w:widowControl/>
      <w:adjustRightInd/>
      <w:spacing w:line="276" w:lineRule="auto"/>
      <w:jc w:val="left"/>
      <w:textAlignment w:val="auto"/>
      <w:outlineLvl w:val="6"/>
    </w:pPr>
    <w:rPr>
      <w:rFonts w:ascii="Cambria" w:eastAsia="MS Gothic" w:hAnsi="Cambria"/>
      <w:i/>
      <w:iCs/>
      <w:sz w:val="22"/>
      <w:szCs w:val="22"/>
      <w:lang w:val="en-US" w:eastAsia="x-none" w:bidi="en-US"/>
    </w:rPr>
  </w:style>
  <w:style w:type="paragraph" w:styleId="Ttulo8">
    <w:name w:val="heading 8"/>
    <w:basedOn w:val="Normal"/>
    <w:next w:val="Normal"/>
    <w:link w:val="Ttulo8Car"/>
    <w:uiPriority w:val="9"/>
    <w:qFormat/>
    <w:rsid w:val="00C51E3C"/>
    <w:pPr>
      <w:widowControl/>
      <w:adjustRightInd/>
      <w:spacing w:line="276" w:lineRule="auto"/>
      <w:jc w:val="left"/>
      <w:textAlignment w:val="auto"/>
      <w:outlineLvl w:val="7"/>
    </w:pPr>
    <w:rPr>
      <w:rFonts w:ascii="Cambria" w:eastAsia="MS Gothic" w:hAnsi="Cambria"/>
      <w:szCs w:val="20"/>
      <w:lang w:val="en-US" w:eastAsia="x-none" w:bidi="en-US"/>
    </w:rPr>
  </w:style>
  <w:style w:type="paragraph" w:styleId="Ttulo9">
    <w:name w:val="heading 9"/>
    <w:basedOn w:val="Normal"/>
    <w:next w:val="Normal"/>
    <w:link w:val="Ttulo9Car"/>
    <w:uiPriority w:val="9"/>
    <w:qFormat/>
    <w:rsid w:val="00C51E3C"/>
    <w:pPr>
      <w:widowControl/>
      <w:adjustRightInd/>
      <w:spacing w:line="276" w:lineRule="auto"/>
      <w:jc w:val="left"/>
      <w:textAlignment w:val="auto"/>
      <w:outlineLvl w:val="8"/>
    </w:pPr>
    <w:rPr>
      <w:rFonts w:ascii="Cambria" w:eastAsia="MS Gothic" w:hAnsi="Cambria"/>
      <w:i/>
      <w:iCs/>
      <w:spacing w:val="5"/>
      <w:szCs w:val="20"/>
      <w:lang w:val="en-US" w:eastAsia="x-none"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Verdana Car"/>
    <w:basedOn w:val="Fuentedeprrafopredeter"/>
    <w:link w:val="Ttulo1"/>
    <w:uiPriority w:val="9"/>
    <w:rsid w:val="00C51E3C"/>
    <w:rPr>
      <w:rFonts w:ascii="Verdana" w:eastAsia="MS ????" w:hAnsi="Verdana" w:cs="Times New Roman"/>
      <w:b/>
      <w:bCs/>
      <w:caps/>
      <w:snapToGrid w:val="0"/>
      <w:spacing w:val="-2"/>
      <w:sz w:val="20"/>
      <w:szCs w:val="20"/>
      <w:lang w:val="x-none" w:eastAsia="es-ES"/>
    </w:rPr>
  </w:style>
  <w:style w:type="character" w:customStyle="1" w:styleId="Ttulo2Car">
    <w:name w:val="Título 2 Car"/>
    <w:basedOn w:val="Fuentedeprrafopredeter"/>
    <w:link w:val="Ttulo2"/>
    <w:uiPriority w:val="9"/>
    <w:rsid w:val="009F36A1"/>
    <w:rPr>
      <w:rFonts w:ascii="Verdana" w:eastAsia="Calibri" w:hAnsi="Verdana" w:cs="Times New Roman"/>
      <w:b/>
      <w:i/>
      <w:spacing w:val="-2"/>
      <w:sz w:val="20"/>
      <w:szCs w:val="20"/>
      <w:lang w:eastAsia="es-MX"/>
    </w:rPr>
  </w:style>
  <w:style w:type="character" w:customStyle="1" w:styleId="Ttulo3Car">
    <w:name w:val="Título 3 Car"/>
    <w:basedOn w:val="Fuentedeprrafopredeter"/>
    <w:link w:val="Ttulo3"/>
    <w:uiPriority w:val="9"/>
    <w:rsid w:val="00C51E3C"/>
    <w:rPr>
      <w:rFonts w:ascii="Verdana" w:eastAsia="Calibri" w:hAnsi="Verdana" w:cs="Times New Roman"/>
      <w:b/>
      <w:spacing w:val="-2"/>
      <w:sz w:val="20"/>
      <w:szCs w:val="20"/>
      <w:lang w:val="es-ES" w:eastAsia="x-none"/>
    </w:rPr>
  </w:style>
  <w:style w:type="character" w:customStyle="1" w:styleId="Ttulo4Car">
    <w:name w:val="Título 4 Car"/>
    <w:basedOn w:val="Fuentedeprrafopredeter"/>
    <w:link w:val="Ttulo4"/>
    <w:uiPriority w:val="9"/>
    <w:rsid w:val="00B4473B"/>
    <w:rPr>
      <w:rFonts w:ascii="Verdana" w:eastAsia="Batang" w:hAnsi="Verdana" w:cs="Times New Roman"/>
      <w:i/>
      <w:spacing w:val="-2"/>
      <w:sz w:val="20"/>
      <w:szCs w:val="20"/>
      <w:u w:val="single"/>
      <w:lang w:eastAsia="es-CR"/>
    </w:rPr>
  </w:style>
  <w:style w:type="character" w:customStyle="1" w:styleId="Ttulo5Car">
    <w:name w:val="Título 5 Car"/>
    <w:basedOn w:val="Fuentedeprrafopredeter"/>
    <w:link w:val="Ttulo5"/>
    <w:uiPriority w:val="9"/>
    <w:rsid w:val="00C51E3C"/>
    <w:rPr>
      <w:rFonts w:ascii="Verdana" w:eastAsia="Times New Roman" w:hAnsi="Verdana" w:cs="Times New Roman"/>
      <w:spacing w:val="-2"/>
      <w:sz w:val="20"/>
      <w:szCs w:val="20"/>
      <w:u w:val="single"/>
      <w:lang w:val="es-ES_tradnl" w:eastAsia="es-CR"/>
    </w:rPr>
  </w:style>
  <w:style w:type="character" w:customStyle="1" w:styleId="Ttulo6Car">
    <w:name w:val="Título 6 Car"/>
    <w:basedOn w:val="Fuentedeprrafopredeter"/>
    <w:link w:val="Ttulo6"/>
    <w:uiPriority w:val="9"/>
    <w:rsid w:val="00075CBC"/>
    <w:rPr>
      <w:rFonts w:ascii="Verdana" w:eastAsia="Times New Roman" w:hAnsi="Verdana" w:cs="Times New Roman"/>
      <w:i/>
      <w:spacing w:val="-2"/>
      <w:sz w:val="20"/>
      <w:szCs w:val="20"/>
      <w:lang w:val="es-ES_tradnl" w:eastAsia="x-none" w:bidi="en-US"/>
    </w:rPr>
  </w:style>
  <w:style w:type="character" w:customStyle="1" w:styleId="Ttulo7Car">
    <w:name w:val="Título 7 Car"/>
    <w:basedOn w:val="Fuentedeprrafopredeter"/>
    <w:link w:val="Ttulo7"/>
    <w:uiPriority w:val="9"/>
    <w:rsid w:val="00C51E3C"/>
    <w:rPr>
      <w:rFonts w:ascii="Cambria" w:eastAsia="MS Gothic" w:hAnsi="Cambria" w:cs="Times New Roman"/>
      <w:i/>
      <w:iCs/>
      <w:lang w:val="en-US" w:eastAsia="x-none" w:bidi="en-US"/>
    </w:rPr>
  </w:style>
  <w:style w:type="character" w:customStyle="1" w:styleId="Ttulo8Car">
    <w:name w:val="Título 8 Car"/>
    <w:basedOn w:val="Fuentedeprrafopredeter"/>
    <w:link w:val="Ttulo8"/>
    <w:uiPriority w:val="9"/>
    <w:rsid w:val="00C51E3C"/>
    <w:rPr>
      <w:rFonts w:ascii="Cambria" w:eastAsia="MS Gothic" w:hAnsi="Cambria" w:cs="Times New Roman"/>
      <w:sz w:val="20"/>
      <w:szCs w:val="20"/>
      <w:lang w:val="en-US" w:eastAsia="x-none" w:bidi="en-US"/>
    </w:rPr>
  </w:style>
  <w:style w:type="character" w:customStyle="1" w:styleId="Ttulo9Car">
    <w:name w:val="Título 9 Car"/>
    <w:basedOn w:val="Fuentedeprrafopredeter"/>
    <w:link w:val="Ttulo9"/>
    <w:uiPriority w:val="9"/>
    <w:rsid w:val="00C51E3C"/>
    <w:rPr>
      <w:rFonts w:ascii="Cambria" w:eastAsia="MS Gothic" w:hAnsi="Cambria" w:cs="Times New Roman"/>
      <w:i/>
      <w:iCs/>
      <w:spacing w:val="5"/>
      <w:sz w:val="20"/>
      <w:szCs w:val="20"/>
      <w:lang w:val="en-US" w:eastAsia="x-none" w:bidi="en-US"/>
    </w:rPr>
  </w:style>
  <w:style w:type="paragraph" w:styleId="NormalWeb">
    <w:name w:val="Normal (Web)"/>
    <w:aliases w:val="Normal (Web) Char1,Normal (Web) Char Char,Normal (Web) Char1 Char,Normal (Web) Char Char Char"/>
    <w:basedOn w:val="Normal"/>
    <w:uiPriority w:val="99"/>
    <w:unhideWhenUsed/>
    <w:rsid w:val="00C51E3C"/>
  </w:style>
  <w:style w:type="paragraph" w:styleId="Sangradetextonormal">
    <w:name w:val="Body Text Indent"/>
    <w:basedOn w:val="Normal"/>
    <w:link w:val="SangradetextonormalCar"/>
    <w:uiPriority w:val="99"/>
    <w:unhideWhenUsed/>
    <w:rsid w:val="00C51E3C"/>
    <w:pPr>
      <w:numPr>
        <w:numId w:val="4"/>
      </w:numPr>
      <w:spacing w:after="120"/>
      <w:ind w:left="283" w:firstLine="0"/>
    </w:pPr>
  </w:style>
  <w:style w:type="character" w:customStyle="1" w:styleId="SangradetextonormalCar">
    <w:name w:val="Sangría de texto normal Car"/>
    <w:basedOn w:val="Fuentedeprrafopredeter"/>
    <w:link w:val="Sangradetextonormal"/>
    <w:uiPriority w:val="99"/>
    <w:rsid w:val="00C51E3C"/>
    <w:rPr>
      <w:rFonts w:ascii="Verdana" w:eastAsia="Times New Roman" w:hAnsi="Verdana" w:cs="Times New Roman"/>
      <w:sz w:val="20"/>
      <w:szCs w:val="24"/>
      <w:lang w:eastAsia="es-CR"/>
    </w:rPr>
  </w:style>
  <w:style w:type="character" w:styleId="Refdenotaalpie">
    <w:name w:val="footnote reference"/>
    <w:aliases w:val="Appel note de bas de page,Footnotes refss,Footnote number,referencia nota al pie,BVI fnr,f,4_G,16 Point,Superscript 6 Point,Texto nota al pie,Footnote Reference Char3,Footnote Reference Char1 Char,Ref. de nota al,Ref. de nota al pi"/>
    <w:uiPriority w:val="99"/>
    <w:qFormat/>
    <w:rsid w:val="00C51E3C"/>
    <w:rPr>
      <w:vertAlign w:val="superscript"/>
    </w:rPr>
  </w:style>
  <w:style w:type="character" w:customStyle="1" w:styleId="apple-converted-space">
    <w:name w:val="apple-converted-space"/>
    <w:basedOn w:val="Fuentedeprrafopredeter"/>
    <w:rsid w:val="00C51E3C"/>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qFormat/>
    <w:rsid w:val="003D29C5"/>
    <w:pPr>
      <w:spacing w:before="120" w:after="120" w:line="240" w:lineRule="auto"/>
    </w:pPr>
    <w:rPr>
      <w:sz w:val="16"/>
      <w:szCs w:val="20"/>
      <w:lang w:val="es-ES_tradnl"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3D29C5"/>
    <w:rPr>
      <w:rFonts w:ascii="Verdana" w:eastAsia="Times New Roman" w:hAnsi="Verdana" w:cs="Times New Roman"/>
      <w:sz w:val="16"/>
      <w:szCs w:val="20"/>
      <w:lang w:val="es-ES_tradnl" w:eastAsia="x-none"/>
    </w:rPr>
  </w:style>
  <w:style w:type="paragraph" w:customStyle="1" w:styleId="Body1">
    <w:name w:val="Body 1"/>
    <w:link w:val="Body1Char"/>
    <w:uiPriority w:val="99"/>
    <w:rsid w:val="00C51E3C"/>
    <w:pPr>
      <w:widowControl w:val="0"/>
      <w:adjustRightInd w:val="0"/>
      <w:spacing w:after="0" w:line="240" w:lineRule="auto"/>
      <w:jc w:val="both"/>
      <w:textAlignment w:val="baseline"/>
      <w:outlineLvl w:val="0"/>
    </w:pPr>
    <w:rPr>
      <w:rFonts w:ascii="Helvetica" w:eastAsia="ヒラギノ角ゴ Pro W3" w:hAnsi="Helvetica" w:cs="Times New Roman"/>
      <w:color w:val="000000"/>
      <w:lang w:val="en-US" w:eastAsia="es-CR"/>
    </w:rPr>
  </w:style>
  <w:style w:type="character" w:customStyle="1" w:styleId="Body1Char">
    <w:name w:val="Body 1 Char"/>
    <w:link w:val="Body1"/>
    <w:uiPriority w:val="99"/>
    <w:locked/>
    <w:rsid w:val="00C51E3C"/>
    <w:rPr>
      <w:rFonts w:ascii="Helvetica" w:eastAsia="ヒラギノ角ゴ Pro W3" w:hAnsi="Helvetica" w:cs="Times New Roman"/>
      <w:color w:val="000000"/>
      <w:lang w:val="en-US" w:eastAsia="es-CR"/>
    </w:rPr>
  </w:style>
  <w:style w:type="character" w:styleId="Hipervnculo">
    <w:name w:val="Hyperlink"/>
    <w:uiPriority w:val="99"/>
    <w:rsid w:val="00C51E3C"/>
    <w:rPr>
      <w:color w:val="0000FF"/>
      <w:u w:val="single"/>
    </w:rPr>
  </w:style>
  <w:style w:type="paragraph" w:customStyle="1" w:styleId="Default">
    <w:name w:val="Default"/>
    <w:rsid w:val="00C51E3C"/>
    <w:pPr>
      <w:autoSpaceDE w:val="0"/>
      <w:autoSpaceDN w:val="0"/>
      <w:adjustRightInd w:val="0"/>
      <w:spacing w:after="0" w:line="240" w:lineRule="auto"/>
    </w:pPr>
    <w:rPr>
      <w:rFonts w:ascii="Verdana" w:eastAsia="Calibri" w:hAnsi="Verdana" w:cs="Verdana"/>
      <w:color w:val="000000"/>
      <w:spacing w:val="-4"/>
      <w:sz w:val="24"/>
      <w:szCs w:val="24"/>
    </w:rPr>
  </w:style>
  <w:style w:type="character" w:styleId="Hipervnculovisitado">
    <w:name w:val="FollowedHyperlink"/>
    <w:uiPriority w:val="99"/>
    <w:semiHidden/>
    <w:unhideWhenUsed/>
    <w:rsid w:val="00C51E3C"/>
    <w:rPr>
      <w:color w:val="800080"/>
      <w:u w:val="single"/>
    </w:rPr>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uiPriority w:val="99"/>
    <w:rsid w:val="00C51E3C"/>
    <w:rPr>
      <w:rFonts w:ascii="Verdana" w:eastAsia="Times New Roman" w:hAnsi="Verdana" w:cs="Verdana"/>
      <w:sz w:val="16"/>
      <w:szCs w:val="16"/>
      <w:lang w:val="es-ES_tradnl"/>
    </w:rPr>
  </w:style>
  <w:style w:type="paragraph" w:customStyle="1" w:styleId="ListParagraph11">
    <w:name w:val="List Paragraph11"/>
    <w:basedOn w:val="Normal"/>
    <w:uiPriority w:val="99"/>
    <w:rsid w:val="00C51E3C"/>
    <w:pPr>
      <w:widowControl/>
      <w:adjustRightInd/>
      <w:spacing w:after="200" w:line="276" w:lineRule="auto"/>
      <w:ind w:left="720"/>
      <w:jc w:val="left"/>
      <w:textAlignment w:val="auto"/>
    </w:pPr>
    <w:rPr>
      <w:rFonts w:ascii="Times New Roman" w:hAnsi="Times New Roman"/>
      <w:lang w:val="en-US" w:eastAsia="en-US"/>
    </w:rPr>
  </w:style>
  <w:style w:type="paragraph" w:customStyle="1" w:styleId="PrrafodeSentencia">
    <w:name w:val="*. Párrafo de Sentencia"/>
    <w:basedOn w:val="Body1"/>
    <w:link w:val="PrrafodeSentenciaChar"/>
    <w:qFormat/>
    <w:rsid w:val="00DC6541"/>
    <w:pPr>
      <w:widowControl/>
      <w:numPr>
        <w:numId w:val="6"/>
      </w:numPr>
      <w:tabs>
        <w:tab w:val="left" w:pos="567"/>
      </w:tabs>
      <w:adjustRightInd/>
      <w:textAlignment w:val="auto"/>
      <w:outlineLvl w:val="9"/>
    </w:pPr>
    <w:rPr>
      <w:rFonts w:ascii="Verdana" w:eastAsia="Batang" w:hAnsi="Verdana"/>
      <w:color w:val="auto"/>
      <w:sz w:val="20"/>
      <w:szCs w:val="20"/>
      <w:lang w:val="es-ES_tradnl" w:eastAsia="es-MX"/>
    </w:rPr>
  </w:style>
  <w:style w:type="paragraph" w:customStyle="1" w:styleId="Estilo1">
    <w:name w:val="Estilo1"/>
    <w:basedOn w:val="Normal"/>
    <w:link w:val="Estilo1Car"/>
    <w:qFormat/>
    <w:rsid w:val="00C51E3C"/>
    <w:pPr>
      <w:widowControl/>
      <w:tabs>
        <w:tab w:val="left" w:pos="567"/>
        <w:tab w:val="left" w:pos="1134"/>
        <w:tab w:val="num" w:pos="6042"/>
      </w:tabs>
      <w:adjustRightInd/>
      <w:spacing w:after="120" w:line="240" w:lineRule="auto"/>
      <w:textAlignment w:val="auto"/>
    </w:pPr>
    <w:rPr>
      <w:rFonts w:eastAsia="Calibri"/>
      <w:szCs w:val="20"/>
      <w:lang w:val="es-ES" w:eastAsia="x-none"/>
    </w:rPr>
  </w:style>
  <w:style w:type="paragraph" w:customStyle="1" w:styleId="Estilo2">
    <w:name w:val="Estilo2"/>
    <w:basedOn w:val="Normal"/>
    <w:link w:val="Estilo2Car"/>
    <w:qFormat/>
    <w:rsid w:val="008E3B8F"/>
    <w:pPr>
      <w:keepNext/>
      <w:keepLines/>
      <w:jc w:val="center"/>
      <w:outlineLvl w:val="0"/>
    </w:pPr>
    <w:rPr>
      <w:rFonts w:eastAsia="Calibri" w:cs="Verdana"/>
      <w:b/>
      <w:bCs/>
      <w:caps/>
      <w:snapToGrid w:val="0"/>
      <w:spacing w:val="-2"/>
      <w:szCs w:val="20"/>
      <w:lang w:eastAsia="es-ES"/>
    </w:rPr>
  </w:style>
  <w:style w:type="character" w:customStyle="1" w:styleId="Estilo1Car">
    <w:name w:val="Estilo1 Car"/>
    <w:link w:val="Estilo1"/>
    <w:rsid w:val="00C51E3C"/>
    <w:rPr>
      <w:rFonts w:ascii="Verdana" w:eastAsia="Calibri" w:hAnsi="Verdana" w:cs="Times New Roman"/>
      <w:sz w:val="20"/>
      <w:szCs w:val="20"/>
      <w:lang w:val="es-ES" w:eastAsia="x-none"/>
    </w:rPr>
  </w:style>
  <w:style w:type="table" w:styleId="Cuadrculaclara-nfasis3">
    <w:name w:val="Light Grid Accent 3"/>
    <w:basedOn w:val="Tablanormal"/>
    <w:uiPriority w:val="99"/>
    <w:rsid w:val="00C51E3C"/>
    <w:pPr>
      <w:spacing w:after="0" w:line="240" w:lineRule="auto"/>
    </w:pPr>
    <w:rPr>
      <w:rFonts w:ascii="Verdana" w:eastAsia="Calibri" w:hAnsi="Verdana" w:cs="Times New Roman"/>
      <w:color w:val="000000"/>
      <w:sz w:val="20"/>
      <w:szCs w:val="20"/>
      <w:lang w:eastAsia="es-CR"/>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MediumGrid1-Accent2Char">
    <w:name w:val="Medium Grid 1 - Accent 2 Char"/>
    <w:aliases w:val="Footnote Char3"/>
    <w:rsid w:val="00C51E3C"/>
    <w:rPr>
      <w:rFonts w:eastAsia="Times New Roman"/>
      <w:spacing w:val="0"/>
      <w:lang w:eastAsia="es-CR"/>
    </w:rPr>
  </w:style>
  <w:style w:type="paragraph" w:customStyle="1" w:styleId="Estilo7">
    <w:name w:val="Estilo7"/>
    <w:basedOn w:val="Normal"/>
    <w:qFormat/>
    <w:rsid w:val="00C51E3C"/>
    <w:pPr>
      <w:widowControl/>
      <w:tabs>
        <w:tab w:val="left" w:pos="567"/>
        <w:tab w:val="left" w:pos="851"/>
        <w:tab w:val="num" w:pos="2160"/>
      </w:tabs>
      <w:adjustRightInd/>
      <w:spacing w:before="120" w:after="120" w:line="240" w:lineRule="auto"/>
      <w:ind w:left="2160" w:hanging="180"/>
      <w:textAlignment w:val="auto"/>
    </w:pPr>
    <w:rPr>
      <w:rFonts w:eastAsia="Batang"/>
      <w:b/>
      <w:i/>
      <w:szCs w:val="20"/>
      <w:lang w:val="es-ES_tradnl" w:eastAsia="es-MX"/>
    </w:rPr>
  </w:style>
  <w:style w:type="paragraph" w:styleId="Encabezado">
    <w:name w:val="header"/>
    <w:basedOn w:val="Normal"/>
    <w:link w:val="EncabezadoCar"/>
    <w:uiPriority w:val="99"/>
    <w:unhideWhenUsed/>
    <w:rsid w:val="00C51E3C"/>
    <w:pPr>
      <w:tabs>
        <w:tab w:val="center" w:pos="4320"/>
        <w:tab w:val="right" w:pos="8640"/>
      </w:tabs>
      <w:spacing w:line="240" w:lineRule="auto"/>
    </w:pPr>
    <w:rPr>
      <w:szCs w:val="20"/>
      <w:lang w:val="x-none"/>
    </w:rPr>
  </w:style>
  <w:style w:type="character" w:customStyle="1" w:styleId="EncabezadoCar">
    <w:name w:val="Encabezado Car"/>
    <w:basedOn w:val="Fuentedeprrafopredeter"/>
    <w:link w:val="Encabezado"/>
    <w:uiPriority w:val="99"/>
    <w:rsid w:val="00C51E3C"/>
    <w:rPr>
      <w:rFonts w:ascii="Verdana" w:eastAsia="Times New Roman" w:hAnsi="Verdana" w:cs="Times New Roman"/>
      <w:sz w:val="20"/>
      <w:szCs w:val="20"/>
      <w:lang w:val="x-none" w:eastAsia="es-CR"/>
    </w:rPr>
  </w:style>
  <w:style w:type="character" w:styleId="Nmerodepgina">
    <w:name w:val="page number"/>
    <w:basedOn w:val="Fuentedeprrafopredeter"/>
    <w:uiPriority w:val="99"/>
    <w:semiHidden/>
    <w:unhideWhenUsed/>
    <w:rsid w:val="00C51E3C"/>
  </w:style>
  <w:style w:type="paragraph" w:styleId="Piedepgina">
    <w:name w:val="footer"/>
    <w:basedOn w:val="Normal"/>
    <w:link w:val="PiedepginaCar"/>
    <w:uiPriority w:val="99"/>
    <w:unhideWhenUsed/>
    <w:rsid w:val="00C51E3C"/>
    <w:pPr>
      <w:tabs>
        <w:tab w:val="center" w:pos="4320"/>
        <w:tab w:val="right" w:pos="8640"/>
      </w:tabs>
      <w:spacing w:line="240" w:lineRule="auto"/>
    </w:pPr>
    <w:rPr>
      <w:szCs w:val="20"/>
      <w:lang w:val="x-none"/>
    </w:rPr>
  </w:style>
  <w:style w:type="character" w:customStyle="1" w:styleId="PiedepginaCar">
    <w:name w:val="Pie de página Car"/>
    <w:basedOn w:val="Fuentedeprrafopredeter"/>
    <w:link w:val="Piedepgina"/>
    <w:uiPriority w:val="99"/>
    <w:rsid w:val="00C51E3C"/>
    <w:rPr>
      <w:rFonts w:ascii="Verdana" w:eastAsia="Times New Roman" w:hAnsi="Verdana" w:cs="Times New Roman"/>
      <w:sz w:val="20"/>
      <w:szCs w:val="20"/>
      <w:lang w:val="x-none" w:eastAsia="es-CR"/>
    </w:rPr>
  </w:style>
  <w:style w:type="numbering" w:customStyle="1" w:styleId="NoList1">
    <w:name w:val="No List1"/>
    <w:next w:val="Sinlista"/>
    <w:uiPriority w:val="99"/>
    <w:semiHidden/>
    <w:unhideWhenUsed/>
    <w:rsid w:val="00C51E3C"/>
  </w:style>
  <w:style w:type="character" w:styleId="Refdecomentario">
    <w:name w:val="annotation reference"/>
    <w:uiPriority w:val="99"/>
    <w:unhideWhenUsed/>
    <w:rsid w:val="00C51E3C"/>
    <w:rPr>
      <w:sz w:val="16"/>
      <w:szCs w:val="16"/>
    </w:rPr>
  </w:style>
  <w:style w:type="paragraph" w:styleId="Textocomentario">
    <w:name w:val="annotation text"/>
    <w:basedOn w:val="Normal"/>
    <w:link w:val="TextocomentarioCar"/>
    <w:unhideWhenUsed/>
    <w:rsid w:val="00C51E3C"/>
    <w:pPr>
      <w:widowControl/>
      <w:adjustRightInd/>
      <w:spacing w:after="200" w:line="240" w:lineRule="auto"/>
      <w:jc w:val="left"/>
      <w:textAlignment w:val="auto"/>
    </w:pPr>
    <w:rPr>
      <w:rFonts w:ascii="Calibri" w:eastAsia="Calibri" w:hAnsi="Calibri"/>
      <w:szCs w:val="20"/>
      <w:lang w:val="x-none" w:eastAsia="x-none"/>
    </w:rPr>
  </w:style>
  <w:style w:type="character" w:customStyle="1" w:styleId="TextocomentarioCar">
    <w:name w:val="Texto comentario Car"/>
    <w:basedOn w:val="Fuentedeprrafopredeter"/>
    <w:link w:val="Textocomentario"/>
    <w:rsid w:val="00C51E3C"/>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C51E3C"/>
    <w:rPr>
      <w:b/>
      <w:bCs/>
    </w:rPr>
  </w:style>
  <w:style w:type="character" w:customStyle="1" w:styleId="AsuntodelcomentarioCar">
    <w:name w:val="Asunto del comentario Car"/>
    <w:basedOn w:val="TextocomentarioCar"/>
    <w:link w:val="Asuntodelcomentario"/>
    <w:uiPriority w:val="99"/>
    <w:semiHidden/>
    <w:rsid w:val="00C51E3C"/>
    <w:rPr>
      <w:rFonts w:ascii="Calibri" w:eastAsia="Calibri" w:hAnsi="Calibri" w:cs="Times New Roman"/>
      <w:b/>
      <w:bCs/>
      <w:sz w:val="20"/>
      <w:szCs w:val="20"/>
      <w:lang w:val="x-none" w:eastAsia="x-none"/>
    </w:rPr>
  </w:style>
  <w:style w:type="paragraph" w:styleId="Textodeglobo">
    <w:name w:val="Balloon Text"/>
    <w:basedOn w:val="Normal"/>
    <w:link w:val="TextodegloboCar"/>
    <w:uiPriority w:val="99"/>
    <w:semiHidden/>
    <w:unhideWhenUsed/>
    <w:rsid w:val="00C51E3C"/>
    <w:pPr>
      <w:widowControl/>
      <w:adjustRightInd/>
      <w:spacing w:line="240" w:lineRule="auto"/>
      <w:jc w:val="left"/>
      <w:textAlignment w:val="auto"/>
    </w:pPr>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C51E3C"/>
    <w:rPr>
      <w:rFonts w:ascii="Tahoma" w:eastAsia="Calibri" w:hAnsi="Tahoma" w:cs="Times New Roman"/>
      <w:sz w:val="16"/>
      <w:szCs w:val="16"/>
      <w:lang w:val="x-none" w:eastAsia="x-none"/>
    </w:rPr>
  </w:style>
  <w:style w:type="paragraph" w:styleId="Ttulo">
    <w:name w:val="Title"/>
    <w:basedOn w:val="Default"/>
    <w:next w:val="Default"/>
    <w:link w:val="TtuloCar"/>
    <w:qFormat/>
    <w:rsid w:val="00C51E3C"/>
    <w:rPr>
      <w:rFonts w:ascii="Times New Roman" w:hAnsi="Times New Roman" w:cs="Times New Roman"/>
      <w:color w:val="auto"/>
      <w:spacing w:val="0"/>
      <w:sz w:val="20"/>
      <w:szCs w:val="20"/>
      <w:lang w:val="en-US" w:eastAsia="x-none"/>
    </w:rPr>
  </w:style>
  <w:style w:type="character" w:customStyle="1" w:styleId="TtuloCar">
    <w:name w:val="Título Car"/>
    <w:basedOn w:val="Fuentedeprrafopredeter"/>
    <w:link w:val="Ttulo"/>
    <w:rsid w:val="00C51E3C"/>
    <w:rPr>
      <w:rFonts w:ascii="Times New Roman" w:eastAsia="Calibri" w:hAnsi="Times New Roman" w:cs="Times New Roman"/>
      <w:sz w:val="20"/>
      <w:szCs w:val="20"/>
      <w:lang w:val="en-US" w:eastAsia="x-none"/>
    </w:rPr>
  </w:style>
  <w:style w:type="paragraph" w:customStyle="1" w:styleId="PrrafoCVRNormal">
    <w:name w:val="Párrafo CVR Normal"/>
    <w:basedOn w:val="Default"/>
    <w:next w:val="Default"/>
    <w:uiPriority w:val="99"/>
    <w:rsid w:val="00C51E3C"/>
    <w:rPr>
      <w:rFonts w:ascii="Times New Roman" w:hAnsi="Times New Roman" w:cs="Times New Roman"/>
      <w:color w:val="auto"/>
      <w:spacing w:val="0"/>
    </w:rPr>
  </w:style>
  <w:style w:type="paragraph" w:customStyle="1" w:styleId="s30eec3f8">
    <w:name w:val="s30eec3f8"/>
    <w:basedOn w:val="Normal"/>
    <w:rsid w:val="00C51E3C"/>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sb8d990e2">
    <w:name w:val="sb8d990e2"/>
    <w:basedOn w:val="Fuentedeprrafopredeter"/>
    <w:rsid w:val="00C51E3C"/>
  </w:style>
  <w:style w:type="character" w:customStyle="1" w:styleId="s6b621b36">
    <w:name w:val="s6b621b36"/>
    <w:basedOn w:val="Fuentedeprrafopredeter"/>
    <w:rsid w:val="00C51E3C"/>
  </w:style>
  <w:style w:type="character" w:customStyle="1" w:styleId="sea881cdf">
    <w:name w:val="sea881cdf"/>
    <w:basedOn w:val="Fuentedeprrafopredeter"/>
    <w:rsid w:val="00C51E3C"/>
  </w:style>
  <w:style w:type="paragraph" w:customStyle="1" w:styleId="se5d6d4c3">
    <w:name w:val="se5d6d4c3"/>
    <w:basedOn w:val="Normal"/>
    <w:rsid w:val="00C51E3C"/>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sdfc50a6a">
    <w:name w:val="sdfc50a6a"/>
    <w:basedOn w:val="Fuentedeprrafopredeter"/>
    <w:rsid w:val="00C51E3C"/>
  </w:style>
  <w:style w:type="character" w:customStyle="1" w:styleId="column01">
    <w:name w:val="column01"/>
    <w:basedOn w:val="Fuentedeprrafopredeter"/>
    <w:rsid w:val="00C51E3C"/>
  </w:style>
  <w:style w:type="character" w:customStyle="1" w:styleId="column02">
    <w:name w:val="column02"/>
    <w:basedOn w:val="Fuentedeprrafopredeter"/>
    <w:rsid w:val="00C51E3C"/>
  </w:style>
  <w:style w:type="character" w:customStyle="1" w:styleId="column03">
    <w:name w:val="column03"/>
    <w:basedOn w:val="Fuentedeprrafopredeter"/>
    <w:rsid w:val="00C51E3C"/>
  </w:style>
  <w:style w:type="character" w:customStyle="1" w:styleId="column04">
    <w:name w:val="column04"/>
    <w:basedOn w:val="Fuentedeprrafopredeter"/>
    <w:rsid w:val="00C51E3C"/>
  </w:style>
  <w:style w:type="character" w:customStyle="1" w:styleId="branchname">
    <w:name w:val="branchname"/>
    <w:basedOn w:val="Fuentedeprrafopredeter"/>
    <w:rsid w:val="00C51E3C"/>
  </w:style>
  <w:style w:type="character" w:customStyle="1" w:styleId="branchcount">
    <w:name w:val="branchcount"/>
    <w:basedOn w:val="Fuentedeprrafopredeter"/>
    <w:rsid w:val="00C51E3C"/>
  </w:style>
  <w:style w:type="character" w:customStyle="1" w:styleId="helpiconplaceholder">
    <w:name w:val="helpiconplaceholder"/>
    <w:basedOn w:val="Fuentedeprrafopredeter"/>
    <w:rsid w:val="00C51E3C"/>
  </w:style>
  <w:style w:type="character" w:customStyle="1" w:styleId="expanderandcheckbox">
    <w:name w:val="expanderandcheckbox"/>
    <w:basedOn w:val="Fuentedeprrafopredeter"/>
    <w:rsid w:val="00C51E3C"/>
  </w:style>
  <w:style w:type="character" w:customStyle="1" w:styleId="heading-text">
    <w:name w:val="heading-text"/>
    <w:basedOn w:val="Fuentedeprrafopredeter"/>
    <w:rsid w:val="00C51E3C"/>
  </w:style>
  <w:style w:type="character" w:customStyle="1" w:styleId="resultnumber">
    <w:name w:val="resultnumber"/>
    <w:basedOn w:val="Fuentedeprrafopredeter"/>
    <w:rsid w:val="00C51E3C"/>
  </w:style>
  <w:style w:type="character" w:customStyle="1" w:styleId="resultsfoundtext">
    <w:name w:val="resultsfoundtext"/>
    <w:basedOn w:val="Fuentedeprrafopredeter"/>
    <w:rsid w:val="00C51E3C"/>
  </w:style>
  <w:style w:type="character" w:customStyle="1" w:styleId="icontext">
    <w:name w:val="icontext"/>
    <w:basedOn w:val="Fuentedeprrafopredeter"/>
    <w:rsid w:val="00C51E3C"/>
  </w:style>
  <w:style w:type="character" w:customStyle="1" w:styleId="summarytext">
    <w:name w:val="summarytext"/>
    <w:basedOn w:val="Fuentedeprrafopredeter"/>
    <w:rsid w:val="00C51E3C"/>
  </w:style>
  <w:style w:type="character" w:customStyle="1" w:styleId="textcolumn">
    <w:name w:val="textcolumn"/>
    <w:basedOn w:val="Fuentedeprrafopredeter"/>
    <w:rsid w:val="00C51E3C"/>
  </w:style>
  <w:style w:type="character" w:customStyle="1" w:styleId="more">
    <w:name w:val="more"/>
    <w:basedOn w:val="Fuentedeprrafopredeter"/>
    <w:rsid w:val="00C51E3C"/>
  </w:style>
  <w:style w:type="character" w:customStyle="1" w:styleId="typedescriptioncolumn">
    <w:name w:val="typedescriptioncolumn"/>
    <w:basedOn w:val="Fuentedeprrafopredeter"/>
    <w:rsid w:val="00C51E3C"/>
  </w:style>
  <w:style w:type="character" w:customStyle="1" w:styleId="originatingbody">
    <w:name w:val="originatingbody"/>
    <w:basedOn w:val="Fuentedeprrafopredeter"/>
    <w:rsid w:val="00C51E3C"/>
  </w:style>
  <w:style w:type="character" w:customStyle="1" w:styleId="datecolumn">
    <w:name w:val="datecolumn"/>
    <w:basedOn w:val="Fuentedeprrafopredeter"/>
    <w:rsid w:val="00C51E3C"/>
  </w:style>
  <w:style w:type="character" w:customStyle="1" w:styleId="notranslate">
    <w:name w:val="notranslate"/>
    <w:basedOn w:val="Fuentedeprrafopredeter"/>
    <w:rsid w:val="00C51E3C"/>
  </w:style>
  <w:style w:type="paragraph" w:customStyle="1" w:styleId="NotasProyectos">
    <w:name w:val="***. Notas Proyectos"/>
    <w:basedOn w:val="Normal"/>
    <w:link w:val="NotasProyectosChar"/>
    <w:autoRedefine/>
    <w:qFormat/>
    <w:rsid w:val="00C51E3C"/>
    <w:pPr>
      <w:widowControl/>
      <w:adjustRightInd/>
      <w:spacing w:before="120" w:line="240" w:lineRule="auto"/>
      <w:ind w:left="720"/>
      <w:textAlignment w:val="auto"/>
    </w:pPr>
    <w:rPr>
      <w:szCs w:val="20"/>
      <w:lang w:val="es-ES_tradnl" w:eastAsia="es-ES"/>
    </w:rPr>
  </w:style>
  <w:style w:type="character" w:customStyle="1" w:styleId="NotasProyectosChar">
    <w:name w:val="***. Notas Proyectos Char"/>
    <w:link w:val="NotasProyectos"/>
    <w:rsid w:val="00C51E3C"/>
    <w:rPr>
      <w:rFonts w:ascii="Verdana" w:eastAsia="Times New Roman" w:hAnsi="Verdana" w:cs="Times New Roman"/>
      <w:sz w:val="20"/>
      <w:szCs w:val="20"/>
      <w:lang w:val="es-ES_tradnl" w:eastAsia="es-ES"/>
    </w:rPr>
  </w:style>
  <w:style w:type="paragraph" w:customStyle="1" w:styleId="Sinespaciado1">
    <w:name w:val="Sin espaciado1"/>
    <w:uiPriority w:val="1"/>
    <w:qFormat/>
    <w:rsid w:val="00C51E3C"/>
    <w:pPr>
      <w:spacing w:after="0" w:line="240" w:lineRule="auto"/>
    </w:pPr>
    <w:rPr>
      <w:rFonts w:ascii="Verdana" w:eastAsia="Calibri" w:hAnsi="Verdana" w:cs="Times New Roman"/>
      <w:spacing w:val="-4"/>
      <w:sz w:val="20"/>
      <w:szCs w:val="20"/>
      <w:lang w:val="es-ES_tradnl"/>
    </w:rPr>
  </w:style>
  <w:style w:type="character" w:customStyle="1" w:styleId="Hyperlink1">
    <w:name w:val="Hyperlink1"/>
    <w:uiPriority w:val="99"/>
    <w:unhideWhenUsed/>
    <w:rsid w:val="00C51E3C"/>
    <w:rPr>
      <w:color w:val="0000FF"/>
      <w:u w:val="single"/>
    </w:rPr>
  </w:style>
  <w:style w:type="paragraph" w:styleId="Textonotaalfinal">
    <w:name w:val="endnote text"/>
    <w:basedOn w:val="Normal"/>
    <w:link w:val="TextonotaalfinalCar"/>
    <w:unhideWhenUsed/>
    <w:rsid w:val="00C51E3C"/>
    <w:pPr>
      <w:widowControl/>
      <w:adjustRightInd/>
      <w:spacing w:line="240" w:lineRule="auto"/>
      <w:jc w:val="left"/>
      <w:textAlignment w:val="auto"/>
    </w:pPr>
    <w:rPr>
      <w:rFonts w:ascii="Calibri" w:eastAsia="Calibri" w:hAnsi="Calibri"/>
      <w:szCs w:val="20"/>
      <w:lang w:val="en-US" w:eastAsia="x-none"/>
    </w:rPr>
  </w:style>
  <w:style w:type="character" w:customStyle="1" w:styleId="TextonotaalfinalCar">
    <w:name w:val="Texto nota al final Car"/>
    <w:basedOn w:val="Fuentedeprrafopredeter"/>
    <w:link w:val="Textonotaalfinal"/>
    <w:rsid w:val="00C51E3C"/>
    <w:rPr>
      <w:rFonts w:ascii="Calibri" w:eastAsia="Calibri" w:hAnsi="Calibri" w:cs="Times New Roman"/>
      <w:sz w:val="20"/>
      <w:szCs w:val="20"/>
      <w:lang w:val="en-US" w:eastAsia="x-none"/>
    </w:rPr>
  </w:style>
  <w:style w:type="character" w:customStyle="1" w:styleId="ListParagraphChar1">
    <w:name w:val="List Paragraph Char1"/>
    <w:aliases w:val="Colorful List - Accent 11 Char1,Párrafo de lista1 Char1,Footnote Char1,List Paragraph1 Char1,Footnote Char2"/>
    <w:locked/>
    <w:rsid w:val="00C51E3C"/>
    <w:rPr>
      <w:rFonts w:ascii="Verdana" w:eastAsia="Times New Roman" w:hAnsi="Verdana" w:cs="Times New Roman"/>
      <w:sz w:val="16"/>
      <w:szCs w:val="20"/>
      <w:lang w:val="es-ES_tradnl"/>
    </w:rPr>
  </w:style>
  <w:style w:type="paragraph" w:customStyle="1" w:styleId="NormalNumbered">
    <w:name w:val="Normal Numbered"/>
    <w:basedOn w:val="Normal"/>
    <w:link w:val="NormalNumberedChar"/>
    <w:rsid w:val="00C51E3C"/>
    <w:pPr>
      <w:widowControl/>
      <w:numPr>
        <w:numId w:val="3"/>
      </w:numPr>
      <w:adjustRightInd/>
      <w:spacing w:line="240" w:lineRule="auto"/>
      <w:ind w:left="0" w:firstLine="0"/>
      <w:textAlignment w:val="auto"/>
    </w:pPr>
    <w:rPr>
      <w:szCs w:val="20"/>
      <w:lang w:val="en-US" w:eastAsia="x-none" w:bidi="en-US"/>
    </w:rPr>
  </w:style>
  <w:style w:type="character" w:customStyle="1" w:styleId="NormalNumberedChar">
    <w:name w:val="Normal Numbered Char"/>
    <w:link w:val="NormalNumbered"/>
    <w:rsid w:val="00C51E3C"/>
    <w:rPr>
      <w:rFonts w:ascii="Verdana" w:eastAsia="Times New Roman" w:hAnsi="Verdana" w:cs="Times New Roman"/>
      <w:sz w:val="20"/>
      <w:szCs w:val="20"/>
      <w:lang w:val="en-US" w:eastAsia="x-none" w:bidi="en-US"/>
    </w:rPr>
  </w:style>
  <w:style w:type="character" w:customStyle="1" w:styleId="PrrafodeSentenciaChar">
    <w:name w:val="*. Párrafo de Sentencia Char"/>
    <w:link w:val="PrrafodeSentencia"/>
    <w:rsid w:val="00DC6541"/>
    <w:rPr>
      <w:rFonts w:ascii="Verdana" w:eastAsia="Batang" w:hAnsi="Verdana" w:cs="Times New Roman"/>
      <w:sz w:val="20"/>
      <w:szCs w:val="20"/>
      <w:lang w:val="es-ES_tradnl" w:eastAsia="es-MX"/>
    </w:rPr>
  </w:style>
  <w:style w:type="paragraph" w:customStyle="1" w:styleId="Footnotes">
    <w:name w:val="**. Footnotes"/>
    <w:basedOn w:val="Textonotapie"/>
    <w:link w:val="FootnotesChar"/>
    <w:autoRedefine/>
    <w:qFormat/>
    <w:rsid w:val="00C51E3C"/>
    <w:pPr>
      <w:widowControl/>
      <w:adjustRightInd/>
      <w:jc w:val="center"/>
      <w:textAlignment w:val="auto"/>
    </w:pPr>
    <w:rPr>
      <w:rFonts w:cs="Palatino-Italic"/>
      <w:iCs/>
      <w:szCs w:val="18"/>
      <w:lang w:val="es-ES" w:bidi="en-US"/>
    </w:rPr>
  </w:style>
  <w:style w:type="character" w:customStyle="1" w:styleId="FootnotesChar">
    <w:name w:val="**. Footnotes Char"/>
    <w:link w:val="Footnotes"/>
    <w:rsid w:val="00C51E3C"/>
    <w:rPr>
      <w:rFonts w:ascii="Verdana" w:eastAsia="Times New Roman" w:hAnsi="Verdana" w:cs="Palatino-Italic"/>
      <w:iCs/>
      <w:sz w:val="16"/>
      <w:szCs w:val="18"/>
      <w:lang w:val="es-ES" w:eastAsia="x-none" w:bidi="en-US"/>
    </w:rPr>
  </w:style>
  <w:style w:type="paragraph" w:customStyle="1" w:styleId="Prrafodelista2">
    <w:name w:val="Párrafo de lista2"/>
    <w:basedOn w:val="Normal"/>
    <w:uiPriority w:val="99"/>
    <w:rsid w:val="00C51E3C"/>
    <w:pPr>
      <w:widowControl/>
      <w:adjustRightInd/>
      <w:spacing w:line="240" w:lineRule="auto"/>
      <w:ind w:left="720"/>
      <w:jc w:val="left"/>
      <w:textAlignment w:val="auto"/>
    </w:pPr>
    <w:rPr>
      <w:rFonts w:eastAsia="MS Mincho"/>
      <w:szCs w:val="20"/>
      <w:lang w:val="es-ES_tradnl" w:eastAsia="en-US" w:bidi="en-US"/>
    </w:rPr>
  </w:style>
  <w:style w:type="paragraph" w:styleId="Subttulo">
    <w:name w:val="Subtitle"/>
    <w:basedOn w:val="Normal"/>
    <w:next w:val="Normal"/>
    <w:link w:val="SubttuloCar"/>
    <w:uiPriority w:val="11"/>
    <w:qFormat/>
    <w:rsid w:val="00C51E3C"/>
    <w:pPr>
      <w:widowControl/>
      <w:adjustRightInd/>
      <w:spacing w:after="600" w:line="276" w:lineRule="auto"/>
      <w:jc w:val="left"/>
      <w:textAlignment w:val="auto"/>
    </w:pPr>
    <w:rPr>
      <w:rFonts w:ascii="Cambria" w:eastAsia="MS Gothic" w:hAnsi="Cambria"/>
      <w:i/>
      <w:iCs/>
      <w:spacing w:val="13"/>
      <w:szCs w:val="20"/>
      <w:lang w:val="en-US" w:eastAsia="x-none" w:bidi="en-US"/>
    </w:rPr>
  </w:style>
  <w:style w:type="character" w:customStyle="1" w:styleId="SubttuloCar">
    <w:name w:val="Subtítulo Car"/>
    <w:basedOn w:val="Fuentedeprrafopredeter"/>
    <w:link w:val="Subttulo"/>
    <w:rsid w:val="00C51E3C"/>
    <w:rPr>
      <w:rFonts w:ascii="Cambria" w:eastAsia="MS Gothic" w:hAnsi="Cambria" w:cs="Times New Roman"/>
      <w:i/>
      <w:iCs/>
      <w:spacing w:val="13"/>
      <w:sz w:val="20"/>
      <w:szCs w:val="20"/>
      <w:lang w:val="en-US" w:eastAsia="x-none" w:bidi="en-US"/>
    </w:rPr>
  </w:style>
  <w:style w:type="character" w:styleId="Textoennegrita">
    <w:name w:val="Strong"/>
    <w:uiPriority w:val="22"/>
    <w:qFormat/>
    <w:rsid w:val="00C51E3C"/>
    <w:rPr>
      <w:b/>
      <w:bCs/>
    </w:rPr>
  </w:style>
  <w:style w:type="character" w:styleId="nfasis">
    <w:name w:val="Emphasis"/>
    <w:qFormat/>
    <w:rsid w:val="00C51E3C"/>
    <w:rPr>
      <w:b/>
      <w:bCs/>
      <w:i/>
      <w:iCs/>
      <w:spacing w:val="10"/>
      <w:bdr w:val="none" w:sz="0" w:space="0" w:color="auto"/>
      <w:shd w:val="clear" w:color="auto" w:fill="auto"/>
    </w:rPr>
  </w:style>
  <w:style w:type="character" w:customStyle="1" w:styleId="MediumGrid2-Accent2Char">
    <w:name w:val="Medium Grid 2 - Accent 2 Char"/>
    <w:link w:val="Cuadrculamedia2-nfasis2"/>
    <w:uiPriority w:val="29"/>
    <w:rsid w:val="00C51E3C"/>
    <w:rPr>
      <w:rFonts w:ascii="Calibri" w:eastAsia="MS Mincho" w:hAnsi="Calibri" w:cs="Times New Roman"/>
      <w:i/>
      <w:iCs/>
      <w:spacing w:val="0"/>
      <w:sz w:val="22"/>
      <w:szCs w:val="22"/>
      <w:lang w:val="en-US" w:bidi="en-US"/>
    </w:rPr>
  </w:style>
  <w:style w:type="character" w:customStyle="1" w:styleId="MediumGrid3-Accent2Char">
    <w:name w:val="Medium Grid 3 - Accent 2 Char"/>
    <w:link w:val="Cuadrculamedia3-nfasis2"/>
    <w:uiPriority w:val="30"/>
    <w:rsid w:val="00C51E3C"/>
    <w:rPr>
      <w:rFonts w:ascii="Calibri" w:eastAsia="MS Mincho" w:hAnsi="Calibri" w:cs="Times New Roman"/>
      <w:b/>
      <w:bCs/>
      <w:i/>
      <w:iCs/>
      <w:spacing w:val="0"/>
      <w:sz w:val="22"/>
      <w:szCs w:val="22"/>
      <w:lang w:val="en-US" w:bidi="en-US"/>
    </w:rPr>
  </w:style>
  <w:style w:type="character" w:customStyle="1" w:styleId="nfasissutil1">
    <w:name w:val="Énfasis sutil1"/>
    <w:uiPriority w:val="19"/>
    <w:qFormat/>
    <w:rsid w:val="00C51E3C"/>
    <w:rPr>
      <w:i/>
      <w:iCs/>
    </w:rPr>
  </w:style>
  <w:style w:type="character" w:customStyle="1" w:styleId="nfasisintenso1">
    <w:name w:val="Énfasis intenso1"/>
    <w:uiPriority w:val="21"/>
    <w:qFormat/>
    <w:rsid w:val="00C51E3C"/>
    <w:rPr>
      <w:b/>
      <w:bCs/>
    </w:rPr>
  </w:style>
  <w:style w:type="character" w:customStyle="1" w:styleId="Referenciasutil1">
    <w:name w:val="Referencia sutil1"/>
    <w:uiPriority w:val="31"/>
    <w:qFormat/>
    <w:rsid w:val="00C51E3C"/>
    <w:rPr>
      <w:smallCaps/>
    </w:rPr>
  </w:style>
  <w:style w:type="character" w:customStyle="1" w:styleId="Referenciaintensa1">
    <w:name w:val="Referencia intensa1"/>
    <w:uiPriority w:val="32"/>
    <w:qFormat/>
    <w:rsid w:val="00C51E3C"/>
    <w:rPr>
      <w:smallCaps/>
      <w:spacing w:val="5"/>
      <w:u w:val="single"/>
    </w:rPr>
  </w:style>
  <w:style w:type="character" w:customStyle="1" w:styleId="Ttulodelibro">
    <w:name w:val="Título de libro"/>
    <w:uiPriority w:val="33"/>
    <w:qFormat/>
    <w:rsid w:val="00C51E3C"/>
    <w:rPr>
      <w:i/>
      <w:iCs/>
      <w:smallCaps/>
      <w:spacing w:val="5"/>
    </w:rPr>
  </w:style>
  <w:style w:type="paragraph" w:customStyle="1" w:styleId="Encabezadodetabladecontenido">
    <w:name w:val="Encabezado de tabla de contenido"/>
    <w:basedOn w:val="Ttulo1"/>
    <w:next w:val="Normal"/>
    <w:uiPriority w:val="39"/>
    <w:unhideWhenUsed/>
    <w:qFormat/>
    <w:rsid w:val="00C51E3C"/>
    <w:pPr>
      <w:outlineLvl w:val="9"/>
    </w:pPr>
  </w:style>
  <w:style w:type="character" w:customStyle="1" w:styleId="shorttext">
    <w:name w:val="shorttext"/>
    <w:basedOn w:val="Fuentedeprrafopredeter"/>
    <w:rsid w:val="00C51E3C"/>
  </w:style>
  <w:style w:type="character" w:customStyle="1" w:styleId="shorttext0">
    <w:name w:val="short_text"/>
    <w:basedOn w:val="Fuentedeprrafopredeter"/>
    <w:rsid w:val="00C51E3C"/>
  </w:style>
  <w:style w:type="paragraph" w:styleId="Textoindependiente2">
    <w:name w:val="Body Text 2"/>
    <w:basedOn w:val="Normal"/>
    <w:link w:val="Textoindependiente2Car"/>
    <w:rsid w:val="00C51E3C"/>
    <w:pPr>
      <w:widowControl/>
      <w:adjustRightInd/>
      <w:spacing w:after="120" w:line="480" w:lineRule="auto"/>
      <w:jc w:val="left"/>
      <w:textAlignment w:val="auto"/>
    </w:pPr>
    <w:rPr>
      <w:rFonts w:ascii="Times New Roman" w:hAnsi="Times New Roman"/>
      <w:szCs w:val="20"/>
      <w:lang w:val="es-ES_tradnl" w:eastAsia="x-none"/>
    </w:rPr>
  </w:style>
  <w:style w:type="character" w:customStyle="1" w:styleId="Textoindependiente2Car">
    <w:name w:val="Texto independiente 2 Car"/>
    <w:basedOn w:val="Fuentedeprrafopredeter"/>
    <w:link w:val="Textoindependiente2"/>
    <w:rsid w:val="00C51E3C"/>
    <w:rPr>
      <w:rFonts w:ascii="Times New Roman" w:eastAsia="Times New Roman" w:hAnsi="Times New Roman" w:cs="Times New Roman"/>
      <w:sz w:val="20"/>
      <w:szCs w:val="20"/>
      <w:lang w:val="es-ES_tradnl" w:eastAsia="x-none"/>
    </w:rPr>
  </w:style>
  <w:style w:type="paragraph" w:customStyle="1" w:styleId="Textomacro1">
    <w:name w:val="Texto macro1"/>
    <w:basedOn w:val="Normal"/>
    <w:rsid w:val="00C51E3C"/>
    <w:pPr>
      <w:widowControl/>
      <w:adjustRightInd/>
      <w:spacing w:line="240" w:lineRule="auto"/>
      <w:jc w:val="left"/>
      <w:textAlignment w:val="auto"/>
    </w:pPr>
    <w:rPr>
      <w:szCs w:val="20"/>
      <w:lang w:val="es-ES_tradnl" w:eastAsia="es-ES"/>
    </w:rPr>
  </w:style>
  <w:style w:type="character" w:customStyle="1" w:styleId="Caracteresdenotafinal">
    <w:name w:val="Caracteres de nota final"/>
    <w:rsid w:val="00C51E3C"/>
    <w:rPr>
      <w:vertAlign w:val="superscript"/>
    </w:rPr>
  </w:style>
  <w:style w:type="character" w:styleId="Nmerodelnea">
    <w:name w:val="line number"/>
    <w:uiPriority w:val="99"/>
    <w:semiHidden/>
    <w:unhideWhenUsed/>
    <w:rsid w:val="00C51E3C"/>
    <w:rPr>
      <w:rFonts w:ascii="Verdana" w:hAnsi="Verdana"/>
      <w:sz w:val="20"/>
    </w:rPr>
  </w:style>
  <w:style w:type="paragraph" w:styleId="Mapadeldocumento">
    <w:name w:val="Document Map"/>
    <w:basedOn w:val="Normal"/>
    <w:link w:val="MapadeldocumentoCar"/>
    <w:uiPriority w:val="99"/>
    <w:semiHidden/>
    <w:unhideWhenUsed/>
    <w:rsid w:val="00C51E3C"/>
    <w:pPr>
      <w:spacing w:line="240" w:lineRule="auto"/>
    </w:pPr>
    <w:rPr>
      <w:rFonts w:ascii="Tahoma" w:hAnsi="Tahoma"/>
      <w:sz w:val="16"/>
      <w:szCs w:val="16"/>
      <w:lang w:val="x-none"/>
    </w:rPr>
  </w:style>
  <w:style w:type="character" w:customStyle="1" w:styleId="MapadeldocumentoCar">
    <w:name w:val="Mapa del documento Car"/>
    <w:basedOn w:val="Fuentedeprrafopredeter"/>
    <w:link w:val="Mapadeldocumento"/>
    <w:uiPriority w:val="99"/>
    <w:semiHidden/>
    <w:rsid w:val="00C51E3C"/>
    <w:rPr>
      <w:rFonts w:ascii="Tahoma" w:eastAsia="Times New Roman" w:hAnsi="Tahoma" w:cs="Times New Roman"/>
      <w:sz w:val="16"/>
      <w:szCs w:val="16"/>
      <w:lang w:val="x-none" w:eastAsia="es-CR"/>
    </w:rPr>
  </w:style>
  <w:style w:type="paragraph" w:styleId="TDC2">
    <w:name w:val="toc 2"/>
    <w:basedOn w:val="Normal"/>
    <w:next w:val="Normal"/>
    <w:autoRedefine/>
    <w:uiPriority w:val="39"/>
    <w:unhideWhenUsed/>
    <w:qFormat/>
    <w:rsid w:val="00852CC8"/>
    <w:pPr>
      <w:tabs>
        <w:tab w:val="left" w:pos="720"/>
        <w:tab w:val="right" w:leader="dot" w:pos="10206"/>
      </w:tabs>
      <w:spacing w:before="60" w:after="60" w:line="240" w:lineRule="auto"/>
      <w:ind w:left="240"/>
    </w:pPr>
  </w:style>
  <w:style w:type="paragraph" w:styleId="TDC1">
    <w:name w:val="toc 1"/>
    <w:basedOn w:val="Normal"/>
    <w:next w:val="Normal"/>
    <w:autoRedefine/>
    <w:uiPriority w:val="39"/>
    <w:unhideWhenUsed/>
    <w:qFormat/>
    <w:rsid w:val="00852CC8"/>
    <w:pPr>
      <w:tabs>
        <w:tab w:val="right" w:leader="dot" w:pos="10065"/>
      </w:tabs>
      <w:spacing w:before="60" w:after="60" w:line="240" w:lineRule="auto"/>
      <w:ind w:right="20"/>
    </w:pPr>
    <w:rPr>
      <w:rFonts w:eastAsia="ヒラギノ角ゴ Pro W3"/>
      <w:b/>
      <w:noProof/>
      <w:szCs w:val="18"/>
    </w:rPr>
  </w:style>
  <w:style w:type="paragraph" w:styleId="TDC3">
    <w:name w:val="toc 3"/>
    <w:basedOn w:val="Normal"/>
    <w:next w:val="Normal"/>
    <w:autoRedefine/>
    <w:uiPriority w:val="39"/>
    <w:unhideWhenUsed/>
    <w:qFormat/>
    <w:rsid w:val="00530412"/>
    <w:pPr>
      <w:tabs>
        <w:tab w:val="right" w:leader="dot" w:pos="10206"/>
      </w:tabs>
      <w:spacing w:before="60" w:after="60" w:line="240" w:lineRule="auto"/>
      <w:ind w:left="480"/>
    </w:pPr>
  </w:style>
  <w:style w:type="paragraph" w:styleId="TDC4">
    <w:name w:val="toc 4"/>
    <w:basedOn w:val="Normal"/>
    <w:next w:val="Normal"/>
    <w:autoRedefine/>
    <w:uiPriority w:val="39"/>
    <w:unhideWhenUsed/>
    <w:rsid w:val="00852CC8"/>
    <w:pPr>
      <w:tabs>
        <w:tab w:val="right" w:leader="dot" w:pos="10065"/>
      </w:tabs>
      <w:spacing w:before="60" w:after="60" w:line="240" w:lineRule="auto"/>
      <w:ind w:left="720"/>
    </w:pPr>
  </w:style>
  <w:style w:type="paragraph" w:styleId="TDC5">
    <w:name w:val="toc 5"/>
    <w:basedOn w:val="Normal"/>
    <w:next w:val="Normal"/>
    <w:autoRedefine/>
    <w:uiPriority w:val="39"/>
    <w:unhideWhenUsed/>
    <w:rsid w:val="0089073C"/>
    <w:pPr>
      <w:widowControl/>
      <w:tabs>
        <w:tab w:val="right" w:leader="dot" w:pos="10065"/>
      </w:tabs>
      <w:adjustRightInd/>
      <w:spacing w:before="40" w:after="40" w:line="240" w:lineRule="auto"/>
      <w:ind w:left="880"/>
      <w:jc w:val="left"/>
      <w:textAlignment w:val="auto"/>
    </w:pPr>
    <w:rPr>
      <w:rFonts w:eastAsia="MS Mincho"/>
      <w:szCs w:val="22"/>
    </w:rPr>
  </w:style>
  <w:style w:type="paragraph" w:styleId="TDC6">
    <w:name w:val="toc 6"/>
    <w:basedOn w:val="Normal"/>
    <w:next w:val="Normal"/>
    <w:autoRedefine/>
    <w:uiPriority w:val="39"/>
    <w:unhideWhenUsed/>
    <w:rsid w:val="0089073C"/>
    <w:pPr>
      <w:widowControl/>
      <w:tabs>
        <w:tab w:val="right" w:leader="dot" w:pos="10065"/>
      </w:tabs>
      <w:adjustRightInd/>
      <w:spacing w:before="40" w:after="40" w:line="240" w:lineRule="auto"/>
      <w:ind w:left="1100"/>
      <w:jc w:val="left"/>
      <w:textAlignment w:val="auto"/>
    </w:pPr>
    <w:rPr>
      <w:rFonts w:ascii="Calibri" w:eastAsia="MS Mincho" w:hAnsi="Calibri"/>
      <w:sz w:val="22"/>
      <w:szCs w:val="22"/>
    </w:rPr>
  </w:style>
  <w:style w:type="paragraph" w:styleId="TDC7">
    <w:name w:val="toc 7"/>
    <w:basedOn w:val="Normal"/>
    <w:next w:val="Normal"/>
    <w:autoRedefine/>
    <w:uiPriority w:val="39"/>
    <w:unhideWhenUsed/>
    <w:rsid w:val="00C51E3C"/>
    <w:pPr>
      <w:widowControl/>
      <w:adjustRightInd/>
      <w:spacing w:after="100" w:line="276" w:lineRule="auto"/>
      <w:ind w:left="1320"/>
      <w:jc w:val="left"/>
      <w:textAlignment w:val="auto"/>
    </w:pPr>
    <w:rPr>
      <w:rFonts w:ascii="Calibri" w:eastAsia="MS Mincho" w:hAnsi="Calibri"/>
      <w:sz w:val="22"/>
      <w:szCs w:val="22"/>
    </w:rPr>
  </w:style>
  <w:style w:type="paragraph" w:styleId="TDC8">
    <w:name w:val="toc 8"/>
    <w:basedOn w:val="Normal"/>
    <w:next w:val="Normal"/>
    <w:autoRedefine/>
    <w:uiPriority w:val="39"/>
    <w:unhideWhenUsed/>
    <w:rsid w:val="00C51E3C"/>
    <w:pPr>
      <w:widowControl/>
      <w:adjustRightInd/>
      <w:spacing w:after="100" w:line="276" w:lineRule="auto"/>
      <w:ind w:left="1540"/>
      <w:jc w:val="left"/>
      <w:textAlignment w:val="auto"/>
    </w:pPr>
    <w:rPr>
      <w:rFonts w:ascii="Calibri" w:eastAsia="MS Mincho" w:hAnsi="Calibri"/>
      <w:sz w:val="22"/>
      <w:szCs w:val="22"/>
    </w:rPr>
  </w:style>
  <w:style w:type="paragraph" w:styleId="TDC9">
    <w:name w:val="toc 9"/>
    <w:basedOn w:val="Normal"/>
    <w:next w:val="Normal"/>
    <w:autoRedefine/>
    <w:uiPriority w:val="39"/>
    <w:unhideWhenUsed/>
    <w:rsid w:val="00C51E3C"/>
    <w:pPr>
      <w:widowControl/>
      <w:adjustRightInd/>
      <w:spacing w:after="100" w:line="276" w:lineRule="auto"/>
      <w:ind w:left="1760"/>
      <w:jc w:val="left"/>
      <w:textAlignment w:val="auto"/>
    </w:pPr>
    <w:rPr>
      <w:rFonts w:ascii="Calibri" w:eastAsia="MS Mincho" w:hAnsi="Calibri"/>
      <w:sz w:val="22"/>
      <w:szCs w:val="22"/>
    </w:rPr>
  </w:style>
  <w:style w:type="table" w:styleId="Tablaconcuadrcula">
    <w:name w:val="Table Grid"/>
    <w:basedOn w:val="Tablanormal"/>
    <w:uiPriority w:val="59"/>
    <w:rsid w:val="00C51E3C"/>
    <w:pPr>
      <w:spacing w:after="0" w:line="240" w:lineRule="auto"/>
    </w:pPr>
    <w:rPr>
      <w:rFonts w:ascii="Verdana" w:eastAsia="Calibri" w:hAnsi="Verdana"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unhideWhenUsed/>
    <w:rsid w:val="00C51E3C"/>
    <w:rPr>
      <w:vertAlign w:val="superscript"/>
    </w:rPr>
  </w:style>
  <w:style w:type="character" w:customStyle="1" w:styleId="ColorfulList-Accent1Char">
    <w:name w:val="Colorful List - Accent 1 Char"/>
    <w:aliases w:val="Párrafo de lista1 Char,Footnote Char,Colorful List - Accent 11 Char,List Paragraph1 Char,Lista Colorida - Ênfase 11 Char,List Paragraph Char"/>
    <w:link w:val="Listavistosa-nfasis1"/>
    <w:uiPriority w:val="34"/>
    <w:locked/>
    <w:rsid w:val="00C51E3C"/>
    <w:rPr>
      <w:rFonts w:ascii="Calibri" w:eastAsia="Calibri" w:hAnsi="Calibri" w:cs="Times New Roman"/>
      <w:sz w:val="22"/>
      <w:szCs w:val="22"/>
      <w:lang w:val="es-CO" w:eastAsia="en-US"/>
    </w:rPr>
  </w:style>
  <w:style w:type="paragraph" w:styleId="Sangra2detindependiente">
    <w:name w:val="Body Text Indent 2"/>
    <w:basedOn w:val="Normal"/>
    <w:link w:val="Sangra2detindependienteCar"/>
    <w:uiPriority w:val="99"/>
    <w:unhideWhenUsed/>
    <w:rsid w:val="00C51E3C"/>
    <w:pPr>
      <w:spacing w:after="120" w:line="480" w:lineRule="auto"/>
      <w:ind w:left="283"/>
    </w:pPr>
    <w:rPr>
      <w:lang w:val="x-none" w:eastAsia="x-none"/>
    </w:rPr>
  </w:style>
  <w:style w:type="character" w:customStyle="1" w:styleId="Sangra2detindependienteCar">
    <w:name w:val="Sangría 2 de t. independiente Car"/>
    <w:basedOn w:val="Fuentedeprrafopredeter"/>
    <w:link w:val="Sangra2detindependiente"/>
    <w:uiPriority w:val="99"/>
    <w:rsid w:val="00C51E3C"/>
    <w:rPr>
      <w:rFonts w:ascii="Verdana" w:eastAsia="Times New Roman" w:hAnsi="Verdana" w:cs="Times New Roman"/>
      <w:sz w:val="20"/>
      <w:szCs w:val="24"/>
      <w:lang w:val="x-none" w:eastAsia="x-none"/>
    </w:rPr>
  </w:style>
  <w:style w:type="paragraph" w:customStyle="1" w:styleId="PargrafodaLista">
    <w:name w:val="Parágrafo da Lista"/>
    <w:basedOn w:val="Normal"/>
    <w:uiPriority w:val="34"/>
    <w:qFormat/>
    <w:rsid w:val="00C51E3C"/>
    <w:pPr>
      <w:widowControl/>
      <w:adjustRightInd/>
      <w:spacing w:line="240" w:lineRule="auto"/>
      <w:ind w:left="708"/>
      <w:jc w:val="left"/>
      <w:textAlignment w:val="auto"/>
    </w:pPr>
    <w:rPr>
      <w:rFonts w:ascii="Times New Roman" w:hAnsi="Times New Roman"/>
      <w:lang w:val="en-US" w:eastAsia="en-US"/>
    </w:rPr>
  </w:style>
  <w:style w:type="character" w:customStyle="1" w:styleId="s7d2086b4">
    <w:name w:val="s7d2086b4"/>
    <w:basedOn w:val="Fuentedeprrafopredeter"/>
    <w:rsid w:val="00C51E3C"/>
  </w:style>
  <w:style w:type="paragraph" w:customStyle="1" w:styleId="JuPara">
    <w:name w:val="Ju_Para"/>
    <w:basedOn w:val="Normal"/>
    <w:link w:val="JuParaCar"/>
    <w:rsid w:val="00C51E3C"/>
    <w:pPr>
      <w:widowControl/>
      <w:suppressAutoHyphens/>
      <w:adjustRightInd/>
      <w:spacing w:line="240" w:lineRule="auto"/>
      <w:ind w:firstLine="284"/>
      <w:textAlignment w:val="auto"/>
    </w:pPr>
    <w:rPr>
      <w:rFonts w:ascii="Times New Roman" w:hAnsi="Times New Roman"/>
      <w:szCs w:val="20"/>
      <w:lang w:val="en-GB" w:eastAsia="fr-FR"/>
    </w:rPr>
  </w:style>
  <w:style w:type="character" w:customStyle="1" w:styleId="JuParaCar">
    <w:name w:val="Ju_Para Car"/>
    <w:link w:val="JuPara"/>
    <w:rsid w:val="00C51E3C"/>
    <w:rPr>
      <w:rFonts w:ascii="Times New Roman" w:eastAsia="Times New Roman" w:hAnsi="Times New Roman" w:cs="Times New Roman"/>
      <w:sz w:val="20"/>
      <w:szCs w:val="20"/>
      <w:lang w:val="en-GB" w:eastAsia="fr-FR"/>
    </w:rPr>
  </w:style>
  <w:style w:type="character" w:customStyle="1" w:styleId="Estilo2Car">
    <w:name w:val="Estilo2 Car"/>
    <w:link w:val="Estilo2"/>
    <w:rsid w:val="008E3B8F"/>
    <w:rPr>
      <w:rFonts w:ascii="Verdana" w:eastAsia="Calibri" w:hAnsi="Verdana" w:cs="Verdana"/>
      <w:b/>
      <w:bCs/>
      <w:caps/>
      <w:snapToGrid w:val="0"/>
      <w:spacing w:val="-2"/>
      <w:sz w:val="20"/>
      <w:szCs w:val="20"/>
      <w:lang w:eastAsia="es-ES"/>
    </w:rPr>
  </w:style>
  <w:style w:type="character" w:customStyle="1" w:styleId="ListParagraphChar2">
    <w:name w:val="List Paragraph Char2"/>
    <w:locked/>
    <w:rsid w:val="00C51E3C"/>
    <w:rPr>
      <w:rFonts w:ascii="Verdana" w:eastAsia="Times New Roman" w:hAnsi="Verdana"/>
      <w:szCs w:val="24"/>
      <w:lang w:val="es-ES_tradnl" w:eastAsia="en-US"/>
    </w:rPr>
  </w:style>
  <w:style w:type="paragraph" w:styleId="Prrafodelista">
    <w:name w:val="List Paragraph"/>
    <w:aliases w:val="Footnote,List Paragraph1,Colorful List - Accent 11,Párrafo de lista1"/>
    <w:basedOn w:val="Normal"/>
    <w:link w:val="PrrafodelistaCar"/>
    <w:uiPriority w:val="99"/>
    <w:qFormat/>
    <w:rsid w:val="00C51E3C"/>
    <w:pPr>
      <w:ind w:left="708"/>
    </w:pPr>
  </w:style>
  <w:style w:type="paragraph" w:customStyle="1" w:styleId="Estilo3">
    <w:name w:val="Estilo3"/>
    <w:basedOn w:val="Prrafodelista"/>
    <w:qFormat/>
    <w:rsid w:val="00C51E3C"/>
    <w:pPr>
      <w:spacing w:after="120"/>
      <w:ind w:left="0" w:firstLine="1559"/>
    </w:pPr>
    <w:rPr>
      <w:lang w:val="es-PR"/>
    </w:rPr>
  </w:style>
  <w:style w:type="character" w:customStyle="1" w:styleId="Heading3Char1">
    <w:name w:val="Heading 3 Char1"/>
    <w:uiPriority w:val="9"/>
    <w:rsid w:val="00C51E3C"/>
    <w:rPr>
      <w:rFonts w:ascii="Verdana" w:eastAsia="Calibri" w:hAnsi="Verdana" w:cs="Times New Roman"/>
      <w:b/>
      <w:spacing w:val="-2"/>
      <w:sz w:val="20"/>
      <w:szCs w:val="20"/>
      <w:lang w:val="es-ES" w:eastAsia="x-none"/>
    </w:rPr>
  </w:style>
  <w:style w:type="character" w:customStyle="1" w:styleId="Heading4Char1">
    <w:name w:val="Heading 4 Char1"/>
    <w:uiPriority w:val="9"/>
    <w:rsid w:val="00C51E3C"/>
    <w:rPr>
      <w:rFonts w:ascii="Verdana" w:eastAsia="Times New Roman" w:hAnsi="Verdana" w:cs="Times New Roman"/>
      <w:i/>
      <w:spacing w:val="-2"/>
      <w:sz w:val="20"/>
      <w:szCs w:val="20"/>
      <w:lang w:val="es-VE" w:eastAsia="es-CR"/>
    </w:rPr>
  </w:style>
  <w:style w:type="character" w:customStyle="1" w:styleId="Heading6Char1">
    <w:name w:val="Heading 6 Char1"/>
    <w:uiPriority w:val="9"/>
    <w:rsid w:val="00C51E3C"/>
    <w:rPr>
      <w:rFonts w:ascii="Verdana" w:eastAsia="Times New Roman" w:hAnsi="Verdana" w:cs="Times New Roman"/>
      <w:spacing w:val="-2"/>
      <w:sz w:val="20"/>
      <w:szCs w:val="20"/>
      <w:lang w:val="es-ES_tradnl" w:eastAsia="x-none"/>
    </w:rPr>
  </w:style>
  <w:style w:type="character" w:customStyle="1" w:styleId="HeaderChar1">
    <w:name w:val="Header Char1"/>
    <w:uiPriority w:val="99"/>
    <w:rsid w:val="00C51E3C"/>
  </w:style>
  <w:style w:type="character" w:customStyle="1" w:styleId="FooterChar1">
    <w:name w:val="Footer Char1"/>
    <w:uiPriority w:val="99"/>
    <w:rsid w:val="00C51E3C"/>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rsid w:val="00C51E3C"/>
    <w:rPr>
      <w:sz w:val="20"/>
      <w:szCs w:val="20"/>
    </w:rPr>
  </w:style>
  <w:style w:type="paragraph" w:customStyle="1" w:styleId="s269b7f08">
    <w:name w:val="s269b7f08"/>
    <w:basedOn w:val="Normal"/>
    <w:rsid w:val="00C51E3C"/>
    <w:pPr>
      <w:widowControl/>
      <w:adjustRightInd/>
      <w:spacing w:before="100" w:beforeAutospacing="1" w:after="100" w:afterAutospacing="1" w:line="240" w:lineRule="auto"/>
      <w:jc w:val="left"/>
      <w:textAlignment w:val="auto"/>
    </w:pPr>
    <w:rPr>
      <w:rFonts w:ascii="Times New Roman" w:hAnsi="Times New Roman"/>
      <w:lang w:val="es-MX" w:eastAsia="es-MX"/>
    </w:rPr>
  </w:style>
  <w:style w:type="character" w:customStyle="1" w:styleId="sf6541cea">
    <w:name w:val="sf6541cea"/>
    <w:rsid w:val="00C51E3C"/>
  </w:style>
  <w:style w:type="character" w:customStyle="1" w:styleId="wordhighlighted">
    <w:name w:val="wordhighlighted"/>
    <w:rsid w:val="00C51E3C"/>
  </w:style>
  <w:style w:type="paragraph" w:customStyle="1" w:styleId="s8b146764">
    <w:name w:val="s8b146764"/>
    <w:basedOn w:val="Normal"/>
    <w:rsid w:val="00C51E3C"/>
    <w:pPr>
      <w:widowControl/>
      <w:adjustRightInd/>
      <w:spacing w:before="100" w:beforeAutospacing="1" w:after="100" w:afterAutospacing="1" w:line="240" w:lineRule="auto"/>
      <w:jc w:val="left"/>
      <w:textAlignment w:val="auto"/>
    </w:pPr>
    <w:rPr>
      <w:rFonts w:ascii="Times New Roman" w:hAnsi="Times New Roman"/>
      <w:lang w:val="es-MX" w:eastAsia="es-MX"/>
    </w:rPr>
  </w:style>
  <w:style w:type="paragraph" w:styleId="Revisin">
    <w:name w:val="Revision"/>
    <w:hidden/>
    <w:uiPriority w:val="71"/>
    <w:rsid w:val="00C51E3C"/>
    <w:pPr>
      <w:spacing w:after="0" w:line="240" w:lineRule="auto"/>
    </w:pPr>
    <w:rPr>
      <w:rFonts w:ascii="Calibri" w:eastAsia="Calibri" w:hAnsi="Calibri" w:cs="Times New Roman"/>
      <w:lang w:val="es-MX"/>
    </w:rPr>
  </w:style>
  <w:style w:type="paragraph" w:customStyle="1" w:styleId="s32b251d">
    <w:name w:val="s32b251d"/>
    <w:basedOn w:val="Normal"/>
    <w:rsid w:val="00C51E3C"/>
    <w:pPr>
      <w:widowControl/>
      <w:adjustRightInd/>
      <w:spacing w:before="100" w:beforeAutospacing="1" w:after="100" w:afterAutospacing="1" w:line="240" w:lineRule="auto"/>
      <w:jc w:val="left"/>
      <w:textAlignment w:val="auto"/>
    </w:pPr>
    <w:rPr>
      <w:rFonts w:ascii="Times" w:eastAsia="Calibri" w:hAnsi="Times"/>
      <w:szCs w:val="20"/>
      <w:lang w:val="es-ES_tradnl" w:eastAsia="es-ES"/>
    </w:rPr>
  </w:style>
  <w:style w:type="character" w:customStyle="1" w:styleId="sae070d1d">
    <w:name w:val="sae070d1d"/>
    <w:rsid w:val="00C51E3C"/>
  </w:style>
  <w:style w:type="character" w:customStyle="1" w:styleId="EndnoteTextChar1">
    <w:name w:val="Endnote Text Char1"/>
    <w:uiPriority w:val="99"/>
    <w:rsid w:val="00C51E3C"/>
    <w:rPr>
      <w:sz w:val="24"/>
      <w:szCs w:val="24"/>
    </w:rPr>
  </w:style>
  <w:style w:type="character" w:customStyle="1" w:styleId="Cuadrculamediana1-nfasis2Car">
    <w:name w:val="Cuadrícula mediana 1 - Énfasis 2 Car"/>
    <w:uiPriority w:val="99"/>
    <w:rsid w:val="00C51E3C"/>
    <w:rPr>
      <w:rFonts w:eastAsia="Times New Roman"/>
      <w:spacing w:val="0"/>
      <w:lang w:eastAsia="es-CR"/>
    </w:rPr>
  </w:style>
  <w:style w:type="paragraph" w:customStyle="1" w:styleId="AutoCorrect">
    <w:name w:val="AutoCorrect"/>
    <w:rsid w:val="00C51E3C"/>
    <w:rPr>
      <w:rFonts w:ascii="Calibri" w:eastAsia="MS Mincho" w:hAnsi="Calibri" w:cs="Times New Roman"/>
      <w:lang w:eastAsia="es-CR"/>
    </w:rPr>
  </w:style>
  <w:style w:type="paragraph" w:customStyle="1" w:styleId="Numbered">
    <w:name w:val="Numbered"/>
    <w:basedOn w:val="Prrafodelista"/>
    <w:link w:val="NumberedChar"/>
    <w:qFormat/>
    <w:rsid w:val="00C51E3C"/>
    <w:pPr>
      <w:widowControl/>
      <w:numPr>
        <w:numId w:val="5"/>
      </w:numPr>
      <w:adjustRightInd/>
      <w:spacing w:after="160" w:line="240" w:lineRule="auto"/>
      <w:ind w:left="0" w:firstLine="0"/>
      <w:contextualSpacing/>
      <w:textAlignment w:val="auto"/>
    </w:pPr>
    <w:rPr>
      <w:rFonts w:eastAsia="Verdana"/>
      <w:szCs w:val="20"/>
      <w:lang w:val="pt-BR" w:eastAsia="en-US"/>
    </w:rPr>
  </w:style>
  <w:style w:type="character" w:customStyle="1" w:styleId="NumberedChar">
    <w:name w:val="Numbered Char"/>
    <w:link w:val="Numbered"/>
    <w:rsid w:val="00C51E3C"/>
    <w:rPr>
      <w:rFonts w:ascii="Verdana" w:eastAsia="Verdana" w:hAnsi="Verdana" w:cs="Times New Roman"/>
      <w:sz w:val="20"/>
      <w:szCs w:val="20"/>
      <w:lang w:val="pt-BR"/>
    </w:rPr>
  </w:style>
  <w:style w:type="paragraph" w:styleId="Sinespaciado">
    <w:name w:val="No Spacing"/>
    <w:uiPriority w:val="1"/>
    <w:qFormat/>
    <w:rsid w:val="00C51E3C"/>
    <w:pPr>
      <w:spacing w:after="0" w:line="240" w:lineRule="auto"/>
      <w:jc w:val="both"/>
    </w:pPr>
    <w:rPr>
      <w:rFonts w:ascii="Verdana" w:eastAsia="Calibri" w:hAnsi="Verdana" w:cs="Calibri"/>
      <w:sz w:val="20"/>
      <w:lang w:val="es-MX"/>
    </w:rPr>
  </w:style>
  <w:style w:type="character" w:customStyle="1" w:styleId="subenglish">
    <w:name w:val="sub english"/>
    <w:uiPriority w:val="99"/>
    <w:rsid w:val="00C51E3C"/>
    <w:rPr>
      <w:rFonts w:cs="Times New Roman"/>
    </w:rPr>
  </w:style>
  <w:style w:type="table" w:styleId="Cuadrculamedia1-nfasis2">
    <w:name w:val="Medium Grid 1 Accent 2"/>
    <w:basedOn w:val="Tablanormal"/>
    <w:uiPriority w:val="67"/>
    <w:rsid w:val="00C51E3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2-nfasis2">
    <w:name w:val="Medium Grid 2 Accent 2"/>
    <w:basedOn w:val="Tablanormal"/>
    <w:link w:val="MediumGrid2-Accent2Char"/>
    <w:uiPriority w:val="29"/>
    <w:rsid w:val="00C51E3C"/>
    <w:pPr>
      <w:spacing w:after="0" w:line="240" w:lineRule="auto"/>
    </w:pPr>
    <w:rPr>
      <w:rFonts w:ascii="Calibri" w:eastAsia="MS Mincho" w:hAnsi="Calibri" w:cs="Times New Roman"/>
      <w:i/>
      <w:iCs/>
      <w:lang w:val="en-US"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3-nfasis2">
    <w:name w:val="Medium Grid 3 Accent 2"/>
    <w:basedOn w:val="Tablanormal"/>
    <w:link w:val="MediumGrid3-Accent2Char"/>
    <w:uiPriority w:val="30"/>
    <w:rsid w:val="00C51E3C"/>
    <w:pPr>
      <w:spacing w:after="0" w:line="240" w:lineRule="auto"/>
    </w:pPr>
    <w:rPr>
      <w:rFonts w:ascii="Calibri" w:eastAsia="MS Mincho" w:hAnsi="Calibri" w:cs="Times New Roman"/>
      <w:b/>
      <w:bCs/>
      <w:i/>
      <w:iCs/>
      <w:lang w:val="en-US"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stavistosa-nfasis1">
    <w:name w:val="Colorful List Accent 1"/>
    <w:basedOn w:val="Tablanormal"/>
    <w:link w:val="ColorfulList-Accent1Char"/>
    <w:uiPriority w:val="99"/>
    <w:rsid w:val="00C51E3C"/>
    <w:pPr>
      <w:spacing w:after="0" w:line="240" w:lineRule="auto"/>
    </w:pPr>
    <w:rPr>
      <w:rFonts w:ascii="Calibri" w:eastAsia="Calibri" w:hAnsi="Calibri" w:cs="Times New Roman"/>
      <w:lang w:val="es-CO"/>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style-span">
    <w:name w:val="apple-style-span"/>
    <w:basedOn w:val="Fuentedeprrafopredeter"/>
    <w:rsid w:val="00304617"/>
  </w:style>
  <w:style w:type="paragraph" w:customStyle="1" w:styleId="bodytext21">
    <w:name w:val="bodytext21"/>
    <w:basedOn w:val="Normal"/>
    <w:rsid w:val="0085145F"/>
    <w:pPr>
      <w:widowControl/>
      <w:adjustRightInd/>
      <w:spacing w:before="100" w:beforeAutospacing="1" w:after="100" w:afterAutospacing="1" w:line="240" w:lineRule="auto"/>
      <w:jc w:val="left"/>
      <w:textAlignment w:val="auto"/>
    </w:pPr>
    <w:rPr>
      <w:rFonts w:ascii="Times New Roman" w:hAnsi="Times New Roman"/>
      <w:sz w:val="24"/>
    </w:rPr>
  </w:style>
  <w:style w:type="character" w:customStyle="1" w:styleId="sfbbfee58">
    <w:name w:val="sfbbfee58"/>
    <w:basedOn w:val="Fuentedeprrafopredeter"/>
    <w:rsid w:val="00582D8D"/>
  </w:style>
  <w:style w:type="paragraph" w:customStyle="1" w:styleId="citaindirecta">
    <w:name w:val="cita indirecta"/>
    <w:basedOn w:val="Normal"/>
    <w:uiPriority w:val="99"/>
    <w:rsid w:val="00582D8D"/>
    <w:pPr>
      <w:widowControl/>
      <w:adjustRightInd/>
      <w:spacing w:line="240" w:lineRule="auto"/>
      <w:ind w:left="708"/>
      <w:textAlignment w:val="auto"/>
    </w:pPr>
    <w:rPr>
      <w:noProof/>
      <w:szCs w:val="20"/>
      <w:lang w:val="es-ES_tradnl" w:eastAsia="en-US"/>
    </w:rPr>
  </w:style>
  <w:style w:type="paragraph" w:customStyle="1" w:styleId="Style1">
    <w:name w:val="Style1"/>
    <w:basedOn w:val="Ttulo1"/>
    <w:link w:val="Style1Char"/>
    <w:qFormat/>
    <w:rsid w:val="00582D8D"/>
    <w:pPr>
      <w:widowControl/>
      <w:tabs>
        <w:tab w:val="clear" w:pos="720"/>
      </w:tabs>
      <w:adjustRightInd/>
      <w:spacing w:after="60"/>
      <w:textAlignment w:val="auto"/>
    </w:pPr>
    <w:rPr>
      <w:rFonts w:eastAsia="Times New Roman" w:cs="Verdana"/>
      <w:noProof/>
      <w:spacing w:val="0"/>
      <w:lang w:val="es-ES"/>
    </w:rPr>
  </w:style>
  <w:style w:type="character" w:customStyle="1" w:styleId="Style1Char">
    <w:name w:val="Style1 Char"/>
    <w:link w:val="Style1"/>
    <w:rsid w:val="00582D8D"/>
    <w:rPr>
      <w:rFonts w:ascii="Verdana" w:eastAsia="Times New Roman" w:hAnsi="Verdana" w:cs="Verdana"/>
      <w:b/>
      <w:bCs/>
      <w:caps/>
      <w:noProof/>
      <w:snapToGrid w:val="0"/>
      <w:sz w:val="20"/>
      <w:szCs w:val="20"/>
      <w:lang w:val="es-ES" w:eastAsia="es-ES"/>
    </w:rPr>
  </w:style>
  <w:style w:type="paragraph" w:customStyle="1" w:styleId="Style2">
    <w:name w:val="Style2"/>
    <w:basedOn w:val="Ttulo2"/>
    <w:link w:val="Style2Char"/>
    <w:autoRedefine/>
    <w:qFormat/>
    <w:rsid w:val="00582D8D"/>
    <w:pPr>
      <w:keepNext/>
      <w:keepLines/>
      <w:widowControl/>
      <w:numPr>
        <w:numId w:val="0"/>
      </w:numPr>
      <w:tabs>
        <w:tab w:val="clear" w:pos="720"/>
      </w:tabs>
      <w:adjustRightInd/>
      <w:spacing w:before="360" w:after="60" w:line="240" w:lineRule="auto"/>
      <w:contextualSpacing w:val="0"/>
      <w:textAlignment w:val="auto"/>
    </w:pPr>
    <w:rPr>
      <w:bCs/>
      <w:noProof/>
      <w:spacing w:val="0"/>
      <w:lang w:eastAsia="en-US"/>
    </w:rPr>
  </w:style>
  <w:style w:type="character" w:customStyle="1" w:styleId="Style2Char">
    <w:name w:val="Style2 Char"/>
    <w:link w:val="Style2"/>
    <w:rsid w:val="00582D8D"/>
    <w:rPr>
      <w:rFonts w:ascii="Verdana" w:eastAsia="Times New Roman" w:hAnsi="Verdana" w:cs="Times New Roman"/>
      <w:b/>
      <w:bCs/>
      <w:i/>
      <w:noProof/>
      <w:sz w:val="20"/>
      <w:szCs w:val="20"/>
    </w:rPr>
  </w:style>
  <w:style w:type="character" w:customStyle="1" w:styleId="st">
    <w:name w:val="st"/>
    <w:rsid w:val="00582D8D"/>
    <w:rPr>
      <w:rFonts w:cs="Times New Roman"/>
    </w:rPr>
  </w:style>
  <w:style w:type="paragraph" w:styleId="Textoindependiente">
    <w:name w:val="Body Text"/>
    <w:basedOn w:val="Normal"/>
    <w:link w:val="TextoindependienteCar"/>
    <w:uiPriority w:val="99"/>
    <w:unhideWhenUsed/>
    <w:rsid w:val="00582D8D"/>
    <w:pPr>
      <w:widowControl/>
      <w:adjustRightInd/>
      <w:spacing w:line="240" w:lineRule="auto"/>
      <w:textAlignment w:val="auto"/>
    </w:pPr>
    <w:rPr>
      <w:rFonts w:ascii="Garamond" w:eastAsia="Times" w:hAnsi="Garamond"/>
      <w:noProof/>
      <w:sz w:val="22"/>
      <w:szCs w:val="20"/>
      <w:lang w:val="es-ES_tradnl" w:eastAsia="en-US"/>
    </w:rPr>
  </w:style>
  <w:style w:type="character" w:customStyle="1" w:styleId="TextoindependienteCar">
    <w:name w:val="Texto independiente Car"/>
    <w:basedOn w:val="Fuentedeprrafopredeter"/>
    <w:link w:val="Textoindependiente"/>
    <w:uiPriority w:val="99"/>
    <w:rsid w:val="00582D8D"/>
    <w:rPr>
      <w:rFonts w:ascii="Garamond" w:eastAsia="Times" w:hAnsi="Garamond" w:cs="Times New Roman"/>
      <w:noProof/>
      <w:szCs w:val="20"/>
      <w:lang w:val="es-ES_tradnl"/>
    </w:rPr>
  </w:style>
  <w:style w:type="paragraph" w:customStyle="1" w:styleId="NotasProyectos0">
    <w:name w:val="Notas Proyectos"/>
    <w:basedOn w:val="Normal"/>
    <w:link w:val="NotasProyectosChar0"/>
    <w:autoRedefine/>
    <w:qFormat/>
    <w:rsid w:val="00582D8D"/>
    <w:pPr>
      <w:widowControl/>
      <w:adjustRightInd/>
      <w:spacing w:before="120" w:line="240" w:lineRule="auto"/>
      <w:ind w:left="720"/>
      <w:textAlignment w:val="auto"/>
    </w:pPr>
    <w:rPr>
      <w:noProof/>
      <w:szCs w:val="20"/>
      <w:lang w:val="es-ES_tradnl" w:eastAsia="es-ES"/>
    </w:rPr>
  </w:style>
  <w:style w:type="character" w:customStyle="1" w:styleId="NotasProyectosChar0">
    <w:name w:val="Notas Proyectos Char"/>
    <w:link w:val="NotasProyectos0"/>
    <w:rsid w:val="00582D8D"/>
    <w:rPr>
      <w:rFonts w:ascii="Verdana" w:eastAsia="Times New Roman" w:hAnsi="Verdana" w:cs="Times New Roman"/>
      <w:noProof/>
      <w:sz w:val="20"/>
      <w:szCs w:val="20"/>
      <w:lang w:val="es-ES_tradnl" w:eastAsia="es-ES"/>
    </w:rPr>
  </w:style>
  <w:style w:type="paragraph" w:customStyle="1" w:styleId="1Prrafosentencia">
    <w:name w:val="1. Párrafo sentencia"/>
    <w:autoRedefine/>
    <w:qFormat/>
    <w:rsid w:val="00582D8D"/>
    <w:pPr>
      <w:spacing w:before="120" w:after="120"/>
      <w:ind w:left="1440" w:hanging="360"/>
      <w:jc w:val="both"/>
    </w:pPr>
    <w:rPr>
      <w:rFonts w:ascii="Verdana" w:eastAsia="Times New Roman" w:hAnsi="Verdana" w:cs="Univers"/>
      <w:noProof/>
      <w:color w:val="000000"/>
      <w:sz w:val="24"/>
      <w:szCs w:val="24"/>
      <w:lang w:val="es-ES_tradnl"/>
    </w:rPr>
  </w:style>
  <w:style w:type="paragraph" w:customStyle="1" w:styleId="Prrafonumerado">
    <w:name w:val="Párrafo numerado"/>
    <w:basedOn w:val="Normal"/>
    <w:autoRedefine/>
    <w:rsid w:val="00582D8D"/>
    <w:pPr>
      <w:widowControl/>
      <w:adjustRightInd/>
      <w:spacing w:before="120" w:after="120" w:line="240" w:lineRule="auto"/>
      <w:ind w:left="567" w:right="855"/>
      <w:textAlignment w:val="auto"/>
    </w:pPr>
    <w:rPr>
      <w:noProof/>
      <w:sz w:val="16"/>
      <w:szCs w:val="16"/>
      <w:lang w:val="es-CO" w:eastAsia="es-ES"/>
    </w:rPr>
  </w:style>
  <w:style w:type="paragraph" w:customStyle="1" w:styleId="2Footnotes">
    <w:name w:val="2. Footnotes"/>
    <w:basedOn w:val="Textonotapie"/>
    <w:link w:val="2FootnotesChar"/>
    <w:autoRedefine/>
    <w:qFormat/>
    <w:rsid w:val="00582D8D"/>
    <w:pPr>
      <w:widowControl/>
      <w:adjustRightInd/>
      <w:textAlignment w:val="auto"/>
    </w:pPr>
    <w:rPr>
      <w:rFonts w:cs="Palatino-Italic"/>
      <w:iCs/>
      <w:noProof/>
      <w:szCs w:val="18"/>
      <w:lang w:val="es-ES" w:eastAsia="en-US"/>
    </w:rPr>
  </w:style>
  <w:style w:type="character" w:customStyle="1" w:styleId="2FootnotesChar">
    <w:name w:val="2. Footnotes Char"/>
    <w:link w:val="2Footnotes"/>
    <w:rsid w:val="00582D8D"/>
    <w:rPr>
      <w:rFonts w:ascii="Verdana" w:eastAsia="Times New Roman" w:hAnsi="Verdana" w:cs="Palatino-Italic"/>
      <w:iCs/>
      <w:noProof/>
      <w:sz w:val="16"/>
      <w:szCs w:val="18"/>
      <w:lang w:val="es-ES"/>
    </w:rPr>
  </w:style>
  <w:style w:type="paragraph" w:customStyle="1" w:styleId="PrrafodeSentencia0">
    <w:name w:val="Párrafo de Sentencia"/>
    <w:autoRedefine/>
    <w:qFormat/>
    <w:rsid w:val="00582D8D"/>
    <w:pPr>
      <w:numPr>
        <w:ilvl w:val="4"/>
        <w:numId w:val="13"/>
      </w:numPr>
      <w:tabs>
        <w:tab w:val="num" w:pos="360"/>
      </w:tabs>
      <w:ind w:left="720" w:firstLine="0"/>
      <w:contextualSpacing/>
      <w:jc w:val="both"/>
    </w:pPr>
    <w:rPr>
      <w:rFonts w:ascii="Verdana" w:eastAsia="Times New Roman" w:hAnsi="Verdana" w:cs="Times New Roman"/>
      <w:noProof/>
      <w:sz w:val="20"/>
      <w:szCs w:val="20"/>
      <w:lang w:val="es-ES_tradnl" w:eastAsia="es-ES"/>
    </w:rPr>
  </w:style>
  <w:style w:type="paragraph" w:customStyle="1" w:styleId="Textonotapie1">
    <w:name w:val="Texto nota pie1"/>
    <w:basedOn w:val="Normal"/>
    <w:semiHidden/>
    <w:rsid w:val="00582D8D"/>
    <w:pPr>
      <w:widowControl/>
      <w:adjustRightInd/>
      <w:spacing w:line="240" w:lineRule="auto"/>
      <w:jc w:val="left"/>
      <w:textAlignment w:val="auto"/>
    </w:pPr>
    <w:rPr>
      <w:rFonts w:ascii="Times New Roman" w:hAnsi="Times New Roman"/>
      <w:noProof/>
      <w:szCs w:val="20"/>
      <w:lang w:val="es-ES_tradnl" w:eastAsia="es-ES"/>
    </w:rPr>
  </w:style>
  <w:style w:type="character" w:customStyle="1" w:styleId="normalchar">
    <w:name w:val="normal__char"/>
    <w:basedOn w:val="Fuentedeprrafopredeter"/>
    <w:rsid w:val="00582D8D"/>
  </w:style>
  <w:style w:type="character" w:customStyle="1" w:styleId="FootnoteRef">
    <w:name w:val="Footnote Ref"/>
    <w:rsid w:val="00582D8D"/>
    <w:rPr>
      <w:rFonts w:cs="Times New Roman"/>
      <w:vertAlign w:val="superscript"/>
    </w:rPr>
  </w:style>
  <w:style w:type="paragraph" w:styleId="Textosinformato">
    <w:name w:val="Plain Text"/>
    <w:basedOn w:val="Normal"/>
    <w:link w:val="TextosinformatoCar"/>
    <w:uiPriority w:val="99"/>
    <w:unhideWhenUsed/>
    <w:rsid w:val="00582D8D"/>
    <w:pPr>
      <w:widowControl/>
      <w:adjustRightInd/>
      <w:spacing w:line="240" w:lineRule="auto"/>
      <w:jc w:val="left"/>
      <w:textAlignment w:val="auto"/>
    </w:pPr>
    <w:rPr>
      <w:rFonts w:ascii="Consolas" w:eastAsia="Calibri" w:hAnsi="Consolas" w:cs="Consolas"/>
      <w:noProof/>
      <w:sz w:val="21"/>
      <w:szCs w:val="21"/>
    </w:rPr>
  </w:style>
  <w:style w:type="character" w:customStyle="1" w:styleId="TextosinformatoCar">
    <w:name w:val="Texto sin formato Car"/>
    <w:basedOn w:val="Fuentedeprrafopredeter"/>
    <w:link w:val="Textosinformato"/>
    <w:uiPriority w:val="99"/>
    <w:rsid w:val="00582D8D"/>
    <w:rPr>
      <w:rFonts w:ascii="Consolas" w:eastAsia="Calibri" w:hAnsi="Consolas" w:cs="Consolas"/>
      <w:noProof/>
      <w:sz w:val="21"/>
      <w:szCs w:val="21"/>
      <w:lang w:eastAsia="es-CR"/>
    </w:rPr>
  </w:style>
  <w:style w:type="paragraph" w:customStyle="1" w:styleId="CM15">
    <w:name w:val="CM15"/>
    <w:basedOn w:val="Default"/>
    <w:next w:val="Default"/>
    <w:uiPriority w:val="99"/>
    <w:rsid w:val="00582D8D"/>
    <w:pPr>
      <w:spacing w:line="276" w:lineRule="atLeast"/>
    </w:pPr>
    <w:rPr>
      <w:rFonts w:ascii="Arial" w:hAnsi="Arial" w:cs="Arial"/>
      <w:color w:val="auto"/>
      <w:spacing w:val="0"/>
      <w:lang w:val="en-US"/>
    </w:rPr>
  </w:style>
  <w:style w:type="character" w:customStyle="1" w:styleId="longtext1">
    <w:name w:val="long_text1"/>
    <w:rsid w:val="00582D8D"/>
    <w:rPr>
      <w:sz w:val="14"/>
      <w:szCs w:val="14"/>
    </w:rPr>
  </w:style>
  <w:style w:type="character" w:customStyle="1" w:styleId="Refdenotaalpie2">
    <w:name w:val="Ref. de nota al pie2"/>
    <w:rsid w:val="00582D8D"/>
    <w:rPr>
      <w:vertAlign w:val="superscript"/>
    </w:rPr>
  </w:style>
  <w:style w:type="paragraph" w:customStyle="1" w:styleId="xl66">
    <w:name w:val="xl66"/>
    <w:basedOn w:val="Normal"/>
    <w:rsid w:val="00582D8D"/>
    <w:pPr>
      <w:widowControl/>
      <w:pBdr>
        <w:top w:val="single" w:sz="8" w:space="0" w:color="auto"/>
        <w:left w:val="single" w:sz="8"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67">
    <w:name w:val="xl67"/>
    <w:basedOn w:val="Normal"/>
    <w:rsid w:val="00582D8D"/>
    <w:pPr>
      <w:widowControl/>
      <w:pBdr>
        <w:top w:val="single" w:sz="8" w:space="0" w:color="auto"/>
        <w:left w:val="single" w:sz="8" w:space="0" w:color="auto"/>
        <w:right w:val="single" w:sz="8"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68">
    <w:name w:val="xl68"/>
    <w:basedOn w:val="Normal"/>
    <w:rsid w:val="00582D8D"/>
    <w:pPr>
      <w:widowControl/>
      <w:pBdr>
        <w:top w:val="single" w:sz="8"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70">
    <w:name w:val="xl70"/>
    <w:basedOn w:val="Normal"/>
    <w:rsid w:val="00582D8D"/>
    <w:pPr>
      <w:widowControl/>
      <w:pBdr>
        <w:top w:val="single" w:sz="4" w:space="0" w:color="auto"/>
        <w:left w:val="single" w:sz="8" w:space="0" w:color="auto"/>
        <w:bottom w:val="single" w:sz="4" w:space="0" w:color="auto"/>
      </w:pBdr>
      <w:adjustRightInd/>
      <w:spacing w:before="100" w:beforeAutospacing="1" w:after="100" w:afterAutospacing="1" w:line="240" w:lineRule="auto"/>
      <w:jc w:val="center"/>
      <w:textAlignment w:val="center"/>
    </w:pPr>
    <w:rPr>
      <w:rFonts w:ascii="Book Antiqua" w:hAnsi="Book Antiqua"/>
      <w:b/>
      <w:bCs/>
      <w:color w:val="000000"/>
      <w:sz w:val="24"/>
    </w:rPr>
  </w:style>
  <w:style w:type="paragraph" w:customStyle="1" w:styleId="xl71">
    <w:name w:val="xl71"/>
    <w:basedOn w:val="Normal"/>
    <w:rsid w:val="00582D8D"/>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2">
    <w:name w:val="xl72"/>
    <w:basedOn w:val="Normal"/>
    <w:rsid w:val="00582D8D"/>
    <w:pPr>
      <w:widowControl/>
      <w:pBdr>
        <w:top w:val="single" w:sz="4" w:space="0" w:color="auto"/>
        <w:bottom w:val="single" w:sz="4"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3">
    <w:name w:val="xl73"/>
    <w:basedOn w:val="Normal"/>
    <w:rsid w:val="00582D8D"/>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4">
    <w:name w:val="xl74"/>
    <w:basedOn w:val="Normal"/>
    <w:rsid w:val="00582D8D"/>
    <w:pPr>
      <w:widowControl/>
      <w:pBdr>
        <w:top w:val="single" w:sz="4" w:space="0" w:color="auto"/>
        <w:left w:val="single" w:sz="8" w:space="0" w:color="auto"/>
        <w:right w:val="single" w:sz="8" w:space="0" w:color="auto"/>
      </w:pBdr>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5">
    <w:name w:val="xl75"/>
    <w:basedOn w:val="Normal"/>
    <w:rsid w:val="00582D8D"/>
    <w:pPr>
      <w:widowControl/>
      <w:pBdr>
        <w:top w:val="single" w:sz="4" w:space="0" w:color="auto"/>
        <w:left w:val="single" w:sz="8" w:space="0" w:color="auto"/>
        <w:bottom w:val="single" w:sz="4" w:space="0" w:color="auto"/>
        <w:right w:val="single" w:sz="8" w:space="0" w:color="auto"/>
      </w:pBdr>
      <w:shd w:val="clear" w:color="000000" w:fill="E6B9B8"/>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6">
    <w:name w:val="xl76"/>
    <w:basedOn w:val="Normal"/>
    <w:rsid w:val="00582D8D"/>
    <w:pPr>
      <w:widowControl/>
      <w:pBdr>
        <w:top w:val="single" w:sz="4" w:space="0" w:color="auto"/>
        <w:bottom w:val="single" w:sz="4" w:space="0" w:color="auto"/>
      </w:pBdr>
      <w:shd w:val="clear" w:color="000000" w:fill="E6B9B8"/>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77">
    <w:name w:val="xl77"/>
    <w:basedOn w:val="Normal"/>
    <w:rsid w:val="00582D8D"/>
    <w:pPr>
      <w:widowControl/>
      <w:pBdr>
        <w:top w:val="single" w:sz="4" w:space="0" w:color="auto"/>
        <w:left w:val="single" w:sz="8" w:space="0" w:color="auto"/>
        <w:bottom w:val="single" w:sz="4" w:space="0" w:color="auto"/>
        <w:right w:val="single" w:sz="8" w:space="0" w:color="auto"/>
      </w:pBdr>
      <w:shd w:val="clear" w:color="000000" w:fill="E6B9B8"/>
      <w:adjustRightInd/>
      <w:spacing w:before="100" w:beforeAutospacing="1" w:after="100" w:afterAutospacing="1" w:line="240" w:lineRule="auto"/>
      <w:jc w:val="left"/>
      <w:textAlignment w:val="center"/>
    </w:pPr>
    <w:rPr>
      <w:rFonts w:ascii="Book Antiqua" w:hAnsi="Book Antiqua"/>
      <w:color w:val="000000"/>
      <w:sz w:val="24"/>
    </w:rPr>
  </w:style>
  <w:style w:type="paragraph" w:customStyle="1" w:styleId="xl69">
    <w:name w:val="xl69"/>
    <w:basedOn w:val="Normal"/>
    <w:rsid w:val="00582D8D"/>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Times New Roman" w:hAnsi="Times New Roman"/>
      <w:sz w:val="24"/>
    </w:rPr>
  </w:style>
  <w:style w:type="character" w:customStyle="1" w:styleId="Smbolodenotaalpie">
    <w:name w:val="Símbolo de nota al pie"/>
    <w:rsid w:val="00582D8D"/>
    <w:rPr>
      <w:vertAlign w:val="superscript"/>
    </w:rPr>
  </w:style>
  <w:style w:type="paragraph" w:customStyle="1" w:styleId="BodyText31">
    <w:name w:val="Body Text 31"/>
    <w:basedOn w:val="Normal"/>
    <w:rsid w:val="00582D8D"/>
    <w:pPr>
      <w:widowControl/>
      <w:overflowPunct w:val="0"/>
      <w:autoSpaceDE w:val="0"/>
      <w:autoSpaceDN w:val="0"/>
      <w:spacing w:line="240" w:lineRule="auto"/>
      <w:jc w:val="left"/>
    </w:pPr>
    <w:rPr>
      <w:rFonts w:ascii="Times" w:hAnsi="Times"/>
      <w:b/>
      <w:caps/>
      <w:sz w:val="24"/>
      <w:szCs w:val="20"/>
      <w:lang w:val="en-US" w:eastAsia="es-ES"/>
    </w:rPr>
  </w:style>
  <w:style w:type="paragraph" w:customStyle="1" w:styleId="Textoindependiente1">
    <w:name w:val="Texto independiente1"/>
    <w:basedOn w:val="Normal"/>
    <w:rsid w:val="00582D8D"/>
    <w:pPr>
      <w:adjustRightInd/>
      <w:spacing w:line="240" w:lineRule="auto"/>
      <w:textAlignment w:val="auto"/>
    </w:pPr>
    <w:rPr>
      <w:rFonts w:ascii="Times New Roman" w:eastAsia="MS Mincho" w:hAnsi="Times New Roman"/>
      <w:sz w:val="24"/>
      <w:szCs w:val="20"/>
      <w:lang w:val="es-ES" w:eastAsia="en-US"/>
    </w:rPr>
  </w:style>
  <w:style w:type="paragraph" w:customStyle="1" w:styleId="xmsonormal">
    <w:name w:val="x_msonormal"/>
    <w:basedOn w:val="Normal"/>
    <w:rsid w:val="00582D8D"/>
    <w:pPr>
      <w:widowControl/>
      <w:adjustRightInd/>
      <w:spacing w:before="100" w:beforeAutospacing="1" w:after="100" w:afterAutospacing="1" w:line="240" w:lineRule="auto"/>
      <w:jc w:val="left"/>
      <w:textAlignment w:val="auto"/>
    </w:pPr>
    <w:rPr>
      <w:rFonts w:ascii="Times New Roman" w:hAnsi="Times New Roman"/>
      <w:sz w:val="24"/>
    </w:rPr>
  </w:style>
  <w:style w:type="character" w:customStyle="1" w:styleId="normal--char">
    <w:name w:val="normal--char"/>
    <w:basedOn w:val="Fuentedeprrafopredeter"/>
    <w:rsid w:val="00582D8D"/>
  </w:style>
  <w:style w:type="character" w:customStyle="1" w:styleId="ju-005fpara-002cleft-002cfirst-0020line-003a-0020-00200-0020cm--char">
    <w:name w:val="ju-005fpara-002cleft-002cfirst-0020line-003a-0020-00200-0020cm--char"/>
    <w:basedOn w:val="Fuentedeprrafopredeter"/>
    <w:rsid w:val="00582D8D"/>
  </w:style>
  <w:style w:type="character" w:customStyle="1" w:styleId="skypepnhprintcontainer">
    <w:name w:val="skype_pnh_print_container"/>
    <w:basedOn w:val="Fuentedeprrafopredeter"/>
    <w:rsid w:val="00582D8D"/>
  </w:style>
  <w:style w:type="paragraph" w:customStyle="1" w:styleId="ng-scope1">
    <w:name w:val="ng-scope1"/>
    <w:basedOn w:val="Normal"/>
    <w:rsid w:val="00582D8D"/>
    <w:pPr>
      <w:widowControl/>
      <w:adjustRightInd/>
      <w:spacing w:before="100" w:beforeAutospacing="1" w:after="100" w:afterAutospacing="1" w:line="240" w:lineRule="auto"/>
      <w:jc w:val="left"/>
      <w:textAlignment w:val="auto"/>
    </w:pPr>
    <w:rPr>
      <w:rFonts w:ascii="Times New Roman" w:hAnsi="Times New Roman"/>
      <w:sz w:val="24"/>
      <w:lang w:val="en-US" w:eastAsia="en-US"/>
    </w:rPr>
  </w:style>
  <w:style w:type="character" w:customStyle="1" w:styleId="CarCar">
    <w:name w:val="Car Car"/>
    <w:rsid w:val="00582D8D"/>
    <w:rPr>
      <w:rFonts w:ascii="Times New Roman" w:eastAsia="Times New Roman" w:hAnsi="Times New Roman" w:cs="Times New Roman"/>
      <w:sz w:val="20"/>
      <w:szCs w:val="20"/>
      <w:lang w:val="es-ES_tradnl"/>
    </w:rPr>
  </w:style>
  <w:style w:type="character" w:customStyle="1" w:styleId="skypepnhcontainer">
    <w:name w:val="skype_pnh_container"/>
    <w:rsid w:val="00582D8D"/>
    <w:rPr>
      <w:rFonts w:cs="Times New Roman"/>
    </w:rPr>
  </w:style>
  <w:style w:type="paragraph" w:customStyle="1" w:styleId="TextoArtculo">
    <w:name w:val="Texto Artículo"/>
    <w:next w:val="Normal"/>
    <w:rsid w:val="00582D8D"/>
    <w:pPr>
      <w:autoSpaceDE w:val="0"/>
      <w:autoSpaceDN w:val="0"/>
      <w:adjustRightInd w:val="0"/>
      <w:spacing w:after="0" w:line="240" w:lineRule="auto"/>
      <w:ind w:left="90" w:right="1"/>
      <w:jc w:val="both"/>
    </w:pPr>
    <w:rPr>
      <w:rFonts w:ascii="Verdana" w:eastAsia="Times New Roman" w:hAnsi="Verdana" w:cs="Verdana"/>
      <w:color w:val="000000"/>
      <w:sz w:val="20"/>
      <w:szCs w:val="20"/>
      <w:u w:color="000000"/>
      <w:shd w:val="clear" w:color="auto" w:fill="FFFFFF"/>
      <w:lang w:val="es-EC" w:eastAsia="es-ES"/>
    </w:rPr>
  </w:style>
  <w:style w:type="character" w:customStyle="1" w:styleId="nrmar">
    <w:name w:val="nrmar"/>
    <w:rsid w:val="00582D8D"/>
  </w:style>
  <w:style w:type="paragraph" w:customStyle="1" w:styleId="Prrafodelista4">
    <w:name w:val="Párrafo de lista4"/>
    <w:basedOn w:val="Normal"/>
    <w:uiPriority w:val="99"/>
    <w:qFormat/>
    <w:rsid w:val="00582D8D"/>
    <w:pPr>
      <w:widowControl/>
      <w:adjustRightInd/>
      <w:spacing w:line="240" w:lineRule="auto"/>
      <w:ind w:left="720"/>
      <w:textAlignment w:val="auto"/>
    </w:pPr>
    <w:rPr>
      <w:szCs w:val="20"/>
      <w:lang w:val="es-ES_tradnl" w:eastAsia="en-US"/>
    </w:rPr>
  </w:style>
  <w:style w:type="paragraph" w:customStyle="1" w:styleId="Style8">
    <w:name w:val="Style 8"/>
    <w:basedOn w:val="Normal"/>
    <w:rsid w:val="00582D8D"/>
    <w:pPr>
      <w:autoSpaceDE w:val="0"/>
      <w:autoSpaceDN w:val="0"/>
      <w:adjustRightInd/>
      <w:spacing w:line="240" w:lineRule="auto"/>
      <w:ind w:left="1440"/>
      <w:textAlignment w:val="auto"/>
    </w:pPr>
    <w:rPr>
      <w:rFonts w:ascii="Times New Roman" w:hAnsi="Times New Roman"/>
      <w:sz w:val="24"/>
      <w:lang w:val="es-ES_tradnl" w:eastAsia="es-ES_tradnl"/>
    </w:rPr>
  </w:style>
  <w:style w:type="paragraph" w:customStyle="1" w:styleId="Style16">
    <w:name w:val="Style 16"/>
    <w:basedOn w:val="Normal"/>
    <w:rsid w:val="00582D8D"/>
    <w:pPr>
      <w:autoSpaceDE w:val="0"/>
      <w:autoSpaceDN w:val="0"/>
      <w:adjustRightInd/>
      <w:spacing w:before="108" w:line="288" w:lineRule="atLeast"/>
      <w:ind w:left="1080"/>
      <w:textAlignment w:val="auto"/>
    </w:pPr>
    <w:rPr>
      <w:rFonts w:ascii="Times New Roman" w:hAnsi="Times New Roman"/>
      <w:sz w:val="24"/>
      <w:lang w:val="es-ES_tradnl" w:eastAsia="es-ES_tradnl"/>
    </w:rPr>
  </w:style>
  <w:style w:type="character" w:customStyle="1" w:styleId="Listavistosa-nfasis1Car">
    <w:name w:val="Lista vistosa - Énfasis 1 Car"/>
    <w:uiPriority w:val="99"/>
    <w:locked/>
    <w:rsid w:val="00582D8D"/>
    <w:rPr>
      <w:rFonts w:ascii="Verdana" w:eastAsia="Calibri" w:hAnsi="Verdana" w:cs="Times"/>
      <w:sz w:val="20"/>
      <w:szCs w:val="24"/>
      <w:lang w:val="es-ES_tradnl" w:eastAsia="es-ES"/>
    </w:rPr>
  </w:style>
  <w:style w:type="paragraph" w:customStyle="1" w:styleId="Encabezadodetabladecontenido1">
    <w:name w:val="Encabezado de tabla de contenido1"/>
    <w:basedOn w:val="Ttulo1"/>
    <w:next w:val="Normal"/>
    <w:uiPriority w:val="39"/>
    <w:semiHidden/>
    <w:unhideWhenUsed/>
    <w:qFormat/>
    <w:rsid w:val="00582D8D"/>
    <w:pPr>
      <w:widowControl/>
      <w:tabs>
        <w:tab w:val="clear" w:pos="720"/>
      </w:tabs>
      <w:adjustRightInd/>
      <w:spacing w:before="120" w:line="276" w:lineRule="auto"/>
      <w:jc w:val="left"/>
      <w:textAlignment w:val="auto"/>
      <w:outlineLvl w:val="9"/>
    </w:pPr>
    <w:rPr>
      <w:rFonts w:ascii="Cambria" w:eastAsia="Times New Roman" w:hAnsi="Cambria"/>
      <w:caps w:val="0"/>
      <w:snapToGrid/>
      <w:color w:val="365F91"/>
      <w:spacing w:val="0"/>
      <w:szCs w:val="28"/>
      <w:lang w:val="en-US" w:eastAsia="en-US"/>
    </w:rPr>
  </w:style>
  <w:style w:type="paragraph" w:customStyle="1" w:styleId="Style10">
    <w:name w:val="Style 1"/>
    <w:basedOn w:val="Normal"/>
    <w:rsid w:val="00582D8D"/>
    <w:pPr>
      <w:autoSpaceDE w:val="0"/>
      <w:autoSpaceDN w:val="0"/>
      <w:adjustRightInd/>
      <w:spacing w:line="288" w:lineRule="atLeast"/>
      <w:ind w:left="720" w:hanging="360"/>
      <w:textAlignment w:val="auto"/>
    </w:pPr>
    <w:rPr>
      <w:rFonts w:ascii="Times New Roman" w:hAnsi="Times New Roman"/>
      <w:sz w:val="24"/>
      <w:lang w:val="es-ES_tradnl" w:eastAsia="es-ES_tradnl"/>
    </w:rPr>
  </w:style>
  <w:style w:type="paragraph" w:customStyle="1" w:styleId="Style22">
    <w:name w:val="Style 22"/>
    <w:basedOn w:val="Normal"/>
    <w:rsid w:val="00582D8D"/>
    <w:pPr>
      <w:autoSpaceDE w:val="0"/>
      <w:autoSpaceDN w:val="0"/>
      <w:adjustRightInd/>
      <w:spacing w:before="180" w:line="288" w:lineRule="atLeast"/>
      <w:ind w:left="360" w:right="72" w:hanging="360"/>
      <w:textAlignment w:val="auto"/>
    </w:pPr>
    <w:rPr>
      <w:rFonts w:ascii="Times New Roman" w:hAnsi="Times New Roman"/>
      <w:sz w:val="24"/>
      <w:lang w:val="es-ES_tradnl" w:eastAsia="es-ES_tradnl"/>
    </w:rPr>
  </w:style>
  <w:style w:type="paragraph" w:customStyle="1" w:styleId="Style20">
    <w:name w:val="Style 20"/>
    <w:basedOn w:val="Normal"/>
    <w:rsid w:val="00582D8D"/>
    <w:pPr>
      <w:autoSpaceDE w:val="0"/>
      <w:autoSpaceDN w:val="0"/>
      <w:adjustRightInd/>
      <w:spacing w:line="240" w:lineRule="auto"/>
      <w:ind w:left="360" w:hanging="360"/>
      <w:textAlignment w:val="auto"/>
    </w:pPr>
    <w:rPr>
      <w:rFonts w:ascii="Times New Roman" w:hAnsi="Times New Roman"/>
      <w:sz w:val="24"/>
      <w:lang w:val="es-ES_tradnl" w:eastAsia="es-ES_tradnl"/>
    </w:rPr>
  </w:style>
  <w:style w:type="paragraph" w:customStyle="1" w:styleId="Style17">
    <w:name w:val="Style 17"/>
    <w:basedOn w:val="Normal"/>
    <w:rsid w:val="00582D8D"/>
    <w:pPr>
      <w:autoSpaceDE w:val="0"/>
      <w:autoSpaceDN w:val="0"/>
      <w:adjustRightInd/>
      <w:spacing w:line="288" w:lineRule="atLeast"/>
      <w:ind w:left="1080"/>
      <w:textAlignment w:val="auto"/>
    </w:pPr>
    <w:rPr>
      <w:rFonts w:ascii="Times New Roman" w:hAnsi="Times New Roman"/>
      <w:sz w:val="24"/>
      <w:lang w:val="es-ES_tradnl" w:eastAsia="es-ES_tradnl"/>
    </w:rPr>
  </w:style>
  <w:style w:type="paragraph" w:customStyle="1" w:styleId="Style13">
    <w:name w:val="Style 13"/>
    <w:basedOn w:val="Normal"/>
    <w:rsid w:val="00582D8D"/>
    <w:pPr>
      <w:autoSpaceDE w:val="0"/>
      <w:autoSpaceDN w:val="0"/>
      <w:adjustRightInd/>
      <w:spacing w:before="288" w:line="288" w:lineRule="atLeast"/>
      <w:ind w:left="720" w:hanging="360"/>
      <w:textAlignment w:val="auto"/>
    </w:pPr>
    <w:rPr>
      <w:rFonts w:ascii="Times New Roman" w:hAnsi="Times New Roman"/>
      <w:sz w:val="24"/>
      <w:lang w:val="es-ES_tradnl" w:eastAsia="es-ES_tradnl"/>
    </w:rPr>
  </w:style>
  <w:style w:type="paragraph" w:customStyle="1" w:styleId="Style11">
    <w:name w:val="Style 11"/>
    <w:basedOn w:val="Normal"/>
    <w:rsid w:val="00582D8D"/>
    <w:pPr>
      <w:autoSpaceDE w:val="0"/>
      <w:autoSpaceDN w:val="0"/>
      <w:adjustRightInd/>
      <w:spacing w:line="240" w:lineRule="auto"/>
      <w:ind w:left="720" w:right="72" w:hanging="432"/>
      <w:textAlignment w:val="auto"/>
    </w:pPr>
    <w:rPr>
      <w:rFonts w:ascii="Times New Roman" w:hAnsi="Times New Roman"/>
      <w:sz w:val="24"/>
      <w:lang w:val="es-ES_tradnl" w:eastAsia="es-ES_tradnl"/>
    </w:rPr>
  </w:style>
  <w:style w:type="paragraph" w:customStyle="1" w:styleId="Style15">
    <w:name w:val="Style 15"/>
    <w:basedOn w:val="Normal"/>
    <w:rsid w:val="00582D8D"/>
    <w:pPr>
      <w:autoSpaceDE w:val="0"/>
      <w:autoSpaceDN w:val="0"/>
      <w:adjustRightInd/>
      <w:spacing w:before="108" w:line="288" w:lineRule="atLeast"/>
      <w:ind w:left="1440"/>
      <w:textAlignment w:val="auto"/>
    </w:pPr>
    <w:rPr>
      <w:rFonts w:ascii="Times New Roman" w:hAnsi="Times New Roman"/>
      <w:sz w:val="24"/>
      <w:lang w:val="es-ES_tradnl" w:eastAsia="es-ES_tradnl"/>
    </w:rPr>
  </w:style>
  <w:style w:type="paragraph" w:customStyle="1" w:styleId="Style26">
    <w:name w:val="Style 26"/>
    <w:basedOn w:val="Normal"/>
    <w:rsid w:val="00582D8D"/>
    <w:pPr>
      <w:autoSpaceDE w:val="0"/>
      <w:autoSpaceDN w:val="0"/>
      <w:adjustRightInd/>
      <w:spacing w:line="288" w:lineRule="atLeast"/>
      <w:ind w:left="1872" w:hanging="432"/>
      <w:jc w:val="left"/>
      <w:textAlignment w:val="auto"/>
    </w:pPr>
    <w:rPr>
      <w:rFonts w:ascii="Times New Roman" w:hAnsi="Times New Roman"/>
      <w:sz w:val="24"/>
      <w:lang w:val="es-ES_tradnl" w:eastAsia="es-ES_tradnl"/>
    </w:rPr>
  </w:style>
  <w:style w:type="paragraph" w:customStyle="1" w:styleId="Style27">
    <w:name w:val="Style 27"/>
    <w:basedOn w:val="Normal"/>
    <w:rsid w:val="00582D8D"/>
    <w:pPr>
      <w:autoSpaceDE w:val="0"/>
      <w:autoSpaceDN w:val="0"/>
      <w:adjustRightInd/>
      <w:spacing w:line="288" w:lineRule="atLeast"/>
      <w:ind w:left="1440"/>
      <w:textAlignment w:val="auto"/>
    </w:pPr>
    <w:rPr>
      <w:rFonts w:ascii="Times New Roman" w:hAnsi="Times New Roman"/>
      <w:sz w:val="24"/>
      <w:lang w:val="es-ES_tradnl" w:eastAsia="es-ES_tradnl"/>
    </w:rPr>
  </w:style>
  <w:style w:type="paragraph" w:customStyle="1" w:styleId="Style14">
    <w:name w:val="Style 14"/>
    <w:basedOn w:val="Normal"/>
    <w:rsid w:val="00582D8D"/>
    <w:pPr>
      <w:autoSpaceDE w:val="0"/>
      <w:autoSpaceDN w:val="0"/>
      <w:adjustRightInd/>
      <w:spacing w:before="180" w:line="288" w:lineRule="atLeast"/>
      <w:ind w:left="720" w:hanging="360"/>
      <w:textAlignment w:val="auto"/>
    </w:pPr>
    <w:rPr>
      <w:rFonts w:ascii="Times New Roman" w:hAnsi="Times New Roman"/>
      <w:sz w:val="24"/>
      <w:lang w:val="es-ES_tradnl" w:eastAsia="es-ES_tradnl"/>
    </w:rPr>
  </w:style>
  <w:style w:type="paragraph" w:customStyle="1" w:styleId="Style19">
    <w:name w:val="Style 19"/>
    <w:basedOn w:val="Normal"/>
    <w:rsid w:val="00582D8D"/>
    <w:pPr>
      <w:autoSpaceDE w:val="0"/>
      <w:autoSpaceDN w:val="0"/>
      <w:adjustRightInd/>
      <w:spacing w:line="240" w:lineRule="auto"/>
      <w:jc w:val="center"/>
      <w:textAlignment w:val="auto"/>
    </w:pPr>
    <w:rPr>
      <w:rFonts w:ascii="Times New Roman" w:hAnsi="Times New Roman"/>
      <w:sz w:val="24"/>
      <w:lang w:val="es-ES_tradnl" w:eastAsia="es-ES_tradnl"/>
    </w:rPr>
  </w:style>
  <w:style w:type="paragraph" w:customStyle="1" w:styleId="Univers">
    <w:name w:val="Univers"/>
    <w:basedOn w:val="Normal"/>
    <w:rsid w:val="00582D8D"/>
    <w:pPr>
      <w:widowControl/>
      <w:adjustRightInd/>
      <w:spacing w:line="480" w:lineRule="auto"/>
      <w:textAlignment w:val="auto"/>
    </w:pPr>
    <w:rPr>
      <w:rFonts w:ascii="Univers" w:hAnsi="Univers"/>
      <w:sz w:val="24"/>
      <w:szCs w:val="32"/>
      <w:lang w:val="es-AR" w:eastAsia="en-US"/>
    </w:rPr>
  </w:style>
  <w:style w:type="paragraph" w:customStyle="1" w:styleId="Estilo4">
    <w:name w:val="Estilo4"/>
    <w:link w:val="Estilo4Car"/>
    <w:qFormat/>
    <w:rsid w:val="00582D8D"/>
    <w:pPr>
      <w:numPr>
        <w:ilvl w:val="1"/>
        <w:numId w:val="14"/>
      </w:numPr>
      <w:spacing w:after="120"/>
      <w:ind w:left="0" w:firstLine="357"/>
      <w:jc w:val="both"/>
    </w:pPr>
    <w:rPr>
      <w:rFonts w:ascii="Verdana" w:eastAsia="Times New Roman" w:hAnsi="Verdana" w:cs="Times New Roman"/>
      <w:spacing w:val="-2"/>
      <w:sz w:val="20"/>
      <w:szCs w:val="20"/>
    </w:rPr>
  </w:style>
  <w:style w:type="paragraph" w:customStyle="1" w:styleId="Footnotes0">
    <w:name w:val="Footnotes"/>
    <w:basedOn w:val="Textonotapie"/>
    <w:autoRedefine/>
    <w:qFormat/>
    <w:rsid w:val="00582D8D"/>
    <w:pPr>
      <w:widowControl/>
      <w:adjustRightInd/>
      <w:spacing w:before="0"/>
      <w:ind w:firstLine="709"/>
      <w:textAlignment w:val="auto"/>
    </w:pPr>
    <w:rPr>
      <w:rFonts w:ascii="Cambria" w:hAnsi="Cambria"/>
      <w:szCs w:val="18"/>
      <w:lang w:eastAsia="en-US"/>
    </w:rPr>
  </w:style>
  <w:style w:type="character" w:customStyle="1" w:styleId="user-highlighted-active">
    <w:name w:val="user-highlighted-active"/>
    <w:basedOn w:val="Fuentedeprrafopredeter"/>
    <w:rsid w:val="00582D8D"/>
  </w:style>
  <w:style w:type="character" w:customStyle="1" w:styleId="highlighted">
    <w:name w:val="highlighted"/>
    <w:basedOn w:val="Fuentedeprrafopredeter"/>
    <w:rsid w:val="00582D8D"/>
  </w:style>
  <w:style w:type="table" w:customStyle="1" w:styleId="TableGrid1">
    <w:name w:val="Table Grid1"/>
    <w:basedOn w:val="Tablanormal"/>
    <w:next w:val="Tablaconcuadrcula"/>
    <w:uiPriority w:val="59"/>
    <w:rsid w:val="00582D8D"/>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ote1">
    <w:name w:val="Quote1"/>
    <w:basedOn w:val="Normal"/>
    <w:next w:val="Normal"/>
    <w:uiPriority w:val="29"/>
    <w:qFormat/>
    <w:rsid w:val="00582D8D"/>
    <w:pPr>
      <w:widowControl/>
      <w:adjustRightInd/>
      <w:spacing w:line="240" w:lineRule="auto"/>
      <w:textAlignment w:val="auto"/>
    </w:pPr>
    <w:rPr>
      <w:rFonts w:ascii="Calibri" w:eastAsia="Calibri" w:hAnsi="Calibri"/>
      <w:i/>
      <w:iCs/>
      <w:color w:val="000000"/>
      <w:szCs w:val="22"/>
      <w:lang w:val="en-US" w:eastAsia="en-US"/>
    </w:rPr>
  </w:style>
  <w:style w:type="character" w:customStyle="1" w:styleId="QuoteChar1">
    <w:name w:val="Quote Char1"/>
    <w:uiPriority w:val="29"/>
    <w:rsid w:val="00582D8D"/>
    <w:rPr>
      <w:i/>
      <w:iCs/>
      <w:color w:val="000000"/>
    </w:rPr>
  </w:style>
  <w:style w:type="paragraph" w:customStyle="1" w:styleId="Estilo5">
    <w:name w:val="Estilo5"/>
    <w:basedOn w:val="Estilo2"/>
    <w:link w:val="Estilo5Car"/>
    <w:qFormat/>
    <w:rsid w:val="00582D8D"/>
    <w:pPr>
      <w:numPr>
        <w:numId w:val="15"/>
      </w:numPr>
      <w:spacing w:line="259" w:lineRule="auto"/>
      <w:ind w:left="0" w:firstLine="720"/>
      <w:jc w:val="left"/>
    </w:pPr>
    <w:rPr>
      <w:rFonts w:ascii="Times New Roman" w:hAnsi="Times New Roman"/>
      <w:i/>
      <w:sz w:val="24"/>
      <w:lang w:val="es-UY" w:eastAsia="en-US"/>
    </w:rPr>
  </w:style>
  <w:style w:type="character" w:customStyle="1" w:styleId="Estilo4Car">
    <w:name w:val="Estilo4 Car"/>
    <w:link w:val="Estilo4"/>
    <w:rsid w:val="00582D8D"/>
    <w:rPr>
      <w:rFonts w:ascii="Verdana" w:eastAsia="Times New Roman" w:hAnsi="Verdana" w:cs="Times New Roman"/>
      <w:spacing w:val="-2"/>
      <w:sz w:val="20"/>
      <w:szCs w:val="20"/>
    </w:rPr>
  </w:style>
  <w:style w:type="character" w:customStyle="1" w:styleId="Estilo5Car">
    <w:name w:val="Estilo5 Car"/>
    <w:link w:val="Estilo5"/>
    <w:rsid w:val="00582D8D"/>
    <w:rPr>
      <w:rFonts w:ascii="Times New Roman" w:eastAsia="Calibri" w:hAnsi="Times New Roman" w:cs="Times New Roman"/>
      <w:i/>
      <w:sz w:val="24"/>
      <w:szCs w:val="24"/>
      <w:lang w:val="es-UY"/>
    </w:rPr>
  </w:style>
  <w:style w:type="paragraph" w:styleId="HTMLconformatoprevio">
    <w:name w:val="HTML Preformatted"/>
    <w:basedOn w:val="Normal"/>
    <w:link w:val="HTMLconformatoprevioCar"/>
    <w:uiPriority w:val="99"/>
    <w:unhideWhenUsed/>
    <w:rsid w:val="00582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Cs w:val="20"/>
    </w:rPr>
  </w:style>
  <w:style w:type="character" w:customStyle="1" w:styleId="HTMLconformatoprevioCar">
    <w:name w:val="HTML con formato previo Car"/>
    <w:basedOn w:val="Fuentedeprrafopredeter"/>
    <w:link w:val="HTMLconformatoprevio"/>
    <w:uiPriority w:val="99"/>
    <w:rsid w:val="00582D8D"/>
    <w:rPr>
      <w:rFonts w:ascii="Courier New" w:eastAsia="Times New Roman" w:hAnsi="Courier New" w:cs="Courier New"/>
      <w:sz w:val="20"/>
      <w:szCs w:val="20"/>
      <w:lang w:eastAsia="es-CR"/>
    </w:rPr>
  </w:style>
  <w:style w:type="table" w:customStyle="1" w:styleId="Tabladecuadrcula1clara-nfasis31">
    <w:name w:val="Tabla de cuadrícula 1 clara - Énfasis 31"/>
    <w:basedOn w:val="Tablanormal"/>
    <w:uiPriority w:val="46"/>
    <w:rsid w:val="00582D8D"/>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2-nfasis31">
    <w:name w:val="Tabla de cuadrícula 2 - Énfasis 31"/>
    <w:basedOn w:val="Tablanormal"/>
    <w:uiPriority w:val="47"/>
    <w:rsid w:val="00582D8D"/>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2-nfasis11">
    <w:name w:val="Tabla de cuadrícula 2 - Énfasis 11"/>
    <w:basedOn w:val="Tablanormal"/>
    <w:uiPriority w:val="47"/>
    <w:rsid w:val="00582D8D"/>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582D8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582D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5oscura-nfasis51">
    <w:name w:val="Tabla de cuadrícula 5 oscura - Énfasis 51"/>
    <w:basedOn w:val="Tablanormal"/>
    <w:uiPriority w:val="50"/>
    <w:rsid w:val="00582D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7concolores-nfasis11">
    <w:name w:val="Tabla de cuadrícula 7 con colores - Énfasis 11"/>
    <w:basedOn w:val="Tablanormal"/>
    <w:uiPriority w:val="52"/>
    <w:rsid w:val="00582D8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lista3-nfasis51">
    <w:name w:val="Tabla de lista 3 - Énfasis 51"/>
    <w:basedOn w:val="Tablanormal"/>
    <w:uiPriority w:val="48"/>
    <w:rsid w:val="00582D8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adelista4-nfasis11">
    <w:name w:val="Tabla de lista 4 - Énfasis 11"/>
    <w:basedOn w:val="Tablanormal"/>
    <w:uiPriority w:val="49"/>
    <w:rsid w:val="00582D8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7concolores-nfasis11">
    <w:name w:val="Tabla de lista 7 con colores - Énfasis 11"/>
    <w:basedOn w:val="Tablanormal"/>
    <w:uiPriority w:val="52"/>
    <w:rsid w:val="00582D8D"/>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6concolores-nfasis11">
    <w:name w:val="Tabla de cuadrícula 6 con colores - Énfasis 11"/>
    <w:basedOn w:val="Tablanormal"/>
    <w:uiPriority w:val="51"/>
    <w:rsid w:val="00582D8D"/>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1clara-nfasis11">
    <w:name w:val="Tabla de cuadrícula 1 clara - Énfasis 11"/>
    <w:basedOn w:val="Tablanormal"/>
    <w:uiPriority w:val="46"/>
    <w:rsid w:val="00582D8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lista3-nfasis11">
    <w:name w:val="Tabla de lista 3 - Énfasis 11"/>
    <w:basedOn w:val="Tablanormal"/>
    <w:uiPriority w:val="48"/>
    <w:rsid w:val="00582D8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prrafodesentencia1">
    <w:name w:val="prrafodesentencia"/>
    <w:basedOn w:val="Normal"/>
    <w:rsid w:val="008F6350"/>
    <w:pPr>
      <w:widowControl/>
      <w:adjustRightInd/>
      <w:spacing w:before="100" w:beforeAutospacing="1" w:after="100" w:afterAutospacing="1" w:line="240" w:lineRule="auto"/>
      <w:jc w:val="left"/>
      <w:textAlignment w:val="auto"/>
    </w:pPr>
    <w:rPr>
      <w:rFonts w:ascii="Times New Roman" w:eastAsiaTheme="minorHAnsi" w:hAnsi="Times New Roman"/>
      <w:sz w:val="24"/>
    </w:rPr>
  </w:style>
  <w:style w:type="table" w:customStyle="1" w:styleId="Tabladecuadrcula5oscura-nfasis110">
    <w:name w:val="Tabla de cuadrícula 5 oscura - Énfasis 11"/>
    <w:basedOn w:val="Tablanormal"/>
    <w:uiPriority w:val="50"/>
    <w:rsid w:val="008F6350"/>
    <w:pPr>
      <w:spacing w:after="0" w:line="240" w:lineRule="auto"/>
    </w:pPr>
    <w:rPr>
      <w:rFonts w:eastAsia="Times New Roman"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tuloTDC">
    <w:name w:val="TOC Heading"/>
    <w:basedOn w:val="Ttulo1"/>
    <w:next w:val="Normal"/>
    <w:uiPriority w:val="39"/>
    <w:semiHidden/>
    <w:unhideWhenUsed/>
    <w:qFormat/>
    <w:rsid w:val="00733D88"/>
    <w:pPr>
      <w:widowControl/>
      <w:tabs>
        <w:tab w:val="clear" w:pos="720"/>
      </w:tabs>
      <w:adjustRightInd/>
      <w:spacing w:before="480" w:line="276" w:lineRule="auto"/>
      <w:jc w:val="left"/>
      <w:textAlignment w:val="auto"/>
      <w:outlineLvl w:val="9"/>
    </w:pPr>
    <w:rPr>
      <w:rFonts w:asciiTheme="majorHAnsi" w:eastAsiaTheme="majorEastAsia" w:hAnsiTheme="majorHAnsi" w:cstheme="majorBidi"/>
      <w:caps w:val="0"/>
      <w:snapToGrid/>
      <w:color w:val="365F91" w:themeColor="accent1" w:themeShade="BF"/>
      <w:spacing w:val="0"/>
      <w:sz w:val="28"/>
      <w:szCs w:val="28"/>
      <w:lang w:val="en-US" w:eastAsia="ja-JP"/>
    </w:rPr>
  </w:style>
  <w:style w:type="character" w:customStyle="1" w:styleId="PrrafodelistaCar">
    <w:name w:val="Párrafo de lista Car"/>
    <w:aliases w:val="Footnote Car,List Paragraph1 Car,Colorful List - Accent 11 Car,Párrafo de lista1 Car"/>
    <w:basedOn w:val="Fuentedeprrafopredeter"/>
    <w:link w:val="Prrafodelista"/>
    <w:uiPriority w:val="99"/>
    <w:locked/>
    <w:rsid w:val="00392342"/>
    <w:rPr>
      <w:rFonts w:ascii="Verdana" w:eastAsia="Times New Roman" w:hAnsi="Verdana" w:cs="Times New Roman"/>
      <w:sz w:val="20"/>
      <w:szCs w:val="24"/>
      <w:lang w:eastAsia="es-CR"/>
    </w:rPr>
  </w:style>
  <w:style w:type="character" w:styleId="Mencinsinresolver">
    <w:name w:val="Unresolved Mention"/>
    <w:basedOn w:val="Fuentedeprrafopredeter"/>
    <w:uiPriority w:val="99"/>
    <w:semiHidden/>
    <w:unhideWhenUsed/>
    <w:rsid w:val="00436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2737">
      <w:bodyDiv w:val="1"/>
      <w:marLeft w:val="0"/>
      <w:marRight w:val="0"/>
      <w:marTop w:val="0"/>
      <w:marBottom w:val="0"/>
      <w:divBdr>
        <w:top w:val="none" w:sz="0" w:space="0" w:color="auto"/>
        <w:left w:val="none" w:sz="0" w:space="0" w:color="auto"/>
        <w:bottom w:val="none" w:sz="0" w:space="0" w:color="auto"/>
        <w:right w:val="none" w:sz="0" w:space="0" w:color="auto"/>
      </w:divBdr>
    </w:div>
    <w:div w:id="324207489">
      <w:bodyDiv w:val="1"/>
      <w:marLeft w:val="0"/>
      <w:marRight w:val="0"/>
      <w:marTop w:val="0"/>
      <w:marBottom w:val="0"/>
      <w:divBdr>
        <w:top w:val="none" w:sz="0" w:space="0" w:color="auto"/>
        <w:left w:val="none" w:sz="0" w:space="0" w:color="auto"/>
        <w:bottom w:val="none" w:sz="0" w:space="0" w:color="auto"/>
        <w:right w:val="none" w:sz="0" w:space="0" w:color="auto"/>
      </w:divBdr>
    </w:div>
    <w:div w:id="428737160">
      <w:bodyDiv w:val="1"/>
      <w:marLeft w:val="0"/>
      <w:marRight w:val="0"/>
      <w:marTop w:val="0"/>
      <w:marBottom w:val="0"/>
      <w:divBdr>
        <w:top w:val="none" w:sz="0" w:space="0" w:color="auto"/>
        <w:left w:val="none" w:sz="0" w:space="0" w:color="auto"/>
        <w:bottom w:val="none" w:sz="0" w:space="0" w:color="auto"/>
        <w:right w:val="none" w:sz="0" w:space="0" w:color="auto"/>
      </w:divBdr>
    </w:div>
    <w:div w:id="620496230">
      <w:bodyDiv w:val="1"/>
      <w:marLeft w:val="0"/>
      <w:marRight w:val="0"/>
      <w:marTop w:val="0"/>
      <w:marBottom w:val="0"/>
      <w:divBdr>
        <w:top w:val="none" w:sz="0" w:space="0" w:color="auto"/>
        <w:left w:val="none" w:sz="0" w:space="0" w:color="auto"/>
        <w:bottom w:val="none" w:sz="0" w:space="0" w:color="auto"/>
        <w:right w:val="none" w:sz="0" w:space="0" w:color="auto"/>
      </w:divBdr>
    </w:div>
    <w:div w:id="673218288">
      <w:bodyDiv w:val="1"/>
      <w:marLeft w:val="0"/>
      <w:marRight w:val="0"/>
      <w:marTop w:val="0"/>
      <w:marBottom w:val="0"/>
      <w:divBdr>
        <w:top w:val="none" w:sz="0" w:space="0" w:color="auto"/>
        <w:left w:val="none" w:sz="0" w:space="0" w:color="auto"/>
        <w:bottom w:val="none" w:sz="0" w:space="0" w:color="auto"/>
        <w:right w:val="none" w:sz="0" w:space="0" w:color="auto"/>
      </w:divBdr>
    </w:div>
    <w:div w:id="728453835">
      <w:bodyDiv w:val="1"/>
      <w:marLeft w:val="0"/>
      <w:marRight w:val="0"/>
      <w:marTop w:val="0"/>
      <w:marBottom w:val="0"/>
      <w:divBdr>
        <w:top w:val="none" w:sz="0" w:space="0" w:color="auto"/>
        <w:left w:val="none" w:sz="0" w:space="0" w:color="auto"/>
        <w:bottom w:val="none" w:sz="0" w:space="0" w:color="auto"/>
        <w:right w:val="none" w:sz="0" w:space="0" w:color="auto"/>
      </w:divBdr>
    </w:div>
    <w:div w:id="763645824">
      <w:bodyDiv w:val="1"/>
      <w:marLeft w:val="0"/>
      <w:marRight w:val="0"/>
      <w:marTop w:val="0"/>
      <w:marBottom w:val="0"/>
      <w:divBdr>
        <w:top w:val="none" w:sz="0" w:space="0" w:color="auto"/>
        <w:left w:val="none" w:sz="0" w:space="0" w:color="auto"/>
        <w:bottom w:val="none" w:sz="0" w:space="0" w:color="auto"/>
        <w:right w:val="none" w:sz="0" w:space="0" w:color="auto"/>
      </w:divBdr>
    </w:div>
    <w:div w:id="882139138">
      <w:bodyDiv w:val="1"/>
      <w:marLeft w:val="0"/>
      <w:marRight w:val="0"/>
      <w:marTop w:val="0"/>
      <w:marBottom w:val="0"/>
      <w:divBdr>
        <w:top w:val="none" w:sz="0" w:space="0" w:color="auto"/>
        <w:left w:val="none" w:sz="0" w:space="0" w:color="auto"/>
        <w:bottom w:val="none" w:sz="0" w:space="0" w:color="auto"/>
        <w:right w:val="none" w:sz="0" w:space="0" w:color="auto"/>
      </w:divBdr>
    </w:div>
    <w:div w:id="1088231444">
      <w:bodyDiv w:val="1"/>
      <w:marLeft w:val="0"/>
      <w:marRight w:val="0"/>
      <w:marTop w:val="0"/>
      <w:marBottom w:val="0"/>
      <w:divBdr>
        <w:top w:val="none" w:sz="0" w:space="0" w:color="auto"/>
        <w:left w:val="none" w:sz="0" w:space="0" w:color="auto"/>
        <w:bottom w:val="none" w:sz="0" w:space="0" w:color="auto"/>
        <w:right w:val="none" w:sz="0" w:space="0" w:color="auto"/>
      </w:divBdr>
    </w:div>
    <w:div w:id="1126435748">
      <w:bodyDiv w:val="1"/>
      <w:marLeft w:val="0"/>
      <w:marRight w:val="0"/>
      <w:marTop w:val="0"/>
      <w:marBottom w:val="0"/>
      <w:divBdr>
        <w:top w:val="none" w:sz="0" w:space="0" w:color="auto"/>
        <w:left w:val="none" w:sz="0" w:space="0" w:color="auto"/>
        <w:bottom w:val="none" w:sz="0" w:space="0" w:color="auto"/>
        <w:right w:val="none" w:sz="0" w:space="0" w:color="auto"/>
      </w:divBdr>
      <w:divsChild>
        <w:div w:id="254824355">
          <w:marLeft w:val="0"/>
          <w:marRight w:val="0"/>
          <w:marTop w:val="0"/>
          <w:marBottom w:val="0"/>
          <w:divBdr>
            <w:top w:val="none" w:sz="0" w:space="0" w:color="auto"/>
            <w:left w:val="none" w:sz="0" w:space="0" w:color="auto"/>
            <w:bottom w:val="none" w:sz="0" w:space="0" w:color="auto"/>
            <w:right w:val="none" w:sz="0" w:space="0" w:color="auto"/>
          </w:divBdr>
          <w:divsChild>
            <w:div w:id="1031684504">
              <w:marLeft w:val="0"/>
              <w:marRight w:val="0"/>
              <w:marTop w:val="0"/>
              <w:marBottom w:val="0"/>
              <w:divBdr>
                <w:top w:val="none" w:sz="0" w:space="0" w:color="auto"/>
                <w:left w:val="none" w:sz="0" w:space="0" w:color="auto"/>
                <w:bottom w:val="none" w:sz="0" w:space="0" w:color="auto"/>
                <w:right w:val="none" w:sz="0" w:space="0" w:color="auto"/>
              </w:divBdr>
              <w:divsChild>
                <w:div w:id="6987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6731">
      <w:bodyDiv w:val="1"/>
      <w:marLeft w:val="0"/>
      <w:marRight w:val="0"/>
      <w:marTop w:val="0"/>
      <w:marBottom w:val="0"/>
      <w:divBdr>
        <w:top w:val="none" w:sz="0" w:space="0" w:color="auto"/>
        <w:left w:val="none" w:sz="0" w:space="0" w:color="auto"/>
        <w:bottom w:val="none" w:sz="0" w:space="0" w:color="auto"/>
        <w:right w:val="none" w:sz="0" w:space="0" w:color="auto"/>
      </w:divBdr>
    </w:div>
    <w:div w:id="1180044837">
      <w:bodyDiv w:val="1"/>
      <w:marLeft w:val="0"/>
      <w:marRight w:val="0"/>
      <w:marTop w:val="0"/>
      <w:marBottom w:val="0"/>
      <w:divBdr>
        <w:top w:val="none" w:sz="0" w:space="0" w:color="auto"/>
        <w:left w:val="none" w:sz="0" w:space="0" w:color="auto"/>
        <w:bottom w:val="none" w:sz="0" w:space="0" w:color="auto"/>
        <w:right w:val="none" w:sz="0" w:space="0" w:color="auto"/>
      </w:divBdr>
    </w:div>
    <w:div w:id="1257788074">
      <w:bodyDiv w:val="1"/>
      <w:marLeft w:val="0"/>
      <w:marRight w:val="0"/>
      <w:marTop w:val="0"/>
      <w:marBottom w:val="0"/>
      <w:divBdr>
        <w:top w:val="none" w:sz="0" w:space="0" w:color="auto"/>
        <w:left w:val="none" w:sz="0" w:space="0" w:color="auto"/>
        <w:bottom w:val="none" w:sz="0" w:space="0" w:color="auto"/>
        <w:right w:val="none" w:sz="0" w:space="0" w:color="auto"/>
      </w:divBdr>
    </w:div>
    <w:div w:id="1286618408">
      <w:bodyDiv w:val="1"/>
      <w:marLeft w:val="0"/>
      <w:marRight w:val="0"/>
      <w:marTop w:val="0"/>
      <w:marBottom w:val="0"/>
      <w:divBdr>
        <w:top w:val="none" w:sz="0" w:space="0" w:color="auto"/>
        <w:left w:val="none" w:sz="0" w:space="0" w:color="auto"/>
        <w:bottom w:val="none" w:sz="0" w:space="0" w:color="auto"/>
        <w:right w:val="none" w:sz="0" w:space="0" w:color="auto"/>
      </w:divBdr>
    </w:div>
    <w:div w:id="1295024110">
      <w:bodyDiv w:val="1"/>
      <w:marLeft w:val="0"/>
      <w:marRight w:val="0"/>
      <w:marTop w:val="0"/>
      <w:marBottom w:val="0"/>
      <w:divBdr>
        <w:top w:val="none" w:sz="0" w:space="0" w:color="auto"/>
        <w:left w:val="none" w:sz="0" w:space="0" w:color="auto"/>
        <w:bottom w:val="none" w:sz="0" w:space="0" w:color="auto"/>
        <w:right w:val="none" w:sz="0" w:space="0" w:color="auto"/>
      </w:divBdr>
    </w:div>
    <w:div w:id="1335566482">
      <w:bodyDiv w:val="1"/>
      <w:marLeft w:val="0"/>
      <w:marRight w:val="0"/>
      <w:marTop w:val="0"/>
      <w:marBottom w:val="0"/>
      <w:divBdr>
        <w:top w:val="none" w:sz="0" w:space="0" w:color="auto"/>
        <w:left w:val="none" w:sz="0" w:space="0" w:color="auto"/>
        <w:bottom w:val="none" w:sz="0" w:space="0" w:color="auto"/>
        <w:right w:val="none" w:sz="0" w:space="0" w:color="auto"/>
      </w:divBdr>
    </w:div>
    <w:div w:id="1411922892">
      <w:bodyDiv w:val="1"/>
      <w:marLeft w:val="0"/>
      <w:marRight w:val="0"/>
      <w:marTop w:val="0"/>
      <w:marBottom w:val="0"/>
      <w:divBdr>
        <w:top w:val="none" w:sz="0" w:space="0" w:color="auto"/>
        <w:left w:val="none" w:sz="0" w:space="0" w:color="auto"/>
        <w:bottom w:val="none" w:sz="0" w:space="0" w:color="auto"/>
        <w:right w:val="none" w:sz="0" w:space="0" w:color="auto"/>
      </w:divBdr>
    </w:div>
    <w:div w:id="1493326217">
      <w:bodyDiv w:val="1"/>
      <w:marLeft w:val="0"/>
      <w:marRight w:val="0"/>
      <w:marTop w:val="0"/>
      <w:marBottom w:val="0"/>
      <w:divBdr>
        <w:top w:val="none" w:sz="0" w:space="0" w:color="auto"/>
        <w:left w:val="none" w:sz="0" w:space="0" w:color="auto"/>
        <w:bottom w:val="none" w:sz="0" w:space="0" w:color="auto"/>
        <w:right w:val="none" w:sz="0" w:space="0" w:color="auto"/>
      </w:divBdr>
    </w:div>
    <w:div w:id="1600480597">
      <w:bodyDiv w:val="1"/>
      <w:marLeft w:val="0"/>
      <w:marRight w:val="0"/>
      <w:marTop w:val="0"/>
      <w:marBottom w:val="0"/>
      <w:divBdr>
        <w:top w:val="none" w:sz="0" w:space="0" w:color="auto"/>
        <w:left w:val="none" w:sz="0" w:space="0" w:color="auto"/>
        <w:bottom w:val="none" w:sz="0" w:space="0" w:color="auto"/>
        <w:right w:val="none" w:sz="0" w:space="0" w:color="auto"/>
      </w:divBdr>
    </w:div>
    <w:div w:id="1952973943">
      <w:bodyDiv w:val="1"/>
      <w:marLeft w:val="0"/>
      <w:marRight w:val="0"/>
      <w:marTop w:val="0"/>
      <w:marBottom w:val="0"/>
      <w:divBdr>
        <w:top w:val="none" w:sz="0" w:space="0" w:color="auto"/>
        <w:left w:val="none" w:sz="0" w:space="0" w:color="auto"/>
        <w:bottom w:val="none" w:sz="0" w:space="0" w:color="auto"/>
        <w:right w:val="none" w:sz="0" w:space="0" w:color="auto"/>
      </w:divBdr>
    </w:div>
    <w:div w:id="2051686640">
      <w:bodyDiv w:val="1"/>
      <w:marLeft w:val="0"/>
      <w:marRight w:val="0"/>
      <w:marTop w:val="0"/>
      <w:marBottom w:val="0"/>
      <w:divBdr>
        <w:top w:val="none" w:sz="0" w:space="0" w:color="auto"/>
        <w:left w:val="none" w:sz="0" w:space="0" w:color="auto"/>
        <w:bottom w:val="none" w:sz="0" w:space="0" w:color="auto"/>
        <w:right w:val="none" w:sz="0" w:space="0" w:color="auto"/>
      </w:divBdr>
    </w:div>
    <w:div w:id="2082756021">
      <w:bodyDiv w:val="1"/>
      <w:marLeft w:val="0"/>
      <w:marRight w:val="0"/>
      <w:marTop w:val="0"/>
      <w:marBottom w:val="0"/>
      <w:divBdr>
        <w:top w:val="none" w:sz="0" w:space="0" w:color="auto"/>
        <w:left w:val="none" w:sz="0" w:space="0" w:color="auto"/>
        <w:bottom w:val="none" w:sz="0" w:space="0" w:color="auto"/>
        <w:right w:val="none" w:sz="0" w:space="0" w:color="auto"/>
      </w:divBdr>
    </w:div>
    <w:div w:id="21433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ohchr.org/EN/HRBodies/HRC/RegularSessions/Session29/Pages/ListReports.aspx" TargetMode="External"/><Relationship Id="rId13" Type="http://schemas.openxmlformats.org/officeDocument/2006/relationships/hyperlink" Target="http://www.oas.org/es/sla/ddi/docs/AG-RES_2435_XXXVIII-O-08.pdf" TargetMode="External"/><Relationship Id="rId18" Type="http://schemas.openxmlformats.org/officeDocument/2006/relationships/hyperlink" Target="http://www.coe.int/t/dghl/standardsetting/hrpolicy/Other_Committees/DH-DEV-FA_docs/CM_Rec_20104%20Armed%20forces_%20en.pdf" TargetMode="External"/><Relationship Id="rId3" Type="http://schemas.openxmlformats.org/officeDocument/2006/relationships/hyperlink" Target="http://www.oas.org/en/sla/dil/docs/cp-cajp-inf_166-12_eng.pdf" TargetMode="External"/><Relationship Id="rId21" Type="http://schemas.openxmlformats.org/officeDocument/2006/relationships/hyperlink" Target="http://www.nato.int/nato_static/%20assets/pdf/pdf_topics/20100625_IS_IMS_EqualOpportunitiesPolicy.pdf" TargetMode="External"/><Relationship Id="rId7" Type="http://schemas.openxmlformats.org/officeDocument/2006/relationships/hyperlink" Target="http://www.achpr.org/sessions/55th/resolutions/275/" TargetMode="External"/><Relationship Id="rId12" Type="http://schemas.openxmlformats.org/officeDocument/2006/relationships/hyperlink" Target="http://www.oas.org/es/sla/ddi/docs/AG-RES_2721_XLII-O-12_esp.pdf" TargetMode="External"/><Relationship Id="rId17" Type="http://schemas.openxmlformats.org/officeDocument/2006/relationships/hyperlink" Target="http://hudoc.esc.coe.int/eng/?i=2012/def/TUR/1/2/FR" TargetMode="External"/><Relationship Id="rId2" Type="http://schemas.openxmlformats.org/officeDocument/2006/relationships/hyperlink" Target="http://www.corteidh.or.cr/docs/asuntos/freire_16_12_15.pdf" TargetMode="External"/><Relationship Id="rId16" Type="http://schemas.openxmlformats.org/officeDocument/2006/relationships/hyperlink" Target="http://www.oas.org/es/sla/ddi/docs/AG-RES_2653_XLI-O-11_esp.pdf" TargetMode="External"/><Relationship Id="rId20" Type="http://schemas.openxmlformats.org/officeDocument/2006/relationships/hyperlink" Target="https://eur-lex.europa.eu/legal-content/EN/TXT/HTML/?uri=CELEX:%2032000L0078&amp;from=EN" TargetMode="External"/><Relationship Id="rId1" Type="http://schemas.openxmlformats.org/officeDocument/2006/relationships/hyperlink" Target="http://www.corteidh.or.cr/docs/asuntos/freire_fv_15.pdf" TargetMode="External"/><Relationship Id="rId6" Type="http://schemas.openxmlformats.org/officeDocument/2006/relationships/hyperlink" Target="https://undocs.org/E/C.12/GC/20" TargetMode="External"/><Relationship Id="rId11" Type="http://schemas.openxmlformats.org/officeDocument/2006/relationships/hyperlink" Target="https://www.oas.org/es/cidh/lgtbi/docs/AG-RES2863-XLIV-O-14esp.pdf" TargetMode="External"/><Relationship Id="rId5" Type="http://schemas.openxmlformats.org/officeDocument/2006/relationships/hyperlink" Target="http://hrlibrary.umn.edu/iachr/series_A_OC-18.html" TargetMode="External"/><Relationship Id="rId15" Type="http://schemas.openxmlformats.org/officeDocument/2006/relationships/hyperlink" Target="http://www.oas.org/es/sla/ddi/docs/AG-RES_2600_XL-O-10_esp.pdf" TargetMode="External"/><Relationship Id="rId23" Type="http://schemas.openxmlformats.org/officeDocument/2006/relationships/hyperlink" Target="http://hrlibrary.umn.edu/iachr/b_11_4n.htm" TargetMode="External"/><Relationship Id="rId10" Type="http://schemas.openxmlformats.org/officeDocument/2006/relationships/hyperlink" Target="http://www.oas.org/es/sla/ddi/docs/AG-RES_2807_XLIII-O-13.pdf" TargetMode="External"/><Relationship Id="rId19" Type="http://schemas.openxmlformats.org/officeDocument/2006/relationships/hyperlink" Target="https://www.coe.int/t/dghl/standardsetting/hrpolicy/Other_Committees/DH-DEV-FA_docs/EM_rec_2010_4_%20Armedforces_en.pdf" TargetMode="External"/><Relationship Id="rId4" Type="http://schemas.openxmlformats.org/officeDocument/2006/relationships/hyperlink" Target="http://hrlibrary.umn.edu/iachr/b_11_4d.htm" TargetMode="External"/><Relationship Id="rId9" Type="http://schemas.openxmlformats.org/officeDocument/2006/relationships/hyperlink" Target="http://www.ohchr.org/Documents/Issues/Discrimination/Joint_LGBTI_Statement_ENG.PDF" TargetMode="External"/><Relationship Id="rId14" Type="http://schemas.openxmlformats.org/officeDocument/2006/relationships/hyperlink" Target="http://www.oas.org/es/sla/ddi/docs/AG-RES_2504_XXXIX-O-09.pdf" TargetMode="External"/><Relationship Id="rId22" Type="http://schemas.openxmlformats.org/officeDocument/2006/relationships/hyperlink" Target="https://www.whitehouse.gov/blog/2010/12/22/president-signs-repeal-dont-ask-dont-tell-out-many-we-are-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A54F-A090-4A8C-9FE4-A77402EFE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33768</Words>
  <Characters>185728</Characters>
  <Application>Microsoft Office Word</Application>
  <DocSecurity>0</DocSecurity>
  <Lines>1547</Lines>
  <Paragraphs>438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Francella Hernandez</cp:lastModifiedBy>
  <cp:revision>2</cp:revision>
  <cp:lastPrinted>2016-10-31T22:42:00Z</cp:lastPrinted>
  <dcterms:created xsi:type="dcterms:W3CDTF">2020-07-28T16:10:00Z</dcterms:created>
  <dcterms:modified xsi:type="dcterms:W3CDTF">2020-07-28T16:10:00Z</dcterms:modified>
</cp:coreProperties>
</file>